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DDA6" w14:textId="77777777" w:rsidR="00C6353E" w:rsidRPr="00FD0501" w:rsidRDefault="00C6353E" w:rsidP="00C6353E">
      <w:pPr>
        <w:pStyle w:val="Heading1"/>
      </w:pPr>
      <w:r w:rsidRPr="00FD0501">
        <w:t xml:space="preserve">Development of a Robust Framework for </w:t>
      </w:r>
    </w:p>
    <w:p w14:paraId="28238A6B" w14:textId="4041C10D" w:rsidR="00C6353E" w:rsidRPr="00FD0501" w:rsidRDefault="00C6353E" w:rsidP="00C6353E">
      <w:pPr>
        <w:pStyle w:val="Heading1"/>
      </w:pPr>
      <w:r w:rsidRPr="00FD0501">
        <w:t>Security Assessment of Safety-Informed</w:t>
      </w:r>
    </w:p>
    <w:p w14:paraId="7A489224" w14:textId="0C001322" w:rsidR="003B5E0E" w:rsidRPr="00FD0501" w:rsidRDefault="00C6353E" w:rsidP="00C6353E">
      <w:pPr>
        <w:pStyle w:val="Heading1"/>
      </w:pPr>
      <w:r w:rsidRPr="00FD0501">
        <w:t>Siting Decisions under Uncertainty</w:t>
      </w:r>
    </w:p>
    <w:p w14:paraId="4D1B799F" w14:textId="77777777" w:rsidR="00802381" w:rsidRPr="00FD0501" w:rsidRDefault="00802381" w:rsidP="00537496">
      <w:pPr>
        <w:pStyle w:val="Authornameandaffiliation"/>
      </w:pPr>
    </w:p>
    <w:p w14:paraId="32159D0F" w14:textId="0C3D65F4" w:rsidR="003B5E0E" w:rsidRPr="00FD0501" w:rsidRDefault="00410F21" w:rsidP="00DB078F">
      <w:pPr>
        <w:pStyle w:val="Authornameandaffiliation"/>
      </w:pPr>
      <w:r w:rsidRPr="00FD0501">
        <w:t xml:space="preserve">A.I. </w:t>
      </w:r>
      <w:r w:rsidR="00537496" w:rsidRPr="00FD0501">
        <w:t>A</w:t>
      </w:r>
      <w:r w:rsidR="0053701A" w:rsidRPr="00FD0501">
        <w:t>DENI</w:t>
      </w:r>
      <w:r w:rsidR="00C061FD" w:rsidRPr="00FD0501">
        <w:t>YI</w:t>
      </w:r>
    </w:p>
    <w:p w14:paraId="6252DEC8" w14:textId="0AE911FB" w:rsidR="00495EE4" w:rsidRPr="00FD0501" w:rsidRDefault="00495EE4" w:rsidP="00495EE4">
      <w:pPr>
        <w:ind w:left="567"/>
        <w:rPr>
          <w:sz w:val="20"/>
          <w:lang w:val="en-US"/>
        </w:rPr>
      </w:pPr>
      <w:r w:rsidRPr="00FD0501">
        <w:rPr>
          <w:sz w:val="20"/>
          <w:lang w:val="en-US"/>
        </w:rPr>
        <w:t>Nuclear Energy and Fuel Cycle Division, Oak Ridge National Laboratory, Oak Ridge</w:t>
      </w:r>
      <w:r w:rsidR="00F573CE">
        <w:rPr>
          <w:sz w:val="20"/>
          <w:lang w:val="en-US"/>
        </w:rPr>
        <w:t>, TN</w:t>
      </w:r>
    </w:p>
    <w:p w14:paraId="20397C9E" w14:textId="182A4B5D" w:rsidR="00495EE4" w:rsidRPr="00FD0501" w:rsidRDefault="00495EE4" w:rsidP="0069436F">
      <w:pPr>
        <w:ind w:firstLine="567"/>
        <w:rPr>
          <w:sz w:val="20"/>
          <w:lang w:val="en-US"/>
        </w:rPr>
      </w:pPr>
      <w:r w:rsidRPr="00FD0501">
        <w:rPr>
          <w:sz w:val="20"/>
          <w:lang w:val="en-US"/>
        </w:rPr>
        <w:t>Energy Science and Engineering, Bredesen Center, University of Tennessee, Knoxville</w:t>
      </w:r>
      <w:r w:rsidR="00312AED">
        <w:rPr>
          <w:sz w:val="20"/>
          <w:lang w:val="en-US"/>
        </w:rPr>
        <w:t>, TN</w:t>
      </w:r>
    </w:p>
    <w:p w14:paraId="14684DE2" w14:textId="660E5D76" w:rsidR="00FF386F" w:rsidRPr="00FD0501" w:rsidRDefault="00C661D4" w:rsidP="00537496">
      <w:pPr>
        <w:pStyle w:val="Authornameandaffiliation"/>
      </w:pPr>
      <w:r w:rsidRPr="00FD0501">
        <w:t>U.S.A</w:t>
      </w:r>
    </w:p>
    <w:p w14:paraId="0080899C" w14:textId="0080D7A9" w:rsidR="00FF386F" w:rsidRPr="00FD0501" w:rsidRDefault="00FF386F" w:rsidP="00537496">
      <w:pPr>
        <w:pStyle w:val="Authornameandaffiliation"/>
      </w:pPr>
      <w:r w:rsidRPr="00FD0501">
        <w:t xml:space="preserve">Email: </w:t>
      </w:r>
      <w:hyperlink r:id="rId8" w:history="1">
        <w:r w:rsidR="004C4983" w:rsidRPr="00FD0501">
          <w:rPr>
            <w:rStyle w:val="Hyperlink"/>
            <w:i/>
            <w:iCs/>
          </w:rPr>
          <w:t>adeniyiai@ornl.gov</w:t>
        </w:r>
      </w:hyperlink>
    </w:p>
    <w:p w14:paraId="5E2BDA1F" w14:textId="77777777" w:rsidR="00FF386F" w:rsidRPr="00FD0501" w:rsidRDefault="00FF386F" w:rsidP="00537496">
      <w:pPr>
        <w:pStyle w:val="Authornameandaffiliation"/>
      </w:pPr>
    </w:p>
    <w:p w14:paraId="240699BB" w14:textId="7B9B3C35" w:rsidR="00014D03" w:rsidRPr="00FD0501" w:rsidRDefault="00410F21" w:rsidP="00DB078F">
      <w:pPr>
        <w:pStyle w:val="Authornameandaffiliation"/>
      </w:pPr>
      <w:r w:rsidRPr="00FD0501">
        <w:t>O.</w:t>
      </w:r>
      <w:r w:rsidR="00C73782" w:rsidRPr="00FD0501">
        <w:t xml:space="preserve">A. </w:t>
      </w:r>
      <w:r w:rsidR="000D30FB" w:rsidRPr="00FD0501">
        <w:t>OMITAOMU</w:t>
      </w:r>
      <w:r w:rsidR="00014D03" w:rsidRPr="00FD0501">
        <w:t xml:space="preserve">, </w:t>
      </w:r>
      <w:r w:rsidR="00271B4D" w:rsidRPr="00FD0501">
        <w:t>Ph.D.</w:t>
      </w:r>
      <w:r w:rsidR="00014D03" w:rsidRPr="00FD0501">
        <w:t xml:space="preserve"> </w:t>
      </w:r>
    </w:p>
    <w:p w14:paraId="21A6D5E7" w14:textId="7F3FBCB0" w:rsidR="008D128A" w:rsidRPr="00FD0501" w:rsidRDefault="008D128A" w:rsidP="00537496">
      <w:pPr>
        <w:pStyle w:val="Authornameandaffiliation"/>
      </w:pPr>
      <w:r w:rsidRPr="00FD0501">
        <w:t>Computational Sciences and Engineering</w:t>
      </w:r>
      <w:r w:rsidR="00312AED">
        <w:t xml:space="preserve"> Division</w:t>
      </w:r>
      <w:r w:rsidR="00775A37" w:rsidRPr="00FD0501">
        <w:t>,</w:t>
      </w:r>
      <w:r w:rsidRPr="00FD0501">
        <w:t xml:space="preserve"> Oak Ridge National Laboratory </w:t>
      </w:r>
    </w:p>
    <w:p w14:paraId="703FF850" w14:textId="30F15B28" w:rsidR="008D128A" w:rsidRPr="00FD0501" w:rsidRDefault="008D128A" w:rsidP="00537496">
      <w:pPr>
        <w:pStyle w:val="Authornameandaffiliation"/>
      </w:pPr>
      <w:r w:rsidRPr="00FD0501">
        <w:t xml:space="preserve">Oak Ridge, </w:t>
      </w:r>
      <w:r w:rsidR="009010E4" w:rsidRPr="00FD0501">
        <w:t>TN</w:t>
      </w:r>
      <w:r w:rsidRPr="00FD0501">
        <w:t>,</w:t>
      </w:r>
      <w:r w:rsidR="009010E4" w:rsidRPr="00FD0501">
        <w:t xml:space="preserve"> U</w:t>
      </w:r>
      <w:r w:rsidR="007B3D58" w:rsidRPr="00FD0501">
        <w:t>.</w:t>
      </w:r>
      <w:r w:rsidR="009010E4" w:rsidRPr="00FD0501">
        <w:t>S</w:t>
      </w:r>
      <w:r w:rsidR="007B3D58" w:rsidRPr="00FD0501">
        <w:t>.</w:t>
      </w:r>
      <w:r w:rsidR="009010E4" w:rsidRPr="00FD0501">
        <w:t>A</w:t>
      </w:r>
    </w:p>
    <w:p w14:paraId="5D980831" w14:textId="7B1E15E5" w:rsidR="00FF386F" w:rsidRPr="00FD0501" w:rsidRDefault="00FF386F" w:rsidP="00537496">
      <w:pPr>
        <w:pStyle w:val="Authornameandaffiliation"/>
      </w:pPr>
    </w:p>
    <w:p w14:paraId="2C7F19CB" w14:textId="77777777" w:rsidR="00FF386F" w:rsidRPr="00FD0501" w:rsidRDefault="00FF386F" w:rsidP="00537496">
      <w:pPr>
        <w:pStyle w:val="Authornameandaffiliation"/>
      </w:pPr>
    </w:p>
    <w:p w14:paraId="230D4575" w14:textId="77777777" w:rsidR="00647F33" w:rsidRPr="00FD0501" w:rsidRDefault="00647F33" w:rsidP="00537496">
      <w:pPr>
        <w:pStyle w:val="Authornameandaffiliation"/>
        <w:rPr>
          <w:b/>
        </w:rPr>
      </w:pPr>
      <w:r w:rsidRPr="00FD0501">
        <w:rPr>
          <w:b/>
        </w:rPr>
        <w:t>Abstract</w:t>
      </w:r>
    </w:p>
    <w:p w14:paraId="4F2E62A2" w14:textId="77777777" w:rsidR="00647F33" w:rsidRPr="00FD0501" w:rsidRDefault="00647F33" w:rsidP="00537496">
      <w:pPr>
        <w:pStyle w:val="Authornameandaffiliation"/>
      </w:pPr>
    </w:p>
    <w:p w14:paraId="5098E4CB" w14:textId="1D1DB3C5" w:rsidR="00B31FB2" w:rsidRPr="00FD0501" w:rsidRDefault="00B31FB2" w:rsidP="007B3D58">
      <w:pPr>
        <w:pStyle w:val="Abstracttext"/>
        <w:jc w:val="both"/>
      </w:pPr>
      <w:r w:rsidRPr="00FD0501">
        <w:t xml:space="preserve">The assessment of security vulnerabilities during the initial phase of locating a nuclear reactor facility involves a process </w:t>
      </w:r>
      <w:r w:rsidR="004D2F4F" w:rsidRPr="00FD0501">
        <w:t>that aims to</w:t>
      </w:r>
      <w:r w:rsidRPr="00FD0501">
        <w:t xml:space="preserve"> recogniz</w:t>
      </w:r>
      <w:r w:rsidR="00692ACF" w:rsidRPr="00FD0501">
        <w:t>e</w:t>
      </w:r>
      <w:r w:rsidRPr="00FD0501">
        <w:t xml:space="preserve"> specific site attributes that could expose the site to potential security risks. Early identification of such features is crucial </w:t>
      </w:r>
      <w:r w:rsidR="00C24235">
        <w:t>because</w:t>
      </w:r>
      <w:r w:rsidR="00C24235" w:rsidRPr="00FD0501">
        <w:t xml:space="preserve"> </w:t>
      </w:r>
      <w:r w:rsidRPr="00FD0501">
        <w:t xml:space="preserve">they </w:t>
      </w:r>
      <w:r w:rsidR="00C24235">
        <w:t>cou</w:t>
      </w:r>
      <w:r w:rsidR="00D249C6">
        <w:t>ld</w:t>
      </w:r>
      <w:r w:rsidR="00C24235" w:rsidRPr="00FD0501">
        <w:t xml:space="preserve"> </w:t>
      </w:r>
      <w:r w:rsidRPr="00FD0501">
        <w:t>increase the site</w:t>
      </w:r>
      <w:r w:rsidR="00967B7F">
        <w:t>’</w:t>
      </w:r>
      <w:r w:rsidRPr="00FD0501">
        <w:t>s susceptibility to malicious attacks. Any security incident or event could harm life, the environment, or property. Additionally, certain site characteristics</w:t>
      </w:r>
      <w:r w:rsidR="003E0DD2">
        <w:t>,</w:t>
      </w:r>
      <w:r w:rsidRPr="00FD0501">
        <w:t xml:space="preserve"> such as its location and the shortest route from </w:t>
      </w:r>
      <w:r w:rsidR="003E0DD2">
        <w:t>first</w:t>
      </w:r>
      <w:r w:rsidR="003E0DD2" w:rsidRPr="00FD0501">
        <w:t xml:space="preserve"> </w:t>
      </w:r>
      <w:r w:rsidRPr="00FD0501">
        <w:t>responders</w:t>
      </w:r>
      <w:r w:rsidR="003E0DD2">
        <w:t>,</w:t>
      </w:r>
      <w:r w:rsidRPr="00FD0501">
        <w:t xml:space="preserve"> can impact </w:t>
      </w:r>
      <w:r w:rsidR="00B133AD">
        <w:t xml:space="preserve">the </w:t>
      </w:r>
      <w:r w:rsidRPr="00FD0501">
        <w:t xml:space="preserve">response to emergencies at the site. </w:t>
      </w:r>
      <w:r w:rsidR="00B133AD">
        <w:t>Moreover, f</w:t>
      </w:r>
      <w:r w:rsidRPr="00FD0501">
        <w:t>eatures such as slope and extreme weather events could influence the efficacy of implemented measures in reducing security risks at the selected site.</w:t>
      </w:r>
    </w:p>
    <w:p w14:paraId="148E1EFC" w14:textId="17865B65" w:rsidR="00B31FB2" w:rsidRPr="00FD0501" w:rsidRDefault="00B31FB2" w:rsidP="007B3D58">
      <w:pPr>
        <w:pStyle w:val="Abstracttext"/>
        <w:jc w:val="both"/>
      </w:pPr>
      <w:r w:rsidRPr="00FD0501">
        <w:t>If an issue with a site</w:t>
      </w:r>
      <w:r w:rsidR="00D96B14">
        <w:t>’</w:t>
      </w:r>
      <w:r w:rsidRPr="00FD0501">
        <w:t>s potential risk factor is identified early</w:t>
      </w:r>
      <w:r w:rsidR="00DD7D27">
        <w:t xml:space="preserve"> in a facility’s lifetime</w:t>
      </w:r>
      <w:r w:rsidRPr="00FD0501">
        <w:t xml:space="preserve">, </w:t>
      </w:r>
      <w:r w:rsidR="00BC262B">
        <w:t xml:space="preserve">then </w:t>
      </w:r>
      <w:r w:rsidRPr="00FD0501">
        <w:t xml:space="preserve">a more cost-efficient plan can be incorporated into the overall site design. However, </w:t>
      </w:r>
      <w:r w:rsidR="005574C7">
        <w:t>after</w:t>
      </w:r>
      <w:r w:rsidR="005574C7" w:rsidRPr="00FD0501">
        <w:t xml:space="preserve"> </w:t>
      </w:r>
      <w:r w:rsidRPr="00FD0501">
        <w:t>a site is chosen and construction commences, any discovery of natural or artificial features that render the site vulnerable to security threats could lead to construction delays and additional expenses in designing and implementing necessary security measures.</w:t>
      </w:r>
    </w:p>
    <w:p w14:paraId="40EDDFE1" w14:textId="33ABAE76" w:rsidR="00B31FB2" w:rsidRPr="00FD0501" w:rsidRDefault="00B31FB2" w:rsidP="007B3D58">
      <w:pPr>
        <w:pStyle w:val="Abstracttext"/>
        <w:jc w:val="both"/>
      </w:pPr>
      <w:r w:rsidRPr="00FD0501">
        <w:t>Th</w:t>
      </w:r>
      <w:r w:rsidR="00FA65A8">
        <w:t>is</w:t>
      </w:r>
      <w:r w:rsidRPr="00FD0501">
        <w:t xml:space="preserve"> paper emphasize</w:t>
      </w:r>
      <w:r w:rsidR="00083FD1">
        <w:t xml:space="preserve">s </w:t>
      </w:r>
      <w:r w:rsidRPr="00FD0501">
        <w:t xml:space="preserve">the </w:t>
      </w:r>
      <w:r w:rsidR="00D67034">
        <w:t>challenges</w:t>
      </w:r>
      <w:r w:rsidRPr="00FD0501">
        <w:t xml:space="preserve"> in the evaluation framework used to assess security risks at potential nuclear reactor sites during the site selection phase. Our research underscores the necessity </w:t>
      </w:r>
      <w:r w:rsidR="00D37D38">
        <w:t>of</w:t>
      </w:r>
      <w:r w:rsidR="00D37D38" w:rsidRPr="00FD0501">
        <w:t xml:space="preserve"> </w:t>
      </w:r>
      <w:r w:rsidRPr="00FD0501">
        <w:t>establishing a robust framework to assess security vulnerabilities in nuclear facility siting</w:t>
      </w:r>
      <w:r w:rsidR="00F20541">
        <w:t xml:space="preserve"> and aims</w:t>
      </w:r>
      <w:r w:rsidRPr="00FD0501">
        <w:t xml:space="preserve"> to address these gaps effectively.</w:t>
      </w:r>
    </w:p>
    <w:p w14:paraId="03C6D75B" w14:textId="77777777" w:rsidR="00647F33" w:rsidRPr="00FD0501" w:rsidRDefault="00F523CA" w:rsidP="00537496">
      <w:pPr>
        <w:pStyle w:val="Heading2"/>
        <w:numPr>
          <w:ilvl w:val="1"/>
          <w:numId w:val="10"/>
        </w:numPr>
        <w:rPr>
          <w:lang w:val="en-US"/>
        </w:rPr>
      </w:pPr>
      <w:bookmarkStart w:id="0" w:name="_Ref166487334"/>
      <w:r w:rsidRPr="00FD0501">
        <w:rPr>
          <w:lang w:val="en-US"/>
        </w:rPr>
        <w:t>INTRODUCTION</w:t>
      </w:r>
      <w:bookmarkEnd w:id="0"/>
    </w:p>
    <w:p w14:paraId="0374EFBA" w14:textId="014E433C" w:rsidR="00E6449C" w:rsidRPr="00FD0501" w:rsidRDefault="00E6449C" w:rsidP="00E6449C">
      <w:pPr>
        <w:pStyle w:val="BodyText"/>
        <w:rPr>
          <w:lang w:val="en-US"/>
        </w:rPr>
      </w:pPr>
      <w:r w:rsidRPr="00FD0501">
        <w:rPr>
          <w:lang w:val="en-US"/>
        </w:rPr>
        <w:t xml:space="preserve">Combating </w:t>
      </w:r>
      <w:r w:rsidR="003D4A67">
        <w:rPr>
          <w:lang w:val="en-US"/>
        </w:rPr>
        <w:t xml:space="preserve">challenges posed by </w:t>
      </w:r>
      <w:r w:rsidRPr="00FD0501">
        <w:rPr>
          <w:lang w:val="en-US"/>
        </w:rPr>
        <w:t>climate change</w:t>
      </w:r>
      <w:r w:rsidR="003D4A67">
        <w:rPr>
          <w:lang w:val="en-US"/>
        </w:rPr>
        <w:t xml:space="preserve">, </w:t>
      </w:r>
      <w:r w:rsidRPr="00FD0501">
        <w:rPr>
          <w:lang w:val="en-US"/>
        </w:rPr>
        <w:t>such as more frequent destructive wildfires and floods across the globe</w:t>
      </w:r>
      <w:r w:rsidR="0037504F">
        <w:rPr>
          <w:lang w:val="en-US"/>
        </w:rPr>
        <w:t>,</w:t>
      </w:r>
      <w:r w:rsidRPr="00FD0501">
        <w:rPr>
          <w:lang w:val="en-US"/>
        </w:rPr>
        <w:t xml:space="preserve"> will require implementing innovative energy strategies</w:t>
      </w:r>
      <w:r w:rsidR="003D7961">
        <w:rPr>
          <w:lang w:val="en-US"/>
        </w:rPr>
        <w:t xml:space="preserve">, including </w:t>
      </w:r>
      <w:r w:rsidRPr="00FD0501">
        <w:rPr>
          <w:lang w:val="en-US"/>
        </w:rPr>
        <w:t xml:space="preserve">improving energy </w:t>
      </w:r>
      <w:r w:rsidR="002834CE" w:rsidRPr="00FD0501">
        <w:rPr>
          <w:lang w:val="en-US"/>
        </w:rPr>
        <w:t>efficiency,</w:t>
      </w:r>
      <w:r w:rsidRPr="00FD0501">
        <w:rPr>
          <w:lang w:val="en-US"/>
        </w:rPr>
        <w:t xml:space="preserve"> and deploying renewable energy sources and low-carbon footprint energy sources </w:t>
      </w:r>
      <w:r w:rsidR="008462EB">
        <w:rPr>
          <w:lang w:val="en-US"/>
        </w:rPr>
        <w:t xml:space="preserve">(e.g., </w:t>
      </w:r>
      <w:r w:rsidRPr="00FD0501">
        <w:rPr>
          <w:lang w:val="en-US"/>
        </w:rPr>
        <w:t>nuclear energy</w:t>
      </w:r>
      <w:r w:rsidR="008462EB">
        <w:rPr>
          <w:lang w:val="en-US"/>
        </w:rPr>
        <w:t>)</w:t>
      </w:r>
      <w:r w:rsidRPr="00FD0501">
        <w:rPr>
          <w:lang w:val="en-US"/>
        </w:rPr>
        <w:t xml:space="preserve">. This global decarbonization effort has led to </w:t>
      </w:r>
      <w:r w:rsidR="00206792">
        <w:rPr>
          <w:lang w:val="en-US"/>
        </w:rPr>
        <w:t xml:space="preserve">a </w:t>
      </w:r>
      <w:r w:rsidR="00BD312B" w:rsidRPr="00FD0501">
        <w:rPr>
          <w:lang w:val="en-US"/>
        </w:rPr>
        <w:t xml:space="preserve">rise in </w:t>
      </w:r>
      <w:r w:rsidRPr="00FD0501">
        <w:rPr>
          <w:lang w:val="en-US"/>
        </w:rPr>
        <w:t>the acceptance of advanced nuclear reactors as green energy sources. This renewed interest in deploying advanced nuclear reactors</w:t>
      </w:r>
      <w:r w:rsidR="00206792">
        <w:rPr>
          <w:lang w:val="en-US"/>
        </w:rPr>
        <w:t>—</w:t>
      </w:r>
      <w:r w:rsidRPr="00FD0501">
        <w:rPr>
          <w:lang w:val="en-US"/>
        </w:rPr>
        <w:t>to meet growing demands for electricity, process heat for homes and industrial applications, water desalination, and the potential to deploy nuclear energy for combating some of the challenges of global warming</w:t>
      </w:r>
      <w:r w:rsidR="00206792">
        <w:rPr>
          <w:lang w:val="en-US"/>
        </w:rPr>
        <w:t>—</w:t>
      </w:r>
      <w:r w:rsidRPr="00FD0501">
        <w:rPr>
          <w:lang w:val="en-US"/>
        </w:rPr>
        <w:t xml:space="preserve">means there will </w:t>
      </w:r>
      <w:r w:rsidR="00A665CA">
        <w:rPr>
          <w:lang w:val="en-US"/>
        </w:rPr>
        <w:t xml:space="preserve">likely </w:t>
      </w:r>
      <w:r w:rsidRPr="00FD0501">
        <w:rPr>
          <w:lang w:val="en-US"/>
        </w:rPr>
        <w:t>be more nuclear facilit</w:t>
      </w:r>
      <w:r w:rsidR="002E37F7">
        <w:rPr>
          <w:lang w:val="en-US"/>
        </w:rPr>
        <w:t xml:space="preserve">ies </w:t>
      </w:r>
      <w:r w:rsidRPr="00FD0501">
        <w:rPr>
          <w:lang w:val="en-US"/>
        </w:rPr>
        <w:t xml:space="preserve">across the </w:t>
      </w:r>
      <w:r w:rsidR="00FE6B3F">
        <w:rPr>
          <w:lang w:val="en-US"/>
        </w:rPr>
        <w:t>globe</w:t>
      </w:r>
      <w:r w:rsidRPr="00FD0501">
        <w:rPr>
          <w:lang w:val="en-US"/>
        </w:rPr>
        <w:t xml:space="preserve"> that may face the </w:t>
      </w:r>
      <w:r w:rsidR="00C32A38">
        <w:rPr>
          <w:lang w:val="en-US"/>
        </w:rPr>
        <w:t xml:space="preserve">constant </w:t>
      </w:r>
      <w:r w:rsidRPr="00FD0501">
        <w:rPr>
          <w:lang w:val="en-US"/>
        </w:rPr>
        <w:t>possibility of security threat (such as sabotage or theft) from malicious attackers.</w:t>
      </w:r>
    </w:p>
    <w:p w14:paraId="381D5ABC" w14:textId="0FEFD2E4" w:rsidR="00E6449C" w:rsidRPr="00FD0501" w:rsidRDefault="00E6449C" w:rsidP="00E6449C">
      <w:pPr>
        <w:pStyle w:val="BodyText"/>
        <w:rPr>
          <w:lang w:val="en-US"/>
        </w:rPr>
      </w:pPr>
      <w:r w:rsidRPr="00FD0501">
        <w:rPr>
          <w:lang w:val="en-US"/>
        </w:rPr>
        <w:t>Evaluating the security vulnerability of a nuclear facility site throughout its operational existence</w:t>
      </w:r>
      <w:r w:rsidR="00230BE0">
        <w:rPr>
          <w:lang w:val="en-US"/>
        </w:rPr>
        <w:t xml:space="preserve"> </w:t>
      </w:r>
      <w:r w:rsidR="00230BE0" w:rsidRPr="00FD0501">
        <w:rPr>
          <w:lang w:val="en-US"/>
        </w:rPr>
        <w:t>is imperative</w:t>
      </w:r>
      <w:r w:rsidRPr="00FD0501">
        <w:rPr>
          <w:lang w:val="en-US"/>
        </w:rPr>
        <w:t>. The International Atomic Energy Agency (IAEA) delineates three primary actions within the nuclear facility establishment process: a site survey to identify potential sites</w:t>
      </w:r>
      <w:r w:rsidR="00B83550">
        <w:rPr>
          <w:lang w:val="en-US"/>
        </w:rPr>
        <w:t>;</w:t>
      </w:r>
      <w:r w:rsidRPr="00FD0501">
        <w:rPr>
          <w:lang w:val="en-US"/>
        </w:rPr>
        <w:t xml:space="preserve"> the selection process</w:t>
      </w:r>
      <w:r w:rsidR="00B83550">
        <w:rPr>
          <w:lang w:val="en-US"/>
        </w:rPr>
        <w:t>,</w:t>
      </w:r>
      <w:r w:rsidRPr="00FD0501">
        <w:rPr>
          <w:lang w:val="en-US"/>
        </w:rPr>
        <w:t xml:space="preserve"> </w:t>
      </w:r>
      <w:r w:rsidR="00B83550">
        <w:rPr>
          <w:lang w:val="en-US"/>
        </w:rPr>
        <w:t>which involves</w:t>
      </w:r>
      <w:r w:rsidR="00B83550" w:rsidRPr="00FD0501">
        <w:rPr>
          <w:lang w:val="en-US"/>
        </w:rPr>
        <w:t xml:space="preserve"> </w:t>
      </w:r>
      <w:r w:rsidRPr="00FD0501">
        <w:rPr>
          <w:lang w:val="en-US"/>
        </w:rPr>
        <w:t>a comparison of various potential sites based on predetermined criteria pertinent to the particular nuclear technology intended for deployment</w:t>
      </w:r>
      <w:r w:rsidR="002C6BD2">
        <w:rPr>
          <w:lang w:val="en-US"/>
        </w:rPr>
        <w:t>;</w:t>
      </w:r>
      <w:r w:rsidRPr="00FD0501">
        <w:rPr>
          <w:lang w:val="en-US"/>
        </w:rPr>
        <w:t xml:space="preserve"> and </w:t>
      </w:r>
      <w:r w:rsidR="00D464E0">
        <w:rPr>
          <w:lang w:val="en-US"/>
        </w:rPr>
        <w:t>a</w:t>
      </w:r>
      <w:r w:rsidR="00D464E0" w:rsidRPr="00FD0501">
        <w:rPr>
          <w:lang w:val="en-US"/>
        </w:rPr>
        <w:t xml:space="preserve"> </w:t>
      </w:r>
      <w:r w:rsidRPr="00FD0501">
        <w:rPr>
          <w:lang w:val="en-US"/>
        </w:rPr>
        <w:t>third phase</w:t>
      </w:r>
      <w:r w:rsidR="00D464E0">
        <w:rPr>
          <w:lang w:val="en-US"/>
        </w:rPr>
        <w:t xml:space="preserve"> that</w:t>
      </w:r>
      <w:r w:rsidRPr="00FD0501">
        <w:rPr>
          <w:lang w:val="en-US"/>
        </w:rPr>
        <w:t xml:space="preserve"> entails evaluating a potential site against factors that could jeopardize the facility</w:t>
      </w:r>
      <w:r w:rsidR="00240766">
        <w:rPr>
          <w:lang w:val="en-US"/>
        </w:rPr>
        <w:t>’</w:t>
      </w:r>
      <w:r w:rsidRPr="00FD0501">
        <w:rPr>
          <w:lang w:val="en-US"/>
        </w:rPr>
        <w:t xml:space="preserve">s safety or the activities </w:t>
      </w:r>
      <w:r w:rsidR="00E67E0B" w:rsidRPr="00FD0501">
        <w:rPr>
          <w:lang w:val="en-US"/>
        </w:rPr>
        <w:t xml:space="preserve">conducted </w:t>
      </w:r>
      <w:r w:rsidRPr="00FD0501">
        <w:rPr>
          <w:lang w:val="en-US"/>
        </w:rPr>
        <w:t>on the premises.</w:t>
      </w:r>
    </w:p>
    <w:p w14:paraId="2650B88E" w14:textId="5B53B188" w:rsidR="007B346F" w:rsidRPr="00FD0501" w:rsidRDefault="00E6449C" w:rsidP="007B346F">
      <w:pPr>
        <w:pStyle w:val="BodyText"/>
        <w:rPr>
          <w:lang w:val="en-US"/>
        </w:rPr>
      </w:pPr>
      <w:r w:rsidRPr="00FD0501">
        <w:rPr>
          <w:lang w:val="en-US"/>
        </w:rPr>
        <w:t xml:space="preserve">The IAEA emphasized the importance of considering the security of nuclear facilities in the early stages, such as the planning and site selection stages </w:t>
      </w:r>
      <w:r w:rsidR="00546CEC" w:rsidRPr="00FD0501">
        <w:rPr>
          <w:lang w:val="en-US"/>
        </w:rPr>
        <w:fldChar w:fldCharType="begin"/>
      </w:r>
      <w:r w:rsidR="00546CEC" w:rsidRPr="00FD0501">
        <w:rPr>
          <w:lang w:val="en-US"/>
        </w:rPr>
        <w:instrText xml:space="preserve"> REF _Ref166487426 \n \h </w:instrText>
      </w:r>
      <w:r w:rsidR="00546CEC" w:rsidRPr="00FD0501">
        <w:rPr>
          <w:lang w:val="en-US"/>
        </w:rPr>
      </w:r>
      <w:r w:rsidR="00546CEC" w:rsidRPr="00FD0501">
        <w:rPr>
          <w:lang w:val="en-US"/>
        </w:rPr>
        <w:fldChar w:fldCharType="separate"/>
      </w:r>
      <w:r w:rsidR="00546CEC" w:rsidRPr="00FD0501">
        <w:rPr>
          <w:lang w:val="en-US"/>
        </w:rPr>
        <w:t>[1]</w:t>
      </w:r>
      <w:r w:rsidR="00546CEC" w:rsidRPr="00FD0501">
        <w:rPr>
          <w:lang w:val="en-US"/>
        </w:rPr>
        <w:fldChar w:fldCharType="end"/>
      </w:r>
      <w:r w:rsidRPr="00FD0501">
        <w:rPr>
          <w:lang w:val="en-US"/>
        </w:rPr>
        <w:t xml:space="preserve">. Early security consideration can result in more effective and better-integrated security, safety, safeguard, and operational measures. The different stages in the lifetime of a nuclear facility are shown in </w:t>
      </w:r>
      <w:r w:rsidR="00C92A92" w:rsidRPr="00FD0501">
        <w:rPr>
          <w:lang w:val="en-US"/>
        </w:rPr>
        <w:fldChar w:fldCharType="begin"/>
      </w:r>
      <w:r w:rsidR="00C92A92" w:rsidRPr="00FD0501">
        <w:rPr>
          <w:lang w:val="en-US"/>
        </w:rPr>
        <w:instrText xml:space="preserve"> REF _Ref166489284 \h  \* MERGEFORMAT </w:instrText>
      </w:r>
      <w:r w:rsidR="00C92A92" w:rsidRPr="00FD0501">
        <w:rPr>
          <w:lang w:val="en-US"/>
        </w:rPr>
      </w:r>
      <w:r w:rsidR="00C92A92" w:rsidRPr="00FD0501">
        <w:rPr>
          <w:lang w:val="en-US"/>
        </w:rPr>
        <w:fldChar w:fldCharType="separate"/>
      </w:r>
      <w:r w:rsidR="00824C23">
        <w:rPr>
          <w:lang w:val="en-US"/>
        </w:rPr>
        <w:t>F</w:t>
      </w:r>
      <w:r w:rsidR="00824C23" w:rsidRPr="00FD0501">
        <w:rPr>
          <w:lang w:val="en-US"/>
        </w:rPr>
        <w:t xml:space="preserve">ig. </w:t>
      </w:r>
      <w:r w:rsidR="00C92A92" w:rsidRPr="00FD0501">
        <w:rPr>
          <w:lang w:val="en-US"/>
        </w:rPr>
        <w:t>1</w:t>
      </w:r>
      <w:r w:rsidR="00C92A92" w:rsidRPr="00FD0501">
        <w:rPr>
          <w:lang w:val="en-US"/>
        </w:rPr>
        <w:fldChar w:fldCharType="end"/>
      </w:r>
      <w:r w:rsidRPr="00FD0501">
        <w:rPr>
          <w:lang w:val="en-US"/>
        </w:rPr>
        <w:t xml:space="preserve">. </w:t>
      </w:r>
      <w:r w:rsidR="00D602FC">
        <w:rPr>
          <w:lang w:val="en-US"/>
        </w:rPr>
        <w:t>S</w:t>
      </w:r>
      <w:r w:rsidRPr="00FD0501">
        <w:rPr>
          <w:lang w:val="en-US"/>
        </w:rPr>
        <w:t>afety and security assessments are recommended during all the stages of a nuclear facility</w:t>
      </w:r>
      <w:r w:rsidR="00C2738F">
        <w:rPr>
          <w:lang w:val="en-US"/>
        </w:rPr>
        <w:t>’</w:t>
      </w:r>
      <w:r w:rsidRPr="00FD0501">
        <w:rPr>
          <w:lang w:val="en-US"/>
        </w:rPr>
        <w:t>s lifetime by the international and national instruments governing nuclear safety and security. It was recommended in</w:t>
      </w:r>
      <w:r w:rsidR="003D43DA" w:rsidRPr="00FD0501">
        <w:rPr>
          <w:lang w:val="en-US"/>
        </w:rPr>
        <w:t xml:space="preserve"> </w:t>
      </w:r>
      <w:r w:rsidR="003D43DA" w:rsidRPr="00FD0501">
        <w:rPr>
          <w:lang w:val="en-US"/>
        </w:rPr>
        <w:fldChar w:fldCharType="begin"/>
      </w:r>
      <w:r w:rsidR="003D43DA" w:rsidRPr="00FD0501">
        <w:rPr>
          <w:lang w:val="en-US"/>
        </w:rPr>
        <w:instrText xml:space="preserve"> REF _Ref166487426 \n \h </w:instrText>
      </w:r>
      <w:r w:rsidR="003D43DA" w:rsidRPr="00FD0501">
        <w:rPr>
          <w:lang w:val="en-US"/>
        </w:rPr>
      </w:r>
      <w:r w:rsidR="003D43DA" w:rsidRPr="00FD0501">
        <w:rPr>
          <w:lang w:val="en-US"/>
        </w:rPr>
        <w:fldChar w:fldCharType="separate"/>
      </w:r>
      <w:r w:rsidR="003D43DA" w:rsidRPr="00FD0501">
        <w:rPr>
          <w:lang w:val="en-US"/>
        </w:rPr>
        <w:t>[1]</w:t>
      </w:r>
      <w:r w:rsidR="003D43DA" w:rsidRPr="00FD0501">
        <w:rPr>
          <w:lang w:val="en-US"/>
        </w:rPr>
        <w:fldChar w:fldCharType="end"/>
      </w:r>
      <w:r w:rsidRPr="00FD0501">
        <w:rPr>
          <w:lang w:val="en-US"/>
        </w:rPr>
        <w:t xml:space="preserve"> that the impacts of natural and pre-existing site features be assessed along with safety assessment to </w:t>
      </w:r>
      <w:r w:rsidR="00862FFE">
        <w:rPr>
          <w:lang w:val="en-US"/>
        </w:rPr>
        <w:t xml:space="preserve">better </w:t>
      </w:r>
      <w:r w:rsidRPr="00FD0501">
        <w:rPr>
          <w:lang w:val="en-US"/>
        </w:rPr>
        <w:t xml:space="preserve">integrate safety and security measures. Delaying the assessment of </w:t>
      </w:r>
      <w:r w:rsidR="008F6FE4">
        <w:rPr>
          <w:lang w:val="en-US"/>
        </w:rPr>
        <w:t xml:space="preserve">any </w:t>
      </w:r>
      <w:r w:rsidRPr="00FD0501">
        <w:rPr>
          <w:lang w:val="en-US"/>
        </w:rPr>
        <w:t>security vulnerabilit</w:t>
      </w:r>
      <w:r w:rsidR="008F6FE4">
        <w:rPr>
          <w:lang w:val="en-US"/>
        </w:rPr>
        <w:t xml:space="preserve">ies that may be present </w:t>
      </w:r>
      <w:proofErr w:type="gramStart"/>
      <w:r w:rsidR="008F6FE4">
        <w:rPr>
          <w:lang w:val="en-US"/>
        </w:rPr>
        <w:t>as a result of</w:t>
      </w:r>
      <w:proofErr w:type="gramEnd"/>
      <w:r w:rsidRPr="00FD0501">
        <w:rPr>
          <w:lang w:val="en-US"/>
        </w:rPr>
        <w:t xml:space="preserve"> site features </w:t>
      </w:r>
      <w:r w:rsidR="00CF69BE">
        <w:rPr>
          <w:lang w:val="en-US"/>
        </w:rPr>
        <w:t>could</w:t>
      </w:r>
      <w:r w:rsidR="00CF69BE" w:rsidRPr="00FD0501">
        <w:rPr>
          <w:lang w:val="en-US"/>
        </w:rPr>
        <w:t xml:space="preserve"> </w:t>
      </w:r>
      <w:r w:rsidRPr="00FD0501">
        <w:rPr>
          <w:lang w:val="en-US"/>
        </w:rPr>
        <w:t xml:space="preserve">result in construction delays and increased costs for </w:t>
      </w:r>
      <w:r w:rsidRPr="00FD0501">
        <w:rPr>
          <w:lang w:val="en-US"/>
        </w:rPr>
        <w:lastRenderedPageBreak/>
        <w:t>implementing security measures, which can sometimes be incompatible with safety and safeguard</w:t>
      </w:r>
      <w:r w:rsidR="007B346F" w:rsidRPr="00FD0501">
        <w:rPr>
          <w:lang w:val="en-US"/>
        </w:rPr>
        <w:t xml:space="preserve"> measures</w:t>
      </w:r>
      <w:r w:rsidR="00D75BCC">
        <w:rPr>
          <w:lang w:val="en-US"/>
        </w:rPr>
        <w:t>. Delay</w:t>
      </w:r>
      <w:r w:rsidR="00341B4D">
        <w:rPr>
          <w:lang w:val="en-US"/>
        </w:rPr>
        <w:t>ing could also lead to design modifications during the con</w:t>
      </w:r>
      <w:r w:rsidR="00D67034">
        <w:rPr>
          <w:lang w:val="en-US"/>
        </w:rPr>
        <w:t>s</w:t>
      </w:r>
      <w:r w:rsidR="00341B4D">
        <w:rPr>
          <w:lang w:val="en-US"/>
        </w:rPr>
        <w:t>truction phase</w:t>
      </w:r>
      <w:r w:rsidR="007B346F" w:rsidRPr="00FD0501">
        <w:rPr>
          <w:lang w:val="en-US"/>
        </w:rPr>
        <w:t xml:space="preserve">. It may be cost-effective to identify site security concerns </w:t>
      </w:r>
      <w:r w:rsidR="006E0A49">
        <w:rPr>
          <w:lang w:val="en-US"/>
        </w:rPr>
        <w:t>caused by</w:t>
      </w:r>
      <w:r w:rsidR="007B346F" w:rsidRPr="00FD0501">
        <w:rPr>
          <w:lang w:val="en-US"/>
        </w:rPr>
        <w:t xml:space="preserve"> the features of the site during the siting phase rather than after the site is selected.</w:t>
      </w:r>
    </w:p>
    <w:p w14:paraId="592EB68D" w14:textId="7C30AF9B" w:rsidR="00E6449C" w:rsidRPr="00FD0501" w:rsidRDefault="00C90E71" w:rsidP="00E6449C">
      <w:pPr>
        <w:pStyle w:val="BodyText"/>
        <w:rPr>
          <w:lang w:val="en-US"/>
        </w:rPr>
      </w:pPr>
      <w:r w:rsidRPr="00FD0501">
        <w:rPr>
          <w:noProof/>
          <w:lang w:val="en-US"/>
        </w:rPr>
        <w:drawing>
          <wp:anchor distT="0" distB="0" distL="114300" distR="114300" simplePos="0" relativeHeight="251658240" behindDoc="0" locked="0" layoutInCell="1" allowOverlap="1" wp14:anchorId="35A1DC6D" wp14:editId="783E3F4E">
            <wp:simplePos x="0" y="0"/>
            <wp:positionH relativeFrom="column">
              <wp:posOffset>88900</wp:posOffset>
            </wp:positionH>
            <wp:positionV relativeFrom="paragraph">
              <wp:posOffset>247650</wp:posOffset>
            </wp:positionV>
            <wp:extent cx="5666740" cy="18910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6740" cy="1891005"/>
                    </a:xfrm>
                    <a:prstGeom prst="rect">
                      <a:avLst/>
                    </a:prstGeom>
                    <a:noFill/>
                  </pic:spPr>
                </pic:pic>
              </a:graphicData>
            </a:graphic>
          </wp:anchor>
        </w:drawing>
      </w:r>
    </w:p>
    <w:p w14:paraId="64CBDCF4" w14:textId="54026D87" w:rsidR="004560C2" w:rsidRPr="00FD0501" w:rsidRDefault="004560C2" w:rsidP="00E6449C">
      <w:pPr>
        <w:pStyle w:val="BodyText"/>
        <w:rPr>
          <w:lang w:val="en-US"/>
        </w:rPr>
      </w:pPr>
    </w:p>
    <w:p w14:paraId="51016676" w14:textId="62C989F5" w:rsidR="00E6449C" w:rsidRPr="00FD0501" w:rsidRDefault="00C2174C" w:rsidP="00A265A2">
      <w:pPr>
        <w:pStyle w:val="Caption"/>
        <w:rPr>
          <w:i/>
          <w:iCs/>
        </w:rPr>
      </w:pPr>
      <w:bookmarkStart w:id="1" w:name="_Ref166489284"/>
      <w:r w:rsidRPr="00FD0501">
        <w:rPr>
          <w:i/>
          <w:iCs/>
        </w:rPr>
        <w:t xml:space="preserve">FIG. </w:t>
      </w:r>
      <w:r w:rsidRPr="00FD0501">
        <w:rPr>
          <w:i/>
          <w:iCs/>
        </w:rPr>
        <w:fldChar w:fldCharType="begin"/>
      </w:r>
      <w:r w:rsidRPr="00FD0501">
        <w:rPr>
          <w:i/>
          <w:iCs/>
        </w:rPr>
        <w:instrText xml:space="preserve"> SEQ FIG. \* ARABIC </w:instrText>
      </w:r>
      <w:r w:rsidRPr="00FD0501">
        <w:rPr>
          <w:i/>
          <w:iCs/>
        </w:rPr>
        <w:fldChar w:fldCharType="separate"/>
      </w:r>
      <w:r w:rsidRPr="00FD0501">
        <w:rPr>
          <w:i/>
          <w:iCs/>
        </w:rPr>
        <w:t>1</w:t>
      </w:r>
      <w:r w:rsidRPr="00FD0501">
        <w:rPr>
          <w:i/>
          <w:iCs/>
        </w:rPr>
        <w:fldChar w:fldCharType="end"/>
      </w:r>
      <w:bookmarkEnd w:id="1"/>
      <w:r w:rsidR="00CA005E" w:rsidRPr="00FD0501">
        <w:rPr>
          <w:i/>
          <w:iCs/>
        </w:rPr>
        <w:t>.</w:t>
      </w:r>
      <w:r w:rsidR="00E6449C" w:rsidRPr="00FD0501">
        <w:rPr>
          <w:i/>
          <w:iCs/>
        </w:rPr>
        <w:t xml:space="preserve"> Site </w:t>
      </w:r>
      <w:r w:rsidR="00B3157B" w:rsidRPr="00FD0501">
        <w:rPr>
          <w:i/>
          <w:iCs/>
        </w:rPr>
        <w:t xml:space="preserve">safety </w:t>
      </w:r>
      <w:r w:rsidR="00B3157B">
        <w:rPr>
          <w:i/>
          <w:iCs/>
        </w:rPr>
        <w:t>and</w:t>
      </w:r>
      <w:r w:rsidR="00B3157B" w:rsidRPr="00FD0501">
        <w:rPr>
          <w:i/>
          <w:iCs/>
        </w:rPr>
        <w:t xml:space="preserve"> security assessment during the lifetime of a nuclear facility (adapted </w:t>
      </w:r>
      <w:r w:rsidR="00E6449C" w:rsidRPr="00FD0501">
        <w:rPr>
          <w:i/>
          <w:iCs/>
        </w:rPr>
        <w:t xml:space="preserve">from </w:t>
      </w:r>
      <w:r w:rsidR="00A265A2" w:rsidRPr="00FD0501">
        <w:rPr>
          <w:i/>
          <w:iCs/>
        </w:rPr>
        <w:fldChar w:fldCharType="begin"/>
      </w:r>
      <w:r w:rsidR="00A265A2" w:rsidRPr="00FD0501">
        <w:rPr>
          <w:i/>
          <w:iCs/>
        </w:rPr>
        <w:instrText xml:space="preserve"> REF _Ref166489168 \r \h </w:instrText>
      </w:r>
      <w:r w:rsidR="00A265A2" w:rsidRPr="00FD0501">
        <w:rPr>
          <w:i/>
          <w:iCs/>
        </w:rPr>
      </w:r>
      <w:r w:rsidR="00A265A2" w:rsidRPr="00FD0501">
        <w:rPr>
          <w:i/>
          <w:iCs/>
        </w:rPr>
        <w:fldChar w:fldCharType="separate"/>
      </w:r>
      <w:r w:rsidR="00A265A2" w:rsidRPr="00FD0501">
        <w:rPr>
          <w:i/>
          <w:iCs/>
        </w:rPr>
        <w:t>[30]</w:t>
      </w:r>
      <w:r w:rsidR="00A265A2" w:rsidRPr="00FD0501">
        <w:rPr>
          <w:i/>
          <w:iCs/>
        </w:rPr>
        <w:fldChar w:fldCharType="end"/>
      </w:r>
      <w:r w:rsidR="00A265A2" w:rsidRPr="00FD0501">
        <w:rPr>
          <w:i/>
          <w:iCs/>
        </w:rPr>
        <w:t xml:space="preserve">, </w:t>
      </w:r>
      <w:r w:rsidR="00A265A2" w:rsidRPr="00FD0501">
        <w:rPr>
          <w:i/>
          <w:iCs/>
        </w:rPr>
        <w:fldChar w:fldCharType="begin"/>
      </w:r>
      <w:r w:rsidR="00A265A2" w:rsidRPr="00FD0501">
        <w:rPr>
          <w:i/>
          <w:iCs/>
        </w:rPr>
        <w:instrText xml:space="preserve"> REF _Ref166489170 \r \h </w:instrText>
      </w:r>
      <w:r w:rsidR="00A265A2" w:rsidRPr="00FD0501">
        <w:rPr>
          <w:i/>
          <w:iCs/>
        </w:rPr>
      </w:r>
      <w:r w:rsidR="00A265A2" w:rsidRPr="00FD0501">
        <w:rPr>
          <w:i/>
          <w:iCs/>
        </w:rPr>
        <w:fldChar w:fldCharType="separate"/>
      </w:r>
      <w:r w:rsidR="00A265A2" w:rsidRPr="00FD0501">
        <w:rPr>
          <w:i/>
          <w:iCs/>
        </w:rPr>
        <w:t>[31]</w:t>
      </w:r>
      <w:r w:rsidR="00A265A2" w:rsidRPr="00FD0501">
        <w:rPr>
          <w:i/>
          <w:iCs/>
        </w:rPr>
        <w:fldChar w:fldCharType="end"/>
      </w:r>
      <w:r w:rsidR="00A265A2" w:rsidRPr="00FD0501">
        <w:rPr>
          <w:i/>
          <w:iCs/>
        </w:rPr>
        <w:t xml:space="preserve">, </w:t>
      </w:r>
      <w:r w:rsidR="00A265A2" w:rsidRPr="00FD0501">
        <w:rPr>
          <w:i/>
          <w:iCs/>
        </w:rPr>
        <w:fldChar w:fldCharType="begin"/>
      </w:r>
      <w:r w:rsidR="00A265A2" w:rsidRPr="00FD0501">
        <w:rPr>
          <w:i/>
          <w:iCs/>
        </w:rPr>
        <w:instrText xml:space="preserve"> REF _Ref166487993 \r \h </w:instrText>
      </w:r>
      <w:r w:rsidR="00A265A2" w:rsidRPr="00FD0501">
        <w:rPr>
          <w:i/>
          <w:iCs/>
        </w:rPr>
      </w:r>
      <w:r w:rsidR="00A265A2" w:rsidRPr="00FD0501">
        <w:rPr>
          <w:i/>
          <w:iCs/>
        </w:rPr>
        <w:fldChar w:fldCharType="separate"/>
      </w:r>
      <w:r w:rsidR="00A265A2" w:rsidRPr="00FD0501">
        <w:rPr>
          <w:i/>
          <w:iCs/>
        </w:rPr>
        <w:t>[6]</w:t>
      </w:r>
      <w:r w:rsidR="00A265A2" w:rsidRPr="00FD0501">
        <w:rPr>
          <w:i/>
          <w:iCs/>
        </w:rPr>
        <w:fldChar w:fldCharType="end"/>
      </w:r>
      <w:r w:rsidR="00A265A2" w:rsidRPr="00FD0501">
        <w:rPr>
          <w:i/>
          <w:iCs/>
        </w:rPr>
        <w:t xml:space="preserve">, </w:t>
      </w:r>
      <w:r w:rsidR="0022333E">
        <w:rPr>
          <w:i/>
          <w:iCs/>
        </w:rPr>
        <w:t>and</w:t>
      </w:r>
      <w:r w:rsidR="00A265A2" w:rsidRPr="00FD0501">
        <w:rPr>
          <w:i/>
          <w:iCs/>
        </w:rPr>
        <w:t xml:space="preserve"> </w:t>
      </w:r>
      <w:r w:rsidR="00A265A2" w:rsidRPr="00FD0501">
        <w:rPr>
          <w:i/>
          <w:iCs/>
        </w:rPr>
        <w:fldChar w:fldCharType="begin"/>
      </w:r>
      <w:r w:rsidR="00A265A2" w:rsidRPr="00FD0501">
        <w:rPr>
          <w:i/>
          <w:iCs/>
        </w:rPr>
        <w:instrText xml:space="preserve"> REF _Ref166487426 \r \h </w:instrText>
      </w:r>
      <w:r w:rsidR="00A265A2" w:rsidRPr="00FD0501">
        <w:rPr>
          <w:i/>
          <w:iCs/>
        </w:rPr>
      </w:r>
      <w:r w:rsidR="00A265A2" w:rsidRPr="00FD0501">
        <w:rPr>
          <w:i/>
          <w:iCs/>
        </w:rPr>
        <w:fldChar w:fldCharType="separate"/>
      </w:r>
      <w:r w:rsidR="00A265A2" w:rsidRPr="00FD0501">
        <w:rPr>
          <w:i/>
          <w:iCs/>
        </w:rPr>
        <w:t>[1]</w:t>
      </w:r>
      <w:r w:rsidR="00A265A2" w:rsidRPr="00FD0501">
        <w:rPr>
          <w:i/>
          <w:iCs/>
        </w:rPr>
        <w:fldChar w:fldCharType="end"/>
      </w:r>
      <w:r w:rsidR="00E6449C" w:rsidRPr="00FD0501">
        <w:rPr>
          <w:i/>
          <w:iCs/>
        </w:rPr>
        <w:t>)</w:t>
      </w:r>
    </w:p>
    <w:p w14:paraId="74CD1556" w14:textId="4B52CB1E" w:rsidR="00E25B68" w:rsidRPr="00FD0501" w:rsidRDefault="005C78EC" w:rsidP="0026525A">
      <w:pPr>
        <w:pStyle w:val="Heading2"/>
        <w:numPr>
          <w:ilvl w:val="1"/>
          <w:numId w:val="10"/>
        </w:numPr>
        <w:rPr>
          <w:lang w:val="en-US"/>
        </w:rPr>
      </w:pPr>
      <w:r w:rsidRPr="00FD0501">
        <w:rPr>
          <w:lang w:val="en-US"/>
        </w:rPr>
        <w:t>SECURITY VULNERABILITY ASSESSMENT OF THE SITE</w:t>
      </w:r>
      <w:r w:rsidR="00915C3C">
        <w:rPr>
          <w:lang w:val="en-US"/>
        </w:rPr>
        <w:t>’</w:t>
      </w:r>
      <w:r w:rsidRPr="00FD0501">
        <w:rPr>
          <w:lang w:val="en-US"/>
        </w:rPr>
        <w:t>S NATURAL AND ARTIFICIAL FEATURES DURING THE SITING PHASE</w:t>
      </w:r>
    </w:p>
    <w:p w14:paraId="5AABC0A5" w14:textId="210FFF43" w:rsidR="0085356D" w:rsidRPr="00FD0501" w:rsidRDefault="0085356D" w:rsidP="0085356D">
      <w:pPr>
        <w:pStyle w:val="BodyText"/>
        <w:rPr>
          <w:lang w:val="en-US"/>
        </w:rPr>
      </w:pPr>
      <w:r w:rsidRPr="00FD0501">
        <w:rPr>
          <w:lang w:val="en-US"/>
        </w:rPr>
        <w:t>Natural features such as the topology, seismic activity, geology, meteorology, and the area</w:t>
      </w:r>
      <w:r w:rsidR="00DF5AED">
        <w:rPr>
          <w:lang w:val="en-US"/>
        </w:rPr>
        <w:t>’</w:t>
      </w:r>
      <w:r w:rsidRPr="00FD0501">
        <w:rPr>
          <w:lang w:val="en-US"/>
        </w:rPr>
        <w:t>s hydrology may impact the site</w:t>
      </w:r>
      <w:r w:rsidR="00DF5AED">
        <w:rPr>
          <w:lang w:val="en-US"/>
        </w:rPr>
        <w:t>’</w:t>
      </w:r>
      <w:r w:rsidRPr="00FD0501">
        <w:rPr>
          <w:lang w:val="en-US"/>
        </w:rPr>
        <w:t xml:space="preserve">s vulnerability to security threats. Security vulnerability due to features such as mountain ranges, waterways, and local and national borders with </w:t>
      </w:r>
      <w:r w:rsidR="00A517FB" w:rsidRPr="00FD0501">
        <w:rPr>
          <w:lang w:val="en-US"/>
        </w:rPr>
        <w:t>neighbors</w:t>
      </w:r>
      <w:r w:rsidRPr="00FD0501">
        <w:rPr>
          <w:lang w:val="en-US"/>
        </w:rPr>
        <w:t xml:space="preserve"> who are politically unstable or are known adversaries should be assessed along with the safety assessment of such features. Other features to consider during the site security vulnerability assessment include the proximity of the site to agencies that will be needed to provide response capabilities to the site in case of a security incident or events</w:t>
      </w:r>
      <w:r w:rsidR="00F769F1">
        <w:rPr>
          <w:lang w:val="en-US"/>
        </w:rPr>
        <w:t>;</w:t>
      </w:r>
      <w:r w:rsidRPr="00FD0501">
        <w:rPr>
          <w:lang w:val="en-US"/>
        </w:rPr>
        <w:t xml:space="preserve"> proximity to infrastructure</w:t>
      </w:r>
      <w:r w:rsidR="001F005F">
        <w:rPr>
          <w:lang w:val="en-US"/>
        </w:rPr>
        <w:t>,</w:t>
      </w:r>
      <w:r w:rsidRPr="00FD0501">
        <w:rPr>
          <w:lang w:val="en-US"/>
        </w:rPr>
        <w:t xml:space="preserve"> such as existing hazardous material facilit</w:t>
      </w:r>
      <w:r w:rsidR="001F78C9">
        <w:rPr>
          <w:lang w:val="en-US"/>
        </w:rPr>
        <w:t>ies</w:t>
      </w:r>
      <w:r w:rsidRPr="00FD0501">
        <w:rPr>
          <w:lang w:val="en-US"/>
        </w:rPr>
        <w:t>, existing high-security facilit</w:t>
      </w:r>
      <w:r w:rsidR="001F78C9">
        <w:rPr>
          <w:lang w:val="en-US"/>
        </w:rPr>
        <w:t>ies</w:t>
      </w:r>
      <w:r w:rsidRPr="00FD0501">
        <w:rPr>
          <w:lang w:val="en-US"/>
        </w:rPr>
        <w:t>, airport and air routes, road and rail networks</w:t>
      </w:r>
      <w:r w:rsidR="001F005F">
        <w:rPr>
          <w:lang w:val="en-US"/>
        </w:rPr>
        <w:t>;</w:t>
      </w:r>
      <w:r w:rsidRPr="00FD0501">
        <w:rPr>
          <w:lang w:val="en-US"/>
        </w:rPr>
        <w:t xml:space="preserve"> and the source of</w:t>
      </w:r>
      <w:r w:rsidR="00D12D05">
        <w:rPr>
          <w:lang w:val="en-US"/>
        </w:rPr>
        <w:t xml:space="preserve"> the pool of</w:t>
      </w:r>
      <w:r w:rsidRPr="00FD0501">
        <w:rPr>
          <w:lang w:val="en-US"/>
        </w:rPr>
        <w:t xml:space="preserve"> trained personnel required to work at the nuclear facility.</w:t>
      </w:r>
    </w:p>
    <w:p w14:paraId="07AF24B1" w14:textId="6A0BA3C1" w:rsidR="0085356D" w:rsidRPr="00FD0501" w:rsidRDefault="0085356D" w:rsidP="0085356D">
      <w:pPr>
        <w:pStyle w:val="BodyText"/>
        <w:rPr>
          <w:lang w:val="en-US"/>
        </w:rPr>
      </w:pPr>
      <w:r w:rsidRPr="00FD0501">
        <w:rPr>
          <w:lang w:val="en-US"/>
        </w:rPr>
        <w:t xml:space="preserve">As shown in </w:t>
      </w:r>
      <w:r w:rsidR="009B6D66" w:rsidRPr="00FD0501">
        <w:rPr>
          <w:lang w:val="en-US"/>
        </w:rPr>
        <w:fldChar w:fldCharType="begin"/>
      </w:r>
      <w:r w:rsidR="009B6D66" w:rsidRPr="00FD0501">
        <w:rPr>
          <w:lang w:val="en-US"/>
        </w:rPr>
        <w:instrText xml:space="preserve"> REF _Ref166489284 \h  \* MERGEFORMAT </w:instrText>
      </w:r>
      <w:r w:rsidR="009B6D66" w:rsidRPr="00FD0501">
        <w:rPr>
          <w:lang w:val="en-US"/>
        </w:rPr>
      </w:r>
      <w:r w:rsidR="009B6D66" w:rsidRPr="00FD0501">
        <w:rPr>
          <w:lang w:val="en-US"/>
        </w:rPr>
        <w:fldChar w:fldCharType="separate"/>
      </w:r>
      <w:r w:rsidR="00591C20">
        <w:rPr>
          <w:lang w:val="en-US"/>
        </w:rPr>
        <w:t>F</w:t>
      </w:r>
      <w:r w:rsidR="00591C20" w:rsidRPr="00FD0501">
        <w:rPr>
          <w:lang w:val="en-US"/>
        </w:rPr>
        <w:t>ig</w:t>
      </w:r>
      <w:r w:rsidR="009B6D66" w:rsidRPr="00FD0501">
        <w:rPr>
          <w:lang w:val="en-US"/>
        </w:rPr>
        <w:t>. 1</w:t>
      </w:r>
      <w:r w:rsidR="009B6D66" w:rsidRPr="00FD0501">
        <w:rPr>
          <w:lang w:val="en-US"/>
        </w:rPr>
        <w:fldChar w:fldCharType="end"/>
      </w:r>
      <w:r w:rsidR="00D054C5">
        <w:rPr>
          <w:lang w:val="en-US"/>
        </w:rPr>
        <w:t>—</w:t>
      </w:r>
      <w:r w:rsidRPr="00FD0501">
        <w:rPr>
          <w:lang w:val="en-US"/>
        </w:rPr>
        <w:t xml:space="preserve">which </w:t>
      </w:r>
      <w:r w:rsidR="00D054C5">
        <w:rPr>
          <w:lang w:val="en-US"/>
        </w:rPr>
        <w:t>lists</w:t>
      </w:r>
      <w:r w:rsidR="00D054C5" w:rsidRPr="00FD0501">
        <w:rPr>
          <w:lang w:val="en-US"/>
        </w:rPr>
        <w:t xml:space="preserve"> </w:t>
      </w:r>
      <w:r w:rsidRPr="00FD0501">
        <w:rPr>
          <w:lang w:val="en-US"/>
        </w:rPr>
        <w:t>some of the safety</w:t>
      </w:r>
      <w:r w:rsidR="001949E9">
        <w:rPr>
          <w:lang w:val="en-US"/>
        </w:rPr>
        <w:t>-</w:t>
      </w:r>
      <w:r w:rsidRPr="00FD0501">
        <w:rPr>
          <w:lang w:val="en-US"/>
        </w:rPr>
        <w:t xml:space="preserve"> and security-related assessments that should be conducted during the lifetime of a nuclear facility</w:t>
      </w:r>
      <w:r w:rsidR="00D054C5">
        <w:rPr>
          <w:lang w:val="en-US"/>
        </w:rPr>
        <w:t>—</w:t>
      </w:r>
      <w:r w:rsidRPr="00FD0501">
        <w:rPr>
          <w:lang w:val="en-US"/>
        </w:rPr>
        <w:t>it was not clear, to the best of our knowledge, that a framework exists for assessing a site security vulnerability during the siting phase. This paper examines this as a gap in the site security vulnerability assessment framework during the siting of a potential nuclear reactor facility.</w:t>
      </w:r>
    </w:p>
    <w:p w14:paraId="51CD2FE0" w14:textId="77777777" w:rsidR="00A36543" w:rsidRPr="00FD0501" w:rsidRDefault="00A36543" w:rsidP="00A36543">
      <w:pPr>
        <w:pStyle w:val="BodyText"/>
        <w:ind w:firstLine="0"/>
        <w:rPr>
          <w:lang w:val="en-US"/>
        </w:rPr>
      </w:pPr>
    </w:p>
    <w:p w14:paraId="25C3541A" w14:textId="5B96220A" w:rsidR="00A36543" w:rsidRPr="00FD0501" w:rsidRDefault="00A36543" w:rsidP="00BA47B4">
      <w:pPr>
        <w:pStyle w:val="Heading3"/>
        <w:rPr>
          <w:lang w:val="en-US"/>
        </w:rPr>
      </w:pPr>
      <w:r w:rsidRPr="00FD0501">
        <w:rPr>
          <w:lang w:val="en-US"/>
        </w:rPr>
        <w:t xml:space="preserve">Gaps in </w:t>
      </w:r>
      <w:r w:rsidR="00BA47B4" w:rsidRPr="00FD0501">
        <w:rPr>
          <w:lang w:val="en-US"/>
        </w:rPr>
        <w:t>the</w:t>
      </w:r>
      <w:r w:rsidRPr="00FD0501">
        <w:rPr>
          <w:lang w:val="en-US"/>
        </w:rPr>
        <w:t xml:space="preserve"> framework </w:t>
      </w:r>
      <w:r w:rsidR="00BA47B4" w:rsidRPr="00FD0501">
        <w:rPr>
          <w:lang w:val="en-US"/>
        </w:rPr>
        <w:t>for</w:t>
      </w:r>
      <w:r w:rsidRPr="00FD0501">
        <w:rPr>
          <w:lang w:val="en-US"/>
        </w:rPr>
        <w:t xml:space="preserve"> security vulnerability assessment of nuclear facilit</w:t>
      </w:r>
      <w:r w:rsidR="000F535D">
        <w:rPr>
          <w:lang w:val="en-US"/>
        </w:rPr>
        <w:t>ies</w:t>
      </w:r>
      <w:r w:rsidRPr="00FD0501">
        <w:rPr>
          <w:lang w:val="en-US"/>
        </w:rPr>
        <w:t xml:space="preserve"> during the siting phase</w:t>
      </w:r>
    </w:p>
    <w:p w14:paraId="6BF4C5F0" w14:textId="7CA2E0AB" w:rsidR="00141E54" w:rsidRPr="00FD0501" w:rsidRDefault="00141E54" w:rsidP="00141E54">
      <w:pPr>
        <w:pStyle w:val="BodyText"/>
        <w:rPr>
          <w:lang w:val="en-US"/>
        </w:rPr>
      </w:pPr>
      <w:r w:rsidRPr="00FD0501">
        <w:rPr>
          <w:lang w:val="en-US"/>
        </w:rPr>
        <w:t>The nuclear security measures recommended as part of the essential elements of a State</w:t>
      </w:r>
      <w:r w:rsidR="00752B73">
        <w:rPr>
          <w:lang w:val="en-US"/>
        </w:rPr>
        <w:t>’</w:t>
      </w:r>
      <w:r w:rsidRPr="00FD0501">
        <w:rPr>
          <w:lang w:val="en-US"/>
        </w:rPr>
        <w:t xml:space="preserve">s nuclear security regime in </w:t>
      </w:r>
      <w:r w:rsidR="0097792A" w:rsidRPr="00FD0501">
        <w:rPr>
          <w:lang w:val="en-US"/>
        </w:rPr>
        <w:fldChar w:fldCharType="begin"/>
      </w:r>
      <w:r w:rsidR="0097792A" w:rsidRPr="00FD0501">
        <w:rPr>
          <w:lang w:val="en-US"/>
        </w:rPr>
        <w:instrText xml:space="preserve"> REF _Ref166487901 \r \h </w:instrText>
      </w:r>
      <w:r w:rsidR="0097792A" w:rsidRPr="00FD0501">
        <w:rPr>
          <w:lang w:val="en-US"/>
        </w:rPr>
      </w:r>
      <w:r w:rsidR="0097792A" w:rsidRPr="00FD0501">
        <w:rPr>
          <w:lang w:val="en-US"/>
        </w:rPr>
        <w:fldChar w:fldCharType="separate"/>
      </w:r>
      <w:r w:rsidR="0097792A" w:rsidRPr="00FD0501">
        <w:rPr>
          <w:lang w:val="en-US"/>
        </w:rPr>
        <w:t>[2]</w:t>
      </w:r>
      <w:r w:rsidR="0097792A" w:rsidRPr="00FD0501">
        <w:rPr>
          <w:lang w:val="en-US"/>
        </w:rPr>
        <w:fldChar w:fldCharType="end"/>
      </w:r>
      <w:r w:rsidR="003D43DA" w:rsidRPr="00FD0501">
        <w:rPr>
          <w:lang w:val="en-US"/>
        </w:rPr>
        <w:t xml:space="preserve">, </w:t>
      </w:r>
      <w:r w:rsidR="0097792A" w:rsidRPr="00FD0501">
        <w:rPr>
          <w:lang w:val="en-US"/>
        </w:rPr>
        <w:fldChar w:fldCharType="begin"/>
      </w:r>
      <w:r w:rsidR="0097792A" w:rsidRPr="00FD0501">
        <w:rPr>
          <w:lang w:val="en-US"/>
        </w:rPr>
        <w:instrText xml:space="preserve"> REF _Ref166487919 \r \h </w:instrText>
      </w:r>
      <w:r w:rsidR="0097792A" w:rsidRPr="00FD0501">
        <w:rPr>
          <w:lang w:val="en-US"/>
        </w:rPr>
      </w:r>
      <w:r w:rsidR="0097792A" w:rsidRPr="00FD0501">
        <w:rPr>
          <w:lang w:val="en-US"/>
        </w:rPr>
        <w:fldChar w:fldCharType="separate"/>
      </w:r>
      <w:r w:rsidR="0097792A" w:rsidRPr="00FD0501">
        <w:rPr>
          <w:lang w:val="en-US"/>
        </w:rPr>
        <w:t>[3]</w:t>
      </w:r>
      <w:r w:rsidR="0097792A" w:rsidRPr="00FD0501">
        <w:rPr>
          <w:lang w:val="en-US"/>
        </w:rPr>
        <w:fldChar w:fldCharType="end"/>
      </w:r>
      <w:r w:rsidR="0097792A" w:rsidRPr="00FD0501">
        <w:rPr>
          <w:lang w:val="en-US"/>
        </w:rPr>
        <w:t>,</w:t>
      </w:r>
      <w:r w:rsidR="0070194A">
        <w:rPr>
          <w:lang w:val="en-US"/>
        </w:rPr>
        <w:t xml:space="preserve"> and</w:t>
      </w:r>
      <w:r w:rsidR="0097792A" w:rsidRPr="00FD0501">
        <w:rPr>
          <w:lang w:val="en-US"/>
        </w:rPr>
        <w:t xml:space="preserve"> </w:t>
      </w:r>
      <w:r w:rsidR="0097792A" w:rsidRPr="00FD0501">
        <w:rPr>
          <w:lang w:val="en-US"/>
        </w:rPr>
        <w:fldChar w:fldCharType="begin"/>
      </w:r>
      <w:r w:rsidR="0097792A" w:rsidRPr="00FD0501">
        <w:rPr>
          <w:lang w:val="en-US"/>
        </w:rPr>
        <w:instrText xml:space="preserve"> REF _Ref166487922 \r \h </w:instrText>
      </w:r>
      <w:r w:rsidR="0097792A" w:rsidRPr="00FD0501">
        <w:rPr>
          <w:lang w:val="en-US"/>
        </w:rPr>
      </w:r>
      <w:r w:rsidR="0097792A" w:rsidRPr="00FD0501">
        <w:rPr>
          <w:lang w:val="en-US"/>
        </w:rPr>
        <w:fldChar w:fldCharType="separate"/>
      </w:r>
      <w:r w:rsidR="0097792A" w:rsidRPr="00FD0501">
        <w:rPr>
          <w:lang w:val="en-US"/>
        </w:rPr>
        <w:t>[4]</w:t>
      </w:r>
      <w:r w:rsidR="0097792A" w:rsidRPr="00FD0501">
        <w:rPr>
          <w:lang w:val="en-US"/>
        </w:rPr>
        <w:fldChar w:fldCharType="end"/>
      </w:r>
      <w:r w:rsidRPr="00FD0501">
        <w:rPr>
          <w:lang w:val="en-US"/>
        </w:rPr>
        <w:t xml:space="preserve"> are focused primarily on security during the operation phase of a nuclear facility. Despite the IAEA recommendation </w:t>
      </w:r>
      <w:r w:rsidR="001D5F49">
        <w:rPr>
          <w:lang w:val="en-US"/>
        </w:rPr>
        <w:t>in</w:t>
      </w:r>
      <w:r w:rsidR="001D5F49" w:rsidRPr="00FD0501">
        <w:rPr>
          <w:lang w:val="en-US"/>
        </w:rPr>
        <w:t xml:space="preserve"> </w:t>
      </w:r>
      <w:r w:rsidR="001D5F49" w:rsidRPr="00FD0501">
        <w:rPr>
          <w:lang w:val="en-US"/>
        </w:rPr>
        <w:fldChar w:fldCharType="begin"/>
      </w:r>
      <w:r w:rsidR="001D5F49" w:rsidRPr="00FD0501">
        <w:rPr>
          <w:lang w:val="en-US"/>
        </w:rPr>
        <w:instrText xml:space="preserve"> REF _Ref166487426 \r \h </w:instrText>
      </w:r>
      <w:r w:rsidR="001D5F49" w:rsidRPr="00FD0501">
        <w:rPr>
          <w:lang w:val="en-US"/>
        </w:rPr>
      </w:r>
      <w:r w:rsidR="001D5F49" w:rsidRPr="00FD0501">
        <w:rPr>
          <w:lang w:val="en-US"/>
        </w:rPr>
        <w:fldChar w:fldCharType="separate"/>
      </w:r>
      <w:r w:rsidR="001D5F49" w:rsidRPr="00FD0501">
        <w:rPr>
          <w:lang w:val="en-US"/>
        </w:rPr>
        <w:t>[1]</w:t>
      </w:r>
      <w:r w:rsidR="001D5F49" w:rsidRPr="00FD0501">
        <w:rPr>
          <w:lang w:val="en-US"/>
        </w:rPr>
        <w:fldChar w:fldCharType="end"/>
      </w:r>
      <w:r w:rsidR="001D5F49">
        <w:rPr>
          <w:lang w:val="en-US"/>
        </w:rPr>
        <w:t xml:space="preserve"> </w:t>
      </w:r>
      <w:r w:rsidRPr="00FD0501">
        <w:rPr>
          <w:lang w:val="en-US"/>
        </w:rPr>
        <w:t xml:space="preserve">that </w:t>
      </w:r>
      <w:r w:rsidR="000B0A51">
        <w:rPr>
          <w:lang w:val="en-US"/>
        </w:rPr>
        <w:t>“</w:t>
      </w:r>
      <w:r w:rsidRPr="00FD0501">
        <w:rPr>
          <w:lang w:val="en-US"/>
        </w:rPr>
        <w:t>nuclear security considerations should be evaluated alongside safety and other considerations</w:t>
      </w:r>
      <w:r w:rsidR="000B0A51">
        <w:rPr>
          <w:lang w:val="en-US"/>
        </w:rPr>
        <w:t>”</w:t>
      </w:r>
      <w:r w:rsidRPr="00FD0501">
        <w:rPr>
          <w:lang w:val="en-US"/>
        </w:rPr>
        <w:t xml:space="preserve"> during the siting process, such security assessments are often delayed past the siting phase</w:t>
      </w:r>
      <w:r w:rsidR="00EF0D44">
        <w:rPr>
          <w:lang w:val="en-US"/>
        </w:rPr>
        <w:t>;</w:t>
      </w:r>
      <w:r w:rsidRPr="00FD0501">
        <w:rPr>
          <w:lang w:val="en-US"/>
        </w:rPr>
        <w:t xml:space="preserve"> </w:t>
      </w:r>
      <w:r w:rsidR="00EF0D44">
        <w:rPr>
          <w:lang w:val="en-US"/>
        </w:rPr>
        <w:t xml:space="preserve">rather, </w:t>
      </w:r>
      <w:r w:rsidR="00EF0D44">
        <w:rPr>
          <w:i/>
          <w:iCs/>
          <w:lang w:val="en-US"/>
        </w:rPr>
        <w:t>safety</w:t>
      </w:r>
      <w:r w:rsidR="00EF0D44" w:rsidRPr="00FD0501">
        <w:rPr>
          <w:lang w:val="en-US"/>
        </w:rPr>
        <w:t xml:space="preserve"> </w:t>
      </w:r>
      <w:r w:rsidRPr="00FD0501">
        <w:rPr>
          <w:lang w:val="en-US"/>
        </w:rPr>
        <w:t xml:space="preserve">assessment is often the focus during the siting phase. Site safety assessments, as required by the IAEA in </w:t>
      </w:r>
      <w:r w:rsidR="00DC2DAF" w:rsidRPr="00FD0501">
        <w:rPr>
          <w:lang w:val="en-US"/>
        </w:rPr>
        <w:fldChar w:fldCharType="begin"/>
      </w:r>
      <w:r w:rsidR="00DC2DAF" w:rsidRPr="00FD0501">
        <w:rPr>
          <w:lang w:val="en-US"/>
        </w:rPr>
        <w:instrText xml:space="preserve"> REF _Ref166487981 \r \h </w:instrText>
      </w:r>
      <w:r w:rsidR="00DC2DAF" w:rsidRPr="00FD0501">
        <w:rPr>
          <w:lang w:val="en-US"/>
        </w:rPr>
      </w:r>
      <w:r w:rsidR="00DC2DAF" w:rsidRPr="00FD0501">
        <w:rPr>
          <w:lang w:val="en-US"/>
        </w:rPr>
        <w:fldChar w:fldCharType="separate"/>
      </w:r>
      <w:r w:rsidR="00DC2DAF" w:rsidRPr="00FD0501">
        <w:rPr>
          <w:lang w:val="en-US"/>
        </w:rPr>
        <w:t>[5]</w:t>
      </w:r>
      <w:r w:rsidR="00DC2DAF" w:rsidRPr="00FD0501">
        <w:rPr>
          <w:lang w:val="en-US"/>
        </w:rPr>
        <w:fldChar w:fldCharType="end"/>
      </w:r>
      <w:r w:rsidRPr="00FD0501">
        <w:rPr>
          <w:lang w:val="en-US"/>
        </w:rPr>
        <w:t xml:space="preserve">, are designed to help ensure the protection of people and the environment from the harmful effects of ionizing radiation. This goal, though important, is different from the nuclear security goal of preventing malicious actors from stealing nuclear material or sabotaging a nuclear facility or nuclear material. The guide </w:t>
      </w:r>
      <w:r w:rsidR="00DC2DAF" w:rsidRPr="00FD0501">
        <w:rPr>
          <w:lang w:val="en-US"/>
        </w:rPr>
        <w:fldChar w:fldCharType="begin"/>
      </w:r>
      <w:r w:rsidR="00DC2DAF" w:rsidRPr="00FD0501">
        <w:rPr>
          <w:lang w:val="en-US"/>
        </w:rPr>
        <w:instrText xml:space="preserve"> REF _Ref166487993 \r \h </w:instrText>
      </w:r>
      <w:r w:rsidR="00DC2DAF" w:rsidRPr="00FD0501">
        <w:rPr>
          <w:lang w:val="en-US"/>
        </w:rPr>
      </w:r>
      <w:r w:rsidR="00DC2DAF" w:rsidRPr="00FD0501">
        <w:rPr>
          <w:lang w:val="en-US"/>
        </w:rPr>
        <w:fldChar w:fldCharType="separate"/>
      </w:r>
      <w:r w:rsidR="00DC2DAF" w:rsidRPr="00FD0501">
        <w:rPr>
          <w:lang w:val="en-US"/>
        </w:rPr>
        <w:t>[6]</w:t>
      </w:r>
      <w:r w:rsidR="00DC2DAF" w:rsidRPr="00FD0501">
        <w:rPr>
          <w:lang w:val="en-US"/>
        </w:rPr>
        <w:fldChar w:fldCharType="end"/>
      </w:r>
      <w:r w:rsidRPr="00FD0501">
        <w:rPr>
          <w:lang w:val="en-US"/>
        </w:rPr>
        <w:t xml:space="preserve"> developed to assist member States in the implementation of the recommendations provided in </w:t>
      </w:r>
      <w:r w:rsidR="00DC2DAF" w:rsidRPr="00FD0501">
        <w:rPr>
          <w:lang w:val="en-US"/>
        </w:rPr>
        <w:fldChar w:fldCharType="begin"/>
      </w:r>
      <w:r w:rsidR="00DC2DAF" w:rsidRPr="00FD0501">
        <w:rPr>
          <w:lang w:val="en-US"/>
        </w:rPr>
        <w:instrText xml:space="preserve"> REF _Ref166487981 \r \h </w:instrText>
      </w:r>
      <w:r w:rsidR="00DC2DAF" w:rsidRPr="00FD0501">
        <w:rPr>
          <w:lang w:val="en-US"/>
        </w:rPr>
      </w:r>
      <w:r w:rsidR="00DC2DAF" w:rsidRPr="00FD0501">
        <w:rPr>
          <w:lang w:val="en-US"/>
        </w:rPr>
        <w:fldChar w:fldCharType="separate"/>
      </w:r>
      <w:r w:rsidR="00DC2DAF" w:rsidRPr="00FD0501">
        <w:rPr>
          <w:lang w:val="en-US"/>
        </w:rPr>
        <w:t>[5]</w:t>
      </w:r>
      <w:r w:rsidR="00DC2DAF" w:rsidRPr="00FD0501">
        <w:rPr>
          <w:lang w:val="en-US"/>
        </w:rPr>
        <w:fldChar w:fldCharType="end"/>
      </w:r>
      <w:r w:rsidRPr="00FD0501">
        <w:rPr>
          <w:lang w:val="en-US"/>
        </w:rPr>
        <w:t xml:space="preserve"> </w:t>
      </w:r>
      <w:r w:rsidR="0029456A">
        <w:rPr>
          <w:lang w:val="en-US"/>
        </w:rPr>
        <w:t>does</w:t>
      </w:r>
      <w:r w:rsidR="0029456A" w:rsidRPr="00FD0501">
        <w:rPr>
          <w:lang w:val="en-US"/>
        </w:rPr>
        <w:t xml:space="preserve"> </w:t>
      </w:r>
      <w:r w:rsidRPr="00FD0501">
        <w:rPr>
          <w:lang w:val="en-US"/>
        </w:rPr>
        <w:t>not provide a framework for evaluating a potential site</w:t>
      </w:r>
      <w:r w:rsidR="00F04957">
        <w:rPr>
          <w:lang w:val="en-US"/>
        </w:rPr>
        <w:t>’s</w:t>
      </w:r>
      <w:r w:rsidRPr="00FD0501">
        <w:rPr>
          <w:lang w:val="en-US"/>
        </w:rPr>
        <w:t xml:space="preserve"> security vulnerability; it </w:t>
      </w:r>
      <w:r w:rsidR="008438E0">
        <w:rPr>
          <w:lang w:val="en-US"/>
        </w:rPr>
        <w:t xml:space="preserve">is </w:t>
      </w:r>
      <w:r w:rsidRPr="00FD0501">
        <w:rPr>
          <w:lang w:val="en-US"/>
        </w:rPr>
        <w:t xml:space="preserve">suggested in </w:t>
      </w:r>
      <w:r w:rsidR="00C46FEF">
        <w:rPr>
          <w:lang w:val="en-US"/>
        </w:rPr>
        <w:t>S</w:t>
      </w:r>
      <w:r w:rsidRPr="00FD0501">
        <w:rPr>
          <w:lang w:val="en-US"/>
        </w:rPr>
        <w:t>ection 4.8</w:t>
      </w:r>
      <w:r w:rsidR="00135436">
        <w:rPr>
          <w:lang w:val="en-US"/>
        </w:rPr>
        <w:t xml:space="preserve"> of the aforementioned document</w:t>
      </w:r>
      <w:r w:rsidRPr="00FD0501">
        <w:rPr>
          <w:lang w:val="en-US"/>
        </w:rPr>
        <w:t xml:space="preserve"> that nuclear security aspects of the site should be considered using the IAEA</w:t>
      </w:r>
      <w:r w:rsidR="00192F0D">
        <w:rPr>
          <w:lang w:val="en-US"/>
        </w:rPr>
        <w:t>’</w:t>
      </w:r>
      <w:r w:rsidRPr="00FD0501">
        <w:rPr>
          <w:lang w:val="en-US"/>
        </w:rPr>
        <w:t xml:space="preserve">s nuclear security series. The concept of a </w:t>
      </w:r>
      <w:r w:rsidRPr="00403407">
        <w:rPr>
          <w:i/>
          <w:iCs/>
          <w:lang w:val="en-US"/>
        </w:rPr>
        <w:t>site</w:t>
      </w:r>
      <w:r w:rsidRPr="00FD0501">
        <w:rPr>
          <w:lang w:val="en-US"/>
        </w:rPr>
        <w:t>, as used by IAEA in the nuclear security series, usually implies existing nuclear facilities</w:t>
      </w:r>
      <w:r w:rsidR="007A7F5D">
        <w:rPr>
          <w:lang w:val="en-US"/>
        </w:rPr>
        <w:t>;</w:t>
      </w:r>
      <w:r w:rsidRPr="00FD0501">
        <w:rPr>
          <w:lang w:val="en-US"/>
        </w:rPr>
        <w:t xml:space="preserve"> designation</w:t>
      </w:r>
      <w:r w:rsidR="007A7F5D">
        <w:rPr>
          <w:lang w:val="en-US"/>
        </w:rPr>
        <w:t>s</w:t>
      </w:r>
      <w:r w:rsidRPr="00FD0501">
        <w:rPr>
          <w:lang w:val="en-US"/>
        </w:rPr>
        <w:t xml:space="preserve"> such as </w:t>
      </w:r>
      <w:r w:rsidRPr="00403407">
        <w:rPr>
          <w:i/>
          <w:iCs/>
          <w:lang w:val="en-US"/>
        </w:rPr>
        <w:t>candidate site</w:t>
      </w:r>
      <w:r w:rsidRPr="00FD0501">
        <w:rPr>
          <w:lang w:val="en-US"/>
        </w:rPr>
        <w:t xml:space="preserve">, </w:t>
      </w:r>
      <w:r w:rsidRPr="00403407">
        <w:rPr>
          <w:i/>
          <w:iCs/>
          <w:lang w:val="en-US"/>
        </w:rPr>
        <w:t>potential site</w:t>
      </w:r>
      <w:r w:rsidRPr="00FD0501">
        <w:rPr>
          <w:lang w:val="en-US"/>
        </w:rPr>
        <w:t xml:space="preserve">, and </w:t>
      </w:r>
      <w:r w:rsidRPr="00403407">
        <w:rPr>
          <w:i/>
          <w:iCs/>
          <w:lang w:val="en-US"/>
        </w:rPr>
        <w:t>selected site</w:t>
      </w:r>
      <w:r w:rsidRPr="00FD0501">
        <w:rPr>
          <w:lang w:val="en-US"/>
        </w:rPr>
        <w:t xml:space="preserve"> are generally used to represent a green or gr</w:t>
      </w:r>
      <w:r w:rsidR="00CE5875">
        <w:rPr>
          <w:lang w:val="en-US"/>
        </w:rPr>
        <w:t>a</w:t>
      </w:r>
      <w:r w:rsidRPr="00FD0501">
        <w:rPr>
          <w:lang w:val="en-US"/>
        </w:rPr>
        <w:t xml:space="preserve">y site that is being considered as a new location for a nuclear facility. </w:t>
      </w:r>
    </w:p>
    <w:p w14:paraId="4180FA69" w14:textId="505E666C" w:rsidR="00141E54" w:rsidRPr="00FD0501" w:rsidRDefault="00583FFB" w:rsidP="00141E54">
      <w:pPr>
        <w:pStyle w:val="BodyText"/>
        <w:rPr>
          <w:lang w:val="en-US"/>
        </w:rPr>
      </w:pPr>
      <w:r w:rsidRPr="00FD0501">
        <w:rPr>
          <w:lang w:val="en-US"/>
        </w:rPr>
        <w:lastRenderedPageBreak/>
        <w:t>A</w:t>
      </w:r>
      <w:r w:rsidR="00141E54" w:rsidRPr="00FD0501">
        <w:rPr>
          <w:lang w:val="en-US"/>
        </w:rPr>
        <w:t xml:space="preserve"> review of the nuclear facility siting-related nuclear security series revealed that there exists guidance in some of the IAEA publications shown in </w:t>
      </w:r>
      <w:r w:rsidR="00537B59" w:rsidRPr="00FD0501">
        <w:rPr>
          <w:lang w:val="en-US"/>
        </w:rPr>
        <w:fldChar w:fldCharType="begin"/>
      </w:r>
      <w:r w:rsidR="00537B59" w:rsidRPr="00FD0501">
        <w:rPr>
          <w:lang w:val="en-US"/>
        </w:rPr>
        <w:instrText xml:space="preserve"> REF _Ref166489337 \h  \* MERGEFORMAT </w:instrText>
      </w:r>
      <w:r w:rsidR="00537B59" w:rsidRPr="00FD0501">
        <w:rPr>
          <w:lang w:val="en-US"/>
        </w:rPr>
      </w:r>
      <w:r w:rsidR="00537B59" w:rsidRPr="00FD0501">
        <w:rPr>
          <w:lang w:val="en-US"/>
        </w:rPr>
        <w:fldChar w:fldCharType="separate"/>
      </w:r>
      <w:r w:rsidR="00CE61EB">
        <w:rPr>
          <w:lang w:val="en-US"/>
        </w:rPr>
        <w:t>F</w:t>
      </w:r>
      <w:r w:rsidR="00CE61EB" w:rsidRPr="00FD0501">
        <w:rPr>
          <w:lang w:val="en-US"/>
        </w:rPr>
        <w:t>ig</w:t>
      </w:r>
      <w:r w:rsidR="00537B59" w:rsidRPr="00FD0501">
        <w:rPr>
          <w:lang w:val="en-US"/>
        </w:rPr>
        <w:t>. 2</w:t>
      </w:r>
      <w:r w:rsidR="00537B59" w:rsidRPr="00FD0501">
        <w:rPr>
          <w:lang w:val="en-US"/>
        </w:rPr>
        <w:fldChar w:fldCharType="end"/>
      </w:r>
      <w:r w:rsidR="002412F6">
        <w:rPr>
          <w:lang w:val="en-US"/>
        </w:rPr>
        <w:t xml:space="preserve"> with respect to</w:t>
      </w:r>
      <w:r w:rsidR="00141E54" w:rsidRPr="00FD0501">
        <w:rPr>
          <w:lang w:val="en-US"/>
        </w:rPr>
        <w:t xml:space="preserve"> on-site security requirements, assessments, and implementation for the lifetime of a nuclear facility; the focus of such instruments was on phases after the siting phase. On the other hand, safety assessment requirements and implementation </w:t>
      </w:r>
      <w:r w:rsidR="002E0CD7" w:rsidRPr="00FD0501">
        <w:rPr>
          <w:lang w:val="en-US"/>
        </w:rPr>
        <w:fldChar w:fldCharType="begin"/>
      </w:r>
      <w:r w:rsidR="002E0CD7" w:rsidRPr="00FD0501">
        <w:rPr>
          <w:lang w:val="en-US"/>
        </w:rPr>
        <w:instrText xml:space="preserve"> REF _Ref166487981 \r \h </w:instrText>
      </w:r>
      <w:r w:rsidR="002E0CD7" w:rsidRPr="00FD0501">
        <w:rPr>
          <w:lang w:val="en-US"/>
        </w:rPr>
      </w:r>
      <w:r w:rsidR="002E0CD7" w:rsidRPr="00FD0501">
        <w:rPr>
          <w:lang w:val="en-US"/>
        </w:rPr>
        <w:fldChar w:fldCharType="separate"/>
      </w:r>
      <w:r w:rsidR="002E0CD7" w:rsidRPr="00FD0501">
        <w:rPr>
          <w:lang w:val="en-US"/>
        </w:rPr>
        <w:t>[5]</w:t>
      </w:r>
      <w:r w:rsidR="002E0CD7" w:rsidRPr="00FD0501">
        <w:rPr>
          <w:lang w:val="en-US"/>
        </w:rPr>
        <w:fldChar w:fldCharType="end"/>
      </w:r>
      <w:r w:rsidR="002E0CD7" w:rsidRPr="00FD0501">
        <w:rPr>
          <w:lang w:val="en-US"/>
        </w:rPr>
        <w:t xml:space="preserve">, </w:t>
      </w:r>
      <w:r w:rsidR="002E0CD7" w:rsidRPr="00FD0501">
        <w:rPr>
          <w:lang w:val="en-US"/>
        </w:rPr>
        <w:fldChar w:fldCharType="begin"/>
      </w:r>
      <w:r w:rsidR="002E0CD7" w:rsidRPr="00FD0501">
        <w:rPr>
          <w:lang w:val="en-US"/>
        </w:rPr>
        <w:instrText xml:space="preserve"> REF _Ref166487993 \r \h </w:instrText>
      </w:r>
      <w:r w:rsidR="002E0CD7" w:rsidRPr="00FD0501">
        <w:rPr>
          <w:lang w:val="en-US"/>
        </w:rPr>
      </w:r>
      <w:r w:rsidR="002E0CD7" w:rsidRPr="00FD0501">
        <w:rPr>
          <w:lang w:val="en-US"/>
        </w:rPr>
        <w:fldChar w:fldCharType="separate"/>
      </w:r>
      <w:r w:rsidR="002E0CD7" w:rsidRPr="00FD0501">
        <w:rPr>
          <w:lang w:val="en-US"/>
        </w:rPr>
        <w:t>[6]</w:t>
      </w:r>
      <w:r w:rsidR="002E0CD7" w:rsidRPr="00FD0501">
        <w:rPr>
          <w:lang w:val="en-US"/>
        </w:rPr>
        <w:fldChar w:fldCharType="end"/>
      </w:r>
      <w:r w:rsidR="00141E54" w:rsidRPr="00FD0501">
        <w:rPr>
          <w:lang w:val="en-US"/>
        </w:rPr>
        <w:t xml:space="preserve"> span all the phases of the nuclear facility</w:t>
      </w:r>
      <w:r w:rsidR="006C6294">
        <w:rPr>
          <w:lang w:val="en-US"/>
        </w:rPr>
        <w:t>’</w:t>
      </w:r>
      <w:r w:rsidR="00141E54" w:rsidRPr="00FD0501">
        <w:rPr>
          <w:lang w:val="en-US"/>
        </w:rPr>
        <w:t xml:space="preserve">s lifetime.  </w:t>
      </w:r>
    </w:p>
    <w:p w14:paraId="78928E71" w14:textId="39DF6DF8" w:rsidR="000C56F9" w:rsidRDefault="00BD52BC" w:rsidP="00141E54">
      <w:pPr>
        <w:pStyle w:val="BodyText"/>
        <w:rPr>
          <w:lang w:val="en-US"/>
        </w:rPr>
      </w:pPr>
      <w:r>
        <w:rPr>
          <w:noProof/>
          <w:lang w:val="en-US"/>
        </w:rPr>
        <w:drawing>
          <wp:anchor distT="0" distB="0" distL="114300" distR="114300" simplePos="0" relativeHeight="251658241" behindDoc="0" locked="0" layoutInCell="1" allowOverlap="1" wp14:anchorId="605E2EE3" wp14:editId="5FA853E9">
            <wp:simplePos x="0" y="0"/>
            <wp:positionH relativeFrom="column">
              <wp:posOffset>99060</wp:posOffset>
            </wp:positionH>
            <wp:positionV relativeFrom="paragraph">
              <wp:posOffset>165735</wp:posOffset>
            </wp:positionV>
            <wp:extent cx="5615305" cy="332232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3322320"/>
                    </a:xfrm>
                    <a:prstGeom prst="rect">
                      <a:avLst/>
                    </a:prstGeom>
                    <a:noFill/>
                  </pic:spPr>
                </pic:pic>
              </a:graphicData>
            </a:graphic>
            <wp14:sizeRelH relativeFrom="margin">
              <wp14:pctWidth>0</wp14:pctWidth>
            </wp14:sizeRelH>
            <wp14:sizeRelV relativeFrom="margin">
              <wp14:pctHeight>0</wp14:pctHeight>
            </wp14:sizeRelV>
          </wp:anchor>
        </w:drawing>
      </w:r>
    </w:p>
    <w:p w14:paraId="3074E103" w14:textId="4540EAE8" w:rsidR="00141E54" w:rsidRPr="00FD0501" w:rsidRDefault="00C2174C" w:rsidP="00C2174C">
      <w:pPr>
        <w:pStyle w:val="Caption"/>
        <w:ind w:firstLine="567"/>
        <w:rPr>
          <w:i/>
          <w:iCs/>
        </w:rPr>
      </w:pPr>
      <w:bookmarkStart w:id="2" w:name="_Ref166489337"/>
      <w:r w:rsidRPr="00FD0501">
        <w:rPr>
          <w:i/>
          <w:iCs/>
        </w:rPr>
        <w:t xml:space="preserve">FIG. </w:t>
      </w:r>
      <w:r w:rsidRPr="00FD0501">
        <w:rPr>
          <w:i/>
          <w:iCs/>
        </w:rPr>
        <w:fldChar w:fldCharType="begin"/>
      </w:r>
      <w:r w:rsidRPr="00FD0501">
        <w:rPr>
          <w:i/>
          <w:iCs/>
        </w:rPr>
        <w:instrText xml:space="preserve"> SEQ FIG. \* ARABIC </w:instrText>
      </w:r>
      <w:r w:rsidRPr="00FD0501">
        <w:rPr>
          <w:i/>
          <w:iCs/>
        </w:rPr>
        <w:fldChar w:fldCharType="separate"/>
      </w:r>
      <w:r w:rsidRPr="00FD0501">
        <w:rPr>
          <w:i/>
          <w:iCs/>
        </w:rPr>
        <w:t>2</w:t>
      </w:r>
      <w:r w:rsidRPr="00FD0501">
        <w:rPr>
          <w:i/>
          <w:iCs/>
        </w:rPr>
        <w:fldChar w:fldCharType="end"/>
      </w:r>
      <w:bookmarkEnd w:id="2"/>
      <w:r w:rsidR="00CA005E" w:rsidRPr="00FD0501">
        <w:rPr>
          <w:i/>
          <w:iCs/>
        </w:rPr>
        <w:t>.</w:t>
      </w:r>
      <w:r w:rsidR="00141E54" w:rsidRPr="00FD0501">
        <w:rPr>
          <w:i/>
          <w:iCs/>
        </w:rPr>
        <w:t xml:space="preserve"> </w:t>
      </w:r>
      <w:r w:rsidR="003D07DC" w:rsidRPr="00FD0501">
        <w:rPr>
          <w:i/>
          <w:iCs/>
        </w:rPr>
        <w:t xml:space="preserve">Some </w:t>
      </w:r>
      <w:r w:rsidR="00141E54" w:rsidRPr="00FD0501">
        <w:rPr>
          <w:i/>
          <w:iCs/>
        </w:rPr>
        <w:t xml:space="preserve">IAEA Nuclear Security Series relevant to </w:t>
      </w:r>
      <w:r w:rsidR="002602C9" w:rsidRPr="00FD0501">
        <w:rPr>
          <w:i/>
          <w:iCs/>
        </w:rPr>
        <w:t xml:space="preserve">nuclear facility siting </w:t>
      </w:r>
      <w:r w:rsidR="0000603F" w:rsidRPr="00FD0501">
        <w:rPr>
          <w:i/>
          <w:iCs/>
        </w:rPr>
        <w:t>(created by the authors)</w:t>
      </w:r>
      <w:r w:rsidR="007D5B33" w:rsidRPr="00FD0501">
        <w:rPr>
          <w:i/>
          <w:iCs/>
        </w:rPr>
        <w:t>.</w:t>
      </w:r>
    </w:p>
    <w:p w14:paraId="5AE1A525" w14:textId="21033C1C" w:rsidR="00141E54" w:rsidRPr="00FD0501" w:rsidRDefault="00141E54" w:rsidP="00141E54">
      <w:pPr>
        <w:pStyle w:val="BodyText"/>
        <w:rPr>
          <w:lang w:val="en-US"/>
        </w:rPr>
      </w:pPr>
    </w:p>
    <w:p w14:paraId="1C3A6C21" w14:textId="2821D3CD" w:rsidR="00141E54" w:rsidRPr="00FD0501" w:rsidRDefault="00141E54" w:rsidP="00141E54">
      <w:pPr>
        <w:pStyle w:val="BodyText"/>
        <w:rPr>
          <w:lang w:val="en-US"/>
        </w:rPr>
      </w:pPr>
      <w:r w:rsidRPr="00FD0501">
        <w:rPr>
          <w:lang w:val="en-US"/>
        </w:rPr>
        <w:t>In the</w:t>
      </w:r>
      <w:r w:rsidR="00F36083">
        <w:rPr>
          <w:lang w:val="en-US"/>
        </w:rPr>
        <w:t xml:space="preserve"> United States</w:t>
      </w:r>
      <w:r w:rsidRPr="00FD0501">
        <w:rPr>
          <w:lang w:val="en-US"/>
        </w:rPr>
        <w:t xml:space="preserve">, an applicant for an early site permit for a nuclear facility is required, according to </w:t>
      </w:r>
      <w:r w:rsidR="00A55B88">
        <w:rPr>
          <w:lang w:val="en-US"/>
        </w:rPr>
        <w:t>S</w:t>
      </w:r>
      <w:r w:rsidRPr="00FD0501">
        <w:rPr>
          <w:lang w:val="en-US"/>
        </w:rPr>
        <w:t xml:space="preserve">ection 13.6.3 of </w:t>
      </w:r>
      <w:r w:rsidR="00B628EE" w:rsidRPr="00FD0501">
        <w:rPr>
          <w:lang w:val="en-US"/>
        </w:rPr>
        <w:fldChar w:fldCharType="begin"/>
      </w:r>
      <w:r w:rsidR="00B628EE" w:rsidRPr="00FD0501">
        <w:rPr>
          <w:lang w:val="en-US"/>
        </w:rPr>
        <w:instrText xml:space="preserve"> REF _Ref166488134 \r \h </w:instrText>
      </w:r>
      <w:r w:rsidR="00B628EE" w:rsidRPr="00FD0501">
        <w:rPr>
          <w:lang w:val="en-US"/>
        </w:rPr>
      </w:r>
      <w:r w:rsidR="00B628EE" w:rsidRPr="00FD0501">
        <w:rPr>
          <w:lang w:val="en-US"/>
        </w:rPr>
        <w:fldChar w:fldCharType="separate"/>
      </w:r>
      <w:r w:rsidR="00B628EE" w:rsidRPr="00FD0501">
        <w:rPr>
          <w:lang w:val="en-US"/>
        </w:rPr>
        <w:t>[7]</w:t>
      </w:r>
      <w:r w:rsidR="00B628EE" w:rsidRPr="00FD0501">
        <w:rPr>
          <w:lang w:val="en-US"/>
        </w:rPr>
        <w:fldChar w:fldCharType="end"/>
      </w:r>
      <w:r w:rsidRPr="00FD0501">
        <w:rPr>
          <w:lang w:val="en-US"/>
        </w:rPr>
        <w:t>, to provide information demonstrating that adequate security plans and measures can be put in place to address the selected site</w:t>
      </w:r>
      <w:r w:rsidR="00401A07">
        <w:rPr>
          <w:lang w:val="en-US"/>
        </w:rPr>
        <w:t>’</w:t>
      </w:r>
      <w:r w:rsidRPr="00FD0501">
        <w:rPr>
          <w:lang w:val="en-US"/>
        </w:rPr>
        <w:t xml:space="preserve">s natural and artificial features before an early site permit license can be granted. This NUREG did not specify how such features should </w:t>
      </w:r>
      <w:r w:rsidR="00401A07">
        <w:rPr>
          <w:lang w:val="en-US"/>
        </w:rPr>
        <w:t xml:space="preserve">be </w:t>
      </w:r>
      <w:r w:rsidRPr="00FD0501">
        <w:rPr>
          <w:lang w:val="en-US"/>
        </w:rPr>
        <w:t>evaluated to determine their security impact.</w:t>
      </w:r>
    </w:p>
    <w:p w14:paraId="0852E60A" w14:textId="147EECB0" w:rsidR="00141E54" w:rsidRPr="00FD0501" w:rsidRDefault="00FA479F" w:rsidP="00141E54">
      <w:pPr>
        <w:pStyle w:val="BodyText"/>
        <w:rPr>
          <w:lang w:val="en-US"/>
        </w:rPr>
      </w:pPr>
      <w:r w:rsidRPr="00FD0501">
        <w:rPr>
          <w:lang w:val="en-US"/>
        </w:rPr>
        <w:t>N</w:t>
      </w:r>
      <w:r w:rsidR="00141E54" w:rsidRPr="00FD0501">
        <w:rPr>
          <w:lang w:val="en-US"/>
        </w:rPr>
        <w:t xml:space="preserve">uclear reactor siting activities </w:t>
      </w:r>
      <w:r w:rsidR="00080204" w:rsidRPr="00FD0501">
        <w:rPr>
          <w:lang w:val="en-US"/>
        </w:rPr>
        <w:t xml:space="preserve">are </w:t>
      </w:r>
      <w:r w:rsidR="00BC1ACF">
        <w:rPr>
          <w:lang w:val="en-US"/>
        </w:rPr>
        <w:t>governed</w:t>
      </w:r>
      <w:r w:rsidR="00BC1ACF" w:rsidRPr="00FD0501">
        <w:rPr>
          <w:lang w:val="en-US"/>
        </w:rPr>
        <w:t xml:space="preserve"> </w:t>
      </w:r>
      <w:r w:rsidR="00080204" w:rsidRPr="00FD0501">
        <w:rPr>
          <w:lang w:val="en-US"/>
        </w:rPr>
        <w:t xml:space="preserve">by legal instruments </w:t>
      </w:r>
      <w:r w:rsidR="000C5953" w:rsidRPr="00FD0501">
        <w:rPr>
          <w:lang w:val="en-US"/>
        </w:rPr>
        <w:t xml:space="preserve">of </w:t>
      </w:r>
      <w:r w:rsidR="00080204" w:rsidRPr="00FD0501">
        <w:rPr>
          <w:lang w:val="en-US"/>
        </w:rPr>
        <w:t>the country</w:t>
      </w:r>
      <w:r w:rsidR="000C5953" w:rsidRPr="00FD0501">
        <w:rPr>
          <w:lang w:val="en-US"/>
        </w:rPr>
        <w:t xml:space="preserve"> in which the site is located</w:t>
      </w:r>
      <w:r w:rsidR="003E14FD">
        <w:rPr>
          <w:lang w:val="en-US"/>
        </w:rPr>
        <w:t>:</w:t>
      </w:r>
      <w:r w:rsidR="000C5953" w:rsidRPr="00FD0501">
        <w:rPr>
          <w:lang w:val="en-US"/>
        </w:rPr>
        <w:t xml:space="preserve"> for example</w:t>
      </w:r>
      <w:r w:rsidR="003E14FD">
        <w:rPr>
          <w:lang w:val="en-US"/>
        </w:rPr>
        <w:t>,</w:t>
      </w:r>
      <w:r w:rsidR="000C5953" w:rsidRPr="00FD0501">
        <w:rPr>
          <w:lang w:val="en-US"/>
        </w:rPr>
        <w:t xml:space="preserve"> </w:t>
      </w:r>
      <w:r w:rsidR="00752D91" w:rsidRPr="00FD0501">
        <w:rPr>
          <w:lang w:val="en-US"/>
        </w:rPr>
        <w:t xml:space="preserve">in the </w:t>
      </w:r>
      <w:r w:rsidR="003E14FD">
        <w:rPr>
          <w:lang w:val="en-US"/>
        </w:rPr>
        <w:t>United States</w:t>
      </w:r>
      <w:r w:rsidR="00752D91" w:rsidRPr="00FD0501">
        <w:rPr>
          <w:lang w:val="en-US"/>
        </w:rPr>
        <w:t xml:space="preserve">, </w:t>
      </w:r>
      <w:r w:rsidR="00100DD6" w:rsidRPr="00FD0501">
        <w:rPr>
          <w:lang w:val="en-US"/>
        </w:rPr>
        <w:t xml:space="preserve">siting activities </w:t>
      </w:r>
      <w:r w:rsidR="00141E54" w:rsidRPr="00FD0501">
        <w:rPr>
          <w:lang w:val="en-US"/>
        </w:rPr>
        <w:t xml:space="preserve">are governed by the provisions in regulations such as 10 CFR 100 </w:t>
      </w:r>
      <w:r w:rsidR="00B628EE" w:rsidRPr="00FD0501">
        <w:rPr>
          <w:lang w:val="en-US"/>
        </w:rPr>
        <w:fldChar w:fldCharType="begin"/>
      </w:r>
      <w:r w:rsidR="00B628EE" w:rsidRPr="00FD0501">
        <w:rPr>
          <w:lang w:val="en-US"/>
        </w:rPr>
        <w:instrText xml:space="preserve"> REF _Ref166488161 \r \h </w:instrText>
      </w:r>
      <w:r w:rsidR="00B628EE" w:rsidRPr="00FD0501">
        <w:rPr>
          <w:lang w:val="en-US"/>
        </w:rPr>
      </w:r>
      <w:r w:rsidR="00B628EE" w:rsidRPr="00FD0501">
        <w:rPr>
          <w:lang w:val="en-US"/>
        </w:rPr>
        <w:fldChar w:fldCharType="separate"/>
      </w:r>
      <w:r w:rsidR="00B628EE" w:rsidRPr="00FD0501">
        <w:rPr>
          <w:lang w:val="en-US"/>
        </w:rPr>
        <w:t>[8]</w:t>
      </w:r>
      <w:r w:rsidR="00B628EE" w:rsidRPr="00FD0501">
        <w:rPr>
          <w:lang w:val="en-US"/>
        </w:rPr>
        <w:fldChar w:fldCharType="end"/>
      </w:r>
      <w:r w:rsidR="00141E54" w:rsidRPr="00FD0501">
        <w:rPr>
          <w:lang w:val="en-US"/>
        </w:rPr>
        <w:t xml:space="preserve"> and Regulatory Guide (R.G.) 4.7 </w:t>
      </w:r>
      <w:r w:rsidR="005531DA" w:rsidRPr="00FD0501">
        <w:rPr>
          <w:lang w:val="en-US"/>
        </w:rPr>
        <w:fldChar w:fldCharType="begin"/>
      </w:r>
      <w:r w:rsidR="005531DA" w:rsidRPr="00FD0501">
        <w:rPr>
          <w:lang w:val="en-US"/>
        </w:rPr>
        <w:instrText xml:space="preserve"> REF _Ref166488180 \r \h </w:instrText>
      </w:r>
      <w:r w:rsidR="005531DA" w:rsidRPr="00FD0501">
        <w:rPr>
          <w:lang w:val="en-US"/>
        </w:rPr>
      </w:r>
      <w:r w:rsidR="005531DA" w:rsidRPr="00FD0501">
        <w:rPr>
          <w:lang w:val="en-US"/>
        </w:rPr>
        <w:fldChar w:fldCharType="separate"/>
      </w:r>
      <w:r w:rsidR="005531DA" w:rsidRPr="00FD0501">
        <w:rPr>
          <w:lang w:val="en-US"/>
        </w:rPr>
        <w:t>[9]</w:t>
      </w:r>
      <w:r w:rsidR="005531DA" w:rsidRPr="00FD0501">
        <w:rPr>
          <w:lang w:val="en-US"/>
        </w:rPr>
        <w:fldChar w:fldCharType="end"/>
      </w:r>
      <w:r w:rsidR="00141E54" w:rsidRPr="00FD0501">
        <w:rPr>
          <w:lang w:val="en-US"/>
        </w:rPr>
        <w:t xml:space="preserve">. In 10 CFR 100, the focus of the regulatory requirements is on nuclear safety, which aims to ensure that radiological dose from normal and postulated accidents </w:t>
      </w:r>
      <w:r w:rsidR="00555596">
        <w:rPr>
          <w:lang w:val="en-US"/>
        </w:rPr>
        <w:t>are</w:t>
      </w:r>
      <w:r w:rsidR="00141E54" w:rsidRPr="00FD0501">
        <w:rPr>
          <w:lang w:val="en-US"/>
        </w:rPr>
        <w:t xml:space="preserve"> acceptably low to people and the environment. This safety-focused goal is different from the nuclear security focus of preventing unauthorized access to nuclear materials and sabotage of nuclear facilities. According to the U.S. Nuclear Regulatory Commission (NRC) in RG</w:t>
      </w:r>
      <w:r w:rsidR="001959E1">
        <w:rPr>
          <w:lang w:val="en-US"/>
        </w:rPr>
        <w:t xml:space="preserve"> </w:t>
      </w:r>
      <w:r w:rsidR="00141E54" w:rsidRPr="00FD0501">
        <w:rPr>
          <w:lang w:val="en-US"/>
        </w:rPr>
        <w:t>4.7, the suitability of a potential nuclear reactor site is principally determined by the outcome of the site safety consideration, which includes the characterization of the site, site-specific design basis of external events and the examination of emergency management plans, and the environmental considerations; the assessment is focused on the impact of both radiological and non-radiological event</w:t>
      </w:r>
      <w:r w:rsidR="0074534D">
        <w:rPr>
          <w:lang w:val="en-US"/>
        </w:rPr>
        <w:t>s</w:t>
      </w:r>
      <w:r w:rsidR="00141E54" w:rsidRPr="00FD0501">
        <w:rPr>
          <w:lang w:val="en-US"/>
        </w:rPr>
        <w:t xml:space="preserve"> on the environment and the public. These site-suitability determining factors are safety-focused, and one </w:t>
      </w:r>
      <w:r w:rsidR="00501393">
        <w:rPr>
          <w:lang w:val="en-US"/>
        </w:rPr>
        <w:t>could</w:t>
      </w:r>
      <w:r w:rsidR="00501393" w:rsidRPr="00FD0501">
        <w:rPr>
          <w:lang w:val="en-US"/>
        </w:rPr>
        <w:t xml:space="preserve"> </w:t>
      </w:r>
      <w:r w:rsidR="00141E54" w:rsidRPr="00FD0501">
        <w:rPr>
          <w:lang w:val="en-US"/>
        </w:rPr>
        <w:t xml:space="preserve">argue that security consideration </w:t>
      </w:r>
      <w:r w:rsidR="002454AD">
        <w:rPr>
          <w:lang w:val="en-US"/>
        </w:rPr>
        <w:t>must</w:t>
      </w:r>
      <w:r w:rsidR="00141E54" w:rsidRPr="00FD0501">
        <w:rPr>
          <w:lang w:val="en-US"/>
        </w:rPr>
        <w:t xml:space="preserve"> be part of the site-suitability determinants. In </w:t>
      </w:r>
      <w:r w:rsidR="00CE4496">
        <w:rPr>
          <w:lang w:val="en-US"/>
        </w:rPr>
        <w:t>RG</w:t>
      </w:r>
      <w:r w:rsidR="00141E54" w:rsidRPr="00FD0501">
        <w:rPr>
          <w:lang w:val="en-US"/>
        </w:rPr>
        <w:t xml:space="preserve"> 4.2 </w:t>
      </w:r>
      <w:r w:rsidR="00100DD6" w:rsidRPr="00FD0501">
        <w:rPr>
          <w:lang w:val="en-US"/>
        </w:rPr>
        <w:fldChar w:fldCharType="begin"/>
      </w:r>
      <w:r w:rsidR="00100DD6" w:rsidRPr="00FD0501">
        <w:rPr>
          <w:lang w:val="en-US"/>
        </w:rPr>
        <w:instrText xml:space="preserve"> REF _Ref166488330 \r \h </w:instrText>
      </w:r>
      <w:r w:rsidR="00100DD6" w:rsidRPr="00FD0501">
        <w:rPr>
          <w:lang w:val="en-US"/>
        </w:rPr>
      </w:r>
      <w:r w:rsidR="00100DD6" w:rsidRPr="00FD0501">
        <w:rPr>
          <w:lang w:val="en-US"/>
        </w:rPr>
        <w:fldChar w:fldCharType="separate"/>
      </w:r>
      <w:r w:rsidR="00100DD6" w:rsidRPr="00FD0501">
        <w:rPr>
          <w:lang w:val="en-US"/>
        </w:rPr>
        <w:t>[10]</w:t>
      </w:r>
      <w:r w:rsidR="00100DD6" w:rsidRPr="00FD0501">
        <w:rPr>
          <w:lang w:val="en-US"/>
        </w:rPr>
        <w:fldChar w:fldCharType="end"/>
      </w:r>
      <w:r w:rsidR="00E54932">
        <w:rPr>
          <w:lang w:val="en-US"/>
        </w:rPr>
        <w:t xml:space="preserve">, </w:t>
      </w:r>
      <w:r w:rsidR="004F28C8">
        <w:rPr>
          <w:lang w:val="en-US"/>
        </w:rPr>
        <w:t>S</w:t>
      </w:r>
      <w:r w:rsidR="00141E54" w:rsidRPr="00FD0501">
        <w:rPr>
          <w:lang w:val="en-US"/>
        </w:rPr>
        <w:t>ection 9.3.2, the NRC provide</w:t>
      </w:r>
      <w:r w:rsidR="008E59BC">
        <w:rPr>
          <w:lang w:val="en-US"/>
        </w:rPr>
        <w:t>s</w:t>
      </w:r>
      <w:r w:rsidR="00141E54" w:rsidRPr="00FD0501">
        <w:rPr>
          <w:lang w:val="en-US"/>
        </w:rPr>
        <w:t xml:space="preserve"> a list of reasons why a potential reactor site may not be suitable as a nuclear power site. This list can be used with the provisions in </w:t>
      </w:r>
      <w:r w:rsidR="003B3054">
        <w:rPr>
          <w:lang w:val="en-US"/>
        </w:rPr>
        <w:t>S</w:t>
      </w:r>
      <w:r w:rsidR="00141E54" w:rsidRPr="00FD0501">
        <w:rPr>
          <w:lang w:val="en-US"/>
        </w:rPr>
        <w:t xml:space="preserve">ection 13.6.3 </w:t>
      </w:r>
      <w:r w:rsidR="00100DD6" w:rsidRPr="00FD0501">
        <w:rPr>
          <w:lang w:val="en-US"/>
        </w:rPr>
        <w:fldChar w:fldCharType="begin"/>
      </w:r>
      <w:r w:rsidR="00100DD6" w:rsidRPr="00FD0501">
        <w:rPr>
          <w:lang w:val="en-US"/>
        </w:rPr>
        <w:instrText xml:space="preserve"> REF _Ref166488134 \r \h </w:instrText>
      </w:r>
      <w:r w:rsidR="00100DD6" w:rsidRPr="00FD0501">
        <w:rPr>
          <w:lang w:val="en-US"/>
        </w:rPr>
      </w:r>
      <w:r w:rsidR="00100DD6" w:rsidRPr="00FD0501">
        <w:rPr>
          <w:lang w:val="en-US"/>
        </w:rPr>
        <w:fldChar w:fldCharType="separate"/>
      </w:r>
      <w:r w:rsidR="00100DD6" w:rsidRPr="00FD0501">
        <w:rPr>
          <w:lang w:val="en-US"/>
        </w:rPr>
        <w:t>[7]</w:t>
      </w:r>
      <w:r w:rsidR="00100DD6" w:rsidRPr="00FD0501">
        <w:rPr>
          <w:lang w:val="en-US"/>
        </w:rPr>
        <w:fldChar w:fldCharType="end"/>
      </w:r>
      <w:r w:rsidR="00141E54" w:rsidRPr="00FD0501">
        <w:rPr>
          <w:lang w:val="en-US"/>
        </w:rPr>
        <w:t xml:space="preserve"> to develop a siting security vulnerability assessment framework. </w:t>
      </w:r>
    </w:p>
    <w:p w14:paraId="6F4FBC03" w14:textId="3744F766" w:rsidR="00141E54" w:rsidRPr="00FD0501" w:rsidRDefault="00141E54" w:rsidP="00141E54">
      <w:pPr>
        <w:pStyle w:val="BodyText"/>
        <w:rPr>
          <w:lang w:val="en-US"/>
        </w:rPr>
      </w:pPr>
      <w:r w:rsidRPr="00FD0501">
        <w:rPr>
          <w:lang w:val="en-US"/>
        </w:rPr>
        <w:t>The NRC has two security assessment</w:t>
      </w:r>
      <w:r w:rsidR="00461B25">
        <w:rPr>
          <w:lang w:val="en-US"/>
        </w:rPr>
        <w:t>–</w:t>
      </w:r>
      <w:r w:rsidRPr="00FD0501">
        <w:rPr>
          <w:lang w:val="en-US"/>
        </w:rPr>
        <w:t>specific guidance</w:t>
      </w:r>
      <w:r w:rsidR="002F4C3A">
        <w:rPr>
          <w:lang w:val="en-US"/>
        </w:rPr>
        <w:t xml:space="preserve"> documents</w:t>
      </w:r>
      <w:r w:rsidRPr="00FD0501">
        <w:rPr>
          <w:lang w:val="en-US"/>
        </w:rPr>
        <w:t xml:space="preserve">: NUREG/CR-7145 </w:t>
      </w:r>
      <w:r w:rsidR="00100DD6" w:rsidRPr="00FD0501">
        <w:rPr>
          <w:lang w:val="en-US"/>
        </w:rPr>
        <w:fldChar w:fldCharType="begin"/>
      </w:r>
      <w:r w:rsidR="00100DD6" w:rsidRPr="00FD0501">
        <w:rPr>
          <w:lang w:val="en-US"/>
        </w:rPr>
        <w:instrText xml:space="preserve"> REF _Ref166488356 \r \h </w:instrText>
      </w:r>
      <w:r w:rsidR="00100DD6" w:rsidRPr="00FD0501">
        <w:rPr>
          <w:lang w:val="en-US"/>
        </w:rPr>
      </w:r>
      <w:r w:rsidR="00100DD6" w:rsidRPr="00FD0501">
        <w:rPr>
          <w:lang w:val="en-US"/>
        </w:rPr>
        <w:fldChar w:fldCharType="separate"/>
      </w:r>
      <w:r w:rsidR="00100DD6" w:rsidRPr="00FD0501">
        <w:rPr>
          <w:lang w:val="en-US"/>
        </w:rPr>
        <w:t>[11]</w:t>
      </w:r>
      <w:r w:rsidR="00100DD6" w:rsidRPr="00FD0501">
        <w:rPr>
          <w:lang w:val="en-US"/>
        </w:rPr>
        <w:fldChar w:fldCharType="end"/>
      </w:r>
      <w:r w:rsidRPr="00FD0501">
        <w:rPr>
          <w:lang w:val="en-US"/>
        </w:rPr>
        <w:t xml:space="preserve"> and NUREG/CR-1345 </w:t>
      </w:r>
      <w:r w:rsidR="00100DD6" w:rsidRPr="00FD0501">
        <w:rPr>
          <w:lang w:val="en-US"/>
        </w:rPr>
        <w:fldChar w:fldCharType="begin"/>
      </w:r>
      <w:r w:rsidR="00100DD6" w:rsidRPr="00FD0501">
        <w:rPr>
          <w:lang w:val="en-US"/>
        </w:rPr>
        <w:instrText xml:space="preserve"> REF _Ref166488371 \r \h </w:instrText>
      </w:r>
      <w:r w:rsidR="00100DD6" w:rsidRPr="00FD0501">
        <w:rPr>
          <w:lang w:val="en-US"/>
        </w:rPr>
      </w:r>
      <w:r w:rsidR="00100DD6" w:rsidRPr="00FD0501">
        <w:rPr>
          <w:lang w:val="en-US"/>
        </w:rPr>
        <w:fldChar w:fldCharType="separate"/>
      </w:r>
      <w:r w:rsidR="00100DD6" w:rsidRPr="00FD0501">
        <w:rPr>
          <w:lang w:val="en-US"/>
        </w:rPr>
        <w:t>[12]</w:t>
      </w:r>
      <w:r w:rsidR="00100DD6" w:rsidRPr="00FD0501">
        <w:rPr>
          <w:lang w:val="en-US"/>
        </w:rPr>
        <w:fldChar w:fldCharType="end"/>
      </w:r>
      <w:r w:rsidRPr="00FD0501">
        <w:rPr>
          <w:lang w:val="en-US"/>
        </w:rPr>
        <w:t xml:space="preserve">. In both, the NRC description of facility characterization </w:t>
      </w:r>
      <w:r w:rsidR="00CF07BC">
        <w:rPr>
          <w:lang w:val="en-US"/>
        </w:rPr>
        <w:t>begins</w:t>
      </w:r>
      <w:r w:rsidR="00CF07BC" w:rsidRPr="00FD0501">
        <w:rPr>
          <w:lang w:val="en-US"/>
        </w:rPr>
        <w:t xml:space="preserve"> </w:t>
      </w:r>
      <w:r w:rsidRPr="00FD0501">
        <w:rPr>
          <w:lang w:val="en-US"/>
        </w:rPr>
        <w:t>at the plant site</w:t>
      </w:r>
      <w:r w:rsidR="00302310">
        <w:rPr>
          <w:lang w:val="en-US"/>
        </w:rPr>
        <w:t>’s</w:t>
      </w:r>
      <w:r w:rsidRPr="00FD0501">
        <w:rPr>
          <w:lang w:val="en-US"/>
        </w:rPr>
        <w:t xml:space="preserve"> boundary as defined in the reactor technology power plant</w:t>
      </w:r>
      <w:r w:rsidR="000030EE">
        <w:rPr>
          <w:lang w:val="en-US"/>
        </w:rPr>
        <w:t>’</w:t>
      </w:r>
      <w:r w:rsidRPr="00FD0501">
        <w:rPr>
          <w:lang w:val="en-US"/>
        </w:rPr>
        <w:t xml:space="preserve">s blueprint. This description does not cover the immediate surroundings of the site boundary, as shown in </w:t>
      </w:r>
      <w:r w:rsidR="008031A7" w:rsidRPr="00FD0501">
        <w:rPr>
          <w:lang w:val="en-US"/>
        </w:rPr>
        <w:fldChar w:fldCharType="begin"/>
      </w:r>
      <w:r w:rsidR="008031A7" w:rsidRPr="00FD0501">
        <w:rPr>
          <w:lang w:val="en-US"/>
        </w:rPr>
        <w:instrText xml:space="preserve"> REF _Ref166489467 \h  \* MERGEFORMAT </w:instrText>
      </w:r>
      <w:r w:rsidR="008031A7" w:rsidRPr="00FD0501">
        <w:rPr>
          <w:lang w:val="en-US"/>
        </w:rPr>
      </w:r>
      <w:r w:rsidR="008031A7" w:rsidRPr="00FD0501">
        <w:rPr>
          <w:lang w:val="en-US"/>
        </w:rPr>
        <w:fldChar w:fldCharType="separate"/>
      </w:r>
      <w:r w:rsidR="00D02EFC">
        <w:rPr>
          <w:lang w:val="en-US"/>
        </w:rPr>
        <w:t>F</w:t>
      </w:r>
      <w:r w:rsidR="00D02EFC" w:rsidRPr="00FD0501">
        <w:rPr>
          <w:lang w:val="en-US"/>
        </w:rPr>
        <w:t>ig</w:t>
      </w:r>
      <w:r w:rsidR="008031A7" w:rsidRPr="00FD0501">
        <w:rPr>
          <w:lang w:val="en-US"/>
        </w:rPr>
        <w:t>. 3</w:t>
      </w:r>
      <w:r w:rsidR="008031A7" w:rsidRPr="00FD0501">
        <w:rPr>
          <w:lang w:val="en-US"/>
        </w:rPr>
        <w:fldChar w:fldCharType="end"/>
      </w:r>
      <w:r w:rsidR="008F4181" w:rsidRPr="00FD0501">
        <w:rPr>
          <w:lang w:val="en-US"/>
        </w:rPr>
        <w:t>,</w:t>
      </w:r>
      <w:r w:rsidR="009B3F7C">
        <w:rPr>
          <w:lang w:val="en-US"/>
        </w:rPr>
        <w:t xml:space="preserve"> a</w:t>
      </w:r>
      <w:r w:rsidR="00AA6894">
        <w:rPr>
          <w:lang w:val="en-US"/>
        </w:rPr>
        <w:t>nd</w:t>
      </w:r>
      <w:r w:rsidRPr="00FD0501">
        <w:rPr>
          <w:lang w:val="en-US"/>
        </w:rPr>
        <w:t xml:space="preserve"> NUREG/CR-1345 recommend</w:t>
      </w:r>
      <w:r w:rsidR="00B37166">
        <w:rPr>
          <w:lang w:val="en-US"/>
        </w:rPr>
        <w:t>s</w:t>
      </w:r>
      <w:r w:rsidRPr="00FD0501">
        <w:rPr>
          <w:lang w:val="en-US"/>
        </w:rPr>
        <w:t xml:space="preserve"> that terrain analysis be conducted during the layout design phase; however, this is after the site has been selected. The </w:t>
      </w:r>
      <w:r w:rsidRPr="00403407">
        <w:rPr>
          <w:i/>
          <w:iCs/>
          <w:lang w:val="en-US"/>
        </w:rPr>
        <w:t>site area</w:t>
      </w:r>
      <w:r w:rsidRPr="00FD0501">
        <w:rPr>
          <w:lang w:val="en-US"/>
        </w:rPr>
        <w:t xml:space="preserve"> contains the plant, defined by a boundary, and is under the effective control of the plant management. Next </w:t>
      </w:r>
      <w:r w:rsidRPr="00FD0501">
        <w:rPr>
          <w:lang w:val="en-US"/>
        </w:rPr>
        <w:lastRenderedPageBreak/>
        <w:t xml:space="preserve">is the </w:t>
      </w:r>
      <w:r w:rsidRPr="00403407">
        <w:rPr>
          <w:i/>
          <w:iCs/>
          <w:lang w:val="en-US"/>
        </w:rPr>
        <w:t>site vicinity</w:t>
      </w:r>
      <w:r w:rsidRPr="00FD0501">
        <w:rPr>
          <w:lang w:val="en-US"/>
        </w:rPr>
        <w:t xml:space="preserve">, which is larger than the site area but smaller than the </w:t>
      </w:r>
      <w:r w:rsidRPr="00403407">
        <w:rPr>
          <w:i/>
          <w:iCs/>
          <w:lang w:val="en-US"/>
        </w:rPr>
        <w:t>external zone</w:t>
      </w:r>
      <w:r w:rsidRPr="00FD0501">
        <w:rPr>
          <w:lang w:val="en-US"/>
        </w:rPr>
        <w:t xml:space="preserve">. The </w:t>
      </w:r>
      <w:r w:rsidRPr="00403407">
        <w:rPr>
          <w:i/>
          <w:iCs/>
          <w:lang w:val="en-US"/>
        </w:rPr>
        <w:t>external zone</w:t>
      </w:r>
      <w:r w:rsidRPr="00FD0501">
        <w:rPr>
          <w:lang w:val="en-US"/>
        </w:rPr>
        <w:t xml:space="preserve"> is the area immediately surrounding a proposed site in which population distribution, density, and land and water uses are considered for their impact on planning effective emergency response actions. The </w:t>
      </w:r>
      <w:r w:rsidRPr="00403407">
        <w:rPr>
          <w:i/>
          <w:iCs/>
          <w:lang w:val="en-US"/>
        </w:rPr>
        <w:t>region</w:t>
      </w:r>
      <w:r w:rsidRPr="00FD0501">
        <w:rPr>
          <w:lang w:val="en-US"/>
        </w:rPr>
        <w:t xml:space="preserve"> is larger than the </w:t>
      </w:r>
      <w:r w:rsidRPr="00403407">
        <w:rPr>
          <w:i/>
          <w:iCs/>
          <w:lang w:val="en-US"/>
        </w:rPr>
        <w:t>external zone</w:t>
      </w:r>
      <w:r w:rsidRPr="00FD0501">
        <w:rPr>
          <w:lang w:val="en-US"/>
        </w:rPr>
        <w:t xml:space="preserve"> of the </w:t>
      </w:r>
      <w:r w:rsidR="009F0DA0" w:rsidRPr="00FD0501">
        <w:rPr>
          <w:lang w:val="en-US"/>
        </w:rPr>
        <w:t>site and</w:t>
      </w:r>
      <w:r w:rsidR="00480FF4" w:rsidRPr="00FD0501">
        <w:rPr>
          <w:lang w:val="en-US"/>
        </w:rPr>
        <w:t xml:space="preserve"> is </w:t>
      </w:r>
      <w:r w:rsidRPr="00FD0501">
        <w:rPr>
          <w:lang w:val="en-US"/>
        </w:rPr>
        <w:t xml:space="preserve">where the site screening for potential candidate sites </w:t>
      </w:r>
      <w:r w:rsidR="00FF4A42">
        <w:rPr>
          <w:lang w:val="en-US"/>
        </w:rPr>
        <w:t>begins</w:t>
      </w:r>
      <w:r w:rsidRPr="00FD0501">
        <w:rPr>
          <w:lang w:val="en-US"/>
        </w:rPr>
        <w:t xml:space="preserve">. </w:t>
      </w:r>
    </w:p>
    <w:p w14:paraId="60ECA9A3" w14:textId="6BD3CA2F" w:rsidR="00141E54" w:rsidRPr="00FD0501" w:rsidRDefault="00141E54" w:rsidP="00141E54">
      <w:pPr>
        <w:pStyle w:val="BodyText"/>
        <w:rPr>
          <w:lang w:val="en-US"/>
        </w:rPr>
      </w:pPr>
      <w:r w:rsidRPr="00FD0501">
        <w:rPr>
          <w:lang w:val="en-US"/>
        </w:rPr>
        <w:t xml:space="preserve">The NRC is undergoing rulemaking to develop alternative physical security requirements for advanced reactors [http://www.regulations.gov/ under docket ID: NRC-2017-0227]. It is yet to be seen whether this proposed NRC guidance will </w:t>
      </w:r>
      <w:r w:rsidR="003C693E" w:rsidRPr="00FD0501">
        <w:rPr>
          <w:lang w:val="en-US"/>
        </w:rPr>
        <w:t xml:space="preserve">provide </w:t>
      </w:r>
      <w:r w:rsidR="002227F8" w:rsidRPr="00FD0501">
        <w:rPr>
          <w:lang w:val="en-US"/>
        </w:rPr>
        <w:t xml:space="preserve">a </w:t>
      </w:r>
      <w:r w:rsidRPr="00FD0501">
        <w:rPr>
          <w:lang w:val="en-US"/>
        </w:rPr>
        <w:t>recommendation or require t</w:t>
      </w:r>
      <w:r w:rsidR="00A83DAD" w:rsidRPr="00FD0501">
        <w:rPr>
          <w:lang w:val="en-US"/>
        </w:rPr>
        <w:t xml:space="preserve">hat a </w:t>
      </w:r>
      <w:r w:rsidRPr="00FD0501">
        <w:rPr>
          <w:lang w:val="en-US"/>
        </w:rPr>
        <w:t xml:space="preserve">site security assessment </w:t>
      </w:r>
      <w:r w:rsidR="001B5BBF" w:rsidRPr="00FD0501">
        <w:rPr>
          <w:lang w:val="en-US"/>
        </w:rPr>
        <w:t xml:space="preserve">be conducted </w:t>
      </w:r>
      <w:r w:rsidRPr="00FD0501">
        <w:rPr>
          <w:lang w:val="en-US"/>
        </w:rPr>
        <w:t>in addition to safety assessment during the siting phase.</w:t>
      </w:r>
    </w:p>
    <w:p w14:paraId="7234B771" w14:textId="77777777" w:rsidR="00141E54" w:rsidRPr="00FD0501" w:rsidRDefault="00141E54" w:rsidP="00141E54">
      <w:pPr>
        <w:pStyle w:val="BodyText"/>
        <w:rPr>
          <w:lang w:val="en-US"/>
        </w:rPr>
      </w:pPr>
    </w:p>
    <w:p w14:paraId="35D6A458" w14:textId="77777777" w:rsidR="00141E54" w:rsidRPr="00FD0501" w:rsidRDefault="00141E54" w:rsidP="00141E54">
      <w:pPr>
        <w:pStyle w:val="BodyText"/>
        <w:rPr>
          <w:lang w:val="en-US"/>
        </w:rPr>
      </w:pPr>
    </w:p>
    <w:p w14:paraId="3795CEF0" w14:textId="55C0D8C7" w:rsidR="00CA005E" w:rsidRPr="00FD0501" w:rsidRDefault="007219A9" w:rsidP="002F6FDC">
      <w:pPr>
        <w:pStyle w:val="BodyText"/>
        <w:jc w:val="center"/>
        <w:rPr>
          <w:lang w:val="en-US"/>
        </w:rPr>
      </w:pPr>
      <w:r w:rsidRPr="00FD0501">
        <w:rPr>
          <w:noProof/>
          <w:lang w:val="en-US"/>
        </w:rPr>
        <w:drawing>
          <wp:inline distT="0" distB="0" distL="0" distR="0" wp14:anchorId="274C0EE9" wp14:editId="61FFF13F">
            <wp:extent cx="3728309" cy="2247486"/>
            <wp:effectExtent l="0" t="0" r="571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417" cy="2278295"/>
                    </a:xfrm>
                    <a:prstGeom prst="rect">
                      <a:avLst/>
                    </a:prstGeom>
                    <a:noFill/>
                  </pic:spPr>
                </pic:pic>
              </a:graphicData>
            </a:graphic>
          </wp:inline>
        </w:drawing>
      </w:r>
    </w:p>
    <w:p w14:paraId="6B6E5319" w14:textId="397CC393" w:rsidR="00141E54" w:rsidRPr="00FD0501" w:rsidRDefault="00C2174C" w:rsidP="00C2174C">
      <w:pPr>
        <w:pStyle w:val="Caption"/>
        <w:ind w:firstLine="567"/>
        <w:rPr>
          <w:i/>
          <w:iCs/>
        </w:rPr>
      </w:pPr>
      <w:bookmarkStart w:id="3" w:name="_Ref166489467"/>
      <w:r w:rsidRPr="00FD0501">
        <w:rPr>
          <w:i/>
          <w:iCs/>
        </w:rPr>
        <w:t xml:space="preserve">FIG. </w:t>
      </w:r>
      <w:r w:rsidRPr="00FD0501">
        <w:rPr>
          <w:i/>
          <w:iCs/>
        </w:rPr>
        <w:fldChar w:fldCharType="begin"/>
      </w:r>
      <w:r w:rsidRPr="00FD0501">
        <w:rPr>
          <w:i/>
          <w:iCs/>
        </w:rPr>
        <w:instrText xml:space="preserve"> SEQ FIG. \* ARABIC </w:instrText>
      </w:r>
      <w:r w:rsidRPr="00FD0501">
        <w:rPr>
          <w:i/>
          <w:iCs/>
        </w:rPr>
        <w:fldChar w:fldCharType="separate"/>
      </w:r>
      <w:r w:rsidRPr="00FD0501">
        <w:rPr>
          <w:i/>
          <w:iCs/>
        </w:rPr>
        <w:t>3</w:t>
      </w:r>
      <w:r w:rsidRPr="00FD0501">
        <w:rPr>
          <w:i/>
          <w:iCs/>
        </w:rPr>
        <w:fldChar w:fldCharType="end"/>
      </w:r>
      <w:bookmarkEnd w:id="3"/>
      <w:r w:rsidR="00141E54" w:rsidRPr="00FD0501">
        <w:rPr>
          <w:i/>
          <w:iCs/>
        </w:rPr>
        <w:t xml:space="preserve">. Areas </w:t>
      </w:r>
      <w:r w:rsidR="00341987" w:rsidRPr="00FD0501">
        <w:rPr>
          <w:i/>
          <w:iCs/>
        </w:rPr>
        <w:t xml:space="preserve">around a nuclear facility site that can impact its suitability </w:t>
      </w:r>
      <w:r w:rsidR="007D5B33" w:rsidRPr="00FD0501">
        <w:rPr>
          <w:i/>
          <w:iCs/>
        </w:rPr>
        <w:t>(created by the authors).</w:t>
      </w:r>
    </w:p>
    <w:p w14:paraId="44D12A5D" w14:textId="77777777" w:rsidR="00CA005E" w:rsidRPr="00FD0501" w:rsidRDefault="00CA005E" w:rsidP="00141E54">
      <w:pPr>
        <w:pStyle w:val="BodyText"/>
        <w:rPr>
          <w:lang w:val="en-US"/>
        </w:rPr>
      </w:pPr>
    </w:p>
    <w:p w14:paraId="0276D967" w14:textId="3306F39E" w:rsidR="00141E54" w:rsidRPr="00FD0501" w:rsidRDefault="00141E54" w:rsidP="00141E54">
      <w:pPr>
        <w:pStyle w:val="BodyText"/>
        <w:rPr>
          <w:lang w:val="en-US"/>
        </w:rPr>
      </w:pPr>
      <w:r w:rsidRPr="00FD0501">
        <w:rPr>
          <w:lang w:val="en-US"/>
        </w:rPr>
        <w:t xml:space="preserve">The Electric Power Research Institute (EPRI) nuclear reactor site selection guide </w:t>
      </w:r>
      <w:r w:rsidR="00D4375E" w:rsidRPr="00FD0501">
        <w:rPr>
          <w:lang w:val="en-US"/>
        </w:rPr>
        <w:fldChar w:fldCharType="begin"/>
      </w:r>
      <w:r w:rsidR="00D4375E" w:rsidRPr="00FD0501">
        <w:rPr>
          <w:lang w:val="en-US"/>
        </w:rPr>
        <w:instrText xml:space="preserve"> REF _Ref166488476 \r \h </w:instrText>
      </w:r>
      <w:r w:rsidR="00D4375E" w:rsidRPr="00FD0501">
        <w:rPr>
          <w:lang w:val="en-US"/>
        </w:rPr>
      </w:r>
      <w:r w:rsidR="00D4375E" w:rsidRPr="00FD0501">
        <w:rPr>
          <w:lang w:val="en-US"/>
        </w:rPr>
        <w:fldChar w:fldCharType="separate"/>
      </w:r>
      <w:r w:rsidR="00D4375E" w:rsidRPr="00FD0501">
        <w:rPr>
          <w:lang w:val="en-US"/>
        </w:rPr>
        <w:t>[13]</w:t>
      </w:r>
      <w:r w:rsidR="00D4375E" w:rsidRPr="00FD0501">
        <w:rPr>
          <w:lang w:val="en-US"/>
        </w:rPr>
        <w:fldChar w:fldCharType="end"/>
      </w:r>
      <w:r w:rsidRPr="00FD0501">
        <w:rPr>
          <w:lang w:val="en-US"/>
        </w:rPr>
        <w:t xml:space="preserve">, also known as the </w:t>
      </w:r>
      <w:r w:rsidRPr="00403407">
        <w:rPr>
          <w:i/>
          <w:iCs/>
          <w:lang w:val="en-US"/>
        </w:rPr>
        <w:t>siting guide</w:t>
      </w:r>
      <w:r w:rsidRPr="00FD0501">
        <w:rPr>
          <w:lang w:val="en-US"/>
        </w:rPr>
        <w:t>, provides expanded guidance, metrics</w:t>
      </w:r>
      <w:r w:rsidR="00164F37">
        <w:rPr>
          <w:lang w:val="en-US"/>
        </w:rPr>
        <w:t>,</w:t>
      </w:r>
      <w:r w:rsidRPr="00FD0501">
        <w:rPr>
          <w:lang w:val="en-US"/>
        </w:rPr>
        <w:t xml:space="preserve"> and criteria that can be used to determine </w:t>
      </w:r>
      <w:r w:rsidR="00164F37">
        <w:rPr>
          <w:lang w:val="en-US"/>
        </w:rPr>
        <w:t>whether</w:t>
      </w:r>
      <w:r w:rsidR="00164F37" w:rsidRPr="00FD0501">
        <w:rPr>
          <w:lang w:val="en-US"/>
        </w:rPr>
        <w:t xml:space="preserve"> </w:t>
      </w:r>
      <w:r w:rsidRPr="00FD0501">
        <w:rPr>
          <w:lang w:val="en-US"/>
        </w:rPr>
        <w:t xml:space="preserve">a site can support the installation of reactor technology. However, the siting guide focuses on meeting safety and environmental requirements. The siting guide </w:t>
      </w:r>
      <w:r w:rsidR="00E16FE7">
        <w:rPr>
          <w:lang w:val="en-US"/>
        </w:rPr>
        <w:t>does</w:t>
      </w:r>
      <w:r w:rsidR="00E16FE7" w:rsidRPr="00FD0501">
        <w:rPr>
          <w:lang w:val="en-US"/>
        </w:rPr>
        <w:t xml:space="preserve"> </w:t>
      </w:r>
      <w:r w:rsidRPr="00FD0501">
        <w:rPr>
          <w:lang w:val="en-US"/>
        </w:rPr>
        <w:t>not address the need to assess the site for security vulnerability for different advanced reactor technologies.</w:t>
      </w:r>
    </w:p>
    <w:p w14:paraId="34B0D39B" w14:textId="54C434C5" w:rsidR="00371035" w:rsidRDefault="0058359D" w:rsidP="00371035">
      <w:pPr>
        <w:pStyle w:val="BodyText"/>
        <w:spacing w:after="120"/>
        <w:ind w:firstLine="562"/>
        <w:rPr>
          <w:lang w:val="en-US"/>
        </w:rPr>
      </w:pPr>
      <w:r>
        <w:rPr>
          <w:lang w:val="en-US"/>
        </w:rPr>
        <w:t>In 2008,</w:t>
      </w:r>
      <w:r w:rsidRPr="00FD0501">
        <w:rPr>
          <w:lang w:val="en-US"/>
        </w:rPr>
        <w:t xml:space="preserve"> </w:t>
      </w:r>
      <w:r w:rsidR="00141E54" w:rsidRPr="00FD0501">
        <w:rPr>
          <w:lang w:val="en-US"/>
        </w:rPr>
        <w:t xml:space="preserve">Oak Ridge National Laboratory </w:t>
      </w:r>
      <w:r w:rsidR="007C2386">
        <w:rPr>
          <w:lang w:val="en-US"/>
        </w:rPr>
        <w:t>initiated</w:t>
      </w:r>
      <w:r w:rsidR="00141E54" w:rsidRPr="00FD0501">
        <w:rPr>
          <w:lang w:val="en-US"/>
        </w:rPr>
        <w:t xml:space="preserve"> the development of the Oak Ridge Siting Analysis for power Generation Expansion (OR-SAGE) </w:t>
      </w:r>
      <w:r w:rsidR="00D4375E" w:rsidRPr="00FD0501">
        <w:rPr>
          <w:lang w:val="en-US"/>
        </w:rPr>
        <w:fldChar w:fldCharType="begin"/>
      </w:r>
      <w:r w:rsidR="00D4375E" w:rsidRPr="00FD0501">
        <w:rPr>
          <w:lang w:val="en-US"/>
        </w:rPr>
        <w:instrText xml:space="preserve"> REF _Ref166488496 \r \h </w:instrText>
      </w:r>
      <w:r w:rsidR="00D4375E" w:rsidRPr="00FD0501">
        <w:rPr>
          <w:lang w:val="en-US"/>
        </w:rPr>
      </w:r>
      <w:r w:rsidR="00D4375E" w:rsidRPr="00FD0501">
        <w:rPr>
          <w:lang w:val="en-US"/>
        </w:rPr>
        <w:fldChar w:fldCharType="separate"/>
      </w:r>
      <w:r w:rsidR="00D4375E" w:rsidRPr="00FD0501">
        <w:rPr>
          <w:lang w:val="en-US"/>
        </w:rPr>
        <w:t>[14]</w:t>
      </w:r>
      <w:r w:rsidR="00D4375E" w:rsidRPr="00FD0501">
        <w:rPr>
          <w:lang w:val="en-US"/>
        </w:rPr>
        <w:fldChar w:fldCharType="end"/>
      </w:r>
      <w:r w:rsidR="00141E54" w:rsidRPr="00FD0501">
        <w:rPr>
          <w:lang w:val="en-US"/>
        </w:rPr>
        <w:t>. OR-SAGE is a multi-criteria decision-making framework for siting energy technologies.</w:t>
      </w:r>
      <w:r w:rsidR="00894B2D">
        <w:rPr>
          <w:lang w:val="en-US"/>
        </w:rPr>
        <w:t xml:space="preserve"> </w:t>
      </w:r>
      <w:r w:rsidR="00141E54" w:rsidRPr="00FD0501">
        <w:rPr>
          <w:lang w:val="en-US"/>
        </w:rPr>
        <w:t>OR-SAGE uses industry-accepted approaches, national regulations, and energy technology</w:t>
      </w:r>
      <w:r w:rsidR="007276BC">
        <w:rPr>
          <w:lang w:val="en-US"/>
        </w:rPr>
        <w:t>–</w:t>
      </w:r>
      <w:r w:rsidR="00141E54" w:rsidRPr="00FD0501">
        <w:rPr>
          <w:lang w:val="en-US"/>
        </w:rPr>
        <w:t xml:space="preserve">appropriate selection criteria to screen a region for potential site areas for various power generation technology applications. The OR-SAGE workflow, shown in </w:t>
      </w:r>
      <w:r w:rsidR="008F4181" w:rsidRPr="00FD0501">
        <w:rPr>
          <w:lang w:val="en-US"/>
        </w:rPr>
        <w:fldChar w:fldCharType="begin"/>
      </w:r>
      <w:r w:rsidR="008F4181" w:rsidRPr="00FD0501">
        <w:rPr>
          <w:lang w:val="en-US"/>
        </w:rPr>
        <w:instrText xml:space="preserve"> REF _Ref166489507 \h  \* MERGEFORMAT </w:instrText>
      </w:r>
      <w:r w:rsidR="008F4181" w:rsidRPr="00FD0501">
        <w:rPr>
          <w:lang w:val="en-US"/>
        </w:rPr>
      </w:r>
      <w:r w:rsidR="008F4181" w:rsidRPr="00FD0501">
        <w:rPr>
          <w:lang w:val="en-US"/>
        </w:rPr>
        <w:fldChar w:fldCharType="separate"/>
      </w:r>
      <w:r w:rsidR="00622943">
        <w:rPr>
          <w:lang w:val="en-US"/>
        </w:rPr>
        <w:t>F</w:t>
      </w:r>
      <w:r w:rsidR="00622943" w:rsidRPr="00FD0501">
        <w:rPr>
          <w:lang w:val="en-US"/>
        </w:rPr>
        <w:t>ig</w:t>
      </w:r>
      <w:r w:rsidR="008F4181" w:rsidRPr="00FD0501">
        <w:rPr>
          <w:lang w:val="en-US"/>
        </w:rPr>
        <w:t>. 4</w:t>
      </w:r>
      <w:r w:rsidR="008F4181" w:rsidRPr="00FD0501">
        <w:rPr>
          <w:lang w:val="en-US"/>
        </w:rPr>
        <w:fldChar w:fldCharType="end"/>
      </w:r>
      <w:r w:rsidR="00141E54" w:rsidRPr="00FD0501">
        <w:rPr>
          <w:lang w:val="en-US"/>
        </w:rPr>
        <w:t xml:space="preserve">, has been used to support the development of </w:t>
      </w:r>
      <w:r w:rsidR="001E5B2C">
        <w:rPr>
          <w:lang w:val="en-US"/>
        </w:rPr>
        <w:t>various</w:t>
      </w:r>
      <w:r w:rsidR="001E5B2C" w:rsidRPr="00FD0501">
        <w:rPr>
          <w:lang w:val="en-US"/>
        </w:rPr>
        <w:t xml:space="preserve"> </w:t>
      </w:r>
      <w:r w:rsidR="00141E54" w:rsidRPr="00FD0501">
        <w:rPr>
          <w:lang w:val="en-US"/>
        </w:rPr>
        <w:t xml:space="preserve">power generation technologies </w:t>
      </w:r>
      <w:r w:rsidR="00D4375E" w:rsidRPr="00FD0501">
        <w:rPr>
          <w:lang w:val="en-US"/>
        </w:rPr>
        <w:fldChar w:fldCharType="begin"/>
      </w:r>
      <w:r w:rsidR="00D4375E" w:rsidRPr="00FD0501">
        <w:rPr>
          <w:lang w:val="en-US"/>
        </w:rPr>
        <w:instrText xml:space="preserve"> REF _Ref166488526 \r \h </w:instrText>
      </w:r>
      <w:r w:rsidR="00D4375E" w:rsidRPr="00FD0501">
        <w:rPr>
          <w:lang w:val="en-US"/>
        </w:rPr>
      </w:r>
      <w:r w:rsidR="00D4375E" w:rsidRPr="00FD0501">
        <w:rPr>
          <w:lang w:val="en-US"/>
        </w:rPr>
        <w:fldChar w:fldCharType="separate"/>
      </w:r>
      <w:r w:rsidR="00D4375E" w:rsidRPr="00FD0501">
        <w:rPr>
          <w:lang w:val="en-US"/>
        </w:rPr>
        <w:t>[15]</w:t>
      </w:r>
      <w:r w:rsidR="00D4375E" w:rsidRPr="00FD0501">
        <w:rPr>
          <w:lang w:val="en-US"/>
        </w:rPr>
        <w:fldChar w:fldCharType="end"/>
      </w:r>
      <w:r w:rsidR="00D4375E" w:rsidRPr="00FD0501">
        <w:rPr>
          <w:lang w:val="en-US"/>
        </w:rPr>
        <w:t xml:space="preserve">, </w:t>
      </w:r>
      <w:r w:rsidR="00D4375E" w:rsidRPr="00FD0501">
        <w:rPr>
          <w:lang w:val="en-US"/>
        </w:rPr>
        <w:fldChar w:fldCharType="begin"/>
      </w:r>
      <w:r w:rsidR="00D4375E" w:rsidRPr="00FD0501">
        <w:rPr>
          <w:lang w:val="en-US"/>
        </w:rPr>
        <w:instrText xml:space="preserve"> REF _Ref166488529 \r \h </w:instrText>
      </w:r>
      <w:r w:rsidR="00D4375E" w:rsidRPr="00FD0501">
        <w:rPr>
          <w:lang w:val="en-US"/>
        </w:rPr>
      </w:r>
      <w:r w:rsidR="00D4375E" w:rsidRPr="00FD0501">
        <w:rPr>
          <w:lang w:val="en-US"/>
        </w:rPr>
        <w:fldChar w:fldCharType="separate"/>
      </w:r>
      <w:r w:rsidR="00D4375E" w:rsidRPr="00FD0501">
        <w:rPr>
          <w:lang w:val="en-US"/>
        </w:rPr>
        <w:t>[16]</w:t>
      </w:r>
      <w:r w:rsidR="00D4375E" w:rsidRPr="00FD0501">
        <w:rPr>
          <w:lang w:val="en-US"/>
        </w:rPr>
        <w:fldChar w:fldCharType="end"/>
      </w:r>
      <w:r w:rsidR="00D4375E" w:rsidRPr="00FD0501">
        <w:rPr>
          <w:lang w:val="en-US"/>
        </w:rPr>
        <w:t xml:space="preserve">, </w:t>
      </w:r>
      <w:r w:rsidR="004606C7">
        <w:rPr>
          <w:lang w:val="en-US"/>
        </w:rPr>
        <w:t>and</w:t>
      </w:r>
      <w:r w:rsidR="00D4375E" w:rsidRPr="00FD0501">
        <w:rPr>
          <w:lang w:val="en-US"/>
        </w:rPr>
        <w:t xml:space="preserve"> </w:t>
      </w:r>
      <w:r w:rsidR="00D4375E" w:rsidRPr="00FD0501">
        <w:rPr>
          <w:lang w:val="en-US"/>
        </w:rPr>
        <w:fldChar w:fldCharType="begin"/>
      </w:r>
      <w:r w:rsidR="00D4375E" w:rsidRPr="00FD0501">
        <w:rPr>
          <w:lang w:val="en-US"/>
        </w:rPr>
        <w:instrText xml:space="preserve"> REF _Ref166488530 \r \h </w:instrText>
      </w:r>
      <w:r w:rsidR="00D4375E" w:rsidRPr="00FD0501">
        <w:rPr>
          <w:lang w:val="en-US"/>
        </w:rPr>
      </w:r>
      <w:r w:rsidR="00D4375E" w:rsidRPr="00FD0501">
        <w:rPr>
          <w:lang w:val="en-US"/>
        </w:rPr>
        <w:fldChar w:fldCharType="separate"/>
      </w:r>
      <w:r w:rsidR="00D4375E" w:rsidRPr="00FD0501">
        <w:rPr>
          <w:lang w:val="en-US"/>
        </w:rPr>
        <w:t>[17]</w:t>
      </w:r>
      <w:r w:rsidR="00D4375E" w:rsidRPr="00FD0501">
        <w:rPr>
          <w:lang w:val="en-US"/>
        </w:rPr>
        <w:fldChar w:fldCharType="end"/>
      </w:r>
      <w:r w:rsidR="00141E54" w:rsidRPr="00FD0501">
        <w:rPr>
          <w:lang w:val="en-US"/>
        </w:rPr>
        <w:t>. In its current form, the OR-SAGE framework is facility and environmental safety</w:t>
      </w:r>
      <w:r w:rsidR="00756DEB">
        <w:rPr>
          <w:lang w:val="en-US"/>
        </w:rPr>
        <w:t xml:space="preserve"> </w:t>
      </w:r>
      <w:r w:rsidR="00141E54" w:rsidRPr="00FD0501">
        <w:rPr>
          <w:lang w:val="en-US"/>
        </w:rPr>
        <w:t>focused</w:t>
      </w:r>
      <w:r w:rsidR="00371035">
        <w:rPr>
          <w:lang w:val="en-US"/>
        </w:rPr>
        <w:t>.</w:t>
      </w:r>
    </w:p>
    <w:p w14:paraId="2D065F6C" w14:textId="77777777" w:rsidR="006D49B5" w:rsidRPr="00FD0501" w:rsidRDefault="006D49B5" w:rsidP="00371035">
      <w:pPr>
        <w:pStyle w:val="BodyText"/>
        <w:spacing w:after="120"/>
        <w:ind w:firstLine="562"/>
        <w:rPr>
          <w:lang w:val="en-US"/>
        </w:rPr>
      </w:pPr>
    </w:p>
    <w:p w14:paraId="6FEE0A77" w14:textId="4B304E6A" w:rsidR="008031A7" w:rsidRPr="006D49B5" w:rsidRDefault="00E02240" w:rsidP="006D49B5">
      <w:pPr>
        <w:pStyle w:val="BodyText"/>
        <w:jc w:val="center"/>
        <w:rPr>
          <w:lang w:val="en-US"/>
        </w:rPr>
      </w:pPr>
      <w:r w:rsidRPr="00FD0501">
        <w:rPr>
          <w:noProof/>
          <w:lang w:val="en-US"/>
        </w:rPr>
        <w:drawing>
          <wp:inline distT="0" distB="0" distL="0" distR="0" wp14:anchorId="68585407" wp14:editId="0540AD90">
            <wp:extent cx="3073686" cy="19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2769" cy="1961226"/>
                    </a:xfrm>
                    <a:prstGeom prst="rect">
                      <a:avLst/>
                    </a:prstGeom>
                    <a:noFill/>
                  </pic:spPr>
                </pic:pic>
              </a:graphicData>
            </a:graphic>
          </wp:inline>
        </w:drawing>
      </w:r>
    </w:p>
    <w:p w14:paraId="3311FC5B" w14:textId="06294163" w:rsidR="00F37ED3" w:rsidRPr="00FD0501" w:rsidRDefault="00C2174C" w:rsidP="008031A7">
      <w:pPr>
        <w:pStyle w:val="Caption"/>
        <w:ind w:left="1134" w:firstLine="567"/>
        <w:rPr>
          <w:i/>
          <w:iCs/>
        </w:rPr>
      </w:pPr>
      <w:bookmarkStart w:id="4" w:name="_Ref166489507"/>
      <w:r w:rsidRPr="00FD0501">
        <w:rPr>
          <w:i/>
          <w:iCs/>
        </w:rPr>
        <w:t xml:space="preserve">FIG. </w:t>
      </w:r>
      <w:r w:rsidRPr="00FD0501">
        <w:rPr>
          <w:i/>
          <w:iCs/>
        </w:rPr>
        <w:fldChar w:fldCharType="begin"/>
      </w:r>
      <w:r w:rsidRPr="00FD0501">
        <w:rPr>
          <w:i/>
          <w:iCs/>
        </w:rPr>
        <w:instrText xml:space="preserve"> SEQ FIG. \* ARABIC </w:instrText>
      </w:r>
      <w:r w:rsidRPr="00FD0501">
        <w:rPr>
          <w:i/>
          <w:iCs/>
        </w:rPr>
        <w:fldChar w:fldCharType="separate"/>
      </w:r>
      <w:r w:rsidRPr="00FD0501">
        <w:rPr>
          <w:i/>
          <w:iCs/>
        </w:rPr>
        <w:t>4</w:t>
      </w:r>
      <w:r w:rsidRPr="00FD0501">
        <w:rPr>
          <w:i/>
          <w:iCs/>
        </w:rPr>
        <w:fldChar w:fldCharType="end"/>
      </w:r>
      <w:bookmarkEnd w:id="4"/>
      <w:r w:rsidR="00F37ED3" w:rsidRPr="00FD0501">
        <w:rPr>
          <w:i/>
          <w:iCs/>
        </w:rPr>
        <w:t>.</w:t>
      </w:r>
      <w:r w:rsidR="00141E54" w:rsidRPr="00FD0501">
        <w:rPr>
          <w:i/>
          <w:iCs/>
        </w:rPr>
        <w:t xml:space="preserve"> OR-SAGE</w:t>
      </w:r>
      <w:r w:rsidR="00625D5F" w:rsidRPr="00FD0501">
        <w:rPr>
          <w:i/>
          <w:iCs/>
        </w:rPr>
        <w:t xml:space="preserve">’s </w:t>
      </w:r>
      <w:r w:rsidR="00F95D19" w:rsidRPr="00FD0501">
        <w:rPr>
          <w:i/>
          <w:iCs/>
        </w:rPr>
        <w:t>safety</w:t>
      </w:r>
      <w:r w:rsidR="00F95D19">
        <w:rPr>
          <w:i/>
          <w:iCs/>
        </w:rPr>
        <w:t>-</w:t>
      </w:r>
      <w:r w:rsidR="00F95D19" w:rsidRPr="00FD0501">
        <w:rPr>
          <w:i/>
          <w:iCs/>
        </w:rPr>
        <w:t xml:space="preserve">focused workflow overview </w:t>
      </w:r>
      <w:r w:rsidR="0087516E" w:rsidRPr="00FD0501">
        <w:rPr>
          <w:i/>
          <w:iCs/>
        </w:rPr>
        <w:t>(created by the authors).</w:t>
      </w:r>
    </w:p>
    <w:p w14:paraId="0E04AC8B" w14:textId="77777777" w:rsidR="0087516E" w:rsidRPr="00FD0501" w:rsidRDefault="0087516E" w:rsidP="00141E54">
      <w:pPr>
        <w:pStyle w:val="BodyText"/>
        <w:rPr>
          <w:lang w:val="en-US"/>
        </w:rPr>
      </w:pPr>
    </w:p>
    <w:p w14:paraId="591FE038" w14:textId="134C9BFF" w:rsidR="00A36543" w:rsidRPr="00FD0501" w:rsidRDefault="00B23990" w:rsidP="00141E54">
      <w:pPr>
        <w:pStyle w:val="BodyText"/>
        <w:rPr>
          <w:lang w:val="en-US"/>
        </w:rPr>
      </w:pPr>
      <w:r>
        <w:rPr>
          <w:lang w:val="en-US"/>
        </w:rPr>
        <w:lastRenderedPageBreak/>
        <w:t>In 2013,</w:t>
      </w:r>
      <w:r w:rsidRPr="00FD0501">
        <w:rPr>
          <w:lang w:val="en-US"/>
        </w:rPr>
        <w:t xml:space="preserve"> </w:t>
      </w:r>
      <w:r w:rsidR="00141E54" w:rsidRPr="00FD0501">
        <w:rPr>
          <w:lang w:val="en-US"/>
        </w:rPr>
        <w:t xml:space="preserve">Idaho National Laboratory developed a site suitability and hazard assessment guide </w:t>
      </w:r>
      <w:r w:rsidR="00466A71" w:rsidRPr="00FD0501">
        <w:rPr>
          <w:lang w:val="en-US"/>
        </w:rPr>
        <w:fldChar w:fldCharType="begin"/>
      </w:r>
      <w:r w:rsidR="00466A71" w:rsidRPr="00FD0501">
        <w:rPr>
          <w:lang w:val="en-US"/>
        </w:rPr>
        <w:instrText xml:space="preserve"> REF _Ref166488593 \r \h </w:instrText>
      </w:r>
      <w:r w:rsidR="00466A71" w:rsidRPr="00FD0501">
        <w:rPr>
          <w:lang w:val="en-US"/>
        </w:rPr>
      </w:r>
      <w:r w:rsidR="00466A71" w:rsidRPr="00FD0501">
        <w:rPr>
          <w:lang w:val="en-US"/>
        </w:rPr>
        <w:fldChar w:fldCharType="separate"/>
      </w:r>
      <w:r w:rsidR="00466A71" w:rsidRPr="00FD0501">
        <w:rPr>
          <w:lang w:val="en-US"/>
        </w:rPr>
        <w:t>[18]</w:t>
      </w:r>
      <w:r w:rsidR="00466A71" w:rsidRPr="00FD0501">
        <w:rPr>
          <w:lang w:val="en-US"/>
        </w:rPr>
        <w:fldChar w:fldCharType="end"/>
      </w:r>
      <w:r w:rsidR="00141E54" w:rsidRPr="00FD0501">
        <w:rPr>
          <w:lang w:val="en-US"/>
        </w:rPr>
        <w:t xml:space="preserve"> to be used for further site assessment and characterization after a potential site has been identified by a framework like OR-SAGE. This guide, </w:t>
      </w:r>
      <w:r w:rsidR="0010099A">
        <w:rPr>
          <w:lang w:val="en-US"/>
        </w:rPr>
        <w:t xml:space="preserve">although </w:t>
      </w:r>
      <w:r w:rsidR="00141E54" w:rsidRPr="00FD0501">
        <w:rPr>
          <w:lang w:val="en-US"/>
        </w:rPr>
        <w:t>like the OR-SAGE framework</w:t>
      </w:r>
      <w:r w:rsidR="0010099A">
        <w:rPr>
          <w:lang w:val="en-US"/>
        </w:rPr>
        <w:t xml:space="preserve"> in that it is </w:t>
      </w:r>
      <w:r w:rsidR="00141E54" w:rsidRPr="00FD0501">
        <w:rPr>
          <w:lang w:val="en-US"/>
        </w:rPr>
        <w:t>facility and environmental safety focused, also provide</w:t>
      </w:r>
      <w:r w:rsidR="0010099A">
        <w:rPr>
          <w:lang w:val="en-US"/>
        </w:rPr>
        <w:t>s</w:t>
      </w:r>
      <w:r w:rsidR="00141E54" w:rsidRPr="00FD0501">
        <w:rPr>
          <w:lang w:val="en-US"/>
        </w:rPr>
        <w:t xml:space="preserve"> a template in Appendix C-4d for assessing site features that could affect the development of </w:t>
      </w:r>
      <w:r w:rsidR="001A4879" w:rsidRPr="00FD0501">
        <w:rPr>
          <w:lang w:val="en-US"/>
        </w:rPr>
        <w:t xml:space="preserve">future </w:t>
      </w:r>
      <w:r w:rsidR="00141E54" w:rsidRPr="00FD0501">
        <w:rPr>
          <w:lang w:val="en-US"/>
        </w:rPr>
        <w:t xml:space="preserve">security measures and adequate security plan as required by 10 CFR 100.21(f) and 10 CFR 73.55. In the template, </w:t>
      </w:r>
      <w:r w:rsidR="002352F2" w:rsidRPr="00FD0501">
        <w:rPr>
          <w:lang w:val="en-US"/>
        </w:rPr>
        <w:t xml:space="preserve">one of the two </w:t>
      </w:r>
      <w:r w:rsidR="00141E54" w:rsidRPr="00FD0501">
        <w:rPr>
          <w:lang w:val="en-US"/>
        </w:rPr>
        <w:t>site characteristic</w:t>
      </w:r>
      <w:r w:rsidR="002352F2" w:rsidRPr="00FD0501">
        <w:rPr>
          <w:lang w:val="en-US"/>
        </w:rPr>
        <w:t>s</w:t>
      </w:r>
      <w:r w:rsidR="00141E54" w:rsidRPr="00FD0501">
        <w:rPr>
          <w:lang w:val="en-US"/>
        </w:rPr>
        <w:t xml:space="preserve"> considered was sufficient site area</w:t>
      </w:r>
      <w:r w:rsidR="00130655" w:rsidRPr="00FD0501">
        <w:rPr>
          <w:lang w:val="en-US"/>
        </w:rPr>
        <w:t xml:space="preserve"> to support future expansion or deployment of</w:t>
      </w:r>
      <w:r w:rsidR="00FF509F">
        <w:rPr>
          <w:lang w:val="en-US"/>
        </w:rPr>
        <w:t xml:space="preserve"> physical protection system (</w:t>
      </w:r>
      <w:r w:rsidR="00BA36E8" w:rsidRPr="00FD0501">
        <w:rPr>
          <w:lang w:val="en-US"/>
        </w:rPr>
        <w:t>PPS</w:t>
      </w:r>
      <w:r w:rsidR="00FF509F">
        <w:rPr>
          <w:lang w:val="en-US"/>
        </w:rPr>
        <w:t>)</w:t>
      </w:r>
      <w:r w:rsidR="00BA36E8" w:rsidRPr="00FD0501">
        <w:rPr>
          <w:lang w:val="en-US"/>
        </w:rPr>
        <w:t xml:space="preserve"> measures</w:t>
      </w:r>
      <w:r w:rsidR="00141E54" w:rsidRPr="00FD0501">
        <w:rPr>
          <w:lang w:val="en-US"/>
        </w:rPr>
        <w:t xml:space="preserve">. </w:t>
      </w:r>
      <w:r w:rsidR="00BA36E8" w:rsidRPr="00FD0501">
        <w:rPr>
          <w:lang w:val="en-US"/>
        </w:rPr>
        <w:t>According to the</w:t>
      </w:r>
      <w:r w:rsidR="00D72C98">
        <w:rPr>
          <w:lang w:val="en-US"/>
        </w:rPr>
        <w:t xml:space="preserve"> guide</w:t>
      </w:r>
      <w:r w:rsidR="00BA36E8" w:rsidRPr="00FD0501">
        <w:rPr>
          <w:lang w:val="en-US"/>
        </w:rPr>
        <w:t xml:space="preserve"> </w:t>
      </w:r>
      <w:r w:rsidR="00761E3D" w:rsidRPr="00FD0501">
        <w:rPr>
          <w:lang w:val="en-US"/>
        </w:rPr>
        <w:fldChar w:fldCharType="begin"/>
      </w:r>
      <w:r w:rsidR="00761E3D" w:rsidRPr="00FD0501">
        <w:rPr>
          <w:lang w:val="en-US"/>
        </w:rPr>
        <w:instrText xml:space="preserve"> REF _Ref166488593 \r \h </w:instrText>
      </w:r>
      <w:r w:rsidR="00761E3D" w:rsidRPr="00FD0501">
        <w:rPr>
          <w:lang w:val="en-US"/>
        </w:rPr>
      </w:r>
      <w:r w:rsidR="00761E3D" w:rsidRPr="00FD0501">
        <w:rPr>
          <w:lang w:val="en-US"/>
        </w:rPr>
        <w:fldChar w:fldCharType="separate"/>
      </w:r>
      <w:r w:rsidR="00761E3D" w:rsidRPr="00FD0501">
        <w:rPr>
          <w:lang w:val="en-US"/>
        </w:rPr>
        <w:t>[18]</w:t>
      </w:r>
      <w:r w:rsidR="00761E3D" w:rsidRPr="00FD0501">
        <w:rPr>
          <w:lang w:val="en-US"/>
        </w:rPr>
        <w:fldChar w:fldCharType="end"/>
      </w:r>
      <w:r w:rsidR="006533A7" w:rsidRPr="00FD0501">
        <w:rPr>
          <w:lang w:val="en-US"/>
        </w:rPr>
        <w:t xml:space="preserve">, if the </w:t>
      </w:r>
      <w:r w:rsidR="0074085A" w:rsidRPr="00FD0501">
        <w:rPr>
          <w:lang w:val="en-US"/>
        </w:rPr>
        <w:t>distance to any exclusion area</w:t>
      </w:r>
      <w:r w:rsidR="00DD3F0E" w:rsidRPr="00FD0501">
        <w:rPr>
          <w:lang w:val="en-US"/>
        </w:rPr>
        <w:t xml:space="preserve"> at the </w:t>
      </w:r>
      <w:r w:rsidR="00AF2C37">
        <w:rPr>
          <w:lang w:val="en-US"/>
        </w:rPr>
        <w:t xml:space="preserve">site </w:t>
      </w:r>
      <w:r w:rsidR="00DD3F0E" w:rsidRPr="00FD0501">
        <w:rPr>
          <w:lang w:val="en-US"/>
        </w:rPr>
        <w:t xml:space="preserve">is greater than </w:t>
      </w:r>
      <w:r w:rsidR="00141E54" w:rsidRPr="00FD0501">
        <w:rPr>
          <w:lang w:val="en-US"/>
        </w:rPr>
        <w:t xml:space="preserve">360 </w:t>
      </w:r>
      <w:r w:rsidR="00274555">
        <w:rPr>
          <w:lang w:val="en-US"/>
        </w:rPr>
        <w:t>ft</w:t>
      </w:r>
      <w:r w:rsidR="00274555" w:rsidRPr="00FD0501">
        <w:rPr>
          <w:lang w:val="en-US"/>
        </w:rPr>
        <w:t xml:space="preserve"> </w:t>
      </w:r>
      <w:r w:rsidR="00141E54" w:rsidRPr="00FD0501">
        <w:rPr>
          <w:lang w:val="en-US"/>
        </w:rPr>
        <w:t xml:space="preserve">(110 </w:t>
      </w:r>
      <w:r w:rsidR="00274555">
        <w:rPr>
          <w:lang w:val="en-US"/>
        </w:rPr>
        <w:t>m</w:t>
      </w:r>
      <w:r w:rsidR="00141E54" w:rsidRPr="00FD0501">
        <w:rPr>
          <w:lang w:val="en-US"/>
        </w:rPr>
        <w:t xml:space="preserve">), </w:t>
      </w:r>
      <w:r w:rsidR="002C73F3">
        <w:rPr>
          <w:lang w:val="en-US"/>
        </w:rPr>
        <w:t xml:space="preserve">then </w:t>
      </w:r>
      <w:r w:rsidR="00DD3F0E" w:rsidRPr="00FD0501">
        <w:rPr>
          <w:lang w:val="en-US"/>
        </w:rPr>
        <w:t xml:space="preserve">the site is considered </w:t>
      </w:r>
      <w:r w:rsidR="002352F2" w:rsidRPr="00FD0501">
        <w:rPr>
          <w:lang w:val="en-US"/>
        </w:rPr>
        <w:t>adequate</w:t>
      </w:r>
      <w:r w:rsidR="00761E3D" w:rsidRPr="00FD0501">
        <w:rPr>
          <w:lang w:val="en-US"/>
        </w:rPr>
        <w:t>.</w:t>
      </w:r>
      <w:r w:rsidR="00141E54" w:rsidRPr="00FD0501">
        <w:rPr>
          <w:lang w:val="en-US"/>
        </w:rPr>
        <w:t xml:space="preserve"> </w:t>
      </w:r>
      <w:r w:rsidR="002352F2" w:rsidRPr="00FD0501">
        <w:rPr>
          <w:lang w:val="en-US"/>
        </w:rPr>
        <w:t xml:space="preserve">The other is that </w:t>
      </w:r>
      <w:r w:rsidR="00141E54" w:rsidRPr="00FD0501">
        <w:rPr>
          <w:lang w:val="en-US"/>
        </w:rPr>
        <w:t xml:space="preserve">there </w:t>
      </w:r>
      <w:r w:rsidR="00F37ED3" w:rsidRPr="00FD0501">
        <w:rPr>
          <w:lang w:val="en-US"/>
        </w:rPr>
        <w:t>cannot</w:t>
      </w:r>
      <w:r w:rsidR="00141E54" w:rsidRPr="00FD0501">
        <w:rPr>
          <w:lang w:val="en-US"/>
        </w:rPr>
        <w:t xml:space="preserve"> be public transportation routes that traverse the site</w:t>
      </w:r>
      <w:r w:rsidR="00F37ED3" w:rsidRPr="00FD0501">
        <w:rPr>
          <w:lang w:val="en-US"/>
        </w:rPr>
        <w:t>.</w:t>
      </w:r>
    </w:p>
    <w:p w14:paraId="240D0A93" w14:textId="0C4C471E" w:rsidR="003F6759" w:rsidRPr="00FD0501" w:rsidRDefault="00B40A77" w:rsidP="00E96184">
      <w:pPr>
        <w:pStyle w:val="Heading3"/>
        <w:rPr>
          <w:lang w:val="en-US"/>
        </w:rPr>
      </w:pPr>
      <w:r w:rsidRPr="00FD0501">
        <w:rPr>
          <w:lang w:val="en-US"/>
        </w:rPr>
        <w:t>G</w:t>
      </w:r>
      <w:r w:rsidR="00E96184" w:rsidRPr="00FD0501">
        <w:rPr>
          <w:lang w:val="en-US"/>
        </w:rPr>
        <w:t xml:space="preserve">aps in nuclear facility siting </w:t>
      </w:r>
      <w:r w:rsidR="0000603F" w:rsidRPr="00FD0501">
        <w:rPr>
          <w:lang w:val="en-US"/>
        </w:rPr>
        <w:t xml:space="preserve">security </w:t>
      </w:r>
      <w:r w:rsidR="00E96184" w:rsidRPr="00FD0501">
        <w:rPr>
          <w:lang w:val="en-US"/>
        </w:rPr>
        <w:t>assessment</w:t>
      </w:r>
      <w:r w:rsidR="0000603F" w:rsidRPr="00FD0501">
        <w:rPr>
          <w:lang w:val="en-US"/>
        </w:rPr>
        <w:t xml:space="preserve"> methodology</w:t>
      </w:r>
    </w:p>
    <w:p w14:paraId="292C2A7D" w14:textId="47DCDE9F" w:rsidR="00F67F08" w:rsidRPr="00FD0501" w:rsidRDefault="00F67F08" w:rsidP="00F67F08">
      <w:pPr>
        <w:pStyle w:val="BodyText"/>
        <w:rPr>
          <w:lang w:val="en-US"/>
        </w:rPr>
      </w:pPr>
      <w:r w:rsidRPr="00FD0501">
        <w:rPr>
          <w:lang w:val="en-US"/>
        </w:rPr>
        <w:t xml:space="preserve">The methodologies for developing </w:t>
      </w:r>
      <w:r w:rsidR="00BE505A">
        <w:rPr>
          <w:lang w:val="en-US"/>
        </w:rPr>
        <w:t>PPSs</w:t>
      </w:r>
      <w:r w:rsidRPr="00FD0501">
        <w:rPr>
          <w:lang w:val="en-US"/>
        </w:rPr>
        <w:t xml:space="preserve"> for nuclear facility vulnerability risk mitigation strategies should employ a risk-informed approach. This approach should consider the level of each threat</w:t>
      </w:r>
      <w:r w:rsidR="005D1B4D">
        <w:rPr>
          <w:lang w:val="en-US"/>
        </w:rPr>
        <w:t xml:space="preserve"> as well as </w:t>
      </w:r>
      <w:r w:rsidRPr="00FD0501">
        <w:rPr>
          <w:lang w:val="en-US"/>
        </w:rPr>
        <w:t xml:space="preserve">the attractiveness and the vulnerability of the targets. It should also consider the potential consequences of the threat if manifested. </w:t>
      </w:r>
    </w:p>
    <w:p w14:paraId="1E66C6B1" w14:textId="72E91EAD" w:rsidR="00F67F08" w:rsidRPr="00FD0501" w:rsidRDefault="00F67F08" w:rsidP="00F67F08">
      <w:pPr>
        <w:pStyle w:val="BodyText"/>
        <w:rPr>
          <w:lang w:val="en-US"/>
        </w:rPr>
      </w:pPr>
      <w:r w:rsidRPr="00FD0501">
        <w:rPr>
          <w:lang w:val="en-US"/>
        </w:rPr>
        <w:t xml:space="preserve">International nuclear security instruments recommend that </w:t>
      </w:r>
      <w:r w:rsidR="000877EC">
        <w:rPr>
          <w:lang w:val="en-US"/>
        </w:rPr>
        <w:t>PPSs</w:t>
      </w:r>
      <w:r w:rsidRPr="00FD0501">
        <w:rPr>
          <w:lang w:val="en-US"/>
        </w:rPr>
        <w:t xml:space="preserve"> capable of detecting, delaying, and defeating nuclear threats with high assurance must be put in place to protect nuclear material and nuclear facilities from theft and sabotage by malicious actors. The Convention on the Physical Protection of Nuclear Material (CPPNM) </w:t>
      </w:r>
      <w:r w:rsidR="005C2E9D" w:rsidRPr="00FD0501">
        <w:rPr>
          <w:lang w:val="en-US"/>
        </w:rPr>
        <w:fldChar w:fldCharType="begin"/>
      </w:r>
      <w:r w:rsidR="005C2E9D" w:rsidRPr="00FD0501">
        <w:rPr>
          <w:lang w:val="en-US"/>
        </w:rPr>
        <w:instrText xml:space="preserve"> REF _Ref166488727 \r \h </w:instrText>
      </w:r>
      <w:r w:rsidR="005C2E9D" w:rsidRPr="00FD0501">
        <w:rPr>
          <w:lang w:val="en-US"/>
        </w:rPr>
      </w:r>
      <w:r w:rsidR="005C2E9D" w:rsidRPr="00FD0501">
        <w:rPr>
          <w:lang w:val="en-US"/>
        </w:rPr>
        <w:fldChar w:fldCharType="separate"/>
      </w:r>
      <w:r w:rsidR="005C2E9D" w:rsidRPr="00FD0501">
        <w:rPr>
          <w:lang w:val="en-US"/>
        </w:rPr>
        <w:t>[19]</w:t>
      </w:r>
      <w:r w:rsidR="005C2E9D" w:rsidRPr="00FD0501">
        <w:rPr>
          <w:lang w:val="en-US"/>
        </w:rPr>
        <w:fldChar w:fldCharType="end"/>
      </w:r>
      <w:r w:rsidRPr="00FD0501">
        <w:rPr>
          <w:lang w:val="en-US"/>
        </w:rPr>
        <w:t xml:space="preserve"> requires that </w:t>
      </w:r>
      <w:r w:rsidR="003E5224">
        <w:rPr>
          <w:lang w:val="en-US"/>
        </w:rPr>
        <w:t>a</w:t>
      </w:r>
      <w:r w:rsidRPr="00FD0501">
        <w:rPr>
          <w:lang w:val="en-US"/>
        </w:rPr>
        <w:t xml:space="preserve"> State</w:t>
      </w:r>
      <w:r w:rsidR="003E5224">
        <w:rPr>
          <w:lang w:val="en-US"/>
        </w:rPr>
        <w:t>’</w:t>
      </w:r>
      <w:r w:rsidRPr="00FD0501">
        <w:rPr>
          <w:lang w:val="en-US"/>
        </w:rPr>
        <w:t>s</w:t>
      </w:r>
      <w:r w:rsidR="00813406">
        <w:rPr>
          <w:lang w:val="en-US"/>
        </w:rPr>
        <w:t xml:space="preserve"> </w:t>
      </w:r>
      <w:r w:rsidRPr="00FD0501">
        <w:rPr>
          <w:lang w:val="en-US"/>
        </w:rPr>
        <w:t>PPS</w:t>
      </w:r>
      <w:r w:rsidR="00813406">
        <w:rPr>
          <w:lang w:val="en-US"/>
        </w:rPr>
        <w:t>s</w:t>
      </w:r>
      <w:r w:rsidRPr="00FD0501">
        <w:rPr>
          <w:lang w:val="en-US"/>
        </w:rPr>
        <w:t xml:space="preserve"> should be based on the State</w:t>
      </w:r>
      <w:r w:rsidR="002E7746">
        <w:rPr>
          <w:lang w:val="en-US"/>
        </w:rPr>
        <w:t>’</w:t>
      </w:r>
      <w:r w:rsidRPr="00FD0501">
        <w:rPr>
          <w:lang w:val="en-US"/>
        </w:rPr>
        <w:t xml:space="preserve">s current evaluation of the threat; thus, a PPS designed for a present threat may not be sufficient to defeat a future threat. Under its fundamental principle G, the amendment to the CPPNM </w:t>
      </w:r>
      <w:r w:rsidR="005C6C58" w:rsidRPr="00FD0501">
        <w:rPr>
          <w:lang w:val="en-US"/>
        </w:rPr>
        <w:fldChar w:fldCharType="begin"/>
      </w:r>
      <w:r w:rsidR="005C6C58" w:rsidRPr="00FD0501">
        <w:rPr>
          <w:lang w:val="en-US"/>
        </w:rPr>
        <w:instrText xml:space="preserve"> REF _Ref166488801 \r \h </w:instrText>
      </w:r>
      <w:r w:rsidR="005C6C58" w:rsidRPr="00FD0501">
        <w:rPr>
          <w:lang w:val="en-US"/>
        </w:rPr>
      </w:r>
      <w:r w:rsidR="005C6C58" w:rsidRPr="00FD0501">
        <w:rPr>
          <w:lang w:val="en-US"/>
        </w:rPr>
        <w:fldChar w:fldCharType="separate"/>
      </w:r>
      <w:r w:rsidR="005C6C58" w:rsidRPr="00FD0501">
        <w:rPr>
          <w:lang w:val="en-US"/>
        </w:rPr>
        <w:t>[20]</w:t>
      </w:r>
      <w:r w:rsidR="005C6C58" w:rsidRPr="00FD0501">
        <w:rPr>
          <w:lang w:val="en-US"/>
        </w:rPr>
        <w:fldChar w:fldCharType="end"/>
      </w:r>
      <w:r w:rsidRPr="00FD0501">
        <w:rPr>
          <w:lang w:val="en-US"/>
        </w:rPr>
        <w:t xml:space="preserve"> also requires that a nuclear security regime use risk-informed approaches based on a graded approach and </w:t>
      </w:r>
      <w:r w:rsidR="00877EA7" w:rsidRPr="00FD0501">
        <w:rPr>
          <w:lang w:val="en-US"/>
        </w:rPr>
        <w:t>defense</w:t>
      </w:r>
      <w:r w:rsidR="00877EA7">
        <w:rPr>
          <w:lang w:val="en-US"/>
        </w:rPr>
        <w:t>-</w:t>
      </w:r>
      <w:r w:rsidRPr="00FD0501">
        <w:rPr>
          <w:lang w:val="en-US"/>
        </w:rPr>
        <w:t>in</w:t>
      </w:r>
      <w:r w:rsidR="00877EA7">
        <w:rPr>
          <w:lang w:val="en-US"/>
        </w:rPr>
        <w:t>-</w:t>
      </w:r>
      <w:r w:rsidRPr="00FD0501">
        <w:rPr>
          <w:lang w:val="en-US"/>
        </w:rPr>
        <w:t>depth to design PPS</w:t>
      </w:r>
      <w:r w:rsidR="00C709C6">
        <w:rPr>
          <w:lang w:val="en-US"/>
        </w:rPr>
        <w:t>s</w:t>
      </w:r>
      <w:r w:rsidRPr="00FD0501">
        <w:rPr>
          <w:lang w:val="en-US"/>
        </w:rPr>
        <w:t xml:space="preserve">. </w:t>
      </w:r>
    </w:p>
    <w:p w14:paraId="67E14080" w14:textId="4E592895" w:rsidR="00F67F08" w:rsidRPr="00FD0501" w:rsidRDefault="00F67F08" w:rsidP="00F67F08">
      <w:pPr>
        <w:pStyle w:val="BodyText"/>
        <w:rPr>
          <w:lang w:val="en-US"/>
        </w:rPr>
      </w:pPr>
      <w:r w:rsidRPr="00FD0501">
        <w:rPr>
          <w:lang w:val="en-US"/>
        </w:rPr>
        <w:t xml:space="preserve">In one of the fundamentals listed by IAEA in </w:t>
      </w:r>
      <w:r w:rsidR="005C6C58" w:rsidRPr="00FD0501">
        <w:rPr>
          <w:lang w:val="en-US"/>
        </w:rPr>
        <w:fldChar w:fldCharType="begin"/>
      </w:r>
      <w:r w:rsidR="005C6C58" w:rsidRPr="00FD0501">
        <w:rPr>
          <w:lang w:val="en-US"/>
        </w:rPr>
        <w:instrText xml:space="preserve"> REF _Ref166487901 \r \h </w:instrText>
      </w:r>
      <w:r w:rsidR="005C6C58" w:rsidRPr="00FD0501">
        <w:rPr>
          <w:lang w:val="en-US"/>
        </w:rPr>
      </w:r>
      <w:r w:rsidR="005C6C58" w:rsidRPr="00FD0501">
        <w:rPr>
          <w:lang w:val="en-US"/>
        </w:rPr>
        <w:fldChar w:fldCharType="separate"/>
      </w:r>
      <w:r w:rsidR="005C6C58" w:rsidRPr="00FD0501">
        <w:rPr>
          <w:lang w:val="en-US"/>
        </w:rPr>
        <w:t>[2]</w:t>
      </w:r>
      <w:r w:rsidR="005C6C58" w:rsidRPr="00FD0501">
        <w:rPr>
          <w:lang w:val="en-US"/>
        </w:rPr>
        <w:fldChar w:fldCharType="end"/>
      </w:r>
      <w:r w:rsidRPr="00FD0501">
        <w:rPr>
          <w:lang w:val="en-US"/>
        </w:rPr>
        <w:t xml:space="preserve">, it </w:t>
      </w:r>
      <w:r w:rsidR="00DA6539">
        <w:rPr>
          <w:lang w:val="en-US"/>
        </w:rPr>
        <w:t>is</w:t>
      </w:r>
      <w:r w:rsidR="00DA6539" w:rsidRPr="00FD0501">
        <w:rPr>
          <w:lang w:val="en-US"/>
        </w:rPr>
        <w:t xml:space="preserve"> </w:t>
      </w:r>
      <w:r w:rsidRPr="00FD0501">
        <w:rPr>
          <w:lang w:val="en-US"/>
        </w:rPr>
        <w:t xml:space="preserve">recommended that the State define PPS requirements for nuclear security systems and security measures based on the threat assessment or design basis threat for the physical protection of nuclear materials and nuclear facilities depending on the associated consequences of either unauthorized removal or sabotage. In </w:t>
      </w:r>
      <w:r w:rsidR="005C6C58" w:rsidRPr="00FD0501">
        <w:rPr>
          <w:lang w:val="en-US"/>
        </w:rPr>
        <w:fldChar w:fldCharType="begin"/>
      </w:r>
      <w:r w:rsidR="005C6C58" w:rsidRPr="00FD0501">
        <w:rPr>
          <w:lang w:val="en-US"/>
        </w:rPr>
        <w:instrText xml:space="preserve"> REF _Ref166487919 \r \h </w:instrText>
      </w:r>
      <w:r w:rsidR="005C6C58" w:rsidRPr="00FD0501">
        <w:rPr>
          <w:lang w:val="en-US"/>
        </w:rPr>
      </w:r>
      <w:r w:rsidR="005C6C58" w:rsidRPr="00FD0501">
        <w:rPr>
          <w:lang w:val="en-US"/>
        </w:rPr>
        <w:fldChar w:fldCharType="separate"/>
      </w:r>
      <w:r w:rsidR="005C6C58" w:rsidRPr="00FD0501">
        <w:rPr>
          <w:lang w:val="en-US"/>
        </w:rPr>
        <w:t>[3]</w:t>
      </w:r>
      <w:r w:rsidR="005C6C58" w:rsidRPr="00FD0501">
        <w:rPr>
          <w:lang w:val="en-US"/>
        </w:rPr>
        <w:fldChar w:fldCharType="end"/>
      </w:r>
      <w:r w:rsidRPr="00FD0501">
        <w:rPr>
          <w:lang w:val="en-US"/>
        </w:rPr>
        <w:t>, the IAEA also recommend</w:t>
      </w:r>
      <w:r w:rsidR="00BC48C4">
        <w:rPr>
          <w:lang w:val="en-US"/>
        </w:rPr>
        <w:t>s</w:t>
      </w:r>
      <w:r w:rsidRPr="00FD0501">
        <w:rPr>
          <w:lang w:val="en-US"/>
        </w:rPr>
        <w:t xml:space="preserve"> that the State assess whether the potential threats have the capabilities necessary to cause an unacceptable event for a specific target, facility, or activity. </w:t>
      </w:r>
      <w:r w:rsidR="00EA7EC3">
        <w:rPr>
          <w:lang w:val="en-US"/>
        </w:rPr>
        <w:t>Although</w:t>
      </w:r>
      <w:r w:rsidR="00EA7EC3" w:rsidRPr="00FD0501">
        <w:rPr>
          <w:lang w:val="en-US"/>
        </w:rPr>
        <w:t xml:space="preserve"> </w:t>
      </w:r>
      <w:r w:rsidRPr="00FD0501">
        <w:rPr>
          <w:lang w:val="en-US"/>
        </w:rPr>
        <w:t>a current design basis threat may offer insights into some of the capabilities of a potential threat, it may not provide adequate clues about a future threat</w:t>
      </w:r>
      <w:r w:rsidR="001F1CC0">
        <w:rPr>
          <w:lang w:val="en-US"/>
        </w:rPr>
        <w:t>’</w:t>
      </w:r>
      <w:r w:rsidRPr="00FD0501">
        <w:rPr>
          <w:lang w:val="en-US"/>
        </w:rPr>
        <w:t>s potential</w:t>
      </w:r>
      <w:r w:rsidR="00E93E7A">
        <w:rPr>
          <w:lang w:val="en-US"/>
        </w:rPr>
        <w:t xml:space="preserve"> for this reason, </w:t>
      </w:r>
      <w:r w:rsidR="008E0AA8">
        <w:rPr>
          <w:lang w:val="en-US"/>
        </w:rPr>
        <w:t>new threats are required to be re-evaluated at certain intervals</w:t>
      </w:r>
      <w:r w:rsidRPr="00FD0501">
        <w:rPr>
          <w:lang w:val="en-US"/>
        </w:rPr>
        <w:t>.</w:t>
      </w:r>
    </w:p>
    <w:p w14:paraId="4774644A" w14:textId="5F9B2473" w:rsidR="00F67F08" w:rsidRPr="00FD0501" w:rsidRDefault="00F67F08" w:rsidP="00F67F08">
      <w:pPr>
        <w:pStyle w:val="BodyText"/>
        <w:rPr>
          <w:lang w:val="en-US"/>
        </w:rPr>
      </w:pPr>
      <w:r w:rsidRPr="00FD0501">
        <w:rPr>
          <w:lang w:val="en-US"/>
        </w:rPr>
        <w:t xml:space="preserve">Although </w:t>
      </w:r>
      <w:r w:rsidR="00F837B6">
        <w:rPr>
          <w:lang w:val="en-US"/>
        </w:rPr>
        <w:t xml:space="preserve">the goals of </w:t>
      </w:r>
      <w:r w:rsidRPr="00FD0501">
        <w:rPr>
          <w:lang w:val="en-US"/>
        </w:rPr>
        <w:t xml:space="preserve">safety and security </w:t>
      </w:r>
      <w:r w:rsidR="00F837B6">
        <w:rPr>
          <w:lang w:val="en-US"/>
        </w:rPr>
        <w:t>differ</w:t>
      </w:r>
      <w:r w:rsidRPr="00FD0501">
        <w:rPr>
          <w:lang w:val="en-US"/>
        </w:rPr>
        <w:t>, both safety and security vulnerability assessments during the siting phase can be done in a synergic way. This concept of synergic assessment of safety and security is not entirely new, and there are benefits, as alluded to in this paper</w:t>
      </w:r>
      <w:r w:rsidR="00FA4F48">
        <w:rPr>
          <w:lang w:val="en-US"/>
        </w:rPr>
        <w:t>’</w:t>
      </w:r>
      <w:r w:rsidRPr="00FD0501">
        <w:rPr>
          <w:lang w:val="en-US"/>
        </w:rPr>
        <w:t xml:space="preserve">s introduction section. </w:t>
      </w:r>
      <w:r w:rsidR="008723A2">
        <w:rPr>
          <w:lang w:val="en-US"/>
        </w:rPr>
        <w:t xml:space="preserve">Moreover, </w:t>
      </w:r>
      <w:r w:rsidR="00433D6A" w:rsidRPr="00FD0501">
        <w:rPr>
          <w:lang w:val="en-US"/>
        </w:rPr>
        <w:fldChar w:fldCharType="begin"/>
      </w:r>
      <w:r w:rsidR="00433D6A" w:rsidRPr="00FD0501">
        <w:rPr>
          <w:lang w:val="en-US"/>
        </w:rPr>
        <w:instrText xml:space="preserve"> REF _Ref166488890 \r \h </w:instrText>
      </w:r>
      <w:r w:rsidR="00433D6A" w:rsidRPr="00FD0501">
        <w:rPr>
          <w:lang w:val="en-US"/>
        </w:rPr>
      </w:r>
      <w:r w:rsidR="00433D6A" w:rsidRPr="00FD0501">
        <w:rPr>
          <w:lang w:val="en-US"/>
        </w:rPr>
        <w:fldChar w:fldCharType="separate"/>
      </w:r>
      <w:r w:rsidR="00433D6A" w:rsidRPr="00FD0501">
        <w:rPr>
          <w:lang w:val="en-US"/>
        </w:rPr>
        <w:t>[21]</w:t>
      </w:r>
      <w:r w:rsidR="00433D6A" w:rsidRPr="00FD0501">
        <w:rPr>
          <w:lang w:val="en-US"/>
        </w:rPr>
        <w:fldChar w:fldCharType="end"/>
      </w:r>
      <w:r w:rsidRPr="00FD0501">
        <w:rPr>
          <w:lang w:val="en-US"/>
        </w:rPr>
        <w:t xml:space="preserve"> highlight</w:t>
      </w:r>
      <w:r w:rsidR="00725ADC">
        <w:rPr>
          <w:lang w:val="en-US"/>
        </w:rPr>
        <w:t>s</w:t>
      </w:r>
      <w:r w:rsidRPr="00FD0501">
        <w:rPr>
          <w:lang w:val="en-US"/>
        </w:rPr>
        <w:t xml:space="preserve"> the importance of the synergy between safety and security during risk assessment</w:t>
      </w:r>
      <w:r w:rsidR="00096B1A">
        <w:rPr>
          <w:lang w:val="en-US"/>
        </w:rPr>
        <w:t>,</w:t>
      </w:r>
      <w:r w:rsidRPr="00FD0501">
        <w:rPr>
          <w:lang w:val="en-US"/>
        </w:rPr>
        <w:t xml:space="preserve"> and </w:t>
      </w:r>
      <w:r w:rsidR="00096B1A">
        <w:rPr>
          <w:lang w:val="en-US"/>
        </w:rPr>
        <w:t xml:space="preserve">it also suggests </w:t>
      </w:r>
      <w:r w:rsidRPr="00FD0501">
        <w:rPr>
          <w:lang w:val="en-US"/>
        </w:rPr>
        <w:t>ways to integrate safety and security assessments. Safety assessment framework</w:t>
      </w:r>
      <w:r w:rsidR="009D6B69">
        <w:rPr>
          <w:lang w:val="en-US"/>
        </w:rPr>
        <w:t>s</w:t>
      </w:r>
      <w:r w:rsidRPr="00FD0501">
        <w:rPr>
          <w:lang w:val="en-US"/>
        </w:rPr>
        <w:t xml:space="preserve"> can be used to inform security vulnerability assessment and </w:t>
      </w:r>
      <w:r w:rsidR="00BD43AD">
        <w:rPr>
          <w:lang w:val="en-US"/>
        </w:rPr>
        <w:t>vice versa,</w:t>
      </w:r>
      <w:r w:rsidRPr="00FD0501">
        <w:rPr>
          <w:lang w:val="en-US"/>
        </w:rPr>
        <w:t xml:space="preserve"> as shown </w:t>
      </w:r>
      <w:r w:rsidR="00BD43AD">
        <w:rPr>
          <w:lang w:val="en-US"/>
        </w:rPr>
        <w:t>in</w:t>
      </w:r>
      <w:r w:rsidR="00BD43AD" w:rsidRPr="00FD0501">
        <w:rPr>
          <w:lang w:val="en-US"/>
        </w:rPr>
        <w:t xml:space="preserve"> </w:t>
      </w:r>
      <w:r w:rsidR="00433D6A" w:rsidRPr="00FD0501">
        <w:rPr>
          <w:lang w:val="en-US"/>
        </w:rPr>
        <w:fldChar w:fldCharType="begin"/>
      </w:r>
      <w:r w:rsidR="00433D6A" w:rsidRPr="00FD0501">
        <w:rPr>
          <w:lang w:val="en-US"/>
        </w:rPr>
        <w:instrText xml:space="preserve"> REF _Ref166488912 \r \h </w:instrText>
      </w:r>
      <w:r w:rsidR="00433D6A" w:rsidRPr="00FD0501">
        <w:rPr>
          <w:lang w:val="en-US"/>
        </w:rPr>
      </w:r>
      <w:r w:rsidR="00433D6A" w:rsidRPr="00FD0501">
        <w:rPr>
          <w:lang w:val="en-US"/>
        </w:rPr>
        <w:fldChar w:fldCharType="separate"/>
      </w:r>
      <w:r w:rsidR="00433D6A" w:rsidRPr="00FD0501">
        <w:rPr>
          <w:lang w:val="en-US"/>
        </w:rPr>
        <w:t>[22]</w:t>
      </w:r>
      <w:r w:rsidR="00433D6A" w:rsidRPr="00FD0501">
        <w:rPr>
          <w:lang w:val="en-US"/>
        </w:rPr>
        <w:fldChar w:fldCharType="end"/>
      </w:r>
      <w:r w:rsidRPr="00FD0501">
        <w:rPr>
          <w:lang w:val="en-US"/>
        </w:rPr>
        <w:t>. It is important to note that there are differences between the two, and they should not be rolled into one concept</w:t>
      </w:r>
      <w:r w:rsidR="007E531F">
        <w:rPr>
          <w:lang w:val="en-US"/>
        </w:rPr>
        <w:t>,</w:t>
      </w:r>
      <w:r w:rsidRPr="00FD0501">
        <w:rPr>
          <w:lang w:val="en-US"/>
        </w:rPr>
        <w:t xml:space="preserve"> as </w:t>
      </w:r>
      <w:r w:rsidR="007E531F">
        <w:rPr>
          <w:lang w:val="en-US"/>
        </w:rPr>
        <w:t>has been done</w:t>
      </w:r>
      <w:r w:rsidRPr="00FD0501">
        <w:rPr>
          <w:lang w:val="en-US"/>
        </w:rPr>
        <w:t xml:space="preserve"> in the past. </w:t>
      </w:r>
      <w:r w:rsidR="00170EC5" w:rsidRPr="00FD0501">
        <w:rPr>
          <w:lang w:val="en-US"/>
        </w:rPr>
        <w:t xml:space="preserve">Baybutt </w:t>
      </w:r>
      <w:r w:rsidR="00433D6A" w:rsidRPr="00FD0501">
        <w:rPr>
          <w:lang w:val="en-US"/>
        </w:rPr>
        <w:fldChar w:fldCharType="begin"/>
      </w:r>
      <w:r w:rsidR="00433D6A" w:rsidRPr="00FD0501">
        <w:rPr>
          <w:lang w:val="en-US"/>
        </w:rPr>
        <w:instrText xml:space="preserve"> REF _Ref166488926 \r \h </w:instrText>
      </w:r>
      <w:r w:rsidR="00433D6A" w:rsidRPr="00FD0501">
        <w:rPr>
          <w:lang w:val="en-US"/>
        </w:rPr>
      </w:r>
      <w:r w:rsidR="00433D6A" w:rsidRPr="00FD0501">
        <w:rPr>
          <w:lang w:val="en-US"/>
        </w:rPr>
        <w:fldChar w:fldCharType="separate"/>
      </w:r>
      <w:r w:rsidR="00433D6A" w:rsidRPr="00FD0501">
        <w:rPr>
          <w:lang w:val="en-US"/>
        </w:rPr>
        <w:t>[23]</w:t>
      </w:r>
      <w:r w:rsidR="00433D6A" w:rsidRPr="00FD0501">
        <w:rPr>
          <w:lang w:val="en-US"/>
        </w:rPr>
        <w:fldChar w:fldCharType="end"/>
      </w:r>
      <w:r w:rsidRPr="00FD0501">
        <w:rPr>
          <w:lang w:val="en-US"/>
        </w:rPr>
        <w:t xml:space="preserve"> alluded to this possibility by noting that security assessment methodologies were being developed in the past using safety engineering concepts instead of security engineering concepts. </w:t>
      </w:r>
    </w:p>
    <w:p w14:paraId="5738330A" w14:textId="005CB203" w:rsidR="00F67F08" w:rsidRPr="00FD0501" w:rsidRDefault="00F67F08" w:rsidP="00F67F08">
      <w:pPr>
        <w:pStyle w:val="BodyText"/>
        <w:rPr>
          <w:lang w:val="en-US"/>
        </w:rPr>
      </w:pPr>
      <w:r w:rsidRPr="00FD0501">
        <w:rPr>
          <w:lang w:val="en-US"/>
        </w:rPr>
        <w:t>Two main physical security risk assessment methodologies are used to assess the vulnerability of critical infrastructure: the deterministic risk assessment (DRA) approach and the probabilistic risk assessment (PRA) approach. DRA evaluates the impact of a single risk-based factor derived from past incidents and impacts. DRA-based security vulnerability approaches</w:t>
      </w:r>
      <w:r w:rsidR="00EF72A8">
        <w:rPr>
          <w:lang w:val="en-US"/>
        </w:rPr>
        <w:t xml:space="preserve"> have been</w:t>
      </w:r>
      <w:r w:rsidRPr="00FD0501">
        <w:rPr>
          <w:lang w:val="en-US"/>
        </w:rPr>
        <w:t xml:space="preserve"> developed for critical infrastructure security vulnerability assessments. Table 2 in </w:t>
      </w:r>
      <w:r w:rsidR="00433D6A" w:rsidRPr="00FD0501">
        <w:rPr>
          <w:lang w:val="en-US"/>
        </w:rPr>
        <w:fldChar w:fldCharType="begin"/>
      </w:r>
      <w:r w:rsidR="00433D6A" w:rsidRPr="00FD0501">
        <w:rPr>
          <w:lang w:val="en-US"/>
        </w:rPr>
        <w:instrText xml:space="preserve"> REF _Ref166488960 \r \h </w:instrText>
      </w:r>
      <w:r w:rsidR="00433D6A" w:rsidRPr="00FD0501">
        <w:rPr>
          <w:lang w:val="en-US"/>
        </w:rPr>
      </w:r>
      <w:r w:rsidR="00433D6A" w:rsidRPr="00FD0501">
        <w:rPr>
          <w:lang w:val="en-US"/>
        </w:rPr>
        <w:fldChar w:fldCharType="separate"/>
      </w:r>
      <w:r w:rsidR="00433D6A" w:rsidRPr="00FD0501">
        <w:rPr>
          <w:lang w:val="en-US"/>
        </w:rPr>
        <w:t>[24]</w:t>
      </w:r>
      <w:r w:rsidR="00433D6A" w:rsidRPr="00FD0501">
        <w:rPr>
          <w:lang w:val="en-US"/>
        </w:rPr>
        <w:fldChar w:fldCharType="end"/>
      </w:r>
      <w:r w:rsidRPr="00FD0501">
        <w:rPr>
          <w:lang w:val="en-US"/>
        </w:rPr>
        <w:t xml:space="preserve"> summarizes such approaches, their areas of application, and their major weakness. The PRA approach allows multiple risk-based factors to be </w:t>
      </w:r>
      <w:r w:rsidR="00450A71">
        <w:rPr>
          <w:lang w:val="en-US"/>
        </w:rPr>
        <w:t>considered</w:t>
      </w:r>
      <w:r w:rsidR="00450A71" w:rsidRPr="00FD0501">
        <w:rPr>
          <w:lang w:val="en-US"/>
        </w:rPr>
        <w:t xml:space="preserve"> </w:t>
      </w:r>
      <w:r w:rsidRPr="00FD0501">
        <w:rPr>
          <w:lang w:val="en-US"/>
        </w:rPr>
        <w:t xml:space="preserve">to develop various scenarios. PRA-based security vulnerability approaches have been used to assess security vulnerability in critical infrastructure areas such as maritime, chemical plants, pipelines, hazardous material transportation, intruder prevention, and security vulnerability during major events in </w:t>
      </w:r>
      <w:r w:rsidR="00AA115D">
        <w:rPr>
          <w:lang w:val="en-US"/>
        </w:rPr>
        <w:t>cities</w:t>
      </w:r>
      <w:r w:rsidRPr="00FD0501">
        <w:rPr>
          <w:lang w:val="en-US"/>
        </w:rPr>
        <w:t xml:space="preserve">. Examples of specific applications can be found in Tables 3, 4, and 6 in </w:t>
      </w:r>
      <w:r w:rsidR="00433D6A" w:rsidRPr="00FD0501">
        <w:rPr>
          <w:lang w:val="en-US"/>
        </w:rPr>
        <w:fldChar w:fldCharType="begin"/>
      </w:r>
      <w:r w:rsidR="00433D6A" w:rsidRPr="00FD0501">
        <w:rPr>
          <w:lang w:val="en-US"/>
        </w:rPr>
        <w:instrText xml:space="preserve"> REF _Ref166488960 \r \h </w:instrText>
      </w:r>
      <w:r w:rsidR="00433D6A" w:rsidRPr="00FD0501">
        <w:rPr>
          <w:lang w:val="en-US"/>
        </w:rPr>
      </w:r>
      <w:r w:rsidR="00433D6A" w:rsidRPr="00FD0501">
        <w:rPr>
          <w:lang w:val="en-US"/>
        </w:rPr>
        <w:fldChar w:fldCharType="separate"/>
      </w:r>
      <w:r w:rsidR="00433D6A" w:rsidRPr="00FD0501">
        <w:rPr>
          <w:lang w:val="en-US"/>
        </w:rPr>
        <w:t>[24]</w:t>
      </w:r>
      <w:r w:rsidR="00433D6A" w:rsidRPr="00FD0501">
        <w:rPr>
          <w:lang w:val="en-US"/>
        </w:rPr>
        <w:fldChar w:fldCharType="end"/>
      </w:r>
      <w:r w:rsidRPr="00FD0501">
        <w:rPr>
          <w:lang w:val="en-US"/>
        </w:rPr>
        <w:t xml:space="preserve">. </w:t>
      </w:r>
    </w:p>
    <w:p w14:paraId="42DD43B2" w14:textId="1076AF1A" w:rsidR="00B40A77" w:rsidRPr="00FD0501" w:rsidRDefault="00644D5C" w:rsidP="00F67F08">
      <w:pPr>
        <w:pStyle w:val="BodyText"/>
        <w:rPr>
          <w:lang w:val="en-US"/>
        </w:rPr>
      </w:pPr>
      <w:r w:rsidRPr="00FD0501">
        <w:rPr>
          <w:lang w:val="en-US"/>
        </w:rPr>
        <w:t>T</w:t>
      </w:r>
      <w:r w:rsidR="00F67F08" w:rsidRPr="00FD0501">
        <w:rPr>
          <w:lang w:val="en-US"/>
        </w:rPr>
        <w:t>he PRA methodologies</w:t>
      </w:r>
      <w:r w:rsidR="0057784B">
        <w:rPr>
          <w:lang w:val="en-US"/>
        </w:rPr>
        <w:t>—</w:t>
      </w:r>
      <w:r w:rsidR="00F67F08" w:rsidRPr="00FD0501">
        <w:rPr>
          <w:lang w:val="en-US"/>
        </w:rPr>
        <w:t xml:space="preserve">especially the Bayesian network theory, as used in the chemical process industry </w:t>
      </w:r>
      <w:r w:rsidR="00433D6A" w:rsidRPr="00FD0501">
        <w:rPr>
          <w:lang w:val="en-US"/>
        </w:rPr>
        <w:fldChar w:fldCharType="begin"/>
      </w:r>
      <w:r w:rsidR="00433D6A" w:rsidRPr="00FD0501">
        <w:rPr>
          <w:lang w:val="en-US"/>
        </w:rPr>
        <w:instrText xml:space="preserve"> REF _Ref166489007 \r \h </w:instrText>
      </w:r>
      <w:r w:rsidR="00433D6A" w:rsidRPr="00FD0501">
        <w:rPr>
          <w:lang w:val="en-US"/>
        </w:rPr>
      </w:r>
      <w:r w:rsidR="00433D6A" w:rsidRPr="00FD0501">
        <w:rPr>
          <w:lang w:val="en-US"/>
        </w:rPr>
        <w:fldChar w:fldCharType="separate"/>
      </w:r>
      <w:r w:rsidR="00433D6A" w:rsidRPr="00FD0501">
        <w:rPr>
          <w:lang w:val="en-US"/>
        </w:rPr>
        <w:t>[25]</w:t>
      </w:r>
      <w:r w:rsidR="00433D6A" w:rsidRPr="00FD0501">
        <w:rPr>
          <w:lang w:val="en-US"/>
        </w:rPr>
        <w:fldChar w:fldCharType="end"/>
      </w:r>
      <w:r w:rsidR="00433D6A" w:rsidRPr="00FD0501">
        <w:rPr>
          <w:lang w:val="en-US"/>
        </w:rPr>
        <w:t xml:space="preserve">, </w:t>
      </w:r>
      <w:r w:rsidR="00433D6A" w:rsidRPr="00FD0501">
        <w:rPr>
          <w:lang w:val="en-US"/>
        </w:rPr>
        <w:fldChar w:fldCharType="begin"/>
      </w:r>
      <w:r w:rsidR="00433D6A" w:rsidRPr="00FD0501">
        <w:rPr>
          <w:lang w:val="en-US"/>
        </w:rPr>
        <w:instrText xml:space="preserve"> REF _Ref166489019 \r \h </w:instrText>
      </w:r>
      <w:r w:rsidR="00433D6A" w:rsidRPr="00FD0501">
        <w:rPr>
          <w:lang w:val="en-US"/>
        </w:rPr>
      </w:r>
      <w:r w:rsidR="00433D6A" w:rsidRPr="00FD0501">
        <w:rPr>
          <w:lang w:val="en-US"/>
        </w:rPr>
        <w:fldChar w:fldCharType="separate"/>
      </w:r>
      <w:r w:rsidR="00433D6A" w:rsidRPr="00FD0501">
        <w:rPr>
          <w:lang w:val="en-US"/>
        </w:rPr>
        <w:t>[26]</w:t>
      </w:r>
      <w:r w:rsidR="00433D6A" w:rsidRPr="00FD0501">
        <w:rPr>
          <w:lang w:val="en-US"/>
        </w:rPr>
        <w:fldChar w:fldCharType="end"/>
      </w:r>
      <w:r w:rsidR="00433D6A" w:rsidRPr="00FD0501">
        <w:rPr>
          <w:lang w:val="en-US"/>
        </w:rPr>
        <w:t xml:space="preserve">, </w:t>
      </w:r>
      <w:r w:rsidR="00433D6A" w:rsidRPr="00FD0501">
        <w:rPr>
          <w:lang w:val="en-US"/>
        </w:rPr>
        <w:fldChar w:fldCharType="begin"/>
      </w:r>
      <w:r w:rsidR="00433D6A" w:rsidRPr="00FD0501">
        <w:rPr>
          <w:lang w:val="en-US"/>
        </w:rPr>
        <w:instrText xml:space="preserve"> REF _Ref166489022 \r \h </w:instrText>
      </w:r>
      <w:r w:rsidR="00433D6A" w:rsidRPr="00FD0501">
        <w:rPr>
          <w:lang w:val="en-US"/>
        </w:rPr>
      </w:r>
      <w:r w:rsidR="00433D6A" w:rsidRPr="00FD0501">
        <w:rPr>
          <w:lang w:val="en-US"/>
        </w:rPr>
        <w:fldChar w:fldCharType="separate"/>
      </w:r>
      <w:r w:rsidR="00433D6A" w:rsidRPr="00FD0501">
        <w:rPr>
          <w:lang w:val="en-US"/>
        </w:rPr>
        <w:t>[27]</w:t>
      </w:r>
      <w:r w:rsidR="00433D6A" w:rsidRPr="00FD0501">
        <w:rPr>
          <w:lang w:val="en-US"/>
        </w:rPr>
        <w:fldChar w:fldCharType="end"/>
      </w:r>
      <w:r w:rsidR="00433D6A" w:rsidRPr="00FD0501">
        <w:rPr>
          <w:lang w:val="en-US"/>
        </w:rPr>
        <w:t xml:space="preserve">, </w:t>
      </w:r>
      <w:r w:rsidR="00433D6A" w:rsidRPr="00FD0501">
        <w:rPr>
          <w:lang w:val="en-US"/>
        </w:rPr>
        <w:fldChar w:fldCharType="begin"/>
      </w:r>
      <w:r w:rsidR="00433D6A" w:rsidRPr="00FD0501">
        <w:rPr>
          <w:lang w:val="en-US"/>
        </w:rPr>
        <w:instrText xml:space="preserve"> REF _Ref166489025 \r \h </w:instrText>
      </w:r>
      <w:r w:rsidR="00433D6A" w:rsidRPr="00FD0501">
        <w:rPr>
          <w:lang w:val="en-US"/>
        </w:rPr>
      </w:r>
      <w:r w:rsidR="00433D6A" w:rsidRPr="00FD0501">
        <w:rPr>
          <w:lang w:val="en-US"/>
        </w:rPr>
        <w:fldChar w:fldCharType="separate"/>
      </w:r>
      <w:r w:rsidR="00433D6A" w:rsidRPr="00FD0501">
        <w:rPr>
          <w:lang w:val="en-US"/>
        </w:rPr>
        <w:t>[28]</w:t>
      </w:r>
      <w:r w:rsidR="00433D6A" w:rsidRPr="00FD0501">
        <w:rPr>
          <w:lang w:val="en-US"/>
        </w:rPr>
        <w:fldChar w:fldCharType="end"/>
      </w:r>
      <w:r w:rsidR="00433D6A" w:rsidRPr="00FD0501">
        <w:rPr>
          <w:lang w:val="en-US"/>
        </w:rPr>
        <w:t xml:space="preserve">, </w:t>
      </w:r>
      <w:r w:rsidR="0057784B">
        <w:rPr>
          <w:lang w:val="en-US"/>
        </w:rPr>
        <w:t>and</w:t>
      </w:r>
      <w:r w:rsidR="00433D6A" w:rsidRPr="00FD0501">
        <w:rPr>
          <w:lang w:val="en-US"/>
        </w:rPr>
        <w:t xml:space="preserve"> </w:t>
      </w:r>
      <w:r w:rsidR="00433D6A" w:rsidRPr="00FD0501">
        <w:rPr>
          <w:lang w:val="en-US"/>
        </w:rPr>
        <w:fldChar w:fldCharType="begin"/>
      </w:r>
      <w:r w:rsidR="00433D6A" w:rsidRPr="00FD0501">
        <w:rPr>
          <w:lang w:val="en-US"/>
        </w:rPr>
        <w:instrText xml:space="preserve"> REF _Ref166489027 \r \h </w:instrText>
      </w:r>
      <w:r w:rsidR="00433D6A" w:rsidRPr="00FD0501">
        <w:rPr>
          <w:lang w:val="en-US"/>
        </w:rPr>
      </w:r>
      <w:r w:rsidR="00433D6A" w:rsidRPr="00FD0501">
        <w:rPr>
          <w:lang w:val="en-US"/>
        </w:rPr>
        <w:fldChar w:fldCharType="separate"/>
      </w:r>
      <w:r w:rsidR="00433D6A" w:rsidRPr="00FD0501">
        <w:rPr>
          <w:lang w:val="en-US"/>
        </w:rPr>
        <w:t>[29]</w:t>
      </w:r>
      <w:r w:rsidR="00433D6A" w:rsidRPr="00FD0501">
        <w:rPr>
          <w:lang w:val="en-US"/>
        </w:rPr>
        <w:fldChar w:fldCharType="end"/>
      </w:r>
      <w:r w:rsidR="0057784B">
        <w:rPr>
          <w:lang w:val="en-US"/>
        </w:rPr>
        <w:t>—</w:t>
      </w:r>
      <w:r w:rsidR="00F67F08" w:rsidRPr="00FD0501">
        <w:rPr>
          <w:lang w:val="en-US"/>
        </w:rPr>
        <w:t xml:space="preserve">can be adapted for the vulnerability assessment of critical infrastructure like a nuclear facility during the siting phase. By nature, nuclear security threats are dynamic because the attractiveness of a target as perceived by a malicious attacker can change, </w:t>
      </w:r>
      <w:r w:rsidR="00C56AFE" w:rsidRPr="00C56AFE">
        <w:rPr>
          <w:lang w:val="en-US"/>
        </w:rPr>
        <w:t xml:space="preserve">so applying the DRA models to assess </w:t>
      </w:r>
      <w:r w:rsidR="00C56AFE" w:rsidRPr="00C56AFE">
        <w:rPr>
          <w:lang w:val="en-US"/>
        </w:rPr>
        <w:lastRenderedPageBreak/>
        <w:t>and quantify nuclear security threats</w:t>
      </w:r>
      <w:r w:rsidR="00F67F08" w:rsidRPr="00FD0501">
        <w:rPr>
          <w:lang w:val="en-US"/>
        </w:rPr>
        <w:t xml:space="preserve"> may not yield the optimum result. Another reason the application of the DRA model may not produce the optimum result is that in the DRA model, only the impact of a single risk factor can be evaluated at a time. The risk factor must be based on past incidents or events and their effects. Threats from emergent technologies may not have any of these precursors that can provide meaningful insight into how a malicious attacker can deploy such technologies against a nuclear facility. Continuous improvement in emerging technologies and the unpredictability of the </w:t>
      </w:r>
      <w:r w:rsidR="00F71B53" w:rsidRPr="00FD0501">
        <w:rPr>
          <w:lang w:val="en-US"/>
        </w:rPr>
        <w:t>behavior</w:t>
      </w:r>
      <w:r w:rsidR="00F67F08" w:rsidRPr="00FD0501">
        <w:rPr>
          <w:lang w:val="en-US"/>
        </w:rPr>
        <w:t xml:space="preserve"> of malicious attackers imply that developing a siting phase security vulnerability assessment methodology based on the </w:t>
      </w:r>
      <w:r w:rsidR="00E43CAD">
        <w:rPr>
          <w:lang w:val="en-US"/>
        </w:rPr>
        <w:t>PRA</w:t>
      </w:r>
      <w:r w:rsidR="00F67F08" w:rsidRPr="00FD0501">
        <w:rPr>
          <w:lang w:val="en-US"/>
        </w:rPr>
        <w:t xml:space="preserve"> is more desirable.</w:t>
      </w:r>
    </w:p>
    <w:p w14:paraId="1B297C48" w14:textId="2BD31E8F" w:rsidR="00EE0041" w:rsidRPr="00FD0501" w:rsidRDefault="00E27E28" w:rsidP="0026525A">
      <w:pPr>
        <w:pStyle w:val="Heading2"/>
        <w:numPr>
          <w:ilvl w:val="1"/>
          <w:numId w:val="10"/>
        </w:numPr>
        <w:rPr>
          <w:lang w:val="en-US"/>
        </w:rPr>
      </w:pPr>
      <w:r w:rsidRPr="00FD0501">
        <w:rPr>
          <w:lang w:val="en-US"/>
        </w:rPr>
        <w:t>ADVANCED NUCLEAR REACTORS SITES AND THEIR POTENTIAL SECURITY VULNERABILITIES</w:t>
      </w:r>
    </w:p>
    <w:p w14:paraId="098117E0" w14:textId="527FE536" w:rsidR="00FF1BF0" w:rsidRPr="00FD0501" w:rsidRDefault="00FF1BF0" w:rsidP="2FF36D8A">
      <w:pPr>
        <w:pStyle w:val="BodyText"/>
      </w:pPr>
      <w:r w:rsidRPr="2FF36D8A">
        <w:t xml:space="preserve">Advanced nuclear reactor facilities will be attractive targets for potential malicious actors who may want to steal nuclear materials or sabotage different targets within </w:t>
      </w:r>
      <w:r w:rsidR="00393D61" w:rsidRPr="2FF36D8A">
        <w:t xml:space="preserve">a </w:t>
      </w:r>
      <w:r w:rsidRPr="2FF36D8A">
        <w:t xml:space="preserve">facility. Targets within an advanced nuclear reactor site will consist of personnel, equipment, and nuclear material. By design, advanced nuclear reactors will likely have more passive safety-related systems, </w:t>
      </w:r>
      <w:r w:rsidR="008D1DA1" w:rsidRPr="2FF36D8A">
        <w:t xml:space="preserve">are </w:t>
      </w:r>
      <w:r w:rsidRPr="2FF36D8A">
        <w:t xml:space="preserve">sometimes smaller in size than conventional nuclear reactors, and can be built in modules. These advanced design features make them suitable for deployment where conventional nuclear reactors are unacceptable. They can be built closer to population </w:t>
      </w:r>
      <w:proofErr w:type="spellStart"/>
      <w:r w:rsidR="00830EA2" w:rsidRPr="2FF36D8A">
        <w:t>centers</w:t>
      </w:r>
      <w:proofErr w:type="spellEnd"/>
      <w:r w:rsidRPr="2FF36D8A">
        <w:t>, co-located with other energy-generating technologies, or other industries. Some advanced reactor technologies are very small (microreactor</w:t>
      </w:r>
      <w:r w:rsidR="000A1C01" w:rsidRPr="2FF36D8A">
        <w:t>s</w:t>
      </w:r>
      <w:r w:rsidRPr="2FF36D8A">
        <w:t xml:space="preserve"> &lt; </w:t>
      </w:r>
      <w:r w:rsidR="009A18F6" w:rsidRPr="2FF36D8A">
        <w:t>50</w:t>
      </w:r>
      <w:r w:rsidRPr="2FF36D8A">
        <w:t xml:space="preserve"> </w:t>
      </w:r>
      <w:proofErr w:type="spellStart"/>
      <w:r w:rsidR="004D1597" w:rsidRPr="2FF36D8A">
        <w:t>MWt</w:t>
      </w:r>
      <w:proofErr w:type="spellEnd"/>
      <w:r w:rsidRPr="2FF36D8A">
        <w:t>); this size feature makes the microreactor transportable from a fabrication factory to an operator</w:t>
      </w:r>
      <w:r w:rsidR="00746532" w:rsidRPr="2FF36D8A">
        <w:t>’</w:t>
      </w:r>
      <w:r w:rsidRPr="2FF36D8A">
        <w:t xml:space="preserve">s site on trucks or </w:t>
      </w:r>
      <w:r w:rsidR="00772FFF" w:rsidRPr="2FF36D8A">
        <w:t xml:space="preserve">by </w:t>
      </w:r>
      <w:r w:rsidRPr="2FF36D8A">
        <w:t xml:space="preserve">rail. All these unique features of advanced nuclear reactors increase the vulnerability of the nuclear material and the nuclear reactor facility to threats. They may also reduce the effectiveness of some nuclear security measures.  </w:t>
      </w:r>
    </w:p>
    <w:p w14:paraId="27FFEEFA" w14:textId="2EB8C925" w:rsidR="00FF1BF0" w:rsidRPr="00FD0501" w:rsidRDefault="00FF1BF0" w:rsidP="00FF1BF0">
      <w:pPr>
        <w:pStyle w:val="BodyText"/>
        <w:rPr>
          <w:lang w:val="en-US"/>
        </w:rPr>
      </w:pPr>
      <w:r w:rsidRPr="00FD0501">
        <w:rPr>
          <w:lang w:val="en-US"/>
        </w:rPr>
        <w:t xml:space="preserve">Therefore, </w:t>
      </w:r>
      <w:r w:rsidR="000F288B">
        <w:rPr>
          <w:lang w:val="en-US"/>
        </w:rPr>
        <w:t>locations</w:t>
      </w:r>
      <w:r w:rsidRPr="00FD0501">
        <w:rPr>
          <w:lang w:val="en-US"/>
        </w:rPr>
        <w:t xml:space="preserve"> being considered for advanced nuclear facility siting must be evaluated for nuclear security vulnerabilities, which can inform the development of sufficient threat mitigation measures. Traditionally, nuclear reactor site threat vulnerability evaluation </w:t>
      </w:r>
      <w:r w:rsidR="009F5BDC">
        <w:rPr>
          <w:lang w:val="en-US"/>
        </w:rPr>
        <w:t>has</w:t>
      </w:r>
      <w:r w:rsidR="009F5BDC" w:rsidRPr="00FD0501">
        <w:rPr>
          <w:lang w:val="en-US"/>
        </w:rPr>
        <w:t xml:space="preserve"> </w:t>
      </w:r>
      <w:r w:rsidRPr="00FD0501">
        <w:rPr>
          <w:lang w:val="en-US"/>
        </w:rPr>
        <w:t xml:space="preserve">been </w:t>
      </w:r>
      <w:r w:rsidR="001E6735">
        <w:rPr>
          <w:lang w:val="en-US"/>
        </w:rPr>
        <w:t>performed</w:t>
      </w:r>
      <w:r w:rsidR="001E6735" w:rsidRPr="00FD0501">
        <w:rPr>
          <w:lang w:val="en-US"/>
        </w:rPr>
        <w:t xml:space="preserve"> </w:t>
      </w:r>
      <w:r w:rsidR="00496BED">
        <w:rPr>
          <w:lang w:val="en-US"/>
        </w:rPr>
        <w:t>with a focus</w:t>
      </w:r>
      <w:r w:rsidR="00496BED" w:rsidRPr="00FD0501">
        <w:rPr>
          <w:lang w:val="en-US"/>
        </w:rPr>
        <w:t xml:space="preserve"> </w:t>
      </w:r>
      <w:r w:rsidRPr="00FD0501">
        <w:rPr>
          <w:lang w:val="en-US"/>
        </w:rPr>
        <w:t xml:space="preserve">on site suitability to provide a safe operating environment for the nuclear reactors. In addition to the </w:t>
      </w:r>
      <w:r w:rsidR="00E07249">
        <w:rPr>
          <w:lang w:val="en-US"/>
        </w:rPr>
        <w:t>asse</w:t>
      </w:r>
      <w:r w:rsidR="007F6AD2">
        <w:rPr>
          <w:lang w:val="en-US"/>
        </w:rPr>
        <w:t>ss</w:t>
      </w:r>
      <w:r w:rsidR="00E07249">
        <w:rPr>
          <w:lang w:val="en-US"/>
        </w:rPr>
        <w:t xml:space="preserve">ments of </w:t>
      </w:r>
      <w:r w:rsidRPr="00FD0501">
        <w:rPr>
          <w:lang w:val="en-US"/>
        </w:rPr>
        <w:t>security vulnerability due to the site</w:t>
      </w:r>
      <w:r w:rsidR="00DA086B">
        <w:rPr>
          <w:lang w:val="en-US"/>
        </w:rPr>
        <w:t>’</w:t>
      </w:r>
      <w:r w:rsidRPr="00FD0501">
        <w:rPr>
          <w:lang w:val="en-US"/>
        </w:rPr>
        <w:t xml:space="preserve">s natural and artificial features, the sites to be selected for the deployment of an advanced nuclear reactor must be evaluated for security risks in terms of closeness to the population </w:t>
      </w:r>
      <w:r w:rsidR="00830EA2" w:rsidRPr="00FD0501">
        <w:rPr>
          <w:lang w:val="en-US"/>
        </w:rPr>
        <w:t>center</w:t>
      </w:r>
      <w:r w:rsidRPr="00FD0501">
        <w:rPr>
          <w:lang w:val="en-US"/>
        </w:rPr>
        <w:t xml:space="preserve"> and the increased attractiveness for a would-be malicious attacker to cause maximum impact on the nearby population.</w:t>
      </w:r>
    </w:p>
    <w:p w14:paraId="6B4DB000" w14:textId="133A2044" w:rsidR="008B6BB9" w:rsidRPr="00FD0501" w:rsidRDefault="005C652A" w:rsidP="00932F66">
      <w:pPr>
        <w:pStyle w:val="Heading2"/>
        <w:rPr>
          <w:lang w:val="en-US"/>
        </w:rPr>
      </w:pPr>
      <w:r w:rsidRPr="00FD0501">
        <w:rPr>
          <w:lang w:val="en-US"/>
        </w:rPr>
        <w:t>FUTURE WORK</w:t>
      </w:r>
    </w:p>
    <w:p w14:paraId="3B16B425" w14:textId="17563585" w:rsidR="009433C1" w:rsidRPr="00FD0501" w:rsidRDefault="009433C1" w:rsidP="007A40E2">
      <w:pPr>
        <w:ind w:firstLine="567"/>
        <w:jc w:val="both"/>
        <w:rPr>
          <w:sz w:val="20"/>
          <w:lang w:val="en-US"/>
        </w:rPr>
      </w:pPr>
      <w:r w:rsidRPr="00FD0501">
        <w:rPr>
          <w:sz w:val="20"/>
          <w:lang w:val="en-US"/>
        </w:rPr>
        <w:t xml:space="preserve">It will be valuable to </w:t>
      </w:r>
      <w:r w:rsidR="00C42D6B">
        <w:rPr>
          <w:sz w:val="20"/>
          <w:lang w:val="en-US"/>
        </w:rPr>
        <w:t xml:space="preserve">enhance </w:t>
      </w:r>
      <w:r w:rsidRPr="00FD0501">
        <w:rPr>
          <w:sz w:val="20"/>
          <w:lang w:val="en-US"/>
        </w:rPr>
        <w:t xml:space="preserve">a framework and assessment methodology to address the siting security vulnerability gaps, such as </w:t>
      </w:r>
      <w:r w:rsidR="008344A8">
        <w:rPr>
          <w:sz w:val="20"/>
          <w:lang w:val="en-US"/>
        </w:rPr>
        <w:t xml:space="preserve">those in </w:t>
      </w:r>
      <w:r w:rsidRPr="00FD0501">
        <w:rPr>
          <w:sz w:val="20"/>
          <w:lang w:val="en-US"/>
        </w:rPr>
        <w:t>assessment methodology and the apparent lack of clear guidance on evaluating the security impact of natural and artificial features around a nuclear facility site during the siting phase.</w:t>
      </w:r>
    </w:p>
    <w:p w14:paraId="7109D5B7" w14:textId="0DD72D34" w:rsidR="009433C1" w:rsidRPr="00FD0501" w:rsidRDefault="009433C1" w:rsidP="007A40E2">
      <w:pPr>
        <w:ind w:firstLine="567"/>
        <w:jc w:val="both"/>
        <w:rPr>
          <w:sz w:val="20"/>
          <w:lang w:val="en-US"/>
        </w:rPr>
      </w:pPr>
      <w:r w:rsidRPr="00FD0501">
        <w:rPr>
          <w:sz w:val="20"/>
          <w:lang w:val="en-US"/>
        </w:rPr>
        <w:t xml:space="preserve">Future work will </w:t>
      </w:r>
      <w:r w:rsidR="004B511A">
        <w:rPr>
          <w:sz w:val="20"/>
          <w:lang w:val="en-US"/>
        </w:rPr>
        <w:t>involve</w:t>
      </w:r>
      <w:r w:rsidR="004B511A" w:rsidRPr="00FD0501">
        <w:rPr>
          <w:sz w:val="20"/>
          <w:lang w:val="en-US"/>
        </w:rPr>
        <w:t xml:space="preserve"> </w:t>
      </w:r>
      <w:r w:rsidRPr="00FD0501">
        <w:rPr>
          <w:sz w:val="20"/>
          <w:lang w:val="en-US"/>
        </w:rPr>
        <w:t>applying a Bayesian network</w:t>
      </w:r>
      <w:r w:rsidR="00AC472F">
        <w:rPr>
          <w:sz w:val="20"/>
          <w:lang w:val="en-US"/>
        </w:rPr>
        <w:t>–</w:t>
      </w:r>
      <w:r w:rsidRPr="00FD0501">
        <w:rPr>
          <w:sz w:val="20"/>
          <w:lang w:val="en-US"/>
        </w:rPr>
        <w:t xml:space="preserve">based PRA model coupled with a multi-criteria decision-making risk-informed approach to </w:t>
      </w:r>
      <w:r w:rsidR="00C42D6B">
        <w:rPr>
          <w:sz w:val="20"/>
          <w:lang w:val="en-US"/>
        </w:rPr>
        <w:t>en</w:t>
      </w:r>
      <w:r w:rsidR="002D2510">
        <w:rPr>
          <w:sz w:val="20"/>
          <w:lang w:val="en-US"/>
        </w:rPr>
        <w:t xml:space="preserve">hance </w:t>
      </w:r>
      <w:r w:rsidRPr="00FD0501">
        <w:rPr>
          <w:sz w:val="20"/>
          <w:lang w:val="en-US"/>
        </w:rPr>
        <w:t xml:space="preserve">a framework that can be used to assess a nuclear facility site for security vulnerability during the siting phase. The list of the disqualifying criteria provided in </w:t>
      </w:r>
      <w:r w:rsidR="00A265A2" w:rsidRPr="00FD0501">
        <w:rPr>
          <w:sz w:val="20"/>
          <w:lang w:val="en-US"/>
        </w:rPr>
        <w:fldChar w:fldCharType="begin"/>
      </w:r>
      <w:r w:rsidR="00A265A2" w:rsidRPr="00FD0501">
        <w:rPr>
          <w:sz w:val="20"/>
          <w:lang w:val="en-US"/>
        </w:rPr>
        <w:instrText xml:space="preserve"> REF _Ref166488330 \r \h </w:instrText>
      </w:r>
      <w:r w:rsidR="00A265A2" w:rsidRPr="00FD0501">
        <w:rPr>
          <w:sz w:val="20"/>
          <w:lang w:val="en-US"/>
        </w:rPr>
      </w:r>
      <w:r w:rsidR="00A265A2" w:rsidRPr="00FD0501">
        <w:rPr>
          <w:sz w:val="20"/>
          <w:lang w:val="en-US"/>
        </w:rPr>
        <w:fldChar w:fldCharType="separate"/>
      </w:r>
      <w:r w:rsidR="00A265A2" w:rsidRPr="00FD0501">
        <w:rPr>
          <w:sz w:val="20"/>
          <w:lang w:val="en-US"/>
        </w:rPr>
        <w:t>[10]</w:t>
      </w:r>
      <w:r w:rsidR="00A265A2" w:rsidRPr="00FD0501">
        <w:rPr>
          <w:sz w:val="20"/>
          <w:lang w:val="en-US"/>
        </w:rPr>
        <w:fldChar w:fldCharType="end"/>
      </w:r>
      <w:r w:rsidRPr="00FD0501">
        <w:rPr>
          <w:sz w:val="20"/>
          <w:lang w:val="en-US"/>
        </w:rPr>
        <w:t xml:space="preserve"> and the provisions in </w:t>
      </w:r>
      <w:r w:rsidR="00A265A2" w:rsidRPr="00FD0501">
        <w:rPr>
          <w:sz w:val="20"/>
          <w:lang w:val="en-US"/>
        </w:rPr>
        <w:fldChar w:fldCharType="begin"/>
      </w:r>
      <w:r w:rsidR="00A265A2" w:rsidRPr="00FD0501">
        <w:rPr>
          <w:sz w:val="20"/>
          <w:lang w:val="en-US"/>
        </w:rPr>
        <w:instrText xml:space="preserve"> REF _Ref166488134 \r \h </w:instrText>
      </w:r>
      <w:r w:rsidR="00A265A2" w:rsidRPr="00FD0501">
        <w:rPr>
          <w:sz w:val="20"/>
          <w:lang w:val="en-US"/>
        </w:rPr>
      </w:r>
      <w:r w:rsidR="00A265A2" w:rsidRPr="00FD0501">
        <w:rPr>
          <w:sz w:val="20"/>
          <w:lang w:val="en-US"/>
        </w:rPr>
        <w:fldChar w:fldCharType="separate"/>
      </w:r>
      <w:r w:rsidR="00A265A2" w:rsidRPr="00FD0501">
        <w:rPr>
          <w:sz w:val="20"/>
          <w:lang w:val="en-US"/>
        </w:rPr>
        <w:t>[7]</w:t>
      </w:r>
      <w:r w:rsidR="00A265A2" w:rsidRPr="00FD0501">
        <w:rPr>
          <w:sz w:val="20"/>
          <w:lang w:val="en-US"/>
        </w:rPr>
        <w:fldChar w:fldCharType="end"/>
      </w:r>
      <w:r w:rsidRPr="00FD0501">
        <w:rPr>
          <w:sz w:val="20"/>
          <w:lang w:val="en-US"/>
        </w:rPr>
        <w:t xml:space="preserve"> can be used as part of the requirements for developing </w:t>
      </w:r>
      <w:r w:rsidR="00593E58">
        <w:rPr>
          <w:sz w:val="20"/>
          <w:lang w:val="en-US"/>
        </w:rPr>
        <w:t>such a framework.</w:t>
      </w:r>
    </w:p>
    <w:p w14:paraId="197F135E" w14:textId="72288229" w:rsidR="009433C1" w:rsidRPr="00FD0501" w:rsidRDefault="009433C1" w:rsidP="007A40E2">
      <w:pPr>
        <w:pStyle w:val="Authornameandaffiliation"/>
        <w:ind w:left="0" w:firstLine="567"/>
      </w:pPr>
      <w:r w:rsidRPr="00FD0501">
        <w:t xml:space="preserve">It will also be prudent to use such a framework to re-assess how the natural and artificial features around existing nuclear facilities can compromise </w:t>
      </w:r>
      <w:r w:rsidR="00FA420B">
        <w:t>a</w:t>
      </w:r>
      <w:r w:rsidR="00FA420B" w:rsidRPr="00FD0501">
        <w:t xml:space="preserve"> </w:t>
      </w:r>
      <w:r w:rsidR="00452AAE" w:rsidRPr="00FD0501">
        <w:t>site’s</w:t>
      </w:r>
      <w:r w:rsidRPr="00FD0501">
        <w:t xml:space="preserve"> security in the context of new threats from emerging technologies. This re-assessment exercise can provide insights into how to </w:t>
      </w:r>
      <w:r w:rsidR="00B12E51" w:rsidRPr="00FD0501">
        <w:t xml:space="preserve">provide additional </w:t>
      </w:r>
      <w:r w:rsidRPr="00FD0501">
        <w:t>mitigation measures against emerging threats.</w:t>
      </w:r>
    </w:p>
    <w:p w14:paraId="7B29C0F0" w14:textId="048BF174" w:rsidR="00F004EE" w:rsidRPr="00FD0501" w:rsidRDefault="00897B36" w:rsidP="00537496">
      <w:pPr>
        <w:pStyle w:val="Heading2"/>
        <w:rPr>
          <w:lang w:val="en-US"/>
        </w:rPr>
      </w:pPr>
      <w:r w:rsidRPr="00FD0501">
        <w:rPr>
          <w:lang w:val="en-US"/>
        </w:rPr>
        <w:t>Conclusion</w:t>
      </w:r>
    </w:p>
    <w:p w14:paraId="1DF78C0F" w14:textId="421D70AA" w:rsidR="000A2B1E" w:rsidRPr="00744773" w:rsidRDefault="000A2B1E" w:rsidP="00537496">
      <w:pPr>
        <w:pStyle w:val="BodyText"/>
        <w:rPr>
          <w:lang w:val="en-US"/>
        </w:rPr>
      </w:pPr>
      <w:r w:rsidRPr="00FD0501">
        <w:rPr>
          <w:lang w:val="en-US"/>
        </w:rPr>
        <w:t>The review conducted on existing guidance developed to ensure safe and secure nuclear power operation revealed a gap in the vulnerability assessment framework for addressing security vulnerabilities of potential nuclear facility sites during the early phases of the nuclear reactor facility</w:t>
      </w:r>
      <w:r w:rsidR="00D14708">
        <w:rPr>
          <w:lang w:val="en-US"/>
        </w:rPr>
        <w:t>’s lifetime</w:t>
      </w:r>
      <w:r w:rsidRPr="00FD0501">
        <w:rPr>
          <w:lang w:val="en-US"/>
        </w:rPr>
        <w:t>. Existing guidance is mainly focused on assessing the natural and artificial features of a potential nuclear reactor facility site that can compromise the</w:t>
      </w:r>
      <w:r w:rsidRPr="005527E7">
        <w:rPr>
          <w:lang w:val="en-US"/>
        </w:rPr>
        <w:t xml:space="preserve"> safety</w:t>
      </w:r>
      <w:r w:rsidRPr="00FD0501">
        <w:rPr>
          <w:lang w:val="en-US"/>
        </w:rPr>
        <w:t xml:space="preserve"> of the reactor and the facility. Developing a vulnerability assessment framework for the siting phase can help identify features that can make the implementation of future security measures challenging and costly. </w:t>
      </w:r>
      <w:r w:rsidR="00744773" w:rsidRPr="00744773">
        <w:rPr>
          <w:rStyle w:val="cf01"/>
          <w:rFonts w:ascii="Times New Roman" w:hAnsi="Times New Roman" w:cs="Times New Roman"/>
          <w:sz w:val="20"/>
          <w:szCs w:val="20"/>
        </w:rPr>
        <w:t xml:space="preserve">Natural and artificial features of a potential site can make it vulnerable to malicious attacks or impact the effectiveness of physical security measures. For example, emergency responders’ proximity to a site may </w:t>
      </w:r>
      <w:r w:rsidR="00744773" w:rsidRPr="00744773">
        <w:rPr>
          <w:rStyle w:val="cf01"/>
          <w:rFonts w:ascii="Times New Roman" w:hAnsi="Times New Roman" w:cs="Times New Roman"/>
          <w:sz w:val="20"/>
          <w:szCs w:val="20"/>
        </w:rPr>
        <w:lastRenderedPageBreak/>
        <w:t>impact responders’ accessibility to the site in case of security event. Also, a potential site that is surrounded by high elevations may be vulnerable to malicious aerial attacks.</w:t>
      </w:r>
    </w:p>
    <w:p w14:paraId="73A6F059" w14:textId="77777777" w:rsidR="00F45EEE" w:rsidRPr="00FD0501" w:rsidRDefault="00F45EEE" w:rsidP="00F45EEE">
      <w:pPr>
        <w:pStyle w:val="BodyText"/>
        <w:ind w:firstLine="0"/>
        <w:rPr>
          <w:lang w:val="en-US"/>
        </w:rPr>
      </w:pPr>
    </w:p>
    <w:p w14:paraId="15F4F300" w14:textId="77777777" w:rsidR="00285755" w:rsidRPr="00FD0501" w:rsidRDefault="00285755" w:rsidP="00537496">
      <w:pPr>
        <w:pStyle w:val="Otherunnumberedheadings"/>
        <w:rPr>
          <w:lang w:val="en-US"/>
        </w:rPr>
      </w:pPr>
      <w:r w:rsidRPr="00FD0501">
        <w:rPr>
          <w:lang w:val="en-US"/>
        </w:rPr>
        <w:t>ACKNOWLEDGEMENTS</w:t>
      </w:r>
    </w:p>
    <w:p w14:paraId="395A93D6" w14:textId="3FB64605" w:rsidR="000955F2" w:rsidRPr="00FD0501" w:rsidRDefault="000955F2" w:rsidP="007751ED">
      <w:pPr>
        <w:pStyle w:val="BodyText"/>
        <w:rPr>
          <w:lang w:val="en-US"/>
        </w:rPr>
      </w:pPr>
      <w:r w:rsidRPr="00FD0501">
        <w:rPr>
          <w:lang w:val="en-US"/>
        </w:rPr>
        <w:t>The work presented in the paper was sponsored by the U</w:t>
      </w:r>
      <w:r w:rsidR="003B1778" w:rsidRPr="00FD0501">
        <w:rPr>
          <w:lang w:val="en-US"/>
        </w:rPr>
        <w:t xml:space="preserve">nited </w:t>
      </w:r>
      <w:r w:rsidRPr="00FD0501">
        <w:rPr>
          <w:lang w:val="en-US"/>
        </w:rPr>
        <w:t>S</w:t>
      </w:r>
      <w:r w:rsidR="003B1778" w:rsidRPr="00FD0501">
        <w:rPr>
          <w:lang w:val="en-US"/>
        </w:rPr>
        <w:t>tate</w:t>
      </w:r>
      <w:r w:rsidR="00357727" w:rsidRPr="00FD0501">
        <w:rPr>
          <w:lang w:val="en-US"/>
        </w:rPr>
        <w:t xml:space="preserve"> National Nuclear Security </w:t>
      </w:r>
      <w:r w:rsidR="00F1758B" w:rsidRPr="00FD0501">
        <w:rPr>
          <w:lang w:val="en-US"/>
        </w:rPr>
        <w:t>Administration’s</w:t>
      </w:r>
      <w:r w:rsidR="00357727" w:rsidRPr="00FD0501">
        <w:rPr>
          <w:lang w:val="en-US"/>
        </w:rPr>
        <w:t xml:space="preserve"> Office</w:t>
      </w:r>
      <w:r w:rsidRPr="00FD0501">
        <w:rPr>
          <w:lang w:val="en-US"/>
        </w:rPr>
        <w:t xml:space="preserve"> of International Nuclear Security under the Advanced Reactor program.</w:t>
      </w:r>
      <w:r w:rsidR="007751ED" w:rsidRPr="00FD0501">
        <w:rPr>
          <w:lang w:val="en-US"/>
        </w:rPr>
        <w:t xml:space="preserve"> This manuscript has been authored by UT-Battelle, LLC, under contract DE-AC05-00OR22725 with the US Department of Energy (DOE). The U.S. government retains the publisher, by accepting the article for publication, acknowledges that the U.S. government retains a nonexclusive, paid-up, irrevocable, worldwide license to publish or reproduce the published form of this manuscript, or allow others to do so, for U.S. government purposes. DOE will provide public access to</w:t>
      </w:r>
      <w:r w:rsidR="002E0053" w:rsidRPr="00FD0501">
        <w:rPr>
          <w:lang w:val="en-US"/>
        </w:rPr>
        <w:t xml:space="preserve"> </w:t>
      </w:r>
      <w:r w:rsidR="007751ED" w:rsidRPr="00FD0501">
        <w:rPr>
          <w:lang w:val="en-US"/>
        </w:rPr>
        <w:t>these results of federally sponsored research in accordance with the DOE</w:t>
      </w:r>
      <w:r w:rsidR="002E0053" w:rsidRPr="00FD0501">
        <w:rPr>
          <w:lang w:val="en-US"/>
        </w:rPr>
        <w:t xml:space="preserve"> </w:t>
      </w:r>
      <w:r w:rsidR="007751ED" w:rsidRPr="00FD0501">
        <w:rPr>
          <w:lang w:val="en-US"/>
        </w:rPr>
        <w:t>Public Access Plan</w:t>
      </w:r>
      <w:r w:rsidR="002E0053" w:rsidRPr="00FD0501">
        <w:rPr>
          <w:lang w:val="en-US"/>
        </w:rPr>
        <w:t xml:space="preserve"> </w:t>
      </w:r>
      <w:r w:rsidR="007751ED" w:rsidRPr="00FD0501">
        <w:rPr>
          <w:lang w:val="en-US"/>
        </w:rPr>
        <w:t>(</w:t>
      </w:r>
      <w:hyperlink r:id="rId13" w:history="1">
        <w:r w:rsidR="002E0053" w:rsidRPr="00FD0501">
          <w:rPr>
            <w:rStyle w:val="Hyperlink"/>
            <w:lang w:val="en-US"/>
          </w:rPr>
          <w:t>https://energy.gov/downloads/doe-public-access-plan</w:t>
        </w:r>
      </w:hyperlink>
      <w:r w:rsidR="007751ED" w:rsidRPr="00FD0501">
        <w:rPr>
          <w:lang w:val="en-US"/>
        </w:rPr>
        <w:t>).</w:t>
      </w:r>
    </w:p>
    <w:p w14:paraId="32B76F9D" w14:textId="77777777" w:rsidR="00D26ADA" w:rsidRPr="00FD0501" w:rsidRDefault="00D26ADA" w:rsidP="00537496">
      <w:pPr>
        <w:pStyle w:val="Otherunnumberedheadings"/>
        <w:rPr>
          <w:lang w:val="en-US"/>
        </w:rPr>
      </w:pPr>
      <w:r w:rsidRPr="00FD0501">
        <w:rPr>
          <w:lang w:val="en-US"/>
        </w:rPr>
        <w:t>References</w:t>
      </w:r>
    </w:p>
    <w:p w14:paraId="1BCB7FE5" w14:textId="1308C0C7" w:rsidR="00362FBA" w:rsidRPr="00FD0501" w:rsidRDefault="00362FBA" w:rsidP="00362FBA">
      <w:pPr>
        <w:pStyle w:val="Referencelist"/>
        <w:rPr>
          <w:lang w:val="en-US"/>
        </w:rPr>
      </w:pPr>
      <w:bookmarkStart w:id="5" w:name="_Ref166487426"/>
      <w:r w:rsidRPr="00FD0501">
        <w:rPr>
          <w:lang w:val="en-US"/>
        </w:rPr>
        <w:t>INTERNATIONAL ATOMIC ENERGY AGENCY, Security During the Lifetime of a Nuclear Facility, IAEA Nuclear Security Series No. 35-G, IAEA, Vienna (2019).</w:t>
      </w:r>
      <w:bookmarkEnd w:id="5"/>
    </w:p>
    <w:p w14:paraId="68F645F0" w14:textId="18971F59" w:rsidR="00362FBA" w:rsidRPr="00FD0501" w:rsidRDefault="00362FBA" w:rsidP="00362FBA">
      <w:pPr>
        <w:pStyle w:val="Referencelist"/>
        <w:rPr>
          <w:lang w:val="en-US"/>
        </w:rPr>
      </w:pPr>
      <w:bookmarkStart w:id="6" w:name="_Ref166487901"/>
      <w:r w:rsidRPr="00FD0501">
        <w:rPr>
          <w:lang w:val="en-US"/>
        </w:rPr>
        <w:t>INTERNATIONAL ATOMIC ENERGY AGENCY, Objective and Essential Elements of a State's Nuclear Security Regime, IAEA Nuclear Security Series No. 20, IAEA, Vienna (2013).</w:t>
      </w:r>
      <w:bookmarkEnd w:id="6"/>
    </w:p>
    <w:p w14:paraId="4AE5E88C" w14:textId="55A8151E" w:rsidR="00362FBA" w:rsidRPr="00FD0501" w:rsidRDefault="00362FBA" w:rsidP="00362FBA">
      <w:pPr>
        <w:pStyle w:val="Referencelist"/>
        <w:rPr>
          <w:lang w:val="en-US"/>
        </w:rPr>
      </w:pPr>
      <w:bookmarkStart w:id="7" w:name="_Ref166487919"/>
      <w:r w:rsidRPr="00FD0501">
        <w:rPr>
          <w:lang w:val="en-US"/>
        </w:rPr>
        <w:t>INTERNATIONAL ATOMIC ENERGY AGENCY, Nuclear Security Recommendations on Physical Protection of Nuclear Material and Nuclear Facilities (INFCIRC/225/Revision 5), IAEA Nuclear Security Series No. 13, IAEA, Vienna (2011).</w:t>
      </w:r>
      <w:bookmarkEnd w:id="7"/>
    </w:p>
    <w:p w14:paraId="71170CF6" w14:textId="61D9A8C0" w:rsidR="00362FBA" w:rsidRPr="00FD0501" w:rsidRDefault="00362FBA" w:rsidP="00362FBA">
      <w:pPr>
        <w:pStyle w:val="Referencelist"/>
        <w:rPr>
          <w:lang w:val="en-US"/>
        </w:rPr>
      </w:pPr>
      <w:bookmarkStart w:id="8" w:name="_Ref166487922"/>
      <w:r w:rsidRPr="00FD0501">
        <w:rPr>
          <w:lang w:val="en-US"/>
        </w:rPr>
        <w:t>INTERNATIONAL ATOMIC ENERGY AGENCY, Physical Protection of Nuclear Material and Nuclear Facilities (Implementation of INFCIRC/225/Revision 5), IAEA Nuclear Security Series No. 27-G, IAEA, Vienna (2018).</w:t>
      </w:r>
      <w:bookmarkEnd w:id="8"/>
    </w:p>
    <w:p w14:paraId="1C592BDC" w14:textId="0104D939" w:rsidR="00362FBA" w:rsidRPr="00FD0501" w:rsidRDefault="00362FBA" w:rsidP="00362FBA">
      <w:pPr>
        <w:pStyle w:val="Referencelist"/>
        <w:rPr>
          <w:lang w:val="en-US"/>
        </w:rPr>
      </w:pPr>
      <w:bookmarkStart w:id="9" w:name="_Ref166487981"/>
      <w:r w:rsidRPr="00FD0501">
        <w:rPr>
          <w:lang w:val="en-US"/>
        </w:rPr>
        <w:t>INTERNATIONAL ATOMIC ENERGY AGENCY, Site Evaluation for Nuclear Installations, IAEA Safety Standards Series No. NS-R-3 (Rev. 1), IAEA, Vienna (2016).</w:t>
      </w:r>
      <w:bookmarkEnd w:id="9"/>
    </w:p>
    <w:p w14:paraId="23F45F61" w14:textId="11AFDBD6" w:rsidR="00362FBA" w:rsidRPr="00FD0501" w:rsidRDefault="00362FBA" w:rsidP="00362FBA">
      <w:pPr>
        <w:pStyle w:val="Referencelist"/>
        <w:rPr>
          <w:lang w:val="en-US"/>
        </w:rPr>
      </w:pPr>
      <w:bookmarkStart w:id="10" w:name="_Ref166487993"/>
      <w:bookmarkStart w:id="11" w:name="_Hlk151105271"/>
      <w:r w:rsidRPr="00FD0501">
        <w:rPr>
          <w:lang w:val="en-US"/>
        </w:rPr>
        <w:t>INTERNATIONAL ATOMIC ENERGY AGENCY, Site Survey and Site Selection for Nuclear Installations, IAEA Safety Standards Series No. SSG-35, IAEA, Vienna (2015).</w:t>
      </w:r>
      <w:bookmarkEnd w:id="10"/>
    </w:p>
    <w:p w14:paraId="70FBD883" w14:textId="1C24989F" w:rsidR="00362FBA" w:rsidRPr="00FD0501" w:rsidRDefault="00362FBA" w:rsidP="00362FBA">
      <w:pPr>
        <w:pStyle w:val="Referencelist"/>
        <w:rPr>
          <w:lang w:val="en-US"/>
        </w:rPr>
      </w:pPr>
      <w:bookmarkStart w:id="12" w:name="_Ref166488134"/>
      <w:bookmarkEnd w:id="11"/>
      <w:r w:rsidRPr="00FD0501">
        <w:rPr>
          <w:lang w:val="en-US"/>
        </w:rPr>
        <w:t>U.S. NUCLEAR REGULATORY COMMISSION, Standard Review Plan for the Review of Safety Analysis Reports for Nuclear Power Plants NRC NUREG-0800, NRC, USA (2016).</w:t>
      </w:r>
      <w:bookmarkEnd w:id="12"/>
    </w:p>
    <w:p w14:paraId="08AE1659" w14:textId="662A7A40" w:rsidR="00362FBA" w:rsidRPr="00FD0501" w:rsidRDefault="00362FBA" w:rsidP="00362FBA">
      <w:pPr>
        <w:pStyle w:val="Referencelist"/>
        <w:rPr>
          <w:lang w:val="en-US"/>
        </w:rPr>
      </w:pPr>
      <w:bookmarkStart w:id="13" w:name="_Ref166488161"/>
      <w:r w:rsidRPr="00FD0501">
        <w:rPr>
          <w:lang w:val="en-US"/>
        </w:rPr>
        <w:t>U.S. Code of Federal Regulations, "Reactor Site Criteria," Part 100, Title 10 "Energy." 10 CFR 100, NRC, USA https://www.nrc.gov/reading-rm/doc-collections/cfr/part100/index.html (page last accessed 10, 2023).</w:t>
      </w:r>
      <w:bookmarkEnd w:id="13"/>
    </w:p>
    <w:p w14:paraId="199C1872" w14:textId="4750D00B" w:rsidR="00362FBA" w:rsidRPr="00FD0501" w:rsidRDefault="00362FBA" w:rsidP="00362FBA">
      <w:pPr>
        <w:pStyle w:val="Referencelist"/>
        <w:rPr>
          <w:lang w:val="en-US"/>
        </w:rPr>
      </w:pPr>
      <w:bookmarkStart w:id="14" w:name="_Ref166488180"/>
      <w:r w:rsidRPr="00FD0501">
        <w:rPr>
          <w:lang w:val="en-US"/>
        </w:rPr>
        <w:t>U.S. NUCLEAR REGULATORY COMMISSION, General Site Suitability Criteria for Nuclear Power Stations, NRC Regulatory Guide RG 4.7, NRC, USA (2014).</w:t>
      </w:r>
      <w:bookmarkEnd w:id="14"/>
    </w:p>
    <w:p w14:paraId="1462852A" w14:textId="79199325" w:rsidR="00362FBA" w:rsidRPr="00FD0501" w:rsidRDefault="00362FBA" w:rsidP="00362FBA">
      <w:pPr>
        <w:pStyle w:val="Referencelist"/>
        <w:rPr>
          <w:lang w:val="en-US"/>
        </w:rPr>
      </w:pPr>
      <w:bookmarkStart w:id="15" w:name="_Ref166488330"/>
      <w:r w:rsidRPr="00FD0501">
        <w:rPr>
          <w:lang w:val="en-US"/>
        </w:rPr>
        <w:t>U.S. NUCLEAR REGULATORY COMMISSION, Preparation of Environmental Reports for Nuclear Power Stations, NRC Regulatory Guide RG 4.2, NRC, USA (2018).</w:t>
      </w:r>
      <w:bookmarkEnd w:id="15"/>
    </w:p>
    <w:p w14:paraId="229B5521" w14:textId="5A047F13" w:rsidR="00362FBA" w:rsidRPr="00FD0501" w:rsidRDefault="00362FBA" w:rsidP="00362FBA">
      <w:pPr>
        <w:pStyle w:val="Referencelist"/>
        <w:rPr>
          <w:lang w:val="en-US"/>
        </w:rPr>
      </w:pPr>
      <w:bookmarkStart w:id="16" w:name="_Ref166488356"/>
      <w:r w:rsidRPr="00FD0501">
        <w:rPr>
          <w:lang w:val="en-US"/>
        </w:rPr>
        <w:t>U.S. NUCLEAR REGULATORY COMMISSION, Environmental Standard Review Plan: Standard Review Plans for Environmental Reviews for Nuclear Power Plants, NRC, NUREG/CR-7145, Washington, DC (2013)</w:t>
      </w:r>
      <w:bookmarkEnd w:id="16"/>
    </w:p>
    <w:p w14:paraId="3C1DA7A8" w14:textId="1D63C3EC" w:rsidR="00362FBA" w:rsidRPr="00FD0501" w:rsidRDefault="00362FBA" w:rsidP="00362FBA">
      <w:pPr>
        <w:pStyle w:val="Referencelist"/>
        <w:rPr>
          <w:lang w:val="en-US"/>
        </w:rPr>
      </w:pPr>
      <w:bookmarkStart w:id="17" w:name="_Ref166488371"/>
      <w:r w:rsidRPr="00FD0501">
        <w:rPr>
          <w:lang w:val="en-US"/>
        </w:rPr>
        <w:t>U.S. NUCLEAR REGULATORY COMMISSION, Nuclear Power Plant Security Assessment Technical Manual, NRC, NUREG/CR-1345, Washington, DC (2013)</w:t>
      </w:r>
      <w:bookmarkEnd w:id="17"/>
    </w:p>
    <w:p w14:paraId="58B5BB9C" w14:textId="3B395CB6" w:rsidR="00362FBA" w:rsidRPr="00FD0501" w:rsidRDefault="00362FBA" w:rsidP="00362FBA">
      <w:pPr>
        <w:pStyle w:val="Referencelist"/>
        <w:rPr>
          <w:lang w:val="en-US"/>
        </w:rPr>
      </w:pPr>
      <w:bookmarkStart w:id="18" w:name="_Ref166488476"/>
      <w:r w:rsidRPr="00FD0501">
        <w:rPr>
          <w:lang w:val="en-US"/>
        </w:rPr>
        <w:t>EPRI 2022, Advanced Nuclear Technology Site Selection and Evaluation Criteria for the New Nuclear Energy Generation Facilities, EPRI, 2022. https://www.epri.com/research/programs/065093/results/3002023910#:~:text=The%20primary%20objectives%20of%20the,economic%2C%20and%20environmental%20justice%20considerations. (Last accessed 10/2023).</w:t>
      </w:r>
      <w:bookmarkEnd w:id="18"/>
    </w:p>
    <w:p w14:paraId="4EEB38DF" w14:textId="27FADF58" w:rsidR="00362FBA" w:rsidRPr="00FD0501" w:rsidRDefault="000C4C54" w:rsidP="00362FBA">
      <w:pPr>
        <w:pStyle w:val="Referencelist"/>
        <w:rPr>
          <w:lang w:val="en-US"/>
        </w:rPr>
      </w:pPr>
      <w:bookmarkStart w:id="19" w:name="_Ref166488496"/>
      <w:r w:rsidRPr="00FD0501">
        <w:rPr>
          <w:lang w:val="en-US"/>
        </w:rPr>
        <w:t>MAYS</w:t>
      </w:r>
      <w:r w:rsidR="00362FBA" w:rsidRPr="00FD0501">
        <w:rPr>
          <w:lang w:val="en-US"/>
        </w:rPr>
        <w:t xml:space="preserve">, G. T., et. al. (May 2012). Application of Spatial Data Modeling and Geographical Information Systems (GIS) for Identification of Potential Siting Options for Various Electrical Power Generation Sources, ORNL/TM-2011/157/R1. Oak Ridge National Laboratory. </w:t>
      </w:r>
      <w:hyperlink r:id="rId14" w:history="1">
        <w:r w:rsidR="00362FBA" w:rsidRPr="00FD0501">
          <w:rPr>
            <w:rStyle w:val="Hyperlink"/>
            <w:lang w:val="en-US"/>
          </w:rPr>
          <w:t>https://info.ornl.gov/sites/publications/files/Pub30613.pdf</w:t>
        </w:r>
      </w:hyperlink>
      <w:bookmarkEnd w:id="19"/>
    </w:p>
    <w:p w14:paraId="30F19DC0" w14:textId="6DC40EDF" w:rsidR="00362FBA" w:rsidRPr="00FD0501" w:rsidRDefault="000C4C54" w:rsidP="00362FBA">
      <w:pPr>
        <w:pStyle w:val="Referencelist"/>
        <w:rPr>
          <w:lang w:val="en-US"/>
        </w:rPr>
      </w:pPr>
      <w:bookmarkStart w:id="20" w:name="_Ref166488526"/>
      <w:r w:rsidRPr="00FD0501">
        <w:rPr>
          <w:lang w:val="en-US"/>
        </w:rPr>
        <w:t>MAYS</w:t>
      </w:r>
      <w:r w:rsidR="00362FBA" w:rsidRPr="00FD0501">
        <w:rPr>
          <w:lang w:val="en-US"/>
        </w:rPr>
        <w:t>, G. T., et. al. (June 2012). Application of Spatial Data Modeling Systems, Geographical Information Systems (GIS), and Transportation Routing Optimization Methods for Evaluating Integrated Deployment of Interim Spent Fuel Storage Installations and Advanced Nuclear Plants, ORNL/TM-2012/237. Oak Ridge National Laboratory.</w:t>
      </w:r>
      <w:bookmarkEnd w:id="20"/>
    </w:p>
    <w:p w14:paraId="403DA751" w14:textId="6EB2F969" w:rsidR="00362FBA" w:rsidRPr="00FD0501" w:rsidRDefault="00851735" w:rsidP="00362FBA">
      <w:pPr>
        <w:pStyle w:val="Referencelist"/>
        <w:rPr>
          <w:lang w:val="en-US"/>
        </w:rPr>
      </w:pPr>
      <w:bookmarkStart w:id="21" w:name="_Ref166488529"/>
      <w:r w:rsidRPr="00FD0501">
        <w:rPr>
          <w:lang w:val="en-US"/>
        </w:rPr>
        <w:lastRenderedPageBreak/>
        <w:t>BELLES</w:t>
      </w:r>
      <w:r w:rsidR="00362FBA" w:rsidRPr="00FD0501">
        <w:rPr>
          <w:lang w:val="en-US"/>
        </w:rPr>
        <w:t>, R. J., et. al. (March 2013). Evaluation of Suitability of Selected Set of Coal Plant Sites for Repowering with Small Modular Reactors. ORNL/TM-2013/109. Oak Ridge Nation Laboratory.</w:t>
      </w:r>
      <w:bookmarkEnd w:id="21"/>
    </w:p>
    <w:p w14:paraId="18489CBB" w14:textId="2DEF9ED9" w:rsidR="00362FBA" w:rsidRPr="00FD0501" w:rsidRDefault="001467E1" w:rsidP="00193612">
      <w:pPr>
        <w:pStyle w:val="Referencelist"/>
        <w:numPr>
          <w:ilvl w:val="0"/>
          <w:numId w:val="0"/>
        </w:numPr>
        <w:ind w:left="720"/>
        <w:rPr>
          <w:rStyle w:val="Hyperlink"/>
          <w:lang w:val="en-US"/>
        </w:rPr>
      </w:pPr>
      <w:hyperlink r:id="rId15" w:history="1">
        <w:r w:rsidR="00193612" w:rsidRPr="00FD0501">
          <w:rPr>
            <w:rStyle w:val="Hyperlink"/>
            <w:lang w:val="en-US"/>
          </w:rPr>
          <w:t>https://info.ornl.gov/sites/publications/files/Pub41833.pdf</w:t>
        </w:r>
      </w:hyperlink>
    </w:p>
    <w:p w14:paraId="34B15E4B" w14:textId="324CFD84" w:rsidR="00362FBA" w:rsidRPr="00FD0501" w:rsidRDefault="00AD49E4" w:rsidP="00362FBA">
      <w:pPr>
        <w:pStyle w:val="Referencelist"/>
        <w:rPr>
          <w:rStyle w:val="Hyperlink"/>
          <w:lang w:val="en-US"/>
        </w:rPr>
      </w:pPr>
      <w:bookmarkStart w:id="22" w:name="_Ref166488530"/>
      <w:r w:rsidRPr="00FD0501">
        <w:rPr>
          <w:lang w:val="en-US"/>
        </w:rPr>
        <w:t>BUCKNOR</w:t>
      </w:r>
      <w:r w:rsidR="00362FBA" w:rsidRPr="00FD0501">
        <w:rPr>
          <w:lang w:val="en-US"/>
        </w:rPr>
        <w:t xml:space="preserve">, </w:t>
      </w:r>
      <w:r>
        <w:rPr>
          <w:lang w:val="en-US"/>
        </w:rPr>
        <w:t>M.</w:t>
      </w:r>
      <w:r w:rsidR="00362FBA" w:rsidRPr="00FD0501">
        <w:rPr>
          <w:lang w:val="en-US"/>
        </w:rPr>
        <w:t xml:space="preserve">, </w:t>
      </w:r>
      <w:r w:rsidRPr="00FD0501">
        <w:rPr>
          <w:lang w:val="en-US"/>
        </w:rPr>
        <w:t>FORD</w:t>
      </w:r>
      <w:r w:rsidR="00362FBA" w:rsidRPr="00FD0501">
        <w:rPr>
          <w:lang w:val="en-US"/>
        </w:rPr>
        <w:t xml:space="preserve">, </w:t>
      </w:r>
      <w:r>
        <w:rPr>
          <w:lang w:val="en-US"/>
        </w:rPr>
        <w:t>M.</w:t>
      </w:r>
      <w:r w:rsidR="00362FBA" w:rsidRPr="00FD0501">
        <w:rPr>
          <w:lang w:val="en-US"/>
        </w:rPr>
        <w:t xml:space="preserve"> </w:t>
      </w:r>
      <w:r w:rsidRPr="00FD0501">
        <w:rPr>
          <w:lang w:val="en-US"/>
        </w:rPr>
        <w:t>HUMMEL</w:t>
      </w:r>
      <w:r w:rsidR="00362FBA" w:rsidRPr="00FD0501">
        <w:rPr>
          <w:lang w:val="en-US"/>
        </w:rPr>
        <w:t xml:space="preserve">, </w:t>
      </w:r>
      <w:r>
        <w:rPr>
          <w:lang w:val="en-US"/>
        </w:rPr>
        <w:t>J.</w:t>
      </w:r>
      <w:r w:rsidR="00362FBA" w:rsidRPr="00FD0501">
        <w:rPr>
          <w:lang w:val="en-US"/>
        </w:rPr>
        <w:t xml:space="preserve">, </w:t>
      </w:r>
      <w:r w:rsidRPr="00FD0501">
        <w:rPr>
          <w:lang w:val="en-US"/>
        </w:rPr>
        <w:t>SAMSA</w:t>
      </w:r>
      <w:r w:rsidR="00362FBA" w:rsidRPr="00FD0501">
        <w:rPr>
          <w:lang w:val="en-US"/>
        </w:rPr>
        <w:t xml:space="preserve">, </w:t>
      </w:r>
      <w:r>
        <w:rPr>
          <w:lang w:val="en-US"/>
        </w:rPr>
        <w:t>M.</w:t>
      </w:r>
      <w:r w:rsidR="00362FBA" w:rsidRPr="00FD0501">
        <w:rPr>
          <w:lang w:val="en-US"/>
        </w:rPr>
        <w:t xml:space="preserve">, </w:t>
      </w:r>
      <w:r w:rsidRPr="00FD0501">
        <w:rPr>
          <w:lang w:val="en-US"/>
        </w:rPr>
        <w:t>BELLES</w:t>
      </w:r>
      <w:r w:rsidR="00362FBA" w:rsidRPr="00FD0501">
        <w:rPr>
          <w:lang w:val="en-US"/>
        </w:rPr>
        <w:t xml:space="preserve">, </w:t>
      </w:r>
      <w:r>
        <w:rPr>
          <w:lang w:val="en-US"/>
        </w:rPr>
        <w:t>R.</w:t>
      </w:r>
      <w:r w:rsidR="00362FBA" w:rsidRPr="00FD0501">
        <w:rPr>
          <w:lang w:val="en-US"/>
        </w:rPr>
        <w:t xml:space="preserve">, </w:t>
      </w:r>
      <w:r w:rsidRPr="00FD0501">
        <w:rPr>
          <w:lang w:val="en-US"/>
        </w:rPr>
        <w:t>OMITAOMU</w:t>
      </w:r>
      <w:r w:rsidR="00362FBA" w:rsidRPr="00FD0501">
        <w:rPr>
          <w:lang w:val="en-US"/>
        </w:rPr>
        <w:t xml:space="preserve">, </w:t>
      </w:r>
      <w:r>
        <w:rPr>
          <w:lang w:val="en-US"/>
        </w:rPr>
        <w:t>O.</w:t>
      </w:r>
      <w:r w:rsidR="00362FBA" w:rsidRPr="00FD0501">
        <w:rPr>
          <w:lang w:val="en-US"/>
        </w:rPr>
        <w:t xml:space="preserve">, </w:t>
      </w:r>
      <w:r w:rsidRPr="00FD0501">
        <w:rPr>
          <w:lang w:val="en-US"/>
        </w:rPr>
        <w:t>BAKER</w:t>
      </w:r>
      <w:r w:rsidR="00362FBA" w:rsidRPr="00FD0501">
        <w:rPr>
          <w:lang w:val="en-US"/>
        </w:rPr>
        <w:t xml:space="preserve">, </w:t>
      </w:r>
      <w:r>
        <w:rPr>
          <w:lang w:val="en-US"/>
        </w:rPr>
        <w:t>S.</w:t>
      </w:r>
      <w:r w:rsidR="00362FBA" w:rsidRPr="00FD0501">
        <w:rPr>
          <w:lang w:val="en-US"/>
        </w:rPr>
        <w:t xml:space="preserve">, and </w:t>
      </w:r>
      <w:r w:rsidRPr="00FD0501">
        <w:rPr>
          <w:lang w:val="en-US"/>
        </w:rPr>
        <w:t>HOELZLE</w:t>
      </w:r>
      <w:r w:rsidR="00362FBA" w:rsidRPr="00FD0501">
        <w:rPr>
          <w:lang w:val="en-US"/>
        </w:rPr>
        <w:t xml:space="preserve">, </w:t>
      </w:r>
      <w:r>
        <w:rPr>
          <w:lang w:val="en-US"/>
        </w:rPr>
        <w:t>G.</w:t>
      </w:r>
      <w:r w:rsidR="00362FBA" w:rsidRPr="00FD0501">
        <w:rPr>
          <w:lang w:val="en-US"/>
        </w:rPr>
        <w:t xml:space="preserve"> (March 2021). National Demonstration Reactor Siting Study – Phase I, Revision 1. United States. </w:t>
      </w:r>
      <w:hyperlink r:id="rId16" w:history="1">
        <w:r w:rsidR="00362FBA" w:rsidRPr="00FD0501">
          <w:rPr>
            <w:rStyle w:val="Hyperlink"/>
            <w:lang w:val="en-US"/>
          </w:rPr>
          <w:t>https://publications.anl.gov/anlpubs/2021/04/167516.pdf</w:t>
        </w:r>
      </w:hyperlink>
      <w:bookmarkEnd w:id="22"/>
    </w:p>
    <w:p w14:paraId="137B2B1B" w14:textId="190FA9B6" w:rsidR="00362FBA" w:rsidRPr="00FD0501" w:rsidRDefault="00303451" w:rsidP="00362FBA">
      <w:pPr>
        <w:pStyle w:val="Referencelist"/>
        <w:rPr>
          <w:lang w:val="en-US"/>
        </w:rPr>
      </w:pPr>
      <w:bookmarkStart w:id="23" w:name="_Ref166488593"/>
      <w:r w:rsidRPr="00FD0501">
        <w:rPr>
          <w:lang w:val="en-US"/>
        </w:rPr>
        <w:t>IDAHO NATIONAL LABORATORY</w:t>
      </w:r>
      <w:r w:rsidR="00362FBA" w:rsidRPr="00FD0501">
        <w:rPr>
          <w:lang w:val="en-US"/>
        </w:rPr>
        <w:t xml:space="preserve">, Site Suitability and Hazard Assessment Guide for Small Modular Reactors. INL/EXT-13-29749, October 2013 </w:t>
      </w:r>
      <w:hyperlink r:id="rId17" w:history="1">
        <w:r w:rsidR="00362FBA" w:rsidRPr="00FD0501">
          <w:rPr>
            <w:rStyle w:val="Hyperlink"/>
            <w:lang w:val="en-US"/>
          </w:rPr>
          <w:t>https://inldigitallibrary.inl.gov/sites/sti/sti/5806458.pdf</w:t>
        </w:r>
      </w:hyperlink>
      <w:bookmarkEnd w:id="23"/>
    </w:p>
    <w:p w14:paraId="773165B3" w14:textId="4E66A4DA" w:rsidR="00362FBA" w:rsidRPr="00FD0501" w:rsidRDefault="00362FBA" w:rsidP="00362FBA">
      <w:pPr>
        <w:pStyle w:val="Referencelist"/>
        <w:rPr>
          <w:lang w:val="en-US"/>
        </w:rPr>
      </w:pPr>
      <w:bookmarkStart w:id="24" w:name="_Ref166488727"/>
      <w:r w:rsidRPr="00FD0501">
        <w:rPr>
          <w:lang w:val="en-US"/>
        </w:rPr>
        <w:t>Convention on the Physical Protection of Nuclear Material, INFCIRC/274/Rev.1, IAEA, Vienna (1980).</w:t>
      </w:r>
      <w:bookmarkEnd w:id="24"/>
    </w:p>
    <w:p w14:paraId="3D177B63" w14:textId="50E956DE" w:rsidR="00362FBA" w:rsidRPr="00FD0501" w:rsidRDefault="00362FBA" w:rsidP="00362FBA">
      <w:pPr>
        <w:pStyle w:val="Referencelist"/>
        <w:rPr>
          <w:lang w:val="en-US"/>
        </w:rPr>
      </w:pPr>
      <w:bookmarkStart w:id="25" w:name="_Ref166488801"/>
      <w:r w:rsidRPr="00FD0501">
        <w:rPr>
          <w:lang w:val="en-US"/>
        </w:rPr>
        <w:t>Amendment to the Convention on the Physical Protection of Nuclear Material GOV/INF/2005/10-GC (49) INF/6, IAEA, Vienna (2005).</w:t>
      </w:r>
      <w:bookmarkEnd w:id="25"/>
    </w:p>
    <w:p w14:paraId="48E56C71" w14:textId="3DEDE228" w:rsidR="00362FBA" w:rsidRPr="00FD0501" w:rsidRDefault="00F15E59" w:rsidP="00362FBA">
      <w:pPr>
        <w:pStyle w:val="Referencelist"/>
        <w:rPr>
          <w:lang w:val="en-US"/>
        </w:rPr>
      </w:pPr>
      <w:bookmarkStart w:id="26" w:name="_Ref166488890"/>
      <w:r w:rsidRPr="00FD0501">
        <w:rPr>
          <w:lang w:val="en-US"/>
        </w:rPr>
        <w:t>ROY</w:t>
      </w:r>
      <w:r w:rsidR="00362FBA" w:rsidRPr="00FD0501">
        <w:rPr>
          <w:lang w:val="en-US"/>
        </w:rPr>
        <w:t>, N. et.</w:t>
      </w:r>
      <w:r w:rsidR="00AD57E9">
        <w:rPr>
          <w:lang w:val="en-US"/>
        </w:rPr>
        <w:t xml:space="preserve"> </w:t>
      </w:r>
      <w:r w:rsidR="00362FBA" w:rsidRPr="00FD0501">
        <w:rPr>
          <w:lang w:val="en-US"/>
        </w:rPr>
        <w:t xml:space="preserve">al, 2016. A review of safety indices for process design. Curr. </w:t>
      </w:r>
      <w:proofErr w:type="spellStart"/>
      <w:r w:rsidR="00362FBA" w:rsidRPr="00FD0501">
        <w:rPr>
          <w:lang w:val="en-US"/>
        </w:rPr>
        <w:t>Opin</w:t>
      </w:r>
      <w:proofErr w:type="spellEnd"/>
      <w:r w:rsidR="00362FBA" w:rsidRPr="00FD0501">
        <w:rPr>
          <w:lang w:val="en-US"/>
        </w:rPr>
        <w:t xml:space="preserve">. Chem. Eng. 14, 42–48. </w:t>
      </w:r>
      <w:hyperlink r:id="rId18" w:history="1">
        <w:r w:rsidR="00362FBA" w:rsidRPr="00FD0501">
          <w:rPr>
            <w:rStyle w:val="Hyperlink"/>
            <w:lang w:val="en-US"/>
          </w:rPr>
          <w:t>https://doi.org/10.1016/J.COCHE.2016.07.001</w:t>
        </w:r>
      </w:hyperlink>
      <w:r w:rsidR="00362FBA" w:rsidRPr="00FD0501">
        <w:rPr>
          <w:lang w:val="en-US"/>
        </w:rPr>
        <w:t>.</w:t>
      </w:r>
      <w:bookmarkEnd w:id="26"/>
    </w:p>
    <w:p w14:paraId="247DFEF9" w14:textId="638BB867" w:rsidR="00362FBA" w:rsidRPr="00FD0501" w:rsidRDefault="00F15E59" w:rsidP="00362FBA">
      <w:pPr>
        <w:pStyle w:val="Referencelist"/>
        <w:rPr>
          <w:lang w:val="en-US"/>
        </w:rPr>
      </w:pPr>
      <w:bookmarkStart w:id="27" w:name="_Ref166488912"/>
      <w:r w:rsidRPr="00FD0501">
        <w:rPr>
          <w:lang w:val="en-US"/>
        </w:rPr>
        <w:t>RENIERS</w:t>
      </w:r>
      <w:r w:rsidR="00362FBA" w:rsidRPr="00FD0501">
        <w:rPr>
          <w:lang w:val="en-US"/>
        </w:rPr>
        <w:t>, G., et.al, 2020. What safety models and principles can be adapted and used in security science? J. Loss Prev. Process. Ind. 64, 104068 https:// doi.org/10.1016/J.JLP.2020.104068.</w:t>
      </w:r>
      <w:bookmarkEnd w:id="27"/>
    </w:p>
    <w:p w14:paraId="10AB5AB8" w14:textId="411D375C" w:rsidR="00362FBA" w:rsidRPr="00FD0501" w:rsidRDefault="00F15E59" w:rsidP="00362FBA">
      <w:pPr>
        <w:pStyle w:val="Referencelist"/>
        <w:rPr>
          <w:lang w:val="en-US"/>
        </w:rPr>
      </w:pPr>
      <w:bookmarkStart w:id="28" w:name="_Ref166488926"/>
      <w:r w:rsidRPr="00FD0501">
        <w:rPr>
          <w:lang w:val="en-US"/>
        </w:rPr>
        <w:t>BAYBUTT</w:t>
      </w:r>
      <w:r w:rsidR="00362FBA" w:rsidRPr="00FD0501">
        <w:rPr>
          <w:lang w:val="en-US"/>
        </w:rPr>
        <w:t xml:space="preserve">, P., 2017. Issues for security risk assessment in the process industries. J. Loss Prev. Process. Ind. 49, 509–518. </w:t>
      </w:r>
      <w:hyperlink r:id="rId19" w:history="1">
        <w:r w:rsidR="00362FBA" w:rsidRPr="00FD0501">
          <w:rPr>
            <w:rStyle w:val="Hyperlink"/>
            <w:lang w:val="en-US"/>
          </w:rPr>
          <w:t>https://doi.org/10.1016/J.JLP.2017.05.023</w:t>
        </w:r>
      </w:hyperlink>
      <w:r w:rsidR="00362FBA" w:rsidRPr="00FD0501">
        <w:rPr>
          <w:lang w:val="en-US"/>
        </w:rPr>
        <w:t>.</w:t>
      </w:r>
      <w:bookmarkEnd w:id="28"/>
    </w:p>
    <w:p w14:paraId="18C40A88" w14:textId="0C9583F4" w:rsidR="00362FBA" w:rsidRPr="00FD0501" w:rsidRDefault="00276EBA" w:rsidP="00362FBA">
      <w:pPr>
        <w:pStyle w:val="Referencelist"/>
        <w:rPr>
          <w:lang w:val="en-US"/>
        </w:rPr>
      </w:pPr>
      <w:bookmarkStart w:id="29" w:name="_Ref166488960"/>
      <w:r w:rsidRPr="00FD0501">
        <w:rPr>
          <w:lang w:val="en-US"/>
        </w:rPr>
        <w:t>VARADHARAJAN</w:t>
      </w:r>
      <w:r>
        <w:rPr>
          <w:lang w:val="en-US"/>
        </w:rPr>
        <w:t>,</w:t>
      </w:r>
      <w:r w:rsidRPr="00FD0501">
        <w:rPr>
          <w:lang w:val="en-US"/>
        </w:rPr>
        <w:t xml:space="preserve"> </w:t>
      </w:r>
      <w:r w:rsidR="00362FBA" w:rsidRPr="00FD0501">
        <w:rPr>
          <w:lang w:val="en-US"/>
        </w:rPr>
        <w:t>S</w:t>
      </w:r>
      <w:r>
        <w:rPr>
          <w:lang w:val="en-US"/>
        </w:rPr>
        <w:t>.,</w:t>
      </w:r>
      <w:r w:rsidR="00362FBA" w:rsidRPr="00FD0501">
        <w:rPr>
          <w:lang w:val="en-US"/>
        </w:rPr>
        <w:t xml:space="preserve"> </w:t>
      </w:r>
      <w:r w:rsidRPr="00FD0501">
        <w:rPr>
          <w:lang w:val="en-US"/>
        </w:rPr>
        <w:t>BAJPAI</w:t>
      </w:r>
      <w:r w:rsidR="00303AA0">
        <w:rPr>
          <w:lang w:val="en-US"/>
        </w:rPr>
        <w:t>,</w:t>
      </w:r>
      <w:r w:rsidRPr="00FD0501">
        <w:rPr>
          <w:lang w:val="en-US"/>
        </w:rPr>
        <w:t xml:space="preserve"> </w:t>
      </w:r>
      <w:r w:rsidR="00362FBA" w:rsidRPr="00FD0501">
        <w:rPr>
          <w:lang w:val="en-US"/>
        </w:rPr>
        <w:t>S</w:t>
      </w:r>
      <w:r w:rsidR="00F26C6A">
        <w:rPr>
          <w:lang w:val="en-US"/>
        </w:rPr>
        <w:t>.</w:t>
      </w:r>
      <w:r w:rsidR="00362FBA" w:rsidRPr="00FD0501">
        <w:rPr>
          <w:lang w:val="en-US"/>
        </w:rPr>
        <w:t>, Chronicles of security risk assessment in process industries: Past, present and future perspectives. Journal of Loss Prevention in the Process Industries. https://linkinghub.elsevier.com/retrieve/pii/S0950423023001262, 2023</w:t>
      </w:r>
      <w:bookmarkEnd w:id="29"/>
    </w:p>
    <w:p w14:paraId="33D4B409" w14:textId="2E4E9467" w:rsidR="00362FBA" w:rsidRPr="00FD0501" w:rsidRDefault="00F15E59" w:rsidP="00362FBA">
      <w:pPr>
        <w:pStyle w:val="Referencelist"/>
        <w:rPr>
          <w:lang w:val="en-US"/>
        </w:rPr>
      </w:pPr>
      <w:bookmarkStart w:id="30" w:name="_Ref166489007"/>
      <w:r w:rsidRPr="00FD0501">
        <w:rPr>
          <w:lang w:val="en-US"/>
        </w:rPr>
        <w:t>ARGENTI</w:t>
      </w:r>
      <w:r w:rsidR="00362FBA" w:rsidRPr="00FD0501">
        <w:rPr>
          <w:lang w:val="en-US"/>
        </w:rPr>
        <w:t xml:space="preserve">, F., </w:t>
      </w:r>
      <w:r w:rsidRPr="00FD0501">
        <w:rPr>
          <w:lang w:val="en-US"/>
        </w:rPr>
        <w:t>LANDUCCI</w:t>
      </w:r>
      <w:r w:rsidR="00362FBA" w:rsidRPr="00FD0501">
        <w:rPr>
          <w:lang w:val="en-US"/>
        </w:rPr>
        <w:t xml:space="preserve">, G., </w:t>
      </w:r>
      <w:r w:rsidRPr="00FD0501">
        <w:rPr>
          <w:lang w:val="en-US"/>
        </w:rPr>
        <w:t>RENIERS</w:t>
      </w:r>
      <w:r w:rsidR="00362FBA" w:rsidRPr="00FD0501">
        <w:rPr>
          <w:lang w:val="en-US"/>
        </w:rPr>
        <w:t xml:space="preserve">, G., </w:t>
      </w:r>
      <w:r w:rsidRPr="00FD0501">
        <w:rPr>
          <w:lang w:val="en-US"/>
        </w:rPr>
        <w:t>COZZANI</w:t>
      </w:r>
      <w:r w:rsidR="00362FBA" w:rsidRPr="00FD0501">
        <w:rPr>
          <w:lang w:val="en-US"/>
        </w:rPr>
        <w:t xml:space="preserve">, V., 2018. Vulnerability assessment of chemical facilities to intentional attacks based on Bayesian Network. </w:t>
      </w:r>
      <w:proofErr w:type="spellStart"/>
      <w:r w:rsidR="00362FBA" w:rsidRPr="00FD0501">
        <w:rPr>
          <w:lang w:val="en-US"/>
        </w:rPr>
        <w:t>Reliab</w:t>
      </w:r>
      <w:proofErr w:type="spellEnd"/>
      <w:r w:rsidR="00362FBA" w:rsidRPr="00FD0501">
        <w:rPr>
          <w:lang w:val="en-US"/>
        </w:rPr>
        <w:t xml:space="preserve">. Eng. Syst. </w:t>
      </w:r>
      <w:proofErr w:type="spellStart"/>
      <w:r w:rsidR="00362FBA" w:rsidRPr="00FD0501">
        <w:rPr>
          <w:lang w:val="en-US"/>
        </w:rPr>
        <w:t>Saf</w:t>
      </w:r>
      <w:proofErr w:type="spellEnd"/>
      <w:r w:rsidR="00362FBA" w:rsidRPr="00FD0501">
        <w:rPr>
          <w:lang w:val="en-US"/>
        </w:rPr>
        <w:t xml:space="preserve">. 169, 515 –530. </w:t>
      </w:r>
      <w:hyperlink r:id="rId20" w:history="1">
        <w:r w:rsidR="00362FBA" w:rsidRPr="00FD0501">
          <w:rPr>
            <w:rStyle w:val="Hyperlink"/>
            <w:lang w:val="en-US"/>
          </w:rPr>
          <w:t>https://doi.org/10.1016/J.RESS.2017.09.023</w:t>
        </w:r>
      </w:hyperlink>
      <w:r w:rsidR="00362FBA" w:rsidRPr="00FD0501">
        <w:rPr>
          <w:lang w:val="en-US"/>
        </w:rPr>
        <w:t>.</w:t>
      </w:r>
      <w:bookmarkEnd w:id="30"/>
    </w:p>
    <w:p w14:paraId="020B92B1" w14:textId="7653F386" w:rsidR="00362FBA" w:rsidRPr="00FD0501" w:rsidRDefault="00F15E59" w:rsidP="00362FBA">
      <w:pPr>
        <w:pStyle w:val="Referencelist"/>
        <w:rPr>
          <w:lang w:val="en-US"/>
        </w:rPr>
      </w:pPr>
      <w:bookmarkStart w:id="31" w:name="_Ref166489019"/>
      <w:r w:rsidRPr="00FD0501">
        <w:rPr>
          <w:lang w:val="en-US"/>
        </w:rPr>
        <w:t>SONG</w:t>
      </w:r>
      <w:r w:rsidR="00362FBA" w:rsidRPr="00FD0501">
        <w:rPr>
          <w:lang w:val="en-US"/>
        </w:rPr>
        <w:t xml:space="preserve">, G., </w:t>
      </w:r>
      <w:r w:rsidRPr="00FD0501">
        <w:rPr>
          <w:lang w:val="en-US"/>
        </w:rPr>
        <w:t>KHAN</w:t>
      </w:r>
      <w:r w:rsidR="00362FBA" w:rsidRPr="00FD0501">
        <w:rPr>
          <w:lang w:val="en-US"/>
        </w:rPr>
        <w:t xml:space="preserve">, F., </w:t>
      </w:r>
      <w:r w:rsidRPr="00FD0501">
        <w:rPr>
          <w:lang w:val="en-US"/>
        </w:rPr>
        <w:t>YANG</w:t>
      </w:r>
      <w:r w:rsidR="00362FBA" w:rsidRPr="00FD0501">
        <w:rPr>
          <w:lang w:val="en-US"/>
        </w:rPr>
        <w:t xml:space="preserve">, M., 2019. Probabilistic assessment of integrated safety and security related abnormal events: a case of chemical plants. </w:t>
      </w:r>
      <w:proofErr w:type="spellStart"/>
      <w:r w:rsidR="00362FBA" w:rsidRPr="00FD0501">
        <w:rPr>
          <w:lang w:val="en-US"/>
        </w:rPr>
        <w:t>Saf</w:t>
      </w:r>
      <w:proofErr w:type="spellEnd"/>
      <w:r w:rsidR="00362FBA" w:rsidRPr="00FD0501">
        <w:rPr>
          <w:lang w:val="en-US"/>
        </w:rPr>
        <w:t xml:space="preserve">. Sci. 113, 115–125. </w:t>
      </w:r>
      <w:hyperlink r:id="rId21" w:history="1">
        <w:r w:rsidR="00362FBA" w:rsidRPr="00FD0501">
          <w:rPr>
            <w:rStyle w:val="Hyperlink"/>
            <w:lang w:val="en-US"/>
          </w:rPr>
          <w:t>https://doi.org/10.1016/j.ssci.2018.11.004</w:t>
        </w:r>
      </w:hyperlink>
      <w:r w:rsidR="00362FBA" w:rsidRPr="00FD0501">
        <w:rPr>
          <w:lang w:val="en-US"/>
        </w:rPr>
        <w:t>.</w:t>
      </w:r>
      <w:bookmarkEnd w:id="31"/>
    </w:p>
    <w:p w14:paraId="1107467A" w14:textId="201AB1A6" w:rsidR="00362FBA" w:rsidRPr="00FD0501" w:rsidRDefault="00F15E59" w:rsidP="00362FBA">
      <w:pPr>
        <w:pStyle w:val="Referencelist"/>
        <w:rPr>
          <w:lang w:val="en-US"/>
        </w:rPr>
      </w:pPr>
      <w:bookmarkStart w:id="32" w:name="_Ref166489022"/>
      <w:r w:rsidRPr="00FD0501">
        <w:rPr>
          <w:lang w:val="en-US"/>
        </w:rPr>
        <w:t>MISURI</w:t>
      </w:r>
      <w:r w:rsidR="00362FBA" w:rsidRPr="00FD0501">
        <w:rPr>
          <w:lang w:val="en-US"/>
        </w:rPr>
        <w:t xml:space="preserve">, A., </w:t>
      </w:r>
      <w:r w:rsidRPr="00FD0501">
        <w:rPr>
          <w:lang w:val="en-US"/>
        </w:rPr>
        <w:t>KHAKZAD</w:t>
      </w:r>
      <w:r w:rsidR="00362FBA" w:rsidRPr="00FD0501">
        <w:rPr>
          <w:lang w:val="en-US"/>
        </w:rPr>
        <w:t xml:space="preserve">, N., </w:t>
      </w:r>
      <w:r w:rsidRPr="00FD0501">
        <w:rPr>
          <w:lang w:val="en-US"/>
        </w:rPr>
        <w:t>RENIERS</w:t>
      </w:r>
      <w:r w:rsidR="00362FBA" w:rsidRPr="00FD0501">
        <w:rPr>
          <w:lang w:val="en-US"/>
        </w:rPr>
        <w:t xml:space="preserve">, G., </w:t>
      </w:r>
      <w:r w:rsidRPr="00FD0501">
        <w:rPr>
          <w:lang w:val="en-US"/>
        </w:rPr>
        <w:t>COZZANI</w:t>
      </w:r>
      <w:r w:rsidR="00362FBA" w:rsidRPr="00FD0501">
        <w:rPr>
          <w:lang w:val="en-US"/>
        </w:rPr>
        <w:t xml:space="preserve">, V., 2019. A Bayesian network methodology for optimal security management of critical infrastructures. </w:t>
      </w:r>
      <w:proofErr w:type="spellStart"/>
      <w:r w:rsidR="00362FBA" w:rsidRPr="00FD0501">
        <w:rPr>
          <w:lang w:val="en-US"/>
        </w:rPr>
        <w:t>Reliab</w:t>
      </w:r>
      <w:proofErr w:type="spellEnd"/>
      <w:r w:rsidR="00362FBA" w:rsidRPr="00FD0501">
        <w:rPr>
          <w:lang w:val="en-US"/>
        </w:rPr>
        <w:t xml:space="preserve">. Eng. Syst. </w:t>
      </w:r>
      <w:proofErr w:type="spellStart"/>
      <w:r w:rsidR="00362FBA" w:rsidRPr="00FD0501">
        <w:rPr>
          <w:lang w:val="en-US"/>
        </w:rPr>
        <w:t>Saf</w:t>
      </w:r>
      <w:proofErr w:type="spellEnd"/>
      <w:r w:rsidR="00362FBA" w:rsidRPr="00FD0501">
        <w:rPr>
          <w:lang w:val="en-US"/>
        </w:rPr>
        <w:t xml:space="preserve">. 191 </w:t>
      </w:r>
      <w:hyperlink r:id="rId22" w:history="1">
        <w:r w:rsidR="00362FBA" w:rsidRPr="00FD0501">
          <w:rPr>
            <w:rStyle w:val="Hyperlink"/>
            <w:lang w:val="en-US"/>
          </w:rPr>
          <w:t>https://doi.org/10.1016/j.ress.2018.03.028</w:t>
        </w:r>
      </w:hyperlink>
      <w:r w:rsidR="00362FBA" w:rsidRPr="00FD0501">
        <w:rPr>
          <w:lang w:val="en-US"/>
        </w:rPr>
        <w:t>.</w:t>
      </w:r>
      <w:bookmarkEnd w:id="32"/>
    </w:p>
    <w:p w14:paraId="5F27764F" w14:textId="5F41314B" w:rsidR="00362FBA" w:rsidRPr="00FD0501" w:rsidRDefault="00F15E59" w:rsidP="00362FBA">
      <w:pPr>
        <w:pStyle w:val="Referencelist"/>
        <w:rPr>
          <w:lang w:val="en-US"/>
        </w:rPr>
      </w:pPr>
      <w:bookmarkStart w:id="33" w:name="_Ref166489025"/>
      <w:r w:rsidRPr="00FD0501">
        <w:rPr>
          <w:lang w:val="en-US"/>
        </w:rPr>
        <w:t>ZHU</w:t>
      </w:r>
      <w:r w:rsidR="00362FBA" w:rsidRPr="00FD0501">
        <w:rPr>
          <w:lang w:val="en-US"/>
        </w:rPr>
        <w:t xml:space="preserve">, R., </w:t>
      </w:r>
      <w:r w:rsidRPr="00FD0501">
        <w:rPr>
          <w:lang w:val="en-US"/>
        </w:rPr>
        <w:t>HU</w:t>
      </w:r>
      <w:r w:rsidR="00362FBA" w:rsidRPr="00FD0501">
        <w:rPr>
          <w:lang w:val="en-US"/>
        </w:rPr>
        <w:t xml:space="preserve">, X., </w:t>
      </w:r>
      <w:r w:rsidRPr="00FD0501">
        <w:rPr>
          <w:lang w:val="en-US"/>
        </w:rPr>
        <w:t>LI</w:t>
      </w:r>
      <w:r w:rsidR="00362FBA" w:rsidRPr="00FD0501">
        <w:rPr>
          <w:lang w:val="en-US"/>
        </w:rPr>
        <w:t xml:space="preserve">, X., </w:t>
      </w:r>
      <w:r w:rsidRPr="00FD0501">
        <w:rPr>
          <w:lang w:val="en-US"/>
        </w:rPr>
        <w:t>YE</w:t>
      </w:r>
      <w:r w:rsidR="00362FBA" w:rsidRPr="00FD0501">
        <w:rPr>
          <w:lang w:val="en-US"/>
        </w:rPr>
        <w:t xml:space="preserve">, H., </w:t>
      </w:r>
      <w:r w:rsidRPr="00FD0501">
        <w:rPr>
          <w:lang w:val="en-US"/>
        </w:rPr>
        <w:t>JIA</w:t>
      </w:r>
      <w:r w:rsidR="00362FBA" w:rsidRPr="00FD0501">
        <w:rPr>
          <w:lang w:val="en-US"/>
        </w:rPr>
        <w:t xml:space="preserve">, N., 2020. Modeling and risk analysis of chemical terrorist attacks: a </w:t>
      </w:r>
      <w:proofErr w:type="spellStart"/>
      <w:r w:rsidR="00362FBA" w:rsidRPr="00FD0501">
        <w:rPr>
          <w:lang w:val="en-US"/>
        </w:rPr>
        <w:t>bayesian</w:t>
      </w:r>
      <w:proofErr w:type="spellEnd"/>
      <w:r w:rsidR="00362FBA" w:rsidRPr="00FD0501">
        <w:rPr>
          <w:lang w:val="en-US"/>
        </w:rPr>
        <w:t xml:space="preserve"> network method. Int. J. Environ. Res. Publ. Health. </w:t>
      </w:r>
      <w:hyperlink r:id="rId23" w:history="1">
        <w:r w:rsidR="00362FBA" w:rsidRPr="00FD0501">
          <w:rPr>
            <w:rStyle w:val="Hyperlink"/>
            <w:lang w:val="en-US"/>
          </w:rPr>
          <w:t>https://doi.org/10.3390/ijerph17062051</w:t>
        </w:r>
      </w:hyperlink>
      <w:r w:rsidR="00362FBA" w:rsidRPr="00FD0501">
        <w:rPr>
          <w:lang w:val="en-US"/>
        </w:rPr>
        <w:t>.</w:t>
      </w:r>
      <w:bookmarkEnd w:id="33"/>
    </w:p>
    <w:p w14:paraId="0377C616" w14:textId="7BB873A4" w:rsidR="00362FBA" w:rsidRPr="00FD0501" w:rsidRDefault="00F15E59" w:rsidP="00193612">
      <w:pPr>
        <w:pStyle w:val="Referencelist"/>
        <w:rPr>
          <w:lang w:val="en-US"/>
        </w:rPr>
      </w:pPr>
      <w:bookmarkStart w:id="34" w:name="_Ref166489027"/>
      <w:r w:rsidRPr="00FD0501">
        <w:rPr>
          <w:lang w:val="en-US"/>
        </w:rPr>
        <w:t>GEORGE</w:t>
      </w:r>
      <w:r w:rsidR="00362FBA" w:rsidRPr="00FD0501">
        <w:rPr>
          <w:lang w:val="en-US"/>
        </w:rPr>
        <w:t xml:space="preserve">, P.G., </w:t>
      </w:r>
      <w:r w:rsidRPr="00FD0501">
        <w:rPr>
          <w:lang w:val="en-US"/>
        </w:rPr>
        <w:t>RENJITH</w:t>
      </w:r>
      <w:r w:rsidR="00362FBA" w:rsidRPr="00FD0501">
        <w:rPr>
          <w:lang w:val="en-US"/>
        </w:rPr>
        <w:t xml:space="preserve">, V.R., 2021. Bayesian estimation and consequence modeling of deliberately induced domino effects in process facilities. J. Loss Prev. Process. Ind. 69, 104340 </w:t>
      </w:r>
      <w:hyperlink r:id="rId24" w:history="1">
        <w:r w:rsidR="00362FBA" w:rsidRPr="00FD0501">
          <w:rPr>
            <w:rStyle w:val="Hyperlink"/>
            <w:lang w:val="en-US"/>
          </w:rPr>
          <w:t>https://doi.org/10.1016/j.jlp.2020.104340</w:t>
        </w:r>
      </w:hyperlink>
      <w:r w:rsidR="00362FBA" w:rsidRPr="00FD0501">
        <w:rPr>
          <w:lang w:val="en-US"/>
        </w:rPr>
        <w:t>.</w:t>
      </w:r>
      <w:bookmarkEnd w:id="34"/>
    </w:p>
    <w:p w14:paraId="24F6FAE2" w14:textId="7CB4D425" w:rsidR="00362FBA" w:rsidRPr="00FD0501" w:rsidRDefault="00362FBA" w:rsidP="00362FBA">
      <w:pPr>
        <w:pStyle w:val="Referencelist"/>
        <w:rPr>
          <w:lang w:val="en-US"/>
        </w:rPr>
      </w:pPr>
      <w:bookmarkStart w:id="35" w:name="_Ref166489168"/>
      <w:r w:rsidRPr="00FD0501">
        <w:rPr>
          <w:lang w:val="en-US"/>
        </w:rPr>
        <w:t>INTERNATIONAL ATOMIC ENERGY AGENCY, Site Evaluation for Nuclear Installations, IAEA Safety Standards Series No. SSR-1, IAEA, Vienna (2019).</w:t>
      </w:r>
      <w:bookmarkEnd w:id="35"/>
    </w:p>
    <w:p w14:paraId="32036F1E" w14:textId="49D19246" w:rsidR="00362FBA" w:rsidRPr="00FD0501" w:rsidRDefault="00362FBA" w:rsidP="00362FBA">
      <w:pPr>
        <w:pStyle w:val="Referencelist"/>
        <w:rPr>
          <w:lang w:val="en-US"/>
        </w:rPr>
      </w:pPr>
      <w:bookmarkStart w:id="36" w:name="_Ref166489170"/>
      <w:r w:rsidRPr="00FD0501">
        <w:rPr>
          <w:lang w:val="en-US"/>
        </w:rPr>
        <w:t xml:space="preserve">INTERNATIONAL ATOMIC ENERGY AGENCY, Establishing the Nuclear Security Infrastructure for a Nuclear Power </w:t>
      </w:r>
      <w:proofErr w:type="spellStart"/>
      <w:r w:rsidRPr="00FD0501">
        <w:rPr>
          <w:lang w:val="en-US"/>
        </w:rPr>
        <w:t>Programme</w:t>
      </w:r>
      <w:proofErr w:type="spellEnd"/>
      <w:r w:rsidRPr="00FD0501">
        <w:rPr>
          <w:lang w:val="en-US"/>
        </w:rPr>
        <w:t>, IAEA Nuclear Security Series No. NSS-19, IAEA, Vienna (2013).</w:t>
      </w:r>
      <w:bookmarkEnd w:id="36"/>
    </w:p>
    <w:sectPr w:rsidR="00362FBA" w:rsidRPr="00FD0501" w:rsidSect="000C3A58">
      <w:headerReference w:type="even" r:id="rId25"/>
      <w:headerReference w:type="default" r:id="rId26"/>
      <w:footerReference w:type="even" r:id="rId27"/>
      <w:footerReference w:type="default" r:id="rId28"/>
      <w:headerReference w:type="first" r:id="rId29"/>
      <w:footerReference w:type="first" r:id="rId30"/>
      <w:type w:val="oddPage"/>
      <w:pgSz w:w="11907" w:h="16840" w:code="9"/>
      <w:pgMar w:top="1350" w:right="1440" w:bottom="1350" w:left="1440" w:header="539"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8131" w14:textId="77777777" w:rsidR="000C3A58" w:rsidRDefault="000C3A58">
      <w:r>
        <w:separator/>
      </w:r>
    </w:p>
  </w:endnote>
  <w:endnote w:type="continuationSeparator" w:id="0">
    <w:p w14:paraId="7707BD85" w14:textId="77777777" w:rsidR="000C3A58" w:rsidRDefault="000C3A58">
      <w:r>
        <w:continuationSeparator/>
      </w:r>
    </w:p>
  </w:endnote>
  <w:endnote w:type="continuationNotice" w:id="1">
    <w:p w14:paraId="04E59F13" w14:textId="77777777" w:rsidR="000C3A58" w:rsidRDefault="000C3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596369"/>
      <w:docPartObj>
        <w:docPartGallery w:val="Page Numbers (Bottom of Page)"/>
        <w:docPartUnique/>
      </w:docPartObj>
    </w:sdtPr>
    <w:sdtEndPr>
      <w:rPr>
        <w:noProof/>
      </w:rPr>
    </w:sdtEndPr>
    <w:sdtContent>
      <w:p w14:paraId="57883EBE" w14:textId="4207F377" w:rsidR="003E733B" w:rsidRDefault="003E733B">
        <w:pPr>
          <w:pStyle w:val="Footer"/>
        </w:pPr>
        <w:r>
          <w:fldChar w:fldCharType="begin"/>
        </w:r>
        <w:r>
          <w:instrText xml:space="preserve"> PAGE   \* MERGEFORMAT </w:instrText>
        </w:r>
        <w:r>
          <w:fldChar w:fldCharType="separate"/>
        </w:r>
        <w:r>
          <w:rPr>
            <w:noProof/>
          </w:rPr>
          <w:t>2</w:t>
        </w:r>
        <w:r>
          <w:rPr>
            <w:noProof/>
          </w:rPr>
          <w:fldChar w:fldCharType="end"/>
        </w:r>
      </w:p>
    </w:sdtContent>
  </w:sdt>
  <w:p w14:paraId="0FEE8A3A" w14:textId="77777777" w:rsidR="00E81F88" w:rsidRDefault="00E81F88" w:rsidP="00E81F88">
    <w:pPr>
      <w:pStyle w:val="zyxClassification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38"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38"/>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39"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E8BE" w14:textId="77777777" w:rsidR="000C3A58" w:rsidRDefault="000C3A58">
      <w:r>
        <w:t>___________________________________________________________________________</w:t>
      </w:r>
    </w:p>
  </w:footnote>
  <w:footnote w:type="continuationSeparator" w:id="0">
    <w:p w14:paraId="6CFB595E" w14:textId="77777777" w:rsidR="000C3A58" w:rsidRDefault="000C3A58">
      <w:r>
        <w:t>___________________________________________________________________________</w:t>
      </w:r>
    </w:p>
  </w:footnote>
  <w:footnote w:type="continuationNotice" w:id="1">
    <w:p w14:paraId="7F776DB7" w14:textId="77777777" w:rsidR="000C3A58" w:rsidRDefault="000C3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9A0F" w14:textId="18B87A12"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C4E1" w14:textId="15646209" w:rsidR="00E20E70" w:rsidRDefault="00C6353E" w:rsidP="00B82FA5">
    <w:pPr>
      <w:pStyle w:val="Runninghead"/>
    </w:pPr>
    <w:r>
      <w:t>ADENIYI</w:t>
    </w:r>
    <w:r w:rsidR="00197062">
      <w:t xml:space="preserve"> a</w:t>
    </w:r>
    <w:r w:rsidR="00AC5A3A">
      <w:t xml:space="preserve">nd </w:t>
    </w:r>
    <w:r w:rsidR="00197062">
      <w:t>OMITAO</w:t>
    </w:r>
    <w:r w:rsidR="0053701A">
      <w:t>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37"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37"/>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Heading9"/>
            <w:spacing w:before="0" w:after="10"/>
          </w:pPr>
        </w:p>
      </w:tc>
      <w:tc>
        <w:tcPr>
          <w:tcW w:w="5702" w:type="dxa"/>
          <w:vMerge/>
          <w:vAlign w:val="bottom"/>
        </w:tcPr>
        <w:p w14:paraId="313FA1D9" w14:textId="77777777" w:rsidR="00E20E70" w:rsidRDefault="00E20E70">
          <w:pPr>
            <w:pStyle w:val="Heading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F6F51"/>
    <w:multiLevelType w:val="hybridMultilevel"/>
    <w:tmpl w:val="33849778"/>
    <w:lvl w:ilvl="0" w:tplc="F43678E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A033EE9"/>
    <w:multiLevelType w:val="hybridMultilevel"/>
    <w:tmpl w:val="99780920"/>
    <w:lvl w:ilvl="0" w:tplc="DD9420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18048A"/>
    <w:multiLevelType w:val="hybridMultilevel"/>
    <w:tmpl w:val="678E4C66"/>
    <w:name w:val="HeadingTemplate222"/>
    <w:lvl w:ilvl="0" w:tplc="664251E6">
      <w:start w:val="1"/>
      <w:numFmt w:val="decimal"/>
      <w:pStyle w:val="Referencelist"/>
      <w:lvlText w:val="[%1]"/>
      <w:lvlJc w:val="left"/>
      <w:pPr>
        <w:ind w:left="108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C09EA"/>
    <w:multiLevelType w:val="hybridMultilevel"/>
    <w:tmpl w:val="EE249A4E"/>
    <w:lvl w:ilvl="0" w:tplc="DD9420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4"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5078158">
    <w:abstractNumId w:val="9"/>
  </w:num>
  <w:num w:numId="2" w16cid:durableId="59716700">
    <w:abstractNumId w:val="4"/>
  </w:num>
  <w:num w:numId="3" w16cid:durableId="731540123">
    <w:abstractNumId w:val="13"/>
  </w:num>
  <w:num w:numId="4" w16cid:durableId="744034000">
    <w:abstractNumId w:val="13"/>
  </w:num>
  <w:num w:numId="5" w16cid:durableId="1474641089">
    <w:abstractNumId w:val="13"/>
  </w:num>
  <w:num w:numId="6" w16cid:durableId="528497540">
    <w:abstractNumId w:val="6"/>
  </w:num>
  <w:num w:numId="7" w16cid:durableId="176696273">
    <w:abstractNumId w:val="10"/>
  </w:num>
  <w:num w:numId="8" w16cid:durableId="1131169468">
    <w:abstractNumId w:val="14"/>
  </w:num>
  <w:num w:numId="9" w16cid:durableId="1007632637">
    <w:abstractNumId w:val="1"/>
  </w:num>
  <w:num w:numId="10" w16cid:durableId="422917246">
    <w:abstractNumId w:val="1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1785685054">
    <w:abstractNumId w:val="13"/>
  </w:num>
  <w:num w:numId="12" w16cid:durableId="468400009">
    <w:abstractNumId w:val="13"/>
  </w:num>
  <w:num w:numId="13" w16cid:durableId="1927378143">
    <w:abstractNumId w:val="13"/>
  </w:num>
  <w:num w:numId="14" w16cid:durableId="1289622783">
    <w:abstractNumId w:val="1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037123319">
    <w:abstractNumId w:val="13"/>
  </w:num>
  <w:num w:numId="16" w16cid:durableId="656224632">
    <w:abstractNumId w:val="13"/>
  </w:num>
  <w:num w:numId="17" w16cid:durableId="784034295">
    <w:abstractNumId w:val="13"/>
  </w:num>
  <w:num w:numId="18" w16cid:durableId="1293555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38170">
    <w:abstractNumId w:val="13"/>
  </w:num>
  <w:num w:numId="20" w16cid:durableId="2113888906">
    <w:abstractNumId w:val="2"/>
  </w:num>
  <w:num w:numId="21" w16cid:durableId="1417746791">
    <w:abstractNumId w:val="13"/>
  </w:num>
  <w:num w:numId="22" w16cid:durableId="1720975952">
    <w:abstractNumId w:val="3"/>
  </w:num>
  <w:num w:numId="23" w16cid:durableId="983584939">
    <w:abstractNumId w:val="0"/>
  </w:num>
  <w:num w:numId="24" w16cid:durableId="76482875">
    <w:abstractNumId w:val="12"/>
  </w:num>
  <w:num w:numId="25" w16cid:durableId="1024988134">
    <w:abstractNumId w:val="13"/>
  </w:num>
  <w:num w:numId="26" w16cid:durableId="2000382986">
    <w:abstractNumId w:val="13"/>
  </w:num>
  <w:num w:numId="27" w16cid:durableId="1390575348">
    <w:abstractNumId w:val="13"/>
  </w:num>
  <w:num w:numId="28" w16cid:durableId="621231405">
    <w:abstractNumId w:val="13"/>
  </w:num>
  <w:num w:numId="29" w16cid:durableId="995762299">
    <w:abstractNumId w:val="13"/>
  </w:num>
  <w:num w:numId="30" w16cid:durableId="320278723">
    <w:abstractNumId w:val="8"/>
  </w:num>
  <w:num w:numId="31" w16cid:durableId="1695614948">
    <w:abstractNumId w:val="8"/>
  </w:num>
  <w:num w:numId="32" w16cid:durableId="195823161">
    <w:abstractNumId w:val="13"/>
  </w:num>
  <w:num w:numId="33" w16cid:durableId="1926379146">
    <w:abstractNumId w:val="5"/>
  </w:num>
  <w:num w:numId="34" w16cid:durableId="24672940">
    <w:abstractNumId w:val="7"/>
  </w:num>
  <w:num w:numId="35" w16cid:durableId="1895774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1F7E"/>
    <w:rsid w:val="000030EE"/>
    <w:rsid w:val="0000603F"/>
    <w:rsid w:val="0001419E"/>
    <w:rsid w:val="00014D03"/>
    <w:rsid w:val="000152FF"/>
    <w:rsid w:val="000229AB"/>
    <w:rsid w:val="0002569A"/>
    <w:rsid w:val="0002678C"/>
    <w:rsid w:val="0003262B"/>
    <w:rsid w:val="00032B0F"/>
    <w:rsid w:val="00036DCD"/>
    <w:rsid w:val="00037321"/>
    <w:rsid w:val="000407BE"/>
    <w:rsid w:val="00042354"/>
    <w:rsid w:val="00052ACA"/>
    <w:rsid w:val="00053B14"/>
    <w:rsid w:val="00056045"/>
    <w:rsid w:val="00061545"/>
    <w:rsid w:val="00066FD4"/>
    <w:rsid w:val="000773F5"/>
    <w:rsid w:val="0007780A"/>
    <w:rsid w:val="00080204"/>
    <w:rsid w:val="00080D37"/>
    <w:rsid w:val="00083FD1"/>
    <w:rsid w:val="000852C6"/>
    <w:rsid w:val="00085911"/>
    <w:rsid w:val="000866C8"/>
    <w:rsid w:val="000877EC"/>
    <w:rsid w:val="000907D5"/>
    <w:rsid w:val="00095555"/>
    <w:rsid w:val="000955F2"/>
    <w:rsid w:val="00095A02"/>
    <w:rsid w:val="00096B1A"/>
    <w:rsid w:val="00097748"/>
    <w:rsid w:val="000A00C0"/>
    <w:rsid w:val="000A0299"/>
    <w:rsid w:val="000A0AD0"/>
    <w:rsid w:val="000A1C01"/>
    <w:rsid w:val="000A2B1E"/>
    <w:rsid w:val="000A5A7E"/>
    <w:rsid w:val="000B0A51"/>
    <w:rsid w:val="000B457F"/>
    <w:rsid w:val="000C3A58"/>
    <w:rsid w:val="000C47C9"/>
    <w:rsid w:val="000C4C54"/>
    <w:rsid w:val="000C56F9"/>
    <w:rsid w:val="000C5953"/>
    <w:rsid w:val="000C6F25"/>
    <w:rsid w:val="000D30FB"/>
    <w:rsid w:val="000D37EE"/>
    <w:rsid w:val="000D7884"/>
    <w:rsid w:val="000E3E49"/>
    <w:rsid w:val="000F1B34"/>
    <w:rsid w:val="000F288B"/>
    <w:rsid w:val="000F535D"/>
    <w:rsid w:val="000F69F3"/>
    <w:rsid w:val="000F7E94"/>
    <w:rsid w:val="0010099A"/>
    <w:rsid w:val="00100DC7"/>
    <w:rsid w:val="00100DD6"/>
    <w:rsid w:val="00105F8F"/>
    <w:rsid w:val="001073D8"/>
    <w:rsid w:val="00110EC6"/>
    <w:rsid w:val="001119D6"/>
    <w:rsid w:val="00120AEF"/>
    <w:rsid w:val="00121C78"/>
    <w:rsid w:val="00130655"/>
    <w:rsid w:val="001308F2"/>
    <w:rsid w:val="001313E8"/>
    <w:rsid w:val="00135436"/>
    <w:rsid w:val="00136E88"/>
    <w:rsid w:val="00141267"/>
    <w:rsid w:val="00141E54"/>
    <w:rsid w:val="00142032"/>
    <w:rsid w:val="001467E1"/>
    <w:rsid w:val="001467FF"/>
    <w:rsid w:val="00147494"/>
    <w:rsid w:val="0016474A"/>
    <w:rsid w:val="00164F37"/>
    <w:rsid w:val="00165F3D"/>
    <w:rsid w:val="00166012"/>
    <w:rsid w:val="00170EC5"/>
    <w:rsid w:val="00171635"/>
    <w:rsid w:val="0018052F"/>
    <w:rsid w:val="001819F7"/>
    <w:rsid w:val="0018297D"/>
    <w:rsid w:val="00186D04"/>
    <w:rsid w:val="00190BBF"/>
    <w:rsid w:val="00192F0D"/>
    <w:rsid w:val="00193612"/>
    <w:rsid w:val="001949E9"/>
    <w:rsid w:val="001957B4"/>
    <w:rsid w:val="001959E1"/>
    <w:rsid w:val="00196E54"/>
    <w:rsid w:val="00197062"/>
    <w:rsid w:val="001A25C7"/>
    <w:rsid w:val="001A2ACF"/>
    <w:rsid w:val="001A4879"/>
    <w:rsid w:val="001A5D60"/>
    <w:rsid w:val="001A749B"/>
    <w:rsid w:val="001B03E3"/>
    <w:rsid w:val="001B3A3F"/>
    <w:rsid w:val="001B5BBF"/>
    <w:rsid w:val="001B71C5"/>
    <w:rsid w:val="001C3506"/>
    <w:rsid w:val="001C54CC"/>
    <w:rsid w:val="001C58F5"/>
    <w:rsid w:val="001C7461"/>
    <w:rsid w:val="001D0E33"/>
    <w:rsid w:val="001D1EF2"/>
    <w:rsid w:val="001D4439"/>
    <w:rsid w:val="001D4914"/>
    <w:rsid w:val="001D5CEE"/>
    <w:rsid w:val="001D5F49"/>
    <w:rsid w:val="001E3699"/>
    <w:rsid w:val="001E4BC6"/>
    <w:rsid w:val="001E5B2C"/>
    <w:rsid w:val="001E6735"/>
    <w:rsid w:val="001F005F"/>
    <w:rsid w:val="001F09AE"/>
    <w:rsid w:val="001F152B"/>
    <w:rsid w:val="001F1CC0"/>
    <w:rsid w:val="001F2599"/>
    <w:rsid w:val="001F6D8B"/>
    <w:rsid w:val="001F78C9"/>
    <w:rsid w:val="00200154"/>
    <w:rsid w:val="00202783"/>
    <w:rsid w:val="0020533B"/>
    <w:rsid w:val="002061C9"/>
    <w:rsid w:val="00206792"/>
    <w:rsid w:val="002071D9"/>
    <w:rsid w:val="00220E7D"/>
    <w:rsid w:val="00221E20"/>
    <w:rsid w:val="002227F8"/>
    <w:rsid w:val="00222C26"/>
    <w:rsid w:val="0022333E"/>
    <w:rsid w:val="00227240"/>
    <w:rsid w:val="002308C5"/>
    <w:rsid w:val="00230BE0"/>
    <w:rsid w:val="00234E37"/>
    <w:rsid w:val="002352F2"/>
    <w:rsid w:val="00235DF5"/>
    <w:rsid w:val="0023767A"/>
    <w:rsid w:val="00240766"/>
    <w:rsid w:val="002412F6"/>
    <w:rsid w:val="002454AD"/>
    <w:rsid w:val="00247134"/>
    <w:rsid w:val="00253742"/>
    <w:rsid w:val="002549C8"/>
    <w:rsid w:val="00256822"/>
    <w:rsid w:val="002602C9"/>
    <w:rsid w:val="00260E45"/>
    <w:rsid w:val="0026525A"/>
    <w:rsid w:val="00266DAF"/>
    <w:rsid w:val="002708B8"/>
    <w:rsid w:val="002713BF"/>
    <w:rsid w:val="00271B4D"/>
    <w:rsid w:val="00274555"/>
    <w:rsid w:val="00274790"/>
    <w:rsid w:val="00276EBA"/>
    <w:rsid w:val="002827DF"/>
    <w:rsid w:val="002834CE"/>
    <w:rsid w:val="00285755"/>
    <w:rsid w:val="00291D7F"/>
    <w:rsid w:val="00292FAD"/>
    <w:rsid w:val="0029442A"/>
    <w:rsid w:val="0029456A"/>
    <w:rsid w:val="00295FEC"/>
    <w:rsid w:val="0029723E"/>
    <w:rsid w:val="00297F1B"/>
    <w:rsid w:val="002A0B96"/>
    <w:rsid w:val="002A1F9C"/>
    <w:rsid w:val="002A29F6"/>
    <w:rsid w:val="002A3C6B"/>
    <w:rsid w:val="002A5005"/>
    <w:rsid w:val="002A774C"/>
    <w:rsid w:val="002B29C2"/>
    <w:rsid w:val="002C4208"/>
    <w:rsid w:val="002C544C"/>
    <w:rsid w:val="002C6BD2"/>
    <w:rsid w:val="002C73F3"/>
    <w:rsid w:val="002C7AFF"/>
    <w:rsid w:val="002D2510"/>
    <w:rsid w:val="002D382A"/>
    <w:rsid w:val="002D416C"/>
    <w:rsid w:val="002D454F"/>
    <w:rsid w:val="002E0053"/>
    <w:rsid w:val="002E0CD7"/>
    <w:rsid w:val="002E37F7"/>
    <w:rsid w:val="002E5AF5"/>
    <w:rsid w:val="002E5BB0"/>
    <w:rsid w:val="002E69EB"/>
    <w:rsid w:val="002E7746"/>
    <w:rsid w:val="002F1B80"/>
    <w:rsid w:val="002F4C3A"/>
    <w:rsid w:val="002F59CD"/>
    <w:rsid w:val="002F6FDC"/>
    <w:rsid w:val="00302310"/>
    <w:rsid w:val="00303150"/>
    <w:rsid w:val="00303451"/>
    <w:rsid w:val="00303AA0"/>
    <w:rsid w:val="00304E3D"/>
    <w:rsid w:val="0030568D"/>
    <w:rsid w:val="0031043B"/>
    <w:rsid w:val="003120F1"/>
    <w:rsid w:val="00312AED"/>
    <w:rsid w:val="0031370F"/>
    <w:rsid w:val="00313798"/>
    <w:rsid w:val="0033291B"/>
    <w:rsid w:val="00334F9C"/>
    <w:rsid w:val="0033566E"/>
    <w:rsid w:val="00335840"/>
    <w:rsid w:val="00340FC6"/>
    <w:rsid w:val="003414FB"/>
    <w:rsid w:val="00341987"/>
    <w:rsid w:val="00341B4D"/>
    <w:rsid w:val="003437DA"/>
    <w:rsid w:val="00344716"/>
    <w:rsid w:val="00344F9E"/>
    <w:rsid w:val="00346DA1"/>
    <w:rsid w:val="0035063B"/>
    <w:rsid w:val="00352DE1"/>
    <w:rsid w:val="00356DE2"/>
    <w:rsid w:val="00357727"/>
    <w:rsid w:val="00362FBA"/>
    <w:rsid w:val="00363623"/>
    <w:rsid w:val="00366474"/>
    <w:rsid w:val="00366936"/>
    <w:rsid w:val="00371035"/>
    <w:rsid w:val="003728E6"/>
    <w:rsid w:val="0037504F"/>
    <w:rsid w:val="003838BB"/>
    <w:rsid w:val="00384FC0"/>
    <w:rsid w:val="00386690"/>
    <w:rsid w:val="0038777F"/>
    <w:rsid w:val="00391A84"/>
    <w:rsid w:val="00393D61"/>
    <w:rsid w:val="00394A10"/>
    <w:rsid w:val="00394A47"/>
    <w:rsid w:val="003958E2"/>
    <w:rsid w:val="00396F4A"/>
    <w:rsid w:val="003B14A2"/>
    <w:rsid w:val="003B1778"/>
    <w:rsid w:val="003B19BD"/>
    <w:rsid w:val="003B3054"/>
    <w:rsid w:val="003B43A8"/>
    <w:rsid w:val="003B4A17"/>
    <w:rsid w:val="003B5E0E"/>
    <w:rsid w:val="003C0D97"/>
    <w:rsid w:val="003C6666"/>
    <w:rsid w:val="003C6802"/>
    <w:rsid w:val="003C693E"/>
    <w:rsid w:val="003D07DC"/>
    <w:rsid w:val="003D156C"/>
    <w:rsid w:val="003D255A"/>
    <w:rsid w:val="003D43DA"/>
    <w:rsid w:val="003D4A67"/>
    <w:rsid w:val="003D7961"/>
    <w:rsid w:val="003E0DD2"/>
    <w:rsid w:val="003E14FD"/>
    <w:rsid w:val="003E248E"/>
    <w:rsid w:val="003E3558"/>
    <w:rsid w:val="003E4F5E"/>
    <w:rsid w:val="003E5224"/>
    <w:rsid w:val="003E733B"/>
    <w:rsid w:val="003F0A70"/>
    <w:rsid w:val="003F19FA"/>
    <w:rsid w:val="003F6759"/>
    <w:rsid w:val="003F752A"/>
    <w:rsid w:val="00401A07"/>
    <w:rsid w:val="00402F6C"/>
    <w:rsid w:val="00403088"/>
    <w:rsid w:val="00403407"/>
    <w:rsid w:val="004037BB"/>
    <w:rsid w:val="00404134"/>
    <w:rsid w:val="00406F2B"/>
    <w:rsid w:val="00407EB1"/>
    <w:rsid w:val="00410F21"/>
    <w:rsid w:val="00411929"/>
    <w:rsid w:val="00411969"/>
    <w:rsid w:val="0041239C"/>
    <w:rsid w:val="00413BE2"/>
    <w:rsid w:val="00415428"/>
    <w:rsid w:val="00415B5C"/>
    <w:rsid w:val="00416949"/>
    <w:rsid w:val="004216B5"/>
    <w:rsid w:val="0042306E"/>
    <w:rsid w:val="0043316C"/>
    <w:rsid w:val="00433D6A"/>
    <w:rsid w:val="00435500"/>
    <w:rsid w:val="0043640B"/>
    <w:rsid w:val="00436A3E"/>
    <w:rsid w:val="004370D8"/>
    <w:rsid w:val="004452D4"/>
    <w:rsid w:val="00447FE1"/>
    <w:rsid w:val="004507CB"/>
    <w:rsid w:val="00450A71"/>
    <w:rsid w:val="00452AAE"/>
    <w:rsid w:val="004559E5"/>
    <w:rsid w:val="004560C2"/>
    <w:rsid w:val="004569B8"/>
    <w:rsid w:val="004606C7"/>
    <w:rsid w:val="00461B25"/>
    <w:rsid w:val="004631EF"/>
    <w:rsid w:val="00466A71"/>
    <w:rsid w:val="004705CB"/>
    <w:rsid w:val="00472C43"/>
    <w:rsid w:val="004736B3"/>
    <w:rsid w:val="00480FF4"/>
    <w:rsid w:val="00487C0F"/>
    <w:rsid w:val="00493530"/>
    <w:rsid w:val="0049590D"/>
    <w:rsid w:val="00495EE4"/>
    <w:rsid w:val="004965F7"/>
    <w:rsid w:val="00496BED"/>
    <w:rsid w:val="004A4F02"/>
    <w:rsid w:val="004A6784"/>
    <w:rsid w:val="004B338A"/>
    <w:rsid w:val="004B511A"/>
    <w:rsid w:val="004C2E67"/>
    <w:rsid w:val="004C4983"/>
    <w:rsid w:val="004C50BA"/>
    <w:rsid w:val="004C5C36"/>
    <w:rsid w:val="004C638C"/>
    <w:rsid w:val="004C6831"/>
    <w:rsid w:val="004D1597"/>
    <w:rsid w:val="004D2F4F"/>
    <w:rsid w:val="004F28C8"/>
    <w:rsid w:val="004F38D1"/>
    <w:rsid w:val="004F4613"/>
    <w:rsid w:val="004F5F65"/>
    <w:rsid w:val="00501393"/>
    <w:rsid w:val="00513D5C"/>
    <w:rsid w:val="0052105C"/>
    <w:rsid w:val="00521D54"/>
    <w:rsid w:val="005227D8"/>
    <w:rsid w:val="00523190"/>
    <w:rsid w:val="0052515E"/>
    <w:rsid w:val="00530844"/>
    <w:rsid w:val="005316C7"/>
    <w:rsid w:val="00532F64"/>
    <w:rsid w:val="0053701A"/>
    <w:rsid w:val="005373DD"/>
    <w:rsid w:val="00537496"/>
    <w:rsid w:val="00537B59"/>
    <w:rsid w:val="005425BF"/>
    <w:rsid w:val="005441BE"/>
    <w:rsid w:val="00544ED3"/>
    <w:rsid w:val="00545030"/>
    <w:rsid w:val="005457A0"/>
    <w:rsid w:val="005460F7"/>
    <w:rsid w:val="00546B4B"/>
    <w:rsid w:val="00546CEC"/>
    <w:rsid w:val="005527E7"/>
    <w:rsid w:val="005531DA"/>
    <w:rsid w:val="00555596"/>
    <w:rsid w:val="005574C7"/>
    <w:rsid w:val="00563B71"/>
    <w:rsid w:val="00570C8B"/>
    <w:rsid w:val="00575141"/>
    <w:rsid w:val="00575B25"/>
    <w:rsid w:val="0057784B"/>
    <w:rsid w:val="0058359D"/>
    <w:rsid w:val="00583FFB"/>
    <w:rsid w:val="0058477B"/>
    <w:rsid w:val="00585A4C"/>
    <w:rsid w:val="0058654F"/>
    <w:rsid w:val="00591C20"/>
    <w:rsid w:val="005933E1"/>
    <w:rsid w:val="00593E58"/>
    <w:rsid w:val="00596ACA"/>
    <w:rsid w:val="005A0A75"/>
    <w:rsid w:val="005A0E0A"/>
    <w:rsid w:val="005A79D9"/>
    <w:rsid w:val="005B6F04"/>
    <w:rsid w:val="005C2E9D"/>
    <w:rsid w:val="005C4181"/>
    <w:rsid w:val="005C652A"/>
    <w:rsid w:val="005C6C58"/>
    <w:rsid w:val="005C78EC"/>
    <w:rsid w:val="005D19FF"/>
    <w:rsid w:val="005D1B4D"/>
    <w:rsid w:val="005D5134"/>
    <w:rsid w:val="005D6127"/>
    <w:rsid w:val="005D64DC"/>
    <w:rsid w:val="005D675A"/>
    <w:rsid w:val="005E39BC"/>
    <w:rsid w:val="005E7803"/>
    <w:rsid w:val="005F00A0"/>
    <w:rsid w:val="005F6275"/>
    <w:rsid w:val="00600B78"/>
    <w:rsid w:val="00604464"/>
    <w:rsid w:val="00604E6E"/>
    <w:rsid w:val="00621DA5"/>
    <w:rsid w:val="00622943"/>
    <w:rsid w:val="00625D5F"/>
    <w:rsid w:val="00627CE9"/>
    <w:rsid w:val="00642B4C"/>
    <w:rsid w:val="00643CB7"/>
    <w:rsid w:val="00644D5C"/>
    <w:rsid w:val="00646C4A"/>
    <w:rsid w:val="006477F7"/>
    <w:rsid w:val="00647F33"/>
    <w:rsid w:val="00650761"/>
    <w:rsid w:val="00652085"/>
    <w:rsid w:val="006533A7"/>
    <w:rsid w:val="00654C9F"/>
    <w:rsid w:val="00662532"/>
    <w:rsid w:val="00663B3B"/>
    <w:rsid w:val="00667967"/>
    <w:rsid w:val="00677223"/>
    <w:rsid w:val="00692ACF"/>
    <w:rsid w:val="0069436F"/>
    <w:rsid w:val="00694586"/>
    <w:rsid w:val="00694894"/>
    <w:rsid w:val="0069581C"/>
    <w:rsid w:val="006A0B8A"/>
    <w:rsid w:val="006A1145"/>
    <w:rsid w:val="006A1E8A"/>
    <w:rsid w:val="006A5B1E"/>
    <w:rsid w:val="006B0E38"/>
    <w:rsid w:val="006B2274"/>
    <w:rsid w:val="006B48EE"/>
    <w:rsid w:val="006B78D5"/>
    <w:rsid w:val="006B7D1E"/>
    <w:rsid w:val="006C143C"/>
    <w:rsid w:val="006C6294"/>
    <w:rsid w:val="006D0039"/>
    <w:rsid w:val="006D0349"/>
    <w:rsid w:val="006D49B5"/>
    <w:rsid w:val="006D6032"/>
    <w:rsid w:val="006E0A49"/>
    <w:rsid w:val="006E4F10"/>
    <w:rsid w:val="006F06C2"/>
    <w:rsid w:val="006F3D84"/>
    <w:rsid w:val="006F46C4"/>
    <w:rsid w:val="006F69E4"/>
    <w:rsid w:val="0070194A"/>
    <w:rsid w:val="0070471D"/>
    <w:rsid w:val="00704F90"/>
    <w:rsid w:val="00707B2B"/>
    <w:rsid w:val="007123F3"/>
    <w:rsid w:val="007176A6"/>
    <w:rsid w:val="00717C6F"/>
    <w:rsid w:val="00720876"/>
    <w:rsid w:val="007219A9"/>
    <w:rsid w:val="007229BC"/>
    <w:rsid w:val="00725ADC"/>
    <w:rsid w:val="007276BC"/>
    <w:rsid w:val="0073303D"/>
    <w:rsid w:val="00736B16"/>
    <w:rsid w:val="0074085A"/>
    <w:rsid w:val="007416D9"/>
    <w:rsid w:val="00743959"/>
    <w:rsid w:val="00744164"/>
    <w:rsid w:val="007445DA"/>
    <w:rsid w:val="00744773"/>
    <w:rsid w:val="007451D6"/>
    <w:rsid w:val="0074534D"/>
    <w:rsid w:val="0074575E"/>
    <w:rsid w:val="00746532"/>
    <w:rsid w:val="00752B73"/>
    <w:rsid w:val="00752D91"/>
    <w:rsid w:val="0075333A"/>
    <w:rsid w:val="00754204"/>
    <w:rsid w:val="00756DEB"/>
    <w:rsid w:val="00761E3D"/>
    <w:rsid w:val="007628E8"/>
    <w:rsid w:val="007678EF"/>
    <w:rsid w:val="00772FFF"/>
    <w:rsid w:val="007751ED"/>
    <w:rsid w:val="00775A37"/>
    <w:rsid w:val="00775B09"/>
    <w:rsid w:val="00780C36"/>
    <w:rsid w:val="00792F05"/>
    <w:rsid w:val="0079334C"/>
    <w:rsid w:val="007A1D5D"/>
    <w:rsid w:val="007A40E2"/>
    <w:rsid w:val="007A7F5D"/>
    <w:rsid w:val="007B1ECE"/>
    <w:rsid w:val="007B346F"/>
    <w:rsid w:val="007B3D58"/>
    <w:rsid w:val="007B4FD1"/>
    <w:rsid w:val="007B5EC6"/>
    <w:rsid w:val="007B6713"/>
    <w:rsid w:val="007C2386"/>
    <w:rsid w:val="007C3AD1"/>
    <w:rsid w:val="007C527E"/>
    <w:rsid w:val="007D2E46"/>
    <w:rsid w:val="007D5B33"/>
    <w:rsid w:val="007E0DC2"/>
    <w:rsid w:val="007E11E8"/>
    <w:rsid w:val="007E2381"/>
    <w:rsid w:val="007E42CD"/>
    <w:rsid w:val="007E531F"/>
    <w:rsid w:val="007E53F0"/>
    <w:rsid w:val="007E692F"/>
    <w:rsid w:val="007E7236"/>
    <w:rsid w:val="007E7F55"/>
    <w:rsid w:val="007F3AD3"/>
    <w:rsid w:val="007F6AD2"/>
    <w:rsid w:val="00802381"/>
    <w:rsid w:val="008031A7"/>
    <w:rsid w:val="00803C61"/>
    <w:rsid w:val="00804803"/>
    <w:rsid w:val="00804FA6"/>
    <w:rsid w:val="0081304D"/>
    <w:rsid w:val="00813406"/>
    <w:rsid w:val="00815465"/>
    <w:rsid w:val="00823F81"/>
    <w:rsid w:val="00824574"/>
    <w:rsid w:val="00824C23"/>
    <w:rsid w:val="00830EA2"/>
    <w:rsid w:val="008344A8"/>
    <w:rsid w:val="008364E8"/>
    <w:rsid w:val="00837D8B"/>
    <w:rsid w:val="00842B54"/>
    <w:rsid w:val="008438E0"/>
    <w:rsid w:val="00845FCE"/>
    <w:rsid w:val="008462EB"/>
    <w:rsid w:val="008502CD"/>
    <w:rsid w:val="00851735"/>
    <w:rsid w:val="00852FA6"/>
    <w:rsid w:val="0085356D"/>
    <w:rsid w:val="00855D02"/>
    <w:rsid w:val="00862FFE"/>
    <w:rsid w:val="00870C8B"/>
    <w:rsid w:val="008723A2"/>
    <w:rsid w:val="0087516E"/>
    <w:rsid w:val="00877EA7"/>
    <w:rsid w:val="0088053D"/>
    <w:rsid w:val="00883848"/>
    <w:rsid w:val="0088396C"/>
    <w:rsid w:val="00884D0D"/>
    <w:rsid w:val="00885895"/>
    <w:rsid w:val="00890BF7"/>
    <w:rsid w:val="00893B88"/>
    <w:rsid w:val="00894B2D"/>
    <w:rsid w:val="00894B97"/>
    <w:rsid w:val="0089738F"/>
    <w:rsid w:val="00897B36"/>
    <w:rsid w:val="00897ED5"/>
    <w:rsid w:val="008A12F3"/>
    <w:rsid w:val="008A13CC"/>
    <w:rsid w:val="008A26FA"/>
    <w:rsid w:val="008A6285"/>
    <w:rsid w:val="008B0968"/>
    <w:rsid w:val="008B2B44"/>
    <w:rsid w:val="008B4F4E"/>
    <w:rsid w:val="008B6BB9"/>
    <w:rsid w:val="008D128A"/>
    <w:rsid w:val="008D1DA1"/>
    <w:rsid w:val="008D282C"/>
    <w:rsid w:val="008D71E3"/>
    <w:rsid w:val="008D75DA"/>
    <w:rsid w:val="008E0AA8"/>
    <w:rsid w:val="008E198E"/>
    <w:rsid w:val="008E4F55"/>
    <w:rsid w:val="008E58A1"/>
    <w:rsid w:val="008E59BC"/>
    <w:rsid w:val="008F0FAB"/>
    <w:rsid w:val="008F4181"/>
    <w:rsid w:val="008F6FE4"/>
    <w:rsid w:val="00900B46"/>
    <w:rsid w:val="00901076"/>
    <w:rsid w:val="009010E4"/>
    <w:rsid w:val="00904647"/>
    <w:rsid w:val="00906911"/>
    <w:rsid w:val="00910877"/>
    <w:rsid w:val="00911543"/>
    <w:rsid w:val="00911C96"/>
    <w:rsid w:val="0091220C"/>
    <w:rsid w:val="009129E2"/>
    <w:rsid w:val="009133CC"/>
    <w:rsid w:val="00913F97"/>
    <w:rsid w:val="00914532"/>
    <w:rsid w:val="009153B8"/>
    <w:rsid w:val="00915C3C"/>
    <w:rsid w:val="009160B5"/>
    <w:rsid w:val="0091689A"/>
    <w:rsid w:val="0092061A"/>
    <w:rsid w:val="0092233C"/>
    <w:rsid w:val="0092611F"/>
    <w:rsid w:val="009320D0"/>
    <w:rsid w:val="00932F66"/>
    <w:rsid w:val="009331EF"/>
    <w:rsid w:val="00933E6B"/>
    <w:rsid w:val="00935350"/>
    <w:rsid w:val="009433C1"/>
    <w:rsid w:val="00945DCE"/>
    <w:rsid w:val="00947BD9"/>
    <w:rsid w:val="00947E08"/>
    <w:rsid w:val="009502CE"/>
    <w:rsid w:val="009519C9"/>
    <w:rsid w:val="0095259B"/>
    <w:rsid w:val="00953223"/>
    <w:rsid w:val="00954DDE"/>
    <w:rsid w:val="0095609E"/>
    <w:rsid w:val="009628E8"/>
    <w:rsid w:val="00967B7F"/>
    <w:rsid w:val="00976D5E"/>
    <w:rsid w:val="0097792A"/>
    <w:rsid w:val="00977E64"/>
    <w:rsid w:val="00982EAA"/>
    <w:rsid w:val="00995BB2"/>
    <w:rsid w:val="0099684D"/>
    <w:rsid w:val="009A18F6"/>
    <w:rsid w:val="009A2C2D"/>
    <w:rsid w:val="009A4386"/>
    <w:rsid w:val="009A4747"/>
    <w:rsid w:val="009A7016"/>
    <w:rsid w:val="009B35DB"/>
    <w:rsid w:val="009B3F7C"/>
    <w:rsid w:val="009B5797"/>
    <w:rsid w:val="009B6D66"/>
    <w:rsid w:val="009B73BE"/>
    <w:rsid w:val="009C7773"/>
    <w:rsid w:val="009C7E36"/>
    <w:rsid w:val="009D0B86"/>
    <w:rsid w:val="009D3DFB"/>
    <w:rsid w:val="009D43B6"/>
    <w:rsid w:val="009D6B69"/>
    <w:rsid w:val="009E09F2"/>
    <w:rsid w:val="009E0D5B"/>
    <w:rsid w:val="009E1558"/>
    <w:rsid w:val="009E5EBD"/>
    <w:rsid w:val="009F0DA0"/>
    <w:rsid w:val="009F32CB"/>
    <w:rsid w:val="009F41E9"/>
    <w:rsid w:val="009F5BDC"/>
    <w:rsid w:val="009F6510"/>
    <w:rsid w:val="009F68C3"/>
    <w:rsid w:val="009F729B"/>
    <w:rsid w:val="00A02CE1"/>
    <w:rsid w:val="00A0590E"/>
    <w:rsid w:val="00A11035"/>
    <w:rsid w:val="00A13B6A"/>
    <w:rsid w:val="00A15262"/>
    <w:rsid w:val="00A1747C"/>
    <w:rsid w:val="00A20C28"/>
    <w:rsid w:val="00A24E24"/>
    <w:rsid w:val="00A265A2"/>
    <w:rsid w:val="00A30852"/>
    <w:rsid w:val="00A36543"/>
    <w:rsid w:val="00A36DA7"/>
    <w:rsid w:val="00A42898"/>
    <w:rsid w:val="00A454F3"/>
    <w:rsid w:val="00A5148A"/>
    <w:rsid w:val="00A517FB"/>
    <w:rsid w:val="00A55207"/>
    <w:rsid w:val="00A55B88"/>
    <w:rsid w:val="00A5609E"/>
    <w:rsid w:val="00A665CA"/>
    <w:rsid w:val="00A74692"/>
    <w:rsid w:val="00A80CAF"/>
    <w:rsid w:val="00A83DAD"/>
    <w:rsid w:val="00A84B97"/>
    <w:rsid w:val="00A87E02"/>
    <w:rsid w:val="00A90915"/>
    <w:rsid w:val="00A919A8"/>
    <w:rsid w:val="00A95D17"/>
    <w:rsid w:val="00A97048"/>
    <w:rsid w:val="00AA115D"/>
    <w:rsid w:val="00AA6894"/>
    <w:rsid w:val="00AA7A1D"/>
    <w:rsid w:val="00AB6ACE"/>
    <w:rsid w:val="00AC31AC"/>
    <w:rsid w:val="00AC472F"/>
    <w:rsid w:val="00AC5A3A"/>
    <w:rsid w:val="00AD16DF"/>
    <w:rsid w:val="00AD2946"/>
    <w:rsid w:val="00AD3D6E"/>
    <w:rsid w:val="00AD49E4"/>
    <w:rsid w:val="00AD4FE6"/>
    <w:rsid w:val="00AD57E9"/>
    <w:rsid w:val="00AE0501"/>
    <w:rsid w:val="00AE2EE6"/>
    <w:rsid w:val="00AF28A6"/>
    <w:rsid w:val="00AF2C37"/>
    <w:rsid w:val="00AF68F3"/>
    <w:rsid w:val="00B01DD4"/>
    <w:rsid w:val="00B036EF"/>
    <w:rsid w:val="00B05048"/>
    <w:rsid w:val="00B116A3"/>
    <w:rsid w:val="00B12E51"/>
    <w:rsid w:val="00B133AD"/>
    <w:rsid w:val="00B17E04"/>
    <w:rsid w:val="00B23990"/>
    <w:rsid w:val="00B3157B"/>
    <w:rsid w:val="00B318C3"/>
    <w:rsid w:val="00B31FB2"/>
    <w:rsid w:val="00B32872"/>
    <w:rsid w:val="00B33CD1"/>
    <w:rsid w:val="00B34687"/>
    <w:rsid w:val="00B35285"/>
    <w:rsid w:val="00B37166"/>
    <w:rsid w:val="00B40A77"/>
    <w:rsid w:val="00B43E17"/>
    <w:rsid w:val="00B451D8"/>
    <w:rsid w:val="00B45DBE"/>
    <w:rsid w:val="00B5138B"/>
    <w:rsid w:val="00B55674"/>
    <w:rsid w:val="00B565CD"/>
    <w:rsid w:val="00B61C21"/>
    <w:rsid w:val="00B6209A"/>
    <w:rsid w:val="00B628EE"/>
    <w:rsid w:val="00B66048"/>
    <w:rsid w:val="00B70628"/>
    <w:rsid w:val="00B711F0"/>
    <w:rsid w:val="00B72E57"/>
    <w:rsid w:val="00B76103"/>
    <w:rsid w:val="00B76335"/>
    <w:rsid w:val="00B7739B"/>
    <w:rsid w:val="00B82FA5"/>
    <w:rsid w:val="00B83550"/>
    <w:rsid w:val="00B8388C"/>
    <w:rsid w:val="00B84897"/>
    <w:rsid w:val="00B90A44"/>
    <w:rsid w:val="00B91069"/>
    <w:rsid w:val="00B925BD"/>
    <w:rsid w:val="00B93B03"/>
    <w:rsid w:val="00B95659"/>
    <w:rsid w:val="00B95EB3"/>
    <w:rsid w:val="00BA36E8"/>
    <w:rsid w:val="00BA39C9"/>
    <w:rsid w:val="00BA47B4"/>
    <w:rsid w:val="00BB224A"/>
    <w:rsid w:val="00BB5192"/>
    <w:rsid w:val="00BB6B5A"/>
    <w:rsid w:val="00BB6EE3"/>
    <w:rsid w:val="00BB7C50"/>
    <w:rsid w:val="00BC0636"/>
    <w:rsid w:val="00BC162B"/>
    <w:rsid w:val="00BC1ACF"/>
    <w:rsid w:val="00BC262B"/>
    <w:rsid w:val="00BC3FBF"/>
    <w:rsid w:val="00BC48C4"/>
    <w:rsid w:val="00BC4F53"/>
    <w:rsid w:val="00BC60FE"/>
    <w:rsid w:val="00BC7E12"/>
    <w:rsid w:val="00BD049A"/>
    <w:rsid w:val="00BD1400"/>
    <w:rsid w:val="00BD312B"/>
    <w:rsid w:val="00BD43AD"/>
    <w:rsid w:val="00BD52BC"/>
    <w:rsid w:val="00BD605C"/>
    <w:rsid w:val="00BD6A3C"/>
    <w:rsid w:val="00BD6D86"/>
    <w:rsid w:val="00BE1D7F"/>
    <w:rsid w:val="00BE2A76"/>
    <w:rsid w:val="00BE3AD7"/>
    <w:rsid w:val="00BE505A"/>
    <w:rsid w:val="00BE5CBD"/>
    <w:rsid w:val="00BE6FBF"/>
    <w:rsid w:val="00BF29AE"/>
    <w:rsid w:val="00BF60C2"/>
    <w:rsid w:val="00C01E83"/>
    <w:rsid w:val="00C05094"/>
    <w:rsid w:val="00C061FD"/>
    <w:rsid w:val="00C1144B"/>
    <w:rsid w:val="00C135FC"/>
    <w:rsid w:val="00C13657"/>
    <w:rsid w:val="00C14FD9"/>
    <w:rsid w:val="00C16787"/>
    <w:rsid w:val="00C2174C"/>
    <w:rsid w:val="00C24235"/>
    <w:rsid w:val="00C2738F"/>
    <w:rsid w:val="00C27586"/>
    <w:rsid w:val="00C32A38"/>
    <w:rsid w:val="00C37AD9"/>
    <w:rsid w:val="00C42D6B"/>
    <w:rsid w:val="00C46FEF"/>
    <w:rsid w:val="00C519A5"/>
    <w:rsid w:val="00C56AFE"/>
    <w:rsid w:val="00C602F8"/>
    <w:rsid w:val="00C60426"/>
    <w:rsid w:val="00C61EA4"/>
    <w:rsid w:val="00C6353E"/>
    <w:rsid w:val="00C636C7"/>
    <w:rsid w:val="00C65A32"/>
    <w:rsid w:val="00C65E60"/>
    <w:rsid w:val="00C661D4"/>
    <w:rsid w:val="00C709C6"/>
    <w:rsid w:val="00C73782"/>
    <w:rsid w:val="00C75088"/>
    <w:rsid w:val="00C80A5C"/>
    <w:rsid w:val="00C80B83"/>
    <w:rsid w:val="00C90E71"/>
    <w:rsid w:val="00C92A92"/>
    <w:rsid w:val="00C952BA"/>
    <w:rsid w:val="00CA005E"/>
    <w:rsid w:val="00CA0979"/>
    <w:rsid w:val="00CA4E07"/>
    <w:rsid w:val="00CA7112"/>
    <w:rsid w:val="00CB379C"/>
    <w:rsid w:val="00CB4CD1"/>
    <w:rsid w:val="00CB72FD"/>
    <w:rsid w:val="00CC0935"/>
    <w:rsid w:val="00CC7732"/>
    <w:rsid w:val="00CD0B04"/>
    <w:rsid w:val="00CD1F15"/>
    <w:rsid w:val="00CD3CBE"/>
    <w:rsid w:val="00CD5988"/>
    <w:rsid w:val="00CD6272"/>
    <w:rsid w:val="00CD709E"/>
    <w:rsid w:val="00CE3A3A"/>
    <w:rsid w:val="00CE4496"/>
    <w:rsid w:val="00CE5875"/>
    <w:rsid w:val="00CE5A52"/>
    <w:rsid w:val="00CE61EB"/>
    <w:rsid w:val="00CF07BC"/>
    <w:rsid w:val="00CF217C"/>
    <w:rsid w:val="00CF462F"/>
    <w:rsid w:val="00CF69BE"/>
    <w:rsid w:val="00CF75A7"/>
    <w:rsid w:val="00CF7AF3"/>
    <w:rsid w:val="00CF7B4B"/>
    <w:rsid w:val="00D02EFC"/>
    <w:rsid w:val="00D0483B"/>
    <w:rsid w:val="00D054C5"/>
    <w:rsid w:val="00D05911"/>
    <w:rsid w:val="00D12D05"/>
    <w:rsid w:val="00D139AF"/>
    <w:rsid w:val="00D14708"/>
    <w:rsid w:val="00D15E3D"/>
    <w:rsid w:val="00D214FA"/>
    <w:rsid w:val="00D215B4"/>
    <w:rsid w:val="00D249C6"/>
    <w:rsid w:val="00D25760"/>
    <w:rsid w:val="00D26ADA"/>
    <w:rsid w:val="00D311C9"/>
    <w:rsid w:val="00D33D8F"/>
    <w:rsid w:val="00D35A48"/>
    <w:rsid w:val="00D35A78"/>
    <w:rsid w:val="00D37A23"/>
    <w:rsid w:val="00D37D38"/>
    <w:rsid w:val="00D41D49"/>
    <w:rsid w:val="00D4375E"/>
    <w:rsid w:val="00D44C1C"/>
    <w:rsid w:val="00D464E0"/>
    <w:rsid w:val="00D503AB"/>
    <w:rsid w:val="00D52F49"/>
    <w:rsid w:val="00D555A1"/>
    <w:rsid w:val="00D602FC"/>
    <w:rsid w:val="00D6420E"/>
    <w:rsid w:val="00D64DC2"/>
    <w:rsid w:val="00D6612A"/>
    <w:rsid w:val="00D67034"/>
    <w:rsid w:val="00D71F1F"/>
    <w:rsid w:val="00D72C8D"/>
    <w:rsid w:val="00D72C98"/>
    <w:rsid w:val="00D75BCC"/>
    <w:rsid w:val="00D80016"/>
    <w:rsid w:val="00D81AAE"/>
    <w:rsid w:val="00D908E4"/>
    <w:rsid w:val="00D95ACD"/>
    <w:rsid w:val="00D96B14"/>
    <w:rsid w:val="00D972D4"/>
    <w:rsid w:val="00D97A6D"/>
    <w:rsid w:val="00DA086B"/>
    <w:rsid w:val="00DA222A"/>
    <w:rsid w:val="00DA46CA"/>
    <w:rsid w:val="00DA6539"/>
    <w:rsid w:val="00DB0442"/>
    <w:rsid w:val="00DB078F"/>
    <w:rsid w:val="00DB08D3"/>
    <w:rsid w:val="00DB1001"/>
    <w:rsid w:val="00DB4AAF"/>
    <w:rsid w:val="00DB4CF9"/>
    <w:rsid w:val="00DC1272"/>
    <w:rsid w:val="00DC2C46"/>
    <w:rsid w:val="00DC2DAF"/>
    <w:rsid w:val="00DC4439"/>
    <w:rsid w:val="00DD3F0E"/>
    <w:rsid w:val="00DD7D27"/>
    <w:rsid w:val="00DE2AFC"/>
    <w:rsid w:val="00DE5802"/>
    <w:rsid w:val="00DF21EB"/>
    <w:rsid w:val="00DF58C2"/>
    <w:rsid w:val="00DF5AED"/>
    <w:rsid w:val="00E005E7"/>
    <w:rsid w:val="00E0190C"/>
    <w:rsid w:val="00E02240"/>
    <w:rsid w:val="00E03877"/>
    <w:rsid w:val="00E03CE6"/>
    <w:rsid w:val="00E07249"/>
    <w:rsid w:val="00E16FE7"/>
    <w:rsid w:val="00E17C0C"/>
    <w:rsid w:val="00E20E70"/>
    <w:rsid w:val="00E21A38"/>
    <w:rsid w:val="00E23823"/>
    <w:rsid w:val="00E23B71"/>
    <w:rsid w:val="00E2500F"/>
    <w:rsid w:val="00E25B68"/>
    <w:rsid w:val="00E26356"/>
    <w:rsid w:val="00E27E28"/>
    <w:rsid w:val="00E30162"/>
    <w:rsid w:val="00E344EB"/>
    <w:rsid w:val="00E349E6"/>
    <w:rsid w:val="00E43CAD"/>
    <w:rsid w:val="00E461B5"/>
    <w:rsid w:val="00E502A8"/>
    <w:rsid w:val="00E54932"/>
    <w:rsid w:val="00E63A01"/>
    <w:rsid w:val="00E6449C"/>
    <w:rsid w:val="00E66A2C"/>
    <w:rsid w:val="00E67E0B"/>
    <w:rsid w:val="00E71014"/>
    <w:rsid w:val="00E744B3"/>
    <w:rsid w:val="00E769CF"/>
    <w:rsid w:val="00E81F88"/>
    <w:rsid w:val="00E8342D"/>
    <w:rsid w:val="00E84003"/>
    <w:rsid w:val="00E84386"/>
    <w:rsid w:val="00E84455"/>
    <w:rsid w:val="00E8553C"/>
    <w:rsid w:val="00E87B93"/>
    <w:rsid w:val="00E87F6A"/>
    <w:rsid w:val="00E93E7A"/>
    <w:rsid w:val="00E94CBA"/>
    <w:rsid w:val="00E9598B"/>
    <w:rsid w:val="00E95F51"/>
    <w:rsid w:val="00E96184"/>
    <w:rsid w:val="00EA01DD"/>
    <w:rsid w:val="00EA13BA"/>
    <w:rsid w:val="00EA185B"/>
    <w:rsid w:val="00EA3658"/>
    <w:rsid w:val="00EA52D2"/>
    <w:rsid w:val="00EA7DD4"/>
    <w:rsid w:val="00EA7EC3"/>
    <w:rsid w:val="00EB0EFC"/>
    <w:rsid w:val="00EB53AC"/>
    <w:rsid w:val="00EC10FC"/>
    <w:rsid w:val="00EC4E9F"/>
    <w:rsid w:val="00EC683C"/>
    <w:rsid w:val="00ED2FE5"/>
    <w:rsid w:val="00ED3380"/>
    <w:rsid w:val="00ED3E4B"/>
    <w:rsid w:val="00EE0041"/>
    <w:rsid w:val="00EE29B9"/>
    <w:rsid w:val="00EE2DD6"/>
    <w:rsid w:val="00EE4A0F"/>
    <w:rsid w:val="00EE5415"/>
    <w:rsid w:val="00EE6ABF"/>
    <w:rsid w:val="00EF0D44"/>
    <w:rsid w:val="00EF72A8"/>
    <w:rsid w:val="00F004EE"/>
    <w:rsid w:val="00F02BE4"/>
    <w:rsid w:val="00F02D32"/>
    <w:rsid w:val="00F04957"/>
    <w:rsid w:val="00F15E59"/>
    <w:rsid w:val="00F1758B"/>
    <w:rsid w:val="00F20541"/>
    <w:rsid w:val="00F21132"/>
    <w:rsid w:val="00F2175A"/>
    <w:rsid w:val="00F21953"/>
    <w:rsid w:val="00F21B6D"/>
    <w:rsid w:val="00F21E1C"/>
    <w:rsid w:val="00F26446"/>
    <w:rsid w:val="00F26993"/>
    <w:rsid w:val="00F26C6A"/>
    <w:rsid w:val="00F27627"/>
    <w:rsid w:val="00F3167F"/>
    <w:rsid w:val="00F3491F"/>
    <w:rsid w:val="00F36083"/>
    <w:rsid w:val="00F379D5"/>
    <w:rsid w:val="00F37ED3"/>
    <w:rsid w:val="00F42E23"/>
    <w:rsid w:val="00F438AF"/>
    <w:rsid w:val="00F45EEE"/>
    <w:rsid w:val="00F51046"/>
    <w:rsid w:val="00F51E9C"/>
    <w:rsid w:val="00F51F80"/>
    <w:rsid w:val="00F523CA"/>
    <w:rsid w:val="00F531AB"/>
    <w:rsid w:val="00F53DA0"/>
    <w:rsid w:val="00F54C09"/>
    <w:rsid w:val="00F573CE"/>
    <w:rsid w:val="00F63E67"/>
    <w:rsid w:val="00F64176"/>
    <w:rsid w:val="00F67555"/>
    <w:rsid w:val="00F67F08"/>
    <w:rsid w:val="00F717DC"/>
    <w:rsid w:val="00F71B53"/>
    <w:rsid w:val="00F74A9D"/>
    <w:rsid w:val="00F769F1"/>
    <w:rsid w:val="00F779F8"/>
    <w:rsid w:val="00F81342"/>
    <w:rsid w:val="00F81442"/>
    <w:rsid w:val="00F837B6"/>
    <w:rsid w:val="00F85268"/>
    <w:rsid w:val="00F853D3"/>
    <w:rsid w:val="00F86FD1"/>
    <w:rsid w:val="00F87B2B"/>
    <w:rsid w:val="00F95D19"/>
    <w:rsid w:val="00FA420B"/>
    <w:rsid w:val="00FA479F"/>
    <w:rsid w:val="00FA4F48"/>
    <w:rsid w:val="00FA4F75"/>
    <w:rsid w:val="00FA65A8"/>
    <w:rsid w:val="00FB3F54"/>
    <w:rsid w:val="00FB400B"/>
    <w:rsid w:val="00FC0FA8"/>
    <w:rsid w:val="00FC24A9"/>
    <w:rsid w:val="00FC309E"/>
    <w:rsid w:val="00FC7770"/>
    <w:rsid w:val="00FD0501"/>
    <w:rsid w:val="00FD37DC"/>
    <w:rsid w:val="00FD3F90"/>
    <w:rsid w:val="00FD418B"/>
    <w:rsid w:val="00FD4B39"/>
    <w:rsid w:val="00FD5172"/>
    <w:rsid w:val="00FE21B4"/>
    <w:rsid w:val="00FE6B3F"/>
    <w:rsid w:val="00FF0519"/>
    <w:rsid w:val="00FF1BF0"/>
    <w:rsid w:val="00FF386F"/>
    <w:rsid w:val="00FF4459"/>
    <w:rsid w:val="00FF4A42"/>
    <w:rsid w:val="00FF509F"/>
    <w:rsid w:val="00FF6F19"/>
    <w:rsid w:val="00FF71F3"/>
    <w:rsid w:val="2FF36D8A"/>
    <w:rsid w:val="7F8458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yperlink" w:uiPriority="99"/>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ind w:left="720"/>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paragraph" w:styleId="ListParagraph">
    <w:name w:val="List Paragraph"/>
    <w:basedOn w:val="Normal"/>
    <w:uiPriority w:val="49"/>
    <w:locked/>
    <w:rsid w:val="00495EE4"/>
    <w:pPr>
      <w:ind w:left="720"/>
      <w:contextualSpacing/>
    </w:pPr>
  </w:style>
  <w:style w:type="character" w:styleId="Hyperlink">
    <w:name w:val="Hyperlink"/>
    <w:basedOn w:val="DefaultParagraphFont"/>
    <w:uiPriority w:val="99"/>
    <w:unhideWhenUsed/>
    <w:locked/>
    <w:rsid w:val="004C4983"/>
    <w:rPr>
      <w:color w:val="0000FF" w:themeColor="hyperlink"/>
      <w:u w:val="single"/>
    </w:rPr>
  </w:style>
  <w:style w:type="character" w:styleId="UnresolvedMention">
    <w:name w:val="Unresolved Mention"/>
    <w:basedOn w:val="DefaultParagraphFont"/>
    <w:uiPriority w:val="99"/>
    <w:semiHidden/>
    <w:unhideWhenUsed/>
    <w:rsid w:val="00193612"/>
    <w:rPr>
      <w:color w:val="605E5C"/>
      <w:shd w:val="clear" w:color="auto" w:fill="E1DFDD"/>
    </w:rPr>
  </w:style>
  <w:style w:type="character" w:styleId="CommentReference">
    <w:name w:val="annotation reference"/>
    <w:basedOn w:val="DefaultParagraphFont"/>
    <w:uiPriority w:val="49"/>
    <w:locked/>
    <w:rsid w:val="00B43E17"/>
    <w:rPr>
      <w:sz w:val="16"/>
      <w:szCs w:val="16"/>
    </w:rPr>
  </w:style>
  <w:style w:type="paragraph" w:styleId="CommentText">
    <w:name w:val="annotation text"/>
    <w:basedOn w:val="Normal"/>
    <w:link w:val="CommentTextChar"/>
    <w:uiPriority w:val="49"/>
    <w:locked/>
    <w:rsid w:val="00B43E17"/>
    <w:rPr>
      <w:sz w:val="20"/>
    </w:rPr>
  </w:style>
  <w:style w:type="character" w:customStyle="1" w:styleId="CommentTextChar">
    <w:name w:val="Comment Text Char"/>
    <w:basedOn w:val="DefaultParagraphFont"/>
    <w:link w:val="CommentText"/>
    <w:uiPriority w:val="49"/>
    <w:rsid w:val="00B43E17"/>
    <w:rPr>
      <w:lang w:eastAsia="en-US"/>
    </w:rPr>
  </w:style>
  <w:style w:type="paragraph" w:styleId="CommentSubject">
    <w:name w:val="annotation subject"/>
    <w:basedOn w:val="CommentText"/>
    <w:next w:val="CommentText"/>
    <w:link w:val="CommentSubjectChar"/>
    <w:uiPriority w:val="49"/>
    <w:locked/>
    <w:rsid w:val="00B43E17"/>
    <w:rPr>
      <w:b/>
      <w:bCs/>
    </w:rPr>
  </w:style>
  <w:style w:type="character" w:customStyle="1" w:styleId="CommentSubjectChar">
    <w:name w:val="Comment Subject Char"/>
    <w:basedOn w:val="CommentTextChar"/>
    <w:link w:val="CommentSubject"/>
    <w:uiPriority w:val="49"/>
    <w:rsid w:val="00B43E17"/>
    <w:rPr>
      <w:b/>
      <w:bCs/>
      <w:lang w:eastAsia="en-US"/>
    </w:rPr>
  </w:style>
  <w:style w:type="character" w:styleId="FollowedHyperlink">
    <w:name w:val="FollowedHyperlink"/>
    <w:basedOn w:val="DefaultParagraphFont"/>
    <w:uiPriority w:val="49"/>
    <w:locked/>
    <w:rsid w:val="00340FC6"/>
    <w:rPr>
      <w:color w:val="800080" w:themeColor="followedHyperlink"/>
      <w:u w:val="single"/>
    </w:rPr>
  </w:style>
  <w:style w:type="paragraph" w:styleId="Revision">
    <w:name w:val="Revision"/>
    <w:hidden/>
    <w:uiPriority w:val="99"/>
    <w:semiHidden/>
    <w:rsid w:val="00947E08"/>
    <w:rPr>
      <w:sz w:val="22"/>
      <w:lang w:eastAsia="en-US"/>
    </w:rPr>
  </w:style>
  <w:style w:type="character" w:customStyle="1" w:styleId="cf01">
    <w:name w:val="cf01"/>
    <w:basedOn w:val="DefaultParagraphFont"/>
    <w:rsid w:val="007447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niyiai@ornl.gov" TargetMode="External"/><Relationship Id="rId13" Type="http://schemas.openxmlformats.org/officeDocument/2006/relationships/hyperlink" Target="https://energy.gov/downloads/doe-public-access-plan" TargetMode="External"/><Relationship Id="rId18" Type="http://schemas.openxmlformats.org/officeDocument/2006/relationships/hyperlink" Target="https://doi.org/10.1016/J.COCHE.2016.07.00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6/j.ssci.2018.11.00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nldigitallibrary.inl.gov/sites/sti/sti/5806458.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lications.anl.gov/anlpubs/2021/04/167516.pdf" TargetMode="External"/><Relationship Id="rId20" Type="http://schemas.openxmlformats.org/officeDocument/2006/relationships/hyperlink" Target="https://doi.org/10.1016/J.RESS.2017.09.02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jlp.2020.1043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fo.ornl.gov/sites/publications/files/Pub41833.pdf" TargetMode="External"/><Relationship Id="rId23" Type="http://schemas.openxmlformats.org/officeDocument/2006/relationships/hyperlink" Target="https://doi.org/10.3390/ijerph1706205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16/J.JLP.2017.05.02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fo.ornl.gov/sites/publications/files/Pub30613.pdf" TargetMode="External"/><Relationship Id="rId22" Type="http://schemas.openxmlformats.org/officeDocument/2006/relationships/hyperlink" Target="https://doi.org/10.1016/j.ress.2018.03.02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2024-06-10T11:47:00Z</dcterms:created>
  <dcterms:modified xsi:type="dcterms:W3CDTF">2024-06-10T11:47:00Z</dcterms:modified>
  <cp:category/>
</cp:coreProperties>
</file>