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971E1" w14:textId="4801F803" w:rsidR="00625BB6" w:rsidRDefault="00625BB6" w:rsidP="002138E1">
      <w:pPr>
        <w:pStyle w:val="Title"/>
        <w:jc w:val="both"/>
      </w:pPr>
      <w:r>
        <w:t>Title: Licensing Challenges for Small Modular Reactor Designs in European Deterministic Regulatory Frameworks</w:t>
      </w:r>
    </w:p>
    <w:p w14:paraId="03B244D1" w14:textId="558D221E" w:rsidR="00DE2865" w:rsidRPr="00DE3049" w:rsidRDefault="00DE2865" w:rsidP="00DE3049">
      <w:pPr>
        <w:ind w:left="720"/>
        <w:rPr>
          <w:rFonts w:ascii="Arial" w:hAnsi="Arial" w:cs="Arial"/>
        </w:rPr>
      </w:pPr>
      <w:r w:rsidRPr="00DE3049">
        <w:rPr>
          <w:rFonts w:ascii="Arial" w:hAnsi="Arial" w:cs="Arial"/>
        </w:rPr>
        <w:t>J. REGA</w:t>
      </w:r>
    </w:p>
    <w:p w14:paraId="6906ACD0" w14:textId="35DE0C38" w:rsidR="00DE2865" w:rsidRPr="00DE3049" w:rsidRDefault="00DE2865" w:rsidP="00DE3049">
      <w:pPr>
        <w:ind w:left="720"/>
        <w:rPr>
          <w:rFonts w:ascii="Arial" w:hAnsi="Arial" w:cs="Arial"/>
        </w:rPr>
      </w:pPr>
      <w:r w:rsidRPr="00DE3049">
        <w:rPr>
          <w:rFonts w:ascii="Arial" w:hAnsi="Arial" w:cs="Arial"/>
        </w:rPr>
        <w:t xml:space="preserve">Tractebel, </w:t>
      </w:r>
      <w:r w:rsidR="00DE3049" w:rsidRPr="00DE3049">
        <w:rPr>
          <w:rFonts w:ascii="Arial" w:hAnsi="Arial" w:cs="Arial"/>
        </w:rPr>
        <w:t>Hasselt (Belgium)</w:t>
      </w:r>
    </w:p>
    <w:p w14:paraId="3BA0AC1D" w14:textId="16EECC06" w:rsidR="00DE2865" w:rsidRPr="00DE3049" w:rsidRDefault="00DE2865" w:rsidP="00DE3049">
      <w:pPr>
        <w:ind w:left="720"/>
        <w:rPr>
          <w:rFonts w:ascii="Arial" w:hAnsi="Arial" w:cs="Arial"/>
        </w:rPr>
      </w:pPr>
      <w:r w:rsidRPr="00DE3049">
        <w:rPr>
          <w:rFonts w:ascii="Arial" w:hAnsi="Arial" w:cs="Arial"/>
        </w:rPr>
        <w:t xml:space="preserve">Email: </w:t>
      </w:r>
      <w:r w:rsidR="00DE3049" w:rsidRPr="00DE3049">
        <w:rPr>
          <w:rFonts w:ascii="Arial" w:hAnsi="Arial" w:cs="Arial"/>
        </w:rPr>
        <w:t>Jo.rega</w:t>
      </w:r>
      <w:r w:rsidRPr="00DE3049">
        <w:rPr>
          <w:rFonts w:ascii="Arial" w:hAnsi="Arial" w:cs="Arial"/>
        </w:rPr>
        <w:t>@</w:t>
      </w:r>
      <w:r w:rsidR="00DE3049" w:rsidRPr="00DE3049">
        <w:rPr>
          <w:rFonts w:ascii="Arial" w:hAnsi="Arial" w:cs="Arial"/>
        </w:rPr>
        <w:t>tractebel.engie</w:t>
      </w:r>
      <w:r w:rsidRPr="00DE3049">
        <w:rPr>
          <w:rFonts w:ascii="Arial" w:hAnsi="Arial" w:cs="Arial"/>
        </w:rPr>
        <w:t>.com</w:t>
      </w:r>
    </w:p>
    <w:p w14:paraId="1DF7B08D" w14:textId="77777777" w:rsidR="00DE2865" w:rsidRPr="00DE3049" w:rsidRDefault="00DE2865" w:rsidP="00DE3049">
      <w:pPr>
        <w:ind w:left="720"/>
        <w:rPr>
          <w:rFonts w:ascii="Arial" w:hAnsi="Arial" w:cs="Arial"/>
        </w:rPr>
      </w:pPr>
    </w:p>
    <w:p w14:paraId="423CC6CC" w14:textId="7E4F293A" w:rsidR="00DE2865" w:rsidRPr="00DE3049" w:rsidRDefault="00DE3049" w:rsidP="00DE3049">
      <w:pPr>
        <w:ind w:left="720"/>
        <w:rPr>
          <w:rFonts w:ascii="Arial" w:hAnsi="Arial" w:cs="Arial"/>
          <w:lang w:val="nl-NL"/>
        </w:rPr>
      </w:pPr>
      <w:r w:rsidRPr="00DE3049">
        <w:rPr>
          <w:rFonts w:ascii="Arial" w:hAnsi="Arial" w:cs="Arial"/>
          <w:lang w:val="nl-NL"/>
        </w:rPr>
        <w:t>Ph. DEJARDIN</w:t>
      </w:r>
    </w:p>
    <w:p w14:paraId="07D57AED" w14:textId="0ADB0B6D" w:rsidR="00DE3049" w:rsidRPr="00DE3049" w:rsidRDefault="00DE3049" w:rsidP="00DE3049">
      <w:pPr>
        <w:ind w:left="720"/>
        <w:rPr>
          <w:rFonts w:ascii="Arial" w:hAnsi="Arial" w:cs="Arial"/>
          <w:lang w:val="nl-NL"/>
        </w:rPr>
      </w:pPr>
      <w:r w:rsidRPr="00DE3049">
        <w:rPr>
          <w:rFonts w:ascii="Arial" w:hAnsi="Arial" w:cs="Arial"/>
          <w:lang w:val="nl-NL"/>
        </w:rPr>
        <w:t xml:space="preserve">Tractebel, </w:t>
      </w:r>
      <w:r w:rsidRPr="00DE3049">
        <w:rPr>
          <w:rFonts w:ascii="Arial" w:hAnsi="Arial" w:cs="Arial"/>
          <w:lang w:val="nl-NL"/>
        </w:rPr>
        <w:t xml:space="preserve">Brussels </w:t>
      </w:r>
      <w:r w:rsidRPr="00DE3049">
        <w:rPr>
          <w:rFonts w:ascii="Arial" w:hAnsi="Arial" w:cs="Arial"/>
          <w:lang w:val="nl-NL"/>
        </w:rPr>
        <w:t>(Belgium)</w:t>
      </w:r>
    </w:p>
    <w:p w14:paraId="0EC2B583" w14:textId="77777777" w:rsidR="00625BB6" w:rsidRPr="00DE3049" w:rsidRDefault="00625BB6" w:rsidP="002138E1">
      <w:pPr>
        <w:jc w:val="both"/>
        <w:rPr>
          <w:rFonts w:ascii="Arial" w:hAnsi="Arial" w:cs="Arial"/>
          <w:i/>
          <w:iCs/>
          <w:color w:val="595959"/>
          <w:lang w:val="nl-NL"/>
        </w:rPr>
      </w:pPr>
    </w:p>
    <w:p w14:paraId="5EBA14DD" w14:textId="77777777" w:rsidR="00625BB6" w:rsidRPr="008D7F2C" w:rsidRDefault="00625BB6" w:rsidP="002138E1">
      <w:pPr>
        <w:spacing w:line="276" w:lineRule="auto"/>
        <w:jc w:val="both"/>
        <w:rPr>
          <w:rFonts w:ascii="Arial" w:hAnsi="Arial" w:cs="Arial"/>
          <w:i/>
          <w:iCs/>
          <w:color w:val="595959"/>
          <w:sz w:val="22"/>
          <w:szCs w:val="22"/>
        </w:rPr>
      </w:pPr>
      <w:r w:rsidRPr="008D7F2C">
        <w:rPr>
          <w:rFonts w:ascii="Arial" w:hAnsi="Arial" w:cs="Arial"/>
          <w:i/>
          <w:iCs/>
          <w:color w:val="595959"/>
          <w:sz w:val="22"/>
          <w:szCs w:val="22"/>
        </w:rPr>
        <w:t xml:space="preserve">Abstract: Small Modular Reactors (SMRs) represent a promising advancement in nuclear technology, offering enhanced safety features, scalability, and flexibility compared to traditional large-scale reactors. The use of passive safety features combined with the lower source term make an SMR inherently safer than a large Nuclear Power Plant (NPP) and opens the possibility for optimization of the design through a graded approach. Explicit guidance for the grading down of SMR related requirements and recommendations is lacking. Certain SMR-designs have used a risk-informed approach to achieve an overall optimization of safety measures, supporting the effective and balanced implementation of the </w:t>
      </w:r>
      <w:proofErr w:type="spellStart"/>
      <w:r w:rsidRPr="008D7F2C">
        <w:rPr>
          <w:rFonts w:ascii="Arial" w:hAnsi="Arial" w:cs="Arial"/>
          <w:i/>
          <w:iCs/>
          <w:color w:val="595959"/>
          <w:sz w:val="22"/>
          <w:szCs w:val="22"/>
        </w:rPr>
        <w:t>defence</w:t>
      </w:r>
      <w:proofErr w:type="spellEnd"/>
      <w:r w:rsidRPr="008D7F2C">
        <w:rPr>
          <w:rFonts w:ascii="Arial" w:hAnsi="Arial" w:cs="Arial"/>
          <w:i/>
          <w:iCs/>
          <w:color w:val="595959"/>
          <w:sz w:val="22"/>
          <w:szCs w:val="22"/>
        </w:rPr>
        <w:t xml:space="preserve"> in depth concept. However, their deployment faces significant licensing challenges in countries with deterministic regulatory frameworks, which prioritize prescriptive safety standards over risk-informed approaches. This paper explores the complex interplay between risk-informed design methodologies and deterministic regulatory requirements in the licensing process for SMRs. It examines the tension between the desire for innovation and the regulatory imperative for rigorous safety assurance, highlighting a balanced approach that integrates risk assessment principles into existing regulatory frameworks. Through a comparative analysis, this paper identifies key barriers and licensing challenges associated with risk-informed SMR designs within deterministic regulatory environments. Additionally, it underscores the importance of stakeholder engagement, regulatory harmonization, and knowledge sharing to foster a conducive regulatory environment that promotes the safe and efficient deployment of SMRs while ensuring regulatory compliance.</w:t>
      </w:r>
    </w:p>
    <w:p w14:paraId="7517F8A6" w14:textId="77777777" w:rsidR="00C32392" w:rsidRPr="008D7F2C" w:rsidRDefault="00C32392" w:rsidP="002138E1">
      <w:pPr>
        <w:spacing w:line="276" w:lineRule="auto"/>
        <w:jc w:val="both"/>
        <w:rPr>
          <w:sz w:val="22"/>
          <w:szCs w:val="22"/>
        </w:rPr>
      </w:pPr>
    </w:p>
    <w:p w14:paraId="0DC47096" w14:textId="1042BC08" w:rsidR="00A53C24" w:rsidRPr="008D7F2C" w:rsidRDefault="00A53C24" w:rsidP="002138E1">
      <w:pPr>
        <w:spacing w:line="276" w:lineRule="auto"/>
        <w:jc w:val="both"/>
        <w:rPr>
          <w:rFonts w:ascii="Arial" w:hAnsi="Arial" w:cs="Arial"/>
          <w:b/>
          <w:bCs/>
          <w:sz w:val="22"/>
          <w:szCs w:val="22"/>
        </w:rPr>
      </w:pPr>
      <w:r w:rsidRPr="008D7F2C">
        <w:rPr>
          <w:rFonts w:ascii="Arial" w:hAnsi="Arial" w:cs="Arial"/>
          <w:b/>
          <w:bCs/>
          <w:sz w:val="22"/>
          <w:szCs w:val="22"/>
        </w:rPr>
        <w:t>The future of nuclear technology in Europe</w:t>
      </w:r>
    </w:p>
    <w:p w14:paraId="295E930A" w14:textId="7C8ECFBD" w:rsidR="00A53C24" w:rsidRPr="008D7F2C" w:rsidRDefault="00A53C24" w:rsidP="002138E1">
      <w:pPr>
        <w:spacing w:line="276" w:lineRule="auto"/>
        <w:jc w:val="both"/>
        <w:rPr>
          <w:rFonts w:ascii="Arial" w:hAnsi="Arial" w:cs="Arial"/>
          <w:sz w:val="22"/>
          <w:szCs w:val="22"/>
        </w:rPr>
      </w:pPr>
      <w:r w:rsidRPr="008D7F2C">
        <w:rPr>
          <w:rFonts w:ascii="Arial" w:hAnsi="Arial" w:cs="Arial"/>
          <w:sz w:val="22"/>
          <w:szCs w:val="22"/>
        </w:rPr>
        <w:t xml:space="preserve"> </w:t>
      </w:r>
    </w:p>
    <w:p w14:paraId="7553B058" w14:textId="0478E91B" w:rsidR="00776CEB" w:rsidRDefault="00A53C24" w:rsidP="002138E1">
      <w:pPr>
        <w:spacing w:line="276" w:lineRule="auto"/>
        <w:jc w:val="both"/>
        <w:rPr>
          <w:rFonts w:ascii="Arial" w:hAnsi="Arial" w:cs="Arial"/>
          <w:sz w:val="22"/>
          <w:szCs w:val="22"/>
        </w:rPr>
      </w:pPr>
      <w:r w:rsidRPr="008D7F2C">
        <w:rPr>
          <w:rFonts w:ascii="Arial" w:hAnsi="Arial" w:cs="Arial"/>
          <w:sz w:val="22"/>
          <w:szCs w:val="22"/>
        </w:rPr>
        <w:t>Nuclear power plants are and always have been a climate friendly</w:t>
      </w:r>
      <w:r w:rsidR="00776CEB">
        <w:rPr>
          <w:rFonts w:ascii="Arial" w:hAnsi="Arial" w:cs="Arial"/>
          <w:sz w:val="22"/>
          <w:szCs w:val="22"/>
        </w:rPr>
        <w:t>,</w:t>
      </w:r>
      <w:r w:rsidRPr="008D7F2C">
        <w:rPr>
          <w:rFonts w:ascii="Arial" w:hAnsi="Arial" w:cs="Arial"/>
          <w:sz w:val="22"/>
          <w:szCs w:val="22"/>
        </w:rPr>
        <w:t xml:space="preserve"> low to zero-emission</w:t>
      </w:r>
      <w:r w:rsidR="00776CEB">
        <w:rPr>
          <w:rFonts w:ascii="Arial" w:hAnsi="Arial" w:cs="Arial"/>
          <w:sz w:val="22"/>
          <w:szCs w:val="22"/>
        </w:rPr>
        <w:t xml:space="preserve"> and</w:t>
      </w:r>
      <w:r w:rsidRPr="008D7F2C">
        <w:rPr>
          <w:rFonts w:ascii="Arial" w:hAnsi="Arial" w:cs="Arial"/>
          <w:sz w:val="22"/>
          <w:szCs w:val="22"/>
        </w:rPr>
        <w:t xml:space="preserve"> clean energy source. </w:t>
      </w:r>
      <w:r w:rsidR="00BD0B1E" w:rsidRPr="008D7F2C">
        <w:rPr>
          <w:rFonts w:ascii="Arial" w:hAnsi="Arial" w:cs="Arial"/>
          <w:sz w:val="22"/>
          <w:szCs w:val="22"/>
        </w:rPr>
        <w:t xml:space="preserve">Since the beginning of </w:t>
      </w:r>
      <w:r w:rsidRPr="008D7F2C">
        <w:rPr>
          <w:rFonts w:ascii="Arial" w:hAnsi="Arial" w:cs="Arial"/>
          <w:sz w:val="22"/>
          <w:szCs w:val="22"/>
        </w:rPr>
        <w:t>the war in U</w:t>
      </w:r>
      <w:r w:rsidR="00BD0B1E" w:rsidRPr="008D7F2C">
        <w:rPr>
          <w:rFonts w:ascii="Arial" w:hAnsi="Arial" w:cs="Arial"/>
          <w:sz w:val="22"/>
          <w:szCs w:val="22"/>
        </w:rPr>
        <w:t>k</w:t>
      </w:r>
      <w:r w:rsidRPr="008D7F2C">
        <w:rPr>
          <w:rFonts w:ascii="Arial" w:hAnsi="Arial" w:cs="Arial"/>
          <w:sz w:val="22"/>
          <w:szCs w:val="22"/>
        </w:rPr>
        <w:t>raine</w:t>
      </w:r>
      <w:r w:rsidR="00BD0B1E" w:rsidRPr="008D7F2C">
        <w:rPr>
          <w:rFonts w:ascii="Arial" w:hAnsi="Arial" w:cs="Arial"/>
          <w:sz w:val="22"/>
          <w:szCs w:val="22"/>
        </w:rPr>
        <w:t>, uncertainty on energy security and dependence on Russian oil and gas have boosted action a nuclear revival</w:t>
      </w:r>
      <w:r w:rsidR="00776CEB">
        <w:rPr>
          <w:rFonts w:ascii="Arial" w:hAnsi="Arial" w:cs="Arial"/>
          <w:sz w:val="22"/>
          <w:szCs w:val="22"/>
        </w:rPr>
        <w:t xml:space="preserve"> in Europe</w:t>
      </w:r>
      <w:r w:rsidR="00BD0B1E" w:rsidRPr="008D7F2C">
        <w:rPr>
          <w:rFonts w:ascii="Arial" w:hAnsi="Arial" w:cs="Arial"/>
          <w:sz w:val="22"/>
          <w:szCs w:val="22"/>
        </w:rPr>
        <w:t>. On May 16</w:t>
      </w:r>
      <w:r w:rsidR="00BD0B1E" w:rsidRPr="008D7F2C">
        <w:rPr>
          <w:rFonts w:ascii="Arial" w:hAnsi="Arial" w:cs="Arial"/>
          <w:sz w:val="22"/>
          <w:szCs w:val="22"/>
          <w:vertAlign w:val="superscript"/>
        </w:rPr>
        <w:t>th</w:t>
      </w:r>
      <w:r w:rsidR="00BD0B1E" w:rsidRPr="008D7F2C">
        <w:rPr>
          <w:rFonts w:ascii="Arial" w:hAnsi="Arial" w:cs="Arial"/>
          <w:sz w:val="22"/>
          <w:szCs w:val="22"/>
        </w:rPr>
        <w:t xml:space="preserve">, at the Nuclear Alliance meeting in Paris, ministers of the participating member states acknowledged that nuclear power may provide up to 150 GW of electrical capacity by 2050 </w:t>
      </w:r>
      <w:r w:rsidR="00776CEB">
        <w:rPr>
          <w:rFonts w:ascii="Arial" w:hAnsi="Arial" w:cs="Arial"/>
          <w:sz w:val="22"/>
          <w:szCs w:val="22"/>
        </w:rPr>
        <w:t>in</w:t>
      </w:r>
      <w:r w:rsidR="00BD0B1E" w:rsidRPr="008D7F2C">
        <w:rPr>
          <w:rFonts w:ascii="Arial" w:hAnsi="Arial" w:cs="Arial"/>
          <w:sz w:val="22"/>
          <w:szCs w:val="22"/>
        </w:rPr>
        <w:t xml:space="preserve"> the European Union (vs roughly 100 GW today). W</w:t>
      </w:r>
      <w:r w:rsidR="00776CEB">
        <w:rPr>
          <w:rFonts w:ascii="Arial" w:hAnsi="Arial" w:cs="Arial"/>
          <w:sz w:val="22"/>
          <w:szCs w:val="22"/>
        </w:rPr>
        <w:t>ith</w:t>
      </w:r>
      <w:r w:rsidR="00BD0B1E" w:rsidRPr="008D7F2C">
        <w:rPr>
          <w:rFonts w:ascii="Arial" w:hAnsi="Arial" w:cs="Arial"/>
          <w:sz w:val="22"/>
          <w:szCs w:val="22"/>
        </w:rPr>
        <w:t xml:space="preserve"> </w:t>
      </w:r>
      <w:r w:rsidR="00776CEB">
        <w:rPr>
          <w:rFonts w:ascii="Arial" w:hAnsi="Arial" w:cs="Arial"/>
          <w:sz w:val="22"/>
          <w:szCs w:val="22"/>
        </w:rPr>
        <w:t xml:space="preserve">several </w:t>
      </w:r>
      <w:r w:rsidR="00BD0B1E" w:rsidRPr="008D7F2C">
        <w:rPr>
          <w:rFonts w:ascii="Arial" w:hAnsi="Arial" w:cs="Arial"/>
          <w:sz w:val="22"/>
          <w:szCs w:val="22"/>
        </w:rPr>
        <w:t xml:space="preserve">of the </w:t>
      </w:r>
      <w:r w:rsidR="00776CEB">
        <w:rPr>
          <w:rFonts w:ascii="Arial" w:hAnsi="Arial" w:cs="Arial"/>
          <w:sz w:val="22"/>
          <w:szCs w:val="22"/>
        </w:rPr>
        <w:t xml:space="preserve">current </w:t>
      </w:r>
      <w:r w:rsidR="00BD0B1E" w:rsidRPr="008D7F2C">
        <w:rPr>
          <w:rFonts w:ascii="Arial" w:hAnsi="Arial" w:cs="Arial"/>
          <w:sz w:val="22"/>
          <w:szCs w:val="22"/>
        </w:rPr>
        <w:t>nuclear plants be</w:t>
      </w:r>
      <w:r w:rsidR="00776CEB">
        <w:rPr>
          <w:rFonts w:ascii="Arial" w:hAnsi="Arial" w:cs="Arial"/>
          <w:sz w:val="22"/>
          <w:szCs w:val="22"/>
        </w:rPr>
        <w:t>ing</w:t>
      </w:r>
      <w:r w:rsidR="00BD0B1E" w:rsidRPr="008D7F2C">
        <w:rPr>
          <w:rFonts w:ascii="Arial" w:hAnsi="Arial" w:cs="Arial"/>
          <w:sz w:val="22"/>
          <w:szCs w:val="22"/>
        </w:rPr>
        <w:t xml:space="preserve"> in decommissioning, only about 35 GW </w:t>
      </w:r>
      <w:r w:rsidR="00776CEB">
        <w:rPr>
          <w:rFonts w:ascii="Arial" w:hAnsi="Arial" w:cs="Arial"/>
          <w:sz w:val="22"/>
          <w:szCs w:val="22"/>
        </w:rPr>
        <w:t xml:space="preserve">out of this 150 GW </w:t>
      </w:r>
      <w:r w:rsidR="00BD0B1E" w:rsidRPr="008D7F2C">
        <w:rPr>
          <w:rFonts w:ascii="Arial" w:hAnsi="Arial" w:cs="Arial"/>
          <w:sz w:val="22"/>
          <w:szCs w:val="22"/>
        </w:rPr>
        <w:t xml:space="preserve">capacity is expected </w:t>
      </w:r>
      <w:r w:rsidR="00776CEB">
        <w:rPr>
          <w:rFonts w:ascii="Arial" w:hAnsi="Arial" w:cs="Arial"/>
          <w:sz w:val="22"/>
          <w:szCs w:val="22"/>
        </w:rPr>
        <w:t xml:space="preserve">to be produced </w:t>
      </w:r>
      <w:r w:rsidR="00BD0B1E" w:rsidRPr="008D7F2C">
        <w:rPr>
          <w:rFonts w:ascii="Arial" w:hAnsi="Arial" w:cs="Arial"/>
          <w:sz w:val="22"/>
          <w:szCs w:val="22"/>
        </w:rPr>
        <w:t>from existing units going to LTO</w:t>
      </w:r>
      <w:r w:rsidR="00776CEB">
        <w:rPr>
          <w:rFonts w:ascii="Arial" w:hAnsi="Arial" w:cs="Arial"/>
          <w:sz w:val="22"/>
          <w:szCs w:val="22"/>
        </w:rPr>
        <w:t>. This leaves</w:t>
      </w:r>
      <w:r w:rsidR="00844B95" w:rsidRPr="008D7F2C">
        <w:rPr>
          <w:rFonts w:ascii="Arial" w:hAnsi="Arial" w:cs="Arial"/>
          <w:sz w:val="22"/>
          <w:szCs w:val="22"/>
        </w:rPr>
        <w:t xml:space="preserve"> about 115 GW </w:t>
      </w:r>
      <w:r w:rsidR="00776CEB">
        <w:rPr>
          <w:rFonts w:ascii="Arial" w:hAnsi="Arial" w:cs="Arial"/>
          <w:sz w:val="22"/>
          <w:szCs w:val="22"/>
        </w:rPr>
        <w:t xml:space="preserve">to be realized </w:t>
      </w:r>
      <w:r w:rsidR="00844B95" w:rsidRPr="008D7F2C">
        <w:rPr>
          <w:rFonts w:ascii="Arial" w:hAnsi="Arial" w:cs="Arial"/>
          <w:sz w:val="22"/>
          <w:szCs w:val="22"/>
        </w:rPr>
        <w:t xml:space="preserve">from new build </w:t>
      </w:r>
      <w:r w:rsidR="00844B95" w:rsidRPr="008D7F2C">
        <w:rPr>
          <w:rFonts w:ascii="Arial" w:hAnsi="Arial" w:cs="Arial"/>
          <w:sz w:val="22"/>
          <w:szCs w:val="22"/>
        </w:rPr>
        <w:lastRenderedPageBreak/>
        <w:t>projects</w:t>
      </w:r>
      <w:r w:rsidR="00844B95" w:rsidRPr="00776CEB">
        <w:rPr>
          <w:rFonts w:ascii="Arial" w:hAnsi="Arial" w:cs="Arial"/>
          <w:sz w:val="22"/>
          <w:szCs w:val="22"/>
          <w:vertAlign w:val="superscript"/>
        </w:rPr>
        <w:t>(</w:t>
      </w:r>
      <w:r w:rsidR="00776CEB">
        <w:rPr>
          <w:rStyle w:val="FootnoteReference"/>
          <w:rFonts w:ascii="Arial" w:hAnsi="Arial" w:cs="Arial"/>
          <w:sz w:val="22"/>
          <w:szCs w:val="22"/>
        </w:rPr>
        <w:footnoteReference w:id="1"/>
      </w:r>
      <w:r w:rsidR="00844B95" w:rsidRPr="00776CEB">
        <w:rPr>
          <w:rFonts w:ascii="Arial" w:hAnsi="Arial" w:cs="Arial"/>
          <w:sz w:val="22"/>
          <w:szCs w:val="22"/>
          <w:vertAlign w:val="superscript"/>
        </w:rPr>
        <w:t>)</w:t>
      </w:r>
      <w:r w:rsidR="00844B95" w:rsidRPr="008D7F2C">
        <w:rPr>
          <w:rFonts w:ascii="Arial" w:hAnsi="Arial" w:cs="Arial"/>
          <w:sz w:val="22"/>
          <w:szCs w:val="22"/>
        </w:rPr>
        <w:t>.</w:t>
      </w:r>
      <w:r w:rsidR="001E4634" w:rsidRPr="008D7F2C">
        <w:rPr>
          <w:rFonts w:ascii="Arial" w:hAnsi="Arial" w:cs="Arial"/>
          <w:sz w:val="22"/>
          <w:szCs w:val="22"/>
        </w:rPr>
        <w:t xml:space="preserve"> </w:t>
      </w:r>
      <w:r w:rsidR="00776CEB">
        <w:rPr>
          <w:rFonts w:ascii="Arial" w:hAnsi="Arial" w:cs="Arial"/>
          <w:sz w:val="22"/>
          <w:szCs w:val="22"/>
        </w:rPr>
        <w:t>T</w:t>
      </w:r>
      <w:r w:rsidR="001E4634" w:rsidRPr="008D7F2C">
        <w:rPr>
          <w:rFonts w:ascii="Arial" w:hAnsi="Arial" w:cs="Arial"/>
          <w:sz w:val="22"/>
          <w:szCs w:val="22"/>
        </w:rPr>
        <w:t xml:space="preserve">hese figures do not </w:t>
      </w:r>
      <w:r w:rsidR="00776CEB">
        <w:rPr>
          <w:rFonts w:ascii="Arial" w:hAnsi="Arial" w:cs="Arial"/>
          <w:sz w:val="22"/>
          <w:szCs w:val="22"/>
        </w:rPr>
        <w:t xml:space="preserve">even </w:t>
      </w:r>
      <w:r w:rsidR="001E4634" w:rsidRPr="008D7F2C">
        <w:rPr>
          <w:rFonts w:ascii="Arial" w:hAnsi="Arial" w:cs="Arial"/>
          <w:sz w:val="22"/>
          <w:szCs w:val="22"/>
        </w:rPr>
        <w:t>account for nuclear new build project for non-electrical applications like hydrogen production, district heating or desalination.</w:t>
      </w:r>
      <w:r w:rsidR="00DD3989" w:rsidRPr="008D7F2C">
        <w:rPr>
          <w:rFonts w:ascii="Arial" w:hAnsi="Arial" w:cs="Arial"/>
          <w:sz w:val="22"/>
          <w:szCs w:val="22"/>
        </w:rPr>
        <w:t xml:space="preserve"> </w:t>
      </w:r>
    </w:p>
    <w:p w14:paraId="0C5F40B3" w14:textId="77777777" w:rsidR="00776CEB" w:rsidRDefault="00776CEB" w:rsidP="002138E1">
      <w:pPr>
        <w:spacing w:line="276" w:lineRule="auto"/>
        <w:jc w:val="both"/>
        <w:rPr>
          <w:rFonts w:ascii="Arial" w:hAnsi="Arial" w:cs="Arial"/>
          <w:sz w:val="22"/>
          <w:szCs w:val="22"/>
        </w:rPr>
      </w:pPr>
    </w:p>
    <w:p w14:paraId="09FAC327" w14:textId="0184A540" w:rsidR="00A53C24" w:rsidRPr="008D7F2C" w:rsidRDefault="00DD3989" w:rsidP="002138E1">
      <w:pPr>
        <w:spacing w:line="276" w:lineRule="auto"/>
        <w:jc w:val="both"/>
        <w:rPr>
          <w:rFonts w:ascii="Arial" w:hAnsi="Arial" w:cs="Arial"/>
          <w:sz w:val="22"/>
          <w:szCs w:val="22"/>
        </w:rPr>
      </w:pPr>
      <w:r w:rsidRPr="008D7F2C">
        <w:rPr>
          <w:rFonts w:ascii="Arial" w:hAnsi="Arial" w:cs="Arial"/>
          <w:sz w:val="22"/>
          <w:szCs w:val="22"/>
        </w:rPr>
        <w:t xml:space="preserve">And these numbers may even further increase as nuclear technology keeps gaining ground. As an example, 3 years </w:t>
      </w:r>
      <w:r w:rsidR="00776CEB">
        <w:rPr>
          <w:rFonts w:ascii="Arial" w:hAnsi="Arial" w:cs="Arial"/>
          <w:sz w:val="22"/>
          <w:szCs w:val="22"/>
        </w:rPr>
        <w:t xml:space="preserve">ago </w:t>
      </w:r>
      <w:r w:rsidRPr="008D7F2C">
        <w:rPr>
          <w:rFonts w:ascii="Arial" w:hAnsi="Arial" w:cs="Arial"/>
          <w:sz w:val="22"/>
          <w:szCs w:val="22"/>
        </w:rPr>
        <w:t xml:space="preserve">our Belgian power plants were heading for a complete phase out. Meanwhile, the previous government has granted a 10 year life time extension for 2 of our 7 units, while </w:t>
      </w:r>
      <w:r w:rsidR="00EC6AFE" w:rsidRPr="008D7F2C">
        <w:rPr>
          <w:rFonts w:ascii="Arial" w:hAnsi="Arial" w:cs="Arial"/>
          <w:sz w:val="22"/>
          <w:szCs w:val="22"/>
        </w:rPr>
        <w:t xml:space="preserve">in the negotiations for a new government, a further </w:t>
      </w:r>
      <w:proofErr w:type="spellStart"/>
      <w:r w:rsidR="00EC6AFE" w:rsidRPr="008D7F2C">
        <w:rPr>
          <w:rFonts w:ascii="Arial" w:hAnsi="Arial" w:cs="Arial"/>
          <w:sz w:val="22"/>
          <w:szCs w:val="22"/>
        </w:rPr>
        <w:t>extent</w:t>
      </w:r>
      <w:proofErr w:type="spellEnd"/>
      <w:r w:rsidR="00EC6AFE" w:rsidRPr="008D7F2C">
        <w:rPr>
          <w:rFonts w:ascii="Arial" w:hAnsi="Arial" w:cs="Arial"/>
          <w:sz w:val="22"/>
          <w:szCs w:val="22"/>
        </w:rPr>
        <w:t xml:space="preserve"> the lifetime to 20 years for these 2 units, a life time extension for additional units and a plan to develop for 8 GW of new nuclear capacity are on the table</w:t>
      </w:r>
      <w:r w:rsidR="00776CEB">
        <w:rPr>
          <w:rFonts w:ascii="Arial" w:hAnsi="Arial" w:cs="Arial"/>
          <w:sz w:val="22"/>
          <w:szCs w:val="22"/>
        </w:rPr>
        <w:t>, according the VRT news</w:t>
      </w:r>
      <w:r w:rsidR="00EC6AFE" w:rsidRPr="008D7F2C">
        <w:rPr>
          <w:rFonts w:ascii="Arial" w:hAnsi="Arial" w:cs="Arial"/>
          <w:sz w:val="22"/>
          <w:szCs w:val="22"/>
        </w:rPr>
        <w:t>.</w:t>
      </w:r>
    </w:p>
    <w:p w14:paraId="251B6DB3" w14:textId="77777777" w:rsidR="00EC6AFE" w:rsidRPr="008D7F2C" w:rsidRDefault="00EC6AFE" w:rsidP="002138E1">
      <w:pPr>
        <w:spacing w:line="276" w:lineRule="auto"/>
        <w:jc w:val="both"/>
        <w:rPr>
          <w:rFonts w:ascii="Arial" w:hAnsi="Arial" w:cs="Arial"/>
          <w:sz w:val="22"/>
          <w:szCs w:val="22"/>
        </w:rPr>
      </w:pPr>
    </w:p>
    <w:p w14:paraId="10916DCA" w14:textId="7262EF2D" w:rsidR="00EC6AFE" w:rsidRPr="008D7F2C" w:rsidRDefault="00313E52" w:rsidP="002138E1">
      <w:pPr>
        <w:spacing w:line="276" w:lineRule="auto"/>
        <w:jc w:val="both"/>
        <w:rPr>
          <w:rFonts w:ascii="Arial" w:hAnsi="Arial" w:cs="Arial"/>
          <w:b/>
          <w:bCs/>
          <w:sz w:val="22"/>
          <w:szCs w:val="22"/>
        </w:rPr>
      </w:pPr>
      <w:r w:rsidRPr="008D7F2C">
        <w:rPr>
          <w:rFonts w:ascii="Arial" w:hAnsi="Arial" w:cs="Arial"/>
          <w:b/>
          <w:bCs/>
          <w:sz w:val="22"/>
          <w:szCs w:val="22"/>
        </w:rPr>
        <w:t>How realistic are these numbers and what could be the role of SMR?</w:t>
      </w:r>
    </w:p>
    <w:p w14:paraId="07780471" w14:textId="77777777" w:rsidR="00313E52" w:rsidRPr="008D7F2C" w:rsidRDefault="00313E52" w:rsidP="002138E1">
      <w:pPr>
        <w:spacing w:line="276" w:lineRule="auto"/>
        <w:jc w:val="both"/>
        <w:rPr>
          <w:rFonts w:ascii="Arial" w:hAnsi="Arial" w:cs="Arial"/>
          <w:sz w:val="22"/>
          <w:szCs w:val="22"/>
        </w:rPr>
      </w:pPr>
    </w:p>
    <w:p w14:paraId="51C94C10" w14:textId="7602251E" w:rsidR="00313E52" w:rsidRPr="008D7F2C" w:rsidRDefault="00313E52" w:rsidP="002138E1">
      <w:pPr>
        <w:spacing w:line="276" w:lineRule="auto"/>
        <w:jc w:val="both"/>
        <w:rPr>
          <w:rFonts w:ascii="Arial" w:hAnsi="Arial" w:cs="Arial"/>
          <w:sz w:val="22"/>
          <w:szCs w:val="22"/>
        </w:rPr>
      </w:pPr>
      <w:r w:rsidRPr="008D7F2C">
        <w:rPr>
          <w:rFonts w:ascii="Arial" w:hAnsi="Arial" w:cs="Arial"/>
          <w:sz w:val="22"/>
          <w:szCs w:val="22"/>
        </w:rPr>
        <w:t xml:space="preserve">Looking back in history, </w:t>
      </w:r>
      <w:r w:rsidR="00776CEB" w:rsidRPr="008D7F2C">
        <w:rPr>
          <w:rFonts w:ascii="Arial" w:hAnsi="Arial" w:cs="Arial"/>
          <w:sz w:val="22"/>
          <w:szCs w:val="22"/>
        </w:rPr>
        <w:t>over a period of 20 years (1970-1990)</w:t>
      </w:r>
      <w:r w:rsidR="00776CEB">
        <w:rPr>
          <w:rFonts w:ascii="Arial" w:hAnsi="Arial" w:cs="Arial"/>
          <w:sz w:val="22"/>
          <w:szCs w:val="22"/>
        </w:rPr>
        <w:t xml:space="preserve">, </w:t>
      </w:r>
      <w:r w:rsidRPr="008D7F2C">
        <w:rPr>
          <w:rFonts w:ascii="Arial" w:hAnsi="Arial" w:cs="Arial"/>
          <w:sz w:val="22"/>
          <w:szCs w:val="22"/>
        </w:rPr>
        <w:t>about 127 GW was added in Europe</w:t>
      </w:r>
      <w:r w:rsidRPr="00CD1D88">
        <w:rPr>
          <w:rFonts w:ascii="Arial" w:hAnsi="Arial" w:cs="Arial"/>
          <w:sz w:val="22"/>
          <w:szCs w:val="22"/>
          <w:vertAlign w:val="superscript"/>
        </w:rPr>
        <w:t>(</w:t>
      </w:r>
      <w:r w:rsidR="00CD1D88">
        <w:rPr>
          <w:rStyle w:val="FootnoteReference"/>
          <w:rFonts w:ascii="Arial" w:hAnsi="Arial" w:cs="Arial"/>
          <w:sz w:val="22"/>
          <w:szCs w:val="22"/>
        </w:rPr>
        <w:footnoteReference w:id="2"/>
      </w:r>
      <w:r w:rsidRPr="00CD1D88">
        <w:rPr>
          <w:rFonts w:ascii="Arial" w:hAnsi="Arial" w:cs="Arial"/>
          <w:sz w:val="22"/>
          <w:szCs w:val="22"/>
          <w:vertAlign w:val="superscript"/>
        </w:rPr>
        <w:t>) (</w:t>
      </w:r>
      <w:r w:rsidR="00CD1D88">
        <w:rPr>
          <w:rStyle w:val="FootnoteReference"/>
          <w:rFonts w:ascii="Arial" w:hAnsi="Arial" w:cs="Arial"/>
          <w:sz w:val="22"/>
          <w:szCs w:val="22"/>
        </w:rPr>
        <w:footnoteReference w:id="3"/>
      </w:r>
      <w:r w:rsidRPr="00CD1D88">
        <w:rPr>
          <w:rFonts w:ascii="Arial" w:hAnsi="Arial" w:cs="Arial"/>
          <w:sz w:val="22"/>
          <w:szCs w:val="22"/>
          <w:vertAlign w:val="superscript"/>
        </w:rPr>
        <w:t>)</w:t>
      </w:r>
      <w:r w:rsidRPr="008D7F2C">
        <w:rPr>
          <w:rFonts w:ascii="Arial" w:hAnsi="Arial" w:cs="Arial"/>
          <w:sz w:val="22"/>
          <w:szCs w:val="22"/>
        </w:rPr>
        <w:t xml:space="preserve"> with a development time of 5 to 10 years for the majority of these projects.</w:t>
      </w:r>
      <w:r w:rsidR="00CD1D88">
        <w:rPr>
          <w:rFonts w:ascii="Arial" w:hAnsi="Arial" w:cs="Arial"/>
          <w:sz w:val="22"/>
          <w:szCs w:val="22"/>
        </w:rPr>
        <w:t xml:space="preserve"> From these numbers, the European ambitions seem high, but still manageable.</w:t>
      </w:r>
    </w:p>
    <w:p w14:paraId="268F8E34" w14:textId="77777777" w:rsidR="00313E52" w:rsidRPr="008D7F2C" w:rsidRDefault="00313E52" w:rsidP="002138E1">
      <w:pPr>
        <w:spacing w:line="276" w:lineRule="auto"/>
        <w:jc w:val="both"/>
        <w:rPr>
          <w:rFonts w:ascii="Arial" w:hAnsi="Arial" w:cs="Arial"/>
          <w:sz w:val="22"/>
          <w:szCs w:val="22"/>
        </w:rPr>
      </w:pPr>
    </w:p>
    <w:p w14:paraId="33D26908" w14:textId="6A4C2FFA" w:rsidR="00313E52" w:rsidRPr="008D7F2C" w:rsidRDefault="00313E52" w:rsidP="002138E1">
      <w:pPr>
        <w:spacing w:line="276" w:lineRule="auto"/>
        <w:jc w:val="both"/>
        <w:rPr>
          <w:rFonts w:ascii="Arial" w:hAnsi="Arial" w:cs="Arial"/>
          <w:sz w:val="22"/>
          <w:szCs w:val="22"/>
        </w:rPr>
      </w:pPr>
      <w:r w:rsidRPr="008D7F2C">
        <w:rPr>
          <w:rFonts w:ascii="Arial" w:hAnsi="Arial" w:cs="Arial"/>
          <w:sz w:val="22"/>
          <w:szCs w:val="22"/>
        </w:rPr>
        <w:t xml:space="preserve">But times have changes. Ever since, lessons learned from accidents like </w:t>
      </w:r>
      <w:r w:rsidR="001B56EB" w:rsidRPr="008D7F2C">
        <w:rPr>
          <w:rFonts w:ascii="Arial" w:hAnsi="Arial" w:cs="Arial"/>
          <w:sz w:val="22"/>
          <w:szCs w:val="22"/>
        </w:rPr>
        <w:t>Chernobyl</w:t>
      </w:r>
      <w:r w:rsidRPr="008D7F2C">
        <w:rPr>
          <w:rFonts w:ascii="Arial" w:hAnsi="Arial" w:cs="Arial"/>
          <w:sz w:val="22"/>
          <w:szCs w:val="22"/>
        </w:rPr>
        <w:t xml:space="preserve"> and Fukushima hav</w:t>
      </w:r>
      <w:r w:rsidR="001B56EB" w:rsidRPr="008D7F2C">
        <w:rPr>
          <w:rFonts w:ascii="Arial" w:hAnsi="Arial" w:cs="Arial"/>
          <w:sz w:val="22"/>
          <w:szCs w:val="22"/>
        </w:rPr>
        <w:t>e significantly impacted the licensing framework and trajectory</w:t>
      </w:r>
      <w:r w:rsidR="00CD1D88">
        <w:rPr>
          <w:rFonts w:ascii="Arial" w:hAnsi="Arial" w:cs="Arial"/>
          <w:sz w:val="22"/>
          <w:szCs w:val="22"/>
        </w:rPr>
        <w:t xml:space="preserve">, as well as </w:t>
      </w:r>
      <w:r w:rsidR="001B56EB" w:rsidRPr="008D7F2C">
        <w:rPr>
          <w:rFonts w:ascii="Arial" w:hAnsi="Arial" w:cs="Arial"/>
          <w:sz w:val="22"/>
          <w:szCs w:val="22"/>
        </w:rPr>
        <w:t xml:space="preserve">public acceptance. </w:t>
      </w:r>
      <w:r w:rsidR="00CD1D88">
        <w:rPr>
          <w:rFonts w:ascii="Arial" w:hAnsi="Arial" w:cs="Arial"/>
          <w:sz w:val="22"/>
          <w:szCs w:val="22"/>
        </w:rPr>
        <w:t xml:space="preserve">This </w:t>
      </w:r>
      <w:r w:rsidR="00CD1D88" w:rsidRPr="008D7F2C">
        <w:rPr>
          <w:rFonts w:ascii="Arial" w:hAnsi="Arial" w:cs="Arial"/>
          <w:sz w:val="22"/>
          <w:szCs w:val="22"/>
        </w:rPr>
        <w:t>has significantly increased</w:t>
      </w:r>
      <w:r w:rsidR="001B56EB" w:rsidRPr="008D7F2C">
        <w:rPr>
          <w:rFonts w:ascii="Arial" w:hAnsi="Arial" w:cs="Arial"/>
          <w:sz w:val="22"/>
          <w:szCs w:val="22"/>
        </w:rPr>
        <w:t xml:space="preserve"> the duration and cost new build projects. The recent example of the Olkiluoto 3 new build project in Finland showed a project duration of 17 years and a cost that was approximately 3 times higher than initially estimated. </w:t>
      </w:r>
      <w:r w:rsidR="00451084" w:rsidRPr="008D7F2C">
        <w:rPr>
          <w:rFonts w:ascii="Arial" w:hAnsi="Arial" w:cs="Arial"/>
          <w:sz w:val="22"/>
          <w:szCs w:val="22"/>
        </w:rPr>
        <w:t xml:space="preserve">Such uncertainty </w:t>
      </w:r>
      <w:r w:rsidR="004B75C6">
        <w:rPr>
          <w:rFonts w:ascii="Arial" w:hAnsi="Arial" w:cs="Arial"/>
          <w:sz w:val="22"/>
          <w:szCs w:val="22"/>
        </w:rPr>
        <w:t xml:space="preserve">on the return of investment </w:t>
      </w:r>
      <w:r w:rsidR="00451084" w:rsidRPr="008D7F2C">
        <w:rPr>
          <w:rFonts w:ascii="Arial" w:hAnsi="Arial" w:cs="Arial"/>
          <w:sz w:val="22"/>
          <w:szCs w:val="22"/>
        </w:rPr>
        <w:t xml:space="preserve">makes it difficult to find the necessary resources for such large </w:t>
      </w:r>
      <w:r w:rsidR="004B75C6">
        <w:rPr>
          <w:rFonts w:ascii="Arial" w:hAnsi="Arial" w:cs="Arial"/>
          <w:sz w:val="22"/>
          <w:szCs w:val="22"/>
        </w:rPr>
        <w:t>N</w:t>
      </w:r>
      <w:r w:rsidR="00451084" w:rsidRPr="008D7F2C">
        <w:rPr>
          <w:rFonts w:ascii="Arial" w:hAnsi="Arial" w:cs="Arial"/>
          <w:sz w:val="22"/>
          <w:szCs w:val="22"/>
        </w:rPr>
        <w:t xml:space="preserve">uclear </w:t>
      </w:r>
      <w:r w:rsidR="004B75C6">
        <w:rPr>
          <w:rFonts w:ascii="Arial" w:hAnsi="Arial" w:cs="Arial"/>
          <w:sz w:val="22"/>
          <w:szCs w:val="22"/>
        </w:rPr>
        <w:t>P</w:t>
      </w:r>
      <w:r w:rsidR="00451084" w:rsidRPr="008D7F2C">
        <w:rPr>
          <w:rFonts w:ascii="Arial" w:hAnsi="Arial" w:cs="Arial"/>
          <w:sz w:val="22"/>
          <w:szCs w:val="22"/>
        </w:rPr>
        <w:t xml:space="preserve">ower </w:t>
      </w:r>
      <w:r w:rsidR="004B75C6">
        <w:rPr>
          <w:rFonts w:ascii="Arial" w:hAnsi="Arial" w:cs="Arial"/>
          <w:sz w:val="22"/>
          <w:szCs w:val="22"/>
        </w:rPr>
        <w:t>P</w:t>
      </w:r>
      <w:r w:rsidR="00451084" w:rsidRPr="008D7F2C">
        <w:rPr>
          <w:rFonts w:ascii="Arial" w:hAnsi="Arial" w:cs="Arial"/>
          <w:sz w:val="22"/>
          <w:szCs w:val="22"/>
        </w:rPr>
        <w:t xml:space="preserve">lant </w:t>
      </w:r>
      <w:r w:rsidR="004B75C6">
        <w:rPr>
          <w:rFonts w:ascii="Arial" w:hAnsi="Arial" w:cs="Arial"/>
          <w:sz w:val="22"/>
          <w:szCs w:val="22"/>
        </w:rPr>
        <w:t xml:space="preserve">(NPP) </w:t>
      </w:r>
      <w:r w:rsidR="00451084" w:rsidRPr="008D7F2C">
        <w:rPr>
          <w:rFonts w:ascii="Arial" w:hAnsi="Arial" w:cs="Arial"/>
          <w:sz w:val="22"/>
          <w:szCs w:val="22"/>
        </w:rPr>
        <w:t>new build programs.</w:t>
      </w:r>
    </w:p>
    <w:p w14:paraId="3BFAFAC4" w14:textId="77777777" w:rsidR="00451084" w:rsidRPr="008D7F2C" w:rsidRDefault="00451084" w:rsidP="002138E1">
      <w:pPr>
        <w:spacing w:line="276" w:lineRule="auto"/>
        <w:jc w:val="both"/>
        <w:rPr>
          <w:rFonts w:ascii="Arial" w:hAnsi="Arial" w:cs="Arial"/>
          <w:sz w:val="22"/>
          <w:szCs w:val="22"/>
        </w:rPr>
      </w:pPr>
    </w:p>
    <w:p w14:paraId="36A3EBFF" w14:textId="2695AE50" w:rsidR="00AE4062" w:rsidRPr="008D7F2C" w:rsidRDefault="00451084" w:rsidP="002138E1">
      <w:pPr>
        <w:spacing w:line="276" w:lineRule="auto"/>
        <w:jc w:val="both"/>
        <w:rPr>
          <w:rFonts w:ascii="Arial" w:hAnsi="Arial" w:cs="Arial"/>
          <w:sz w:val="22"/>
          <w:szCs w:val="22"/>
        </w:rPr>
      </w:pPr>
      <w:r w:rsidRPr="008D7F2C">
        <w:rPr>
          <w:rFonts w:ascii="Arial" w:hAnsi="Arial" w:cs="Arial"/>
          <w:sz w:val="22"/>
          <w:szCs w:val="22"/>
        </w:rPr>
        <w:t xml:space="preserve">Besides, in an energy landscape where the share of renewables becomes increasingly important, new large </w:t>
      </w:r>
      <w:r w:rsidR="004B75C6">
        <w:rPr>
          <w:rFonts w:ascii="Arial" w:hAnsi="Arial" w:cs="Arial"/>
          <w:sz w:val="22"/>
          <w:szCs w:val="22"/>
        </w:rPr>
        <w:t>NPP</w:t>
      </w:r>
      <w:r w:rsidRPr="008D7F2C">
        <w:rPr>
          <w:rFonts w:ascii="Arial" w:hAnsi="Arial" w:cs="Arial"/>
          <w:sz w:val="22"/>
          <w:szCs w:val="22"/>
        </w:rPr>
        <w:t xml:space="preserve"> designs still don’t have the desired flexibility</w:t>
      </w:r>
      <w:r w:rsidR="004F3720">
        <w:rPr>
          <w:rFonts w:ascii="Arial" w:hAnsi="Arial" w:cs="Arial"/>
          <w:sz w:val="22"/>
          <w:szCs w:val="22"/>
        </w:rPr>
        <w:t xml:space="preserve">, </w:t>
      </w:r>
      <w:r w:rsidRPr="008D7F2C">
        <w:rPr>
          <w:rFonts w:ascii="Arial" w:hAnsi="Arial" w:cs="Arial"/>
          <w:sz w:val="22"/>
          <w:szCs w:val="22"/>
        </w:rPr>
        <w:t xml:space="preserve">even if improved compared to </w:t>
      </w:r>
      <w:r w:rsidR="004F3720">
        <w:rPr>
          <w:rFonts w:ascii="Arial" w:hAnsi="Arial" w:cs="Arial"/>
          <w:sz w:val="22"/>
          <w:szCs w:val="22"/>
        </w:rPr>
        <w:t xml:space="preserve">former </w:t>
      </w:r>
      <w:r w:rsidRPr="008D7F2C">
        <w:rPr>
          <w:rFonts w:ascii="Arial" w:hAnsi="Arial" w:cs="Arial"/>
          <w:sz w:val="22"/>
          <w:szCs w:val="22"/>
        </w:rPr>
        <w:t>designs.</w:t>
      </w:r>
      <w:r w:rsidR="0083381B" w:rsidRPr="008D7F2C">
        <w:rPr>
          <w:rFonts w:ascii="Arial" w:hAnsi="Arial" w:cs="Arial"/>
          <w:sz w:val="22"/>
          <w:szCs w:val="22"/>
        </w:rPr>
        <w:t xml:space="preserve"> </w:t>
      </w:r>
      <w:r w:rsidRPr="008D7F2C">
        <w:rPr>
          <w:rFonts w:ascii="Arial" w:hAnsi="Arial" w:cs="Arial"/>
          <w:sz w:val="22"/>
          <w:szCs w:val="22"/>
        </w:rPr>
        <w:t>In this context, Small Modular Reactors (SMR)</w:t>
      </w:r>
      <w:r w:rsidR="00302DCD" w:rsidRPr="008D7F2C">
        <w:rPr>
          <w:rFonts w:ascii="Arial" w:hAnsi="Arial" w:cs="Arial"/>
          <w:sz w:val="22"/>
          <w:szCs w:val="22"/>
        </w:rPr>
        <w:t xml:space="preserve"> represent better performance. With a power output between 50 and 300 MW, a nuclear fleet composed of SMR is more flexible in terms of switching of</w:t>
      </w:r>
      <w:r w:rsidR="0083381B" w:rsidRPr="008D7F2C">
        <w:rPr>
          <w:rFonts w:ascii="Arial" w:hAnsi="Arial" w:cs="Arial"/>
          <w:sz w:val="22"/>
          <w:szCs w:val="22"/>
        </w:rPr>
        <w:t>f</w:t>
      </w:r>
      <w:r w:rsidR="00302DCD" w:rsidRPr="008D7F2C">
        <w:rPr>
          <w:rFonts w:ascii="Arial" w:hAnsi="Arial" w:cs="Arial"/>
          <w:sz w:val="22"/>
          <w:szCs w:val="22"/>
        </w:rPr>
        <w:t xml:space="preserve"> </w:t>
      </w:r>
      <w:r w:rsidR="004F3720">
        <w:rPr>
          <w:rFonts w:ascii="Arial" w:hAnsi="Arial" w:cs="Arial"/>
          <w:sz w:val="22"/>
          <w:szCs w:val="22"/>
        </w:rPr>
        <w:t xml:space="preserve">(or on) </w:t>
      </w:r>
      <w:r w:rsidR="00302DCD" w:rsidRPr="008D7F2C">
        <w:rPr>
          <w:rFonts w:ascii="Arial" w:hAnsi="Arial" w:cs="Arial"/>
          <w:sz w:val="22"/>
          <w:szCs w:val="22"/>
        </w:rPr>
        <w:t xml:space="preserve">1 or more reactors, and therefore more compatible </w:t>
      </w:r>
      <w:r w:rsidR="002138E1">
        <w:rPr>
          <w:rFonts w:ascii="Arial" w:hAnsi="Arial" w:cs="Arial"/>
          <w:sz w:val="22"/>
          <w:szCs w:val="22"/>
        </w:rPr>
        <w:t xml:space="preserve">in </w:t>
      </w:r>
      <w:r w:rsidR="00302DCD" w:rsidRPr="008D7F2C">
        <w:rPr>
          <w:rFonts w:ascii="Arial" w:hAnsi="Arial" w:cs="Arial"/>
          <w:sz w:val="22"/>
          <w:szCs w:val="22"/>
        </w:rPr>
        <w:t>an energy system with a high share of renewables.</w:t>
      </w:r>
      <w:r w:rsidR="0083381B" w:rsidRPr="008D7F2C">
        <w:rPr>
          <w:rFonts w:ascii="Arial" w:hAnsi="Arial" w:cs="Arial"/>
          <w:sz w:val="22"/>
          <w:szCs w:val="22"/>
        </w:rPr>
        <w:t xml:space="preserve"> </w:t>
      </w:r>
    </w:p>
    <w:p w14:paraId="4F399555" w14:textId="77777777" w:rsidR="007932CA" w:rsidRDefault="007932CA" w:rsidP="002138E1">
      <w:pPr>
        <w:spacing w:before="240" w:line="276" w:lineRule="auto"/>
        <w:jc w:val="both"/>
        <w:rPr>
          <w:rFonts w:ascii="Arial" w:hAnsi="Arial" w:cs="Arial"/>
          <w:sz w:val="22"/>
          <w:szCs w:val="22"/>
        </w:rPr>
      </w:pPr>
      <w:r>
        <w:rPr>
          <w:rFonts w:ascii="Arial" w:hAnsi="Arial" w:cs="Arial"/>
          <w:sz w:val="22"/>
          <w:szCs w:val="22"/>
        </w:rPr>
        <w:t>And last but not least, t</w:t>
      </w:r>
      <w:r w:rsidR="00AE4062" w:rsidRPr="008D7F2C">
        <w:rPr>
          <w:rFonts w:ascii="Arial" w:hAnsi="Arial" w:cs="Arial"/>
          <w:sz w:val="22"/>
          <w:szCs w:val="22"/>
        </w:rPr>
        <w:t xml:space="preserve">he reduced core inventory and source term combined with the use of passive safety systems </w:t>
      </w:r>
      <w:r w:rsidR="00523B34" w:rsidRPr="008D7F2C">
        <w:rPr>
          <w:rFonts w:ascii="Arial" w:hAnsi="Arial" w:cs="Arial"/>
          <w:sz w:val="22"/>
          <w:szCs w:val="22"/>
        </w:rPr>
        <w:t>or inherent safety characteristics lead to better safety performances and increased safety margins, compared to the traditional large NPP</w:t>
      </w:r>
      <w:r w:rsidR="00AE4062" w:rsidRPr="008D7F2C">
        <w:rPr>
          <w:rFonts w:ascii="Arial" w:hAnsi="Arial" w:cs="Arial"/>
          <w:sz w:val="22"/>
          <w:szCs w:val="22"/>
        </w:rPr>
        <w:t xml:space="preserve">. </w:t>
      </w:r>
      <w:r>
        <w:rPr>
          <w:rFonts w:ascii="Arial" w:hAnsi="Arial" w:cs="Arial"/>
          <w:sz w:val="22"/>
          <w:szCs w:val="22"/>
        </w:rPr>
        <w:t>T</w:t>
      </w:r>
      <w:r w:rsidR="0083381B" w:rsidRPr="008D7F2C">
        <w:rPr>
          <w:rFonts w:ascii="Arial" w:hAnsi="Arial" w:cs="Arial"/>
          <w:sz w:val="22"/>
          <w:szCs w:val="22"/>
        </w:rPr>
        <w:t>wo other basic benefits of an SMR</w:t>
      </w:r>
      <w:r w:rsidR="00AE4062" w:rsidRPr="008D7F2C">
        <w:rPr>
          <w:rFonts w:ascii="Arial" w:hAnsi="Arial" w:cs="Arial"/>
          <w:sz w:val="22"/>
          <w:szCs w:val="22"/>
        </w:rPr>
        <w:t xml:space="preserve"> that reduce cost and construction time</w:t>
      </w:r>
      <w:r w:rsidR="00523B34" w:rsidRPr="008D7F2C">
        <w:rPr>
          <w:rFonts w:ascii="Arial" w:hAnsi="Arial" w:cs="Arial"/>
          <w:sz w:val="22"/>
          <w:szCs w:val="22"/>
        </w:rPr>
        <w:t xml:space="preserve">, </w:t>
      </w:r>
      <w:r>
        <w:rPr>
          <w:rFonts w:ascii="Arial" w:hAnsi="Arial" w:cs="Arial"/>
          <w:sz w:val="22"/>
          <w:szCs w:val="22"/>
        </w:rPr>
        <w:t xml:space="preserve">are </w:t>
      </w:r>
      <w:r w:rsidR="0083381B" w:rsidRPr="008D7F2C">
        <w:rPr>
          <w:rFonts w:ascii="Arial" w:hAnsi="Arial" w:cs="Arial"/>
          <w:sz w:val="22"/>
          <w:szCs w:val="22"/>
        </w:rPr>
        <w:t>the limited footprint</w:t>
      </w:r>
      <w:r w:rsidR="00523B34" w:rsidRPr="008D7F2C">
        <w:rPr>
          <w:rFonts w:ascii="Arial" w:hAnsi="Arial" w:cs="Arial"/>
          <w:sz w:val="22"/>
          <w:szCs w:val="22"/>
        </w:rPr>
        <w:t xml:space="preserve"> and </w:t>
      </w:r>
      <w:r w:rsidR="0083381B" w:rsidRPr="008D7F2C">
        <w:rPr>
          <w:rFonts w:ascii="Arial" w:hAnsi="Arial" w:cs="Arial"/>
          <w:sz w:val="22"/>
          <w:szCs w:val="22"/>
        </w:rPr>
        <w:t xml:space="preserve">its modularity, </w:t>
      </w:r>
      <w:r w:rsidR="00AE4062" w:rsidRPr="008D7F2C">
        <w:rPr>
          <w:rFonts w:ascii="Arial" w:hAnsi="Arial" w:cs="Arial"/>
          <w:sz w:val="22"/>
          <w:szCs w:val="22"/>
        </w:rPr>
        <w:t xml:space="preserve">i.e. the possibility for </w:t>
      </w:r>
      <w:r w:rsidR="0083381B" w:rsidRPr="008D7F2C">
        <w:rPr>
          <w:rFonts w:ascii="Arial" w:hAnsi="Arial" w:cs="Arial"/>
          <w:sz w:val="22"/>
          <w:szCs w:val="22"/>
        </w:rPr>
        <w:t xml:space="preserve">complete modules </w:t>
      </w:r>
      <w:r w:rsidR="00AE4062" w:rsidRPr="008D7F2C">
        <w:rPr>
          <w:rFonts w:ascii="Arial" w:hAnsi="Arial" w:cs="Arial"/>
          <w:sz w:val="22"/>
          <w:szCs w:val="22"/>
        </w:rPr>
        <w:t xml:space="preserve">to </w:t>
      </w:r>
      <w:r w:rsidR="0083381B" w:rsidRPr="008D7F2C">
        <w:rPr>
          <w:rFonts w:ascii="Arial" w:hAnsi="Arial" w:cs="Arial"/>
          <w:sz w:val="22"/>
          <w:szCs w:val="22"/>
        </w:rPr>
        <w:t xml:space="preserve">be factory-assembled </w:t>
      </w:r>
      <w:r w:rsidR="00AE4062" w:rsidRPr="008D7F2C">
        <w:rPr>
          <w:rFonts w:ascii="Arial" w:hAnsi="Arial" w:cs="Arial"/>
          <w:sz w:val="22"/>
          <w:szCs w:val="22"/>
        </w:rPr>
        <w:t xml:space="preserve">and transported and installed as such. This modularity also allows to systematically add </w:t>
      </w:r>
      <w:r>
        <w:rPr>
          <w:rFonts w:ascii="Arial" w:hAnsi="Arial" w:cs="Arial"/>
          <w:sz w:val="22"/>
          <w:szCs w:val="22"/>
        </w:rPr>
        <w:t xml:space="preserve">new </w:t>
      </w:r>
      <w:r w:rsidR="00AE4062" w:rsidRPr="008D7F2C">
        <w:rPr>
          <w:rFonts w:ascii="Arial" w:hAnsi="Arial" w:cs="Arial"/>
          <w:sz w:val="22"/>
          <w:szCs w:val="22"/>
        </w:rPr>
        <w:t>SMR</w:t>
      </w:r>
      <w:r>
        <w:rPr>
          <w:rFonts w:ascii="Arial" w:hAnsi="Arial" w:cs="Arial"/>
          <w:sz w:val="22"/>
          <w:szCs w:val="22"/>
        </w:rPr>
        <w:t>s</w:t>
      </w:r>
      <w:r w:rsidR="00AE4062" w:rsidRPr="008D7F2C">
        <w:rPr>
          <w:rFonts w:ascii="Arial" w:hAnsi="Arial" w:cs="Arial"/>
          <w:sz w:val="22"/>
          <w:szCs w:val="22"/>
        </w:rPr>
        <w:t xml:space="preserve"> in function of the energy demand</w:t>
      </w:r>
      <w:r>
        <w:rPr>
          <w:rFonts w:ascii="Arial" w:hAnsi="Arial" w:cs="Arial"/>
          <w:sz w:val="22"/>
          <w:szCs w:val="22"/>
        </w:rPr>
        <w:t>, of course if the site layout allows it</w:t>
      </w:r>
      <w:r w:rsidR="00AE4062" w:rsidRPr="008D7F2C">
        <w:rPr>
          <w:rFonts w:ascii="Arial" w:hAnsi="Arial" w:cs="Arial"/>
          <w:sz w:val="22"/>
          <w:szCs w:val="22"/>
        </w:rPr>
        <w:t>.</w:t>
      </w:r>
    </w:p>
    <w:p w14:paraId="180398C2" w14:textId="18042240" w:rsidR="00451084" w:rsidRPr="008D7F2C" w:rsidRDefault="00523B34" w:rsidP="002138E1">
      <w:pPr>
        <w:spacing w:before="240" w:line="276" w:lineRule="auto"/>
        <w:jc w:val="both"/>
        <w:rPr>
          <w:rFonts w:ascii="Arial" w:hAnsi="Arial" w:cs="Arial"/>
          <w:sz w:val="22"/>
          <w:szCs w:val="22"/>
        </w:rPr>
      </w:pPr>
      <w:r w:rsidRPr="008D7F2C">
        <w:rPr>
          <w:rFonts w:ascii="Arial" w:hAnsi="Arial" w:cs="Arial"/>
          <w:sz w:val="22"/>
          <w:szCs w:val="22"/>
        </w:rPr>
        <w:lastRenderedPageBreak/>
        <w:t xml:space="preserve">The </w:t>
      </w:r>
      <w:r w:rsidR="007932CA">
        <w:rPr>
          <w:rFonts w:ascii="Arial" w:hAnsi="Arial" w:cs="Arial"/>
          <w:sz w:val="22"/>
          <w:szCs w:val="22"/>
        </w:rPr>
        <w:t xml:space="preserve">combination of the </w:t>
      </w:r>
      <w:r w:rsidRPr="008D7F2C">
        <w:rPr>
          <w:rFonts w:ascii="Arial" w:hAnsi="Arial" w:cs="Arial"/>
          <w:sz w:val="22"/>
          <w:szCs w:val="22"/>
        </w:rPr>
        <w:t>above characteristics should significantly increase the number of potential locations, including locations closer to the its final destination.</w:t>
      </w:r>
      <w:r w:rsidR="003A24E0" w:rsidRPr="008D7F2C">
        <w:rPr>
          <w:rFonts w:ascii="Arial" w:hAnsi="Arial" w:cs="Arial"/>
          <w:sz w:val="22"/>
          <w:szCs w:val="22"/>
        </w:rPr>
        <w:t xml:space="preserve"> But even then, there are still a set of issues that question </w:t>
      </w:r>
      <w:r w:rsidR="007932CA">
        <w:rPr>
          <w:rFonts w:ascii="Arial" w:hAnsi="Arial" w:cs="Arial"/>
          <w:sz w:val="22"/>
          <w:szCs w:val="22"/>
        </w:rPr>
        <w:t xml:space="preserve">the </w:t>
      </w:r>
      <w:r w:rsidR="003A24E0" w:rsidRPr="008D7F2C">
        <w:rPr>
          <w:rFonts w:ascii="Arial" w:hAnsi="Arial" w:cs="Arial"/>
          <w:sz w:val="22"/>
          <w:szCs w:val="22"/>
        </w:rPr>
        <w:t xml:space="preserve">operational reliability </w:t>
      </w:r>
      <w:r w:rsidR="007932CA">
        <w:rPr>
          <w:rFonts w:ascii="Arial" w:hAnsi="Arial" w:cs="Arial"/>
          <w:sz w:val="22"/>
          <w:szCs w:val="22"/>
        </w:rPr>
        <w:t xml:space="preserve">of the technology </w:t>
      </w:r>
      <w:r w:rsidR="003A24E0" w:rsidRPr="008D7F2C">
        <w:rPr>
          <w:rFonts w:ascii="Arial" w:hAnsi="Arial" w:cs="Arial"/>
          <w:sz w:val="22"/>
          <w:szCs w:val="22"/>
        </w:rPr>
        <w:t xml:space="preserve">and </w:t>
      </w:r>
      <w:r w:rsidR="007932CA">
        <w:rPr>
          <w:rFonts w:ascii="Arial" w:hAnsi="Arial" w:cs="Arial"/>
          <w:sz w:val="22"/>
          <w:szCs w:val="22"/>
        </w:rPr>
        <w:t xml:space="preserve">may cause </w:t>
      </w:r>
      <w:r w:rsidR="003A24E0" w:rsidRPr="008D7F2C">
        <w:rPr>
          <w:rFonts w:ascii="Arial" w:hAnsi="Arial" w:cs="Arial"/>
          <w:sz w:val="22"/>
          <w:szCs w:val="22"/>
        </w:rPr>
        <w:t>increased costs</w:t>
      </w:r>
      <w:r w:rsidR="007932CA">
        <w:rPr>
          <w:rFonts w:ascii="Arial" w:hAnsi="Arial" w:cs="Arial"/>
          <w:sz w:val="22"/>
          <w:szCs w:val="22"/>
        </w:rPr>
        <w:t xml:space="preserve"> and </w:t>
      </w:r>
      <w:r w:rsidR="003A24E0" w:rsidRPr="008D7F2C">
        <w:rPr>
          <w:rFonts w:ascii="Arial" w:hAnsi="Arial" w:cs="Arial"/>
          <w:sz w:val="22"/>
          <w:szCs w:val="22"/>
        </w:rPr>
        <w:t>an uncertain investment climate.</w:t>
      </w:r>
    </w:p>
    <w:p w14:paraId="64221AE7" w14:textId="28900A4B" w:rsidR="003A24E0" w:rsidRPr="008D7F2C" w:rsidRDefault="003A24E0" w:rsidP="007932CA">
      <w:pPr>
        <w:keepNext/>
        <w:keepLines/>
        <w:spacing w:before="240" w:line="276" w:lineRule="auto"/>
        <w:jc w:val="both"/>
        <w:rPr>
          <w:rFonts w:ascii="Arial" w:hAnsi="Arial" w:cs="Arial"/>
          <w:b/>
          <w:bCs/>
          <w:sz w:val="22"/>
          <w:szCs w:val="22"/>
        </w:rPr>
      </w:pPr>
      <w:r w:rsidRPr="008D7F2C">
        <w:rPr>
          <w:rFonts w:ascii="Arial" w:hAnsi="Arial" w:cs="Arial"/>
          <w:b/>
          <w:bCs/>
          <w:sz w:val="22"/>
          <w:szCs w:val="22"/>
        </w:rPr>
        <w:t>The licensing issue</w:t>
      </w:r>
    </w:p>
    <w:p w14:paraId="19CFD34B" w14:textId="07FE8FE0" w:rsidR="00176E2A" w:rsidRPr="008D7F2C" w:rsidRDefault="003A24E0" w:rsidP="007932CA">
      <w:pPr>
        <w:keepNext/>
        <w:keepLines/>
        <w:spacing w:before="240" w:line="276" w:lineRule="auto"/>
        <w:jc w:val="both"/>
        <w:rPr>
          <w:rFonts w:ascii="Arial" w:hAnsi="Arial" w:cs="Arial"/>
          <w:sz w:val="22"/>
          <w:szCs w:val="22"/>
        </w:rPr>
      </w:pPr>
      <w:r w:rsidRPr="008D7F2C">
        <w:rPr>
          <w:rFonts w:ascii="Arial" w:hAnsi="Arial" w:cs="Arial"/>
          <w:sz w:val="22"/>
          <w:szCs w:val="22"/>
        </w:rPr>
        <w:t xml:space="preserve">Historically, the international and European regulatory framework has been developed for large </w:t>
      </w:r>
      <w:r w:rsidR="007932CA">
        <w:rPr>
          <w:rFonts w:ascii="Arial" w:hAnsi="Arial" w:cs="Arial"/>
          <w:sz w:val="22"/>
          <w:szCs w:val="22"/>
        </w:rPr>
        <w:t xml:space="preserve">NPP, considering the </w:t>
      </w:r>
      <w:r w:rsidR="007932CA" w:rsidRPr="008D7F2C">
        <w:rPr>
          <w:rFonts w:ascii="Arial" w:hAnsi="Arial" w:cs="Arial"/>
          <w:sz w:val="22"/>
          <w:szCs w:val="22"/>
        </w:rPr>
        <w:t>lessons learned</w:t>
      </w:r>
      <w:r w:rsidR="007932CA">
        <w:rPr>
          <w:rFonts w:ascii="Arial" w:hAnsi="Arial" w:cs="Arial"/>
          <w:sz w:val="22"/>
          <w:szCs w:val="22"/>
        </w:rPr>
        <w:t xml:space="preserve"> from all types of operational experience feedback</w:t>
      </w:r>
      <w:r w:rsidRPr="008D7F2C">
        <w:rPr>
          <w:rFonts w:ascii="Arial" w:hAnsi="Arial" w:cs="Arial"/>
          <w:sz w:val="22"/>
          <w:szCs w:val="22"/>
        </w:rPr>
        <w:t>.</w:t>
      </w:r>
      <w:r w:rsidR="000B5D57" w:rsidRPr="008D7F2C">
        <w:rPr>
          <w:rFonts w:ascii="Arial" w:hAnsi="Arial" w:cs="Arial"/>
          <w:sz w:val="22"/>
          <w:szCs w:val="22"/>
        </w:rPr>
        <w:t xml:space="preserve"> </w:t>
      </w:r>
      <w:r w:rsidR="00FF4C4B">
        <w:rPr>
          <w:rFonts w:ascii="Arial" w:hAnsi="Arial" w:cs="Arial"/>
          <w:sz w:val="22"/>
          <w:szCs w:val="22"/>
        </w:rPr>
        <w:t>I</w:t>
      </w:r>
      <w:r w:rsidR="00FF4C4B" w:rsidRPr="00FF4C4B">
        <w:rPr>
          <w:rFonts w:ascii="Arial" w:hAnsi="Arial" w:cs="Arial"/>
          <w:sz w:val="22"/>
          <w:szCs w:val="22"/>
        </w:rPr>
        <w:t xml:space="preserve">n the absence of </w:t>
      </w:r>
      <w:r w:rsidR="00FF4C4B">
        <w:rPr>
          <w:rFonts w:ascii="Arial" w:hAnsi="Arial" w:cs="Arial"/>
          <w:sz w:val="22"/>
          <w:szCs w:val="22"/>
        </w:rPr>
        <w:t>tailored licensing approach</w:t>
      </w:r>
      <w:r w:rsidR="00FF4C4B" w:rsidRPr="00FF4C4B">
        <w:rPr>
          <w:rFonts w:ascii="Arial" w:hAnsi="Arial" w:cs="Arial"/>
          <w:sz w:val="22"/>
          <w:szCs w:val="22"/>
        </w:rPr>
        <w:t xml:space="preserve">, </w:t>
      </w:r>
      <w:r w:rsidR="00FF4C4B">
        <w:rPr>
          <w:rFonts w:ascii="Arial" w:hAnsi="Arial" w:cs="Arial"/>
          <w:sz w:val="22"/>
          <w:szCs w:val="22"/>
        </w:rPr>
        <w:t xml:space="preserve">applying </w:t>
      </w:r>
      <w:r w:rsidR="00FF4C4B" w:rsidRPr="00FF4C4B">
        <w:rPr>
          <w:rFonts w:ascii="Arial" w:hAnsi="Arial" w:cs="Arial"/>
          <w:sz w:val="22"/>
          <w:szCs w:val="22"/>
        </w:rPr>
        <w:t>this regulation for licensing SMR</w:t>
      </w:r>
      <w:r w:rsidR="00FF4C4B">
        <w:rPr>
          <w:rFonts w:ascii="Arial" w:hAnsi="Arial" w:cs="Arial"/>
          <w:sz w:val="22"/>
          <w:szCs w:val="22"/>
        </w:rPr>
        <w:t xml:space="preserve"> can be seen as a</w:t>
      </w:r>
      <w:r w:rsidR="00FF4C4B" w:rsidRPr="00FF4C4B">
        <w:rPr>
          <w:rFonts w:ascii="Arial" w:hAnsi="Arial" w:cs="Arial"/>
          <w:sz w:val="22"/>
          <w:szCs w:val="22"/>
        </w:rPr>
        <w:t xml:space="preserve"> logic </w:t>
      </w:r>
      <w:r w:rsidR="00FF4C4B">
        <w:rPr>
          <w:rFonts w:ascii="Arial" w:hAnsi="Arial" w:cs="Arial"/>
          <w:sz w:val="22"/>
          <w:szCs w:val="22"/>
        </w:rPr>
        <w:t xml:space="preserve">and obvious </w:t>
      </w:r>
      <w:r w:rsidR="00FF4C4B" w:rsidRPr="00FF4C4B">
        <w:rPr>
          <w:rFonts w:ascii="Arial" w:hAnsi="Arial" w:cs="Arial"/>
          <w:sz w:val="22"/>
          <w:szCs w:val="22"/>
        </w:rPr>
        <w:t xml:space="preserve">choice. </w:t>
      </w:r>
      <w:r w:rsidR="00FF4C4B">
        <w:rPr>
          <w:rFonts w:ascii="Arial" w:hAnsi="Arial" w:cs="Arial"/>
          <w:sz w:val="22"/>
          <w:szCs w:val="22"/>
        </w:rPr>
        <w:t xml:space="preserve">However, considering the improved </w:t>
      </w:r>
      <w:r w:rsidR="00FF4C4B" w:rsidRPr="008D7F2C">
        <w:rPr>
          <w:rFonts w:ascii="Arial" w:hAnsi="Arial" w:cs="Arial"/>
          <w:sz w:val="22"/>
          <w:szCs w:val="22"/>
        </w:rPr>
        <w:t>safety performances</w:t>
      </w:r>
      <w:r w:rsidR="00FF4C4B">
        <w:rPr>
          <w:rFonts w:ascii="Arial" w:hAnsi="Arial" w:cs="Arial"/>
          <w:sz w:val="22"/>
          <w:szCs w:val="22"/>
        </w:rPr>
        <w:t xml:space="preserve"> of an SMR compared to large NPP, i</w:t>
      </w:r>
      <w:r w:rsidR="000B5D57" w:rsidRPr="008D7F2C">
        <w:rPr>
          <w:rFonts w:ascii="Arial" w:hAnsi="Arial" w:cs="Arial"/>
          <w:sz w:val="22"/>
          <w:szCs w:val="22"/>
        </w:rPr>
        <w:t xml:space="preserve">mposing the </w:t>
      </w:r>
      <w:r w:rsidR="007932CA">
        <w:rPr>
          <w:rFonts w:ascii="Arial" w:hAnsi="Arial" w:cs="Arial"/>
          <w:sz w:val="22"/>
          <w:szCs w:val="22"/>
        </w:rPr>
        <w:t xml:space="preserve">same </w:t>
      </w:r>
      <w:r w:rsidR="00FF4C4B">
        <w:rPr>
          <w:rFonts w:ascii="Arial" w:hAnsi="Arial" w:cs="Arial"/>
          <w:sz w:val="22"/>
          <w:szCs w:val="22"/>
        </w:rPr>
        <w:t xml:space="preserve">safety </w:t>
      </w:r>
      <w:r w:rsidR="000B5D57" w:rsidRPr="008D7F2C">
        <w:rPr>
          <w:rFonts w:ascii="Arial" w:hAnsi="Arial" w:cs="Arial"/>
          <w:sz w:val="22"/>
          <w:szCs w:val="22"/>
        </w:rPr>
        <w:t xml:space="preserve">requirements would lead to excessive design options that are not commensurate to the radiological risk </w:t>
      </w:r>
      <w:r w:rsidR="00FF4C4B">
        <w:rPr>
          <w:rFonts w:ascii="Arial" w:hAnsi="Arial" w:cs="Arial"/>
          <w:sz w:val="22"/>
          <w:szCs w:val="22"/>
        </w:rPr>
        <w:t xml:space="preserve">from </w:t>
      </w:r>
      <w:r w:rsidR="000B5D57" w:rsidRPr="008D7F2C">
        <w:rPr>
          <w:rFonts w:ascii="Arial" w:hAnsi="Arial" w:cs="Arial"/>
          <w:sz w:val="22"/>
          <w:szCs w:val="22"/>
        </w:rPr>
        <w:t xml:space="preserve">an SMR. </w:t>
      </w:r>
    </w:p>
    <w:p w14:paraId="2193BF93" w14:textId="1E8F13E6" w:rsidR="00A04DF2" w:rsidRPr="008D7F2C" w:rsidRDefault="003A24E0" w:rsidP="002138E1">
      <w:pPr>
        <w:spacing w:before="240" w:line="276" w:lineRule="auto"/>
        <w:jc w:val="both"/>
        <w:rPr>
          <w:rFonts w:ascii="Arial" w:hAnsi="Arial" w:cs="Arial"/>
          <w:sz w:val="22"/>
          <w:szCs w:val="22"/>
        </w:rPr>
      </w:pPr>
      <w:r w:rsidRPr="008D7F2C">
        <w:rPr>
          <w:rFonts w:ascii="Arial" w:hAnsi="Arial" w:cs="Arial"/>
          <w:sz w:val="22"/>
          <w:szCs w:val="22"/>
        </w:rPr>
        <w:t>Besides</w:t>
      </w:r>
      <w:r w:rsidR="00FF4C4B">
        <w:rPr>
          <w:rFonts w:ascii="Arial" w:hAnsi="Arial" w:cs="Arial"/>
          <w:sz w:val="22"/>
          <w:szCs w:val="22"/>
        </w:rPr>
        <w:t>,</w:t>
      </w:r>
      <w:r w:rsidRPr="008D7F2C">
        <w:rPr>
          <w:rFonts w:ascii="Arial" w:hAnsi="Arial" w:cs="Arial"/>
          <w:sz w:val="22"/>
          <w:szCs w:val="22"/>
        </w:rPr>
        <w:t xml:space="preserve"> and despite initiatives inside the Western European Nuclear Regulators Association (WENRA) to harmonize safety requirements, there are still </w:t>
      </w:r>
      <w:r w:rsidR="007E28C7" w:rsidRPr="008D7F2C">
        <w:rPr>
          <w:rFonts w:ascii="Arial" w:hAnsi="Arial" w:cs="Arial"/>
          <w:sz w:val="22"/>
          <w:szCs w:val="22"/>
        </w:rPr>
        <w:t xml:space="preserve">some significant </w:t>
      </w:r>
      <w:r w:rsidRPr="008D7F2C">
        <w:rPr>
          <w:rFonts w:ascii="Arial" w:hAnsi="Arial" w:cs="Arial"/>
          <w:sz w:val="22"/>
          <w:szCs w:val="22"/>
        </w:rPr>
        <w:t xml:space="preserve">differences in the </w:t>
      </w:r>
      <w:r w:rsidR="00FF4C4B">
        <w:rPr>
          <w:rFonts w:ascii="Arial" w:hAnsi="Arial" w:cs="Arial"/>
          <w:sz w:val="22"/>
          <w:szCs w:val="22"/>
        </w:rPr>
        <w:t xml:space="preserve">overall </w:t>
      </w:r>
      <w:r w:rsidRPr="008D7F2C">
        <w:rPr>
          <w:rFonts w:ascii="Arial" w:hAnsi="Arial" w:cs="Arial"/>
          <w:sz w:val="22"/>
          <w:szCs w:val="22"/>
        </w:rPr>
        <w:t xml:space="preserve">safety approach </w:t>
      </w:r>
      <w:r w:rsidR="00FF4C4B">
        <w:rPr>
          <w:rFonts w:ascii="Arial" w:hAnsi="Arial" w:cs="Arial"/>
          <w:sz w:val="22"/>
          <w:szCs w:val="22"/>
        </w:rPr>
        <w:t xml:space="preserve">and the interpretation of some basic nuclear safety principles </w:t>
      </w:r>
      <w:r w:rsidRPr="008D7F2C">
        <w:rPr>
          <w:rFonts w:ascii="Arial" w:hAnsi="Arial" w:cs="Arial"/>
          <w:sz w:val="22"/>
          <w:szCs w:val="22"/>
        </w:rPr>
        <w:t>between different member states</w:t>
      </w:r>
      <w:r w:rsidR="007E28C7" w:rsidRPr="008D7F2C">
        <w:rPr>
          <w:rFonts w:ascii="Arial" w:hAnsi="Arial" w:cs="Arial"/>
          <w:sz w:val="22"/>
          <w:szCs w:val="22"/>
        </w:rPr>
        <w:t xml:space="preserve"> in the European context</w:t>
      </w:r>
      <w:r w:rsidRPr="008D7F2C">
        <w:rPr>
          <w:rFonts w:ascii="Arial" w:hAnsi="Arial" w:cs="Arial"/>
          <w:sz w:val="22"/>
          <w:szCs w:val="22"/>
        </w:rPr>
        <w:t xml:space="preserve">. </w:t>
      </w:r>
    </w:p>
    <w:p w14:paraId="610301E5" w14:textId="53146691" w:rsidR="00A04DF2" w:rsidRPr="008D7F2C" w:rsidRDefault="00176E2A" w:rsidP="002138E1">
      <w:pPr>
        <w:spacing w:before="240" w:line="276" w:lineRule="auto"/>
        <w:jc w:val="both"/>
        <w:rPr>
          <w:rFonts w:ascii="Arial" w:hAnsi="Arial" w:cs="Arial"/>
          <w:sz w:val="22"/>
          <w:szCs w:val="22"/>
        </w:rPr>
      </w:pPr>
      <w:r w:rsidRPr="008D7F2C">
        <w:rPr>
          <w:rFonts w:ascii="Arial" w:hAnsi="Arial" w:cs="Arial"/>
          <w:sz w:val="22"/>
          <w:szCs w:val="22"/>
        </w:rPr>
        <w:t xml:space="preserve">An example of such difference is the application of the </w:t>
      </w:r>
      <w:r w:rsidR="00FF4C4B">
        <w:rPr>
          <w:rFonts w:ascii="Arial" w:hAnsi="Arial" w:cs="Arial"/>
          <w:sz w:val="22"/>
          <w:szCs w:val="22"/>
        </w:rPr>
        <w:t>S</w:t>
      </w:r>
      <w:r w:rsidRPr="008D7F2C">
        <w:rPr>
          <w:rFonts w:ascii="Arial" w:hAnsi="Arial" w:cs="Arial"/>
          <w:sz w:val="22"/>
          <w:szCs w:val="22"/>
        </w:rPr>
        <w:t xml:space="preserve">ingle </w:t>
      </w:r>
      <w:r w:rsidR="00FF4C4B">
        <w:rPr>
          <w:rFonts w:ascii="Arial" w:hAnsi="Arial" w:cs="Arial"/>
          <w:sz w:val="22"/>
          <w:szCs w:val="22"/>
        </w:rPr>
        <w:t>F</w:t>
      </w:r>
      <w:r w:rsidRPr="008D7F2C">
        <w:rPr>
          <w:rFonts w:ascii="Arial" w:hAnsi="Arial" w:cs="Arial"/>
          <w:sz w:val="22"/>
          <w:szCs w:val="22"/>
        </w:rPr>
        <w:t xml:space="preserve">ailure </w:t>
      </w:r>
      <w:r w:rsidR="00FF4C4B">
        <w:rPr>
          <w:rFonts w:ascii="Arial" w:hAnsi="Arial" w:cs="Arial"/>
          <w:sz w:val="22"/>
          <w:szCs w:val="22"/>
        </w:rPr>
        <w:t>C</w:t>
      </w:r>
      <w:r w:rsidRPr="008D7F2C">
        <w:rPr>
          <w:rFonts w:ascii="Arial" w:hAnsi="Arial" w:cs="Arial"/>
          <w:sz w:val="22"/>
          <w:szCs w:val="22"/>
        </w:rPr>
        <w:t xml:space="preserve">riterion </w:t>
      </w:r>
      <w:r w:rsidR="00FF4C4B">
        <w:rPr>
          <w:rFonts w:ascii="Arial" w:hAnsi="Arial" w:cs="Arial"/>
          <w:sz w:val="22"/>
          <w:szCs w:val="22"/>
        </w:rPr>
        <w:t xml:space="preserve">(SFC) </w:t>
      </w:r>
      <w:r w:rsidRPr="008D7F2C">
        <w:rPr>
          <w:rFonts w:ascii="Arial" w:hAnsi="Arial" w:cs="Arial"/>
          <w:sz w:val="22"/>
          <w:szCs w:val="22"/>
        </w:rPr>
        <w:t xml:space="preserve">to </w:t>
      </w:r>
      <w:r w:rsidR="00FF4C4B">
        <w:rPr>
          <w:rFonts w:ascii="Arial" w:hAnsi="Arial" w:cs="Arial"/>
          <w:sz w:val="22"/>
          <w:szCs w:val="22"/>
        </w:rPr>
        <w:t xml:space="preserve">safety </w:t>
      </w:r>
      <w:r w:rsidRPr="008D7F2C">
        <w:rPr>
          <w:rFonts w:ascii="Arial" w:hAnsi="Arial" w:cs="Arial"/>
          <w:sz w:val="22"/>
          <w:szCs w:val="22"/>
        </w:rPr>
        <w:t>features</w:t>
      </w:r>
      <w:r w:rsidR="00FF4C4B">
        <w:rPr>
          <w:rFonts w:ascii="Arial" w:hAnsi="Arial" w:cs="Arial"/>
          <w:sz w:val="22"/>
          <w:szCs w:val="22"/>
        </w:rPr>
        <w:t xml:space="preserve"> for Design Extension Conditions</w:t>
      </w:r>
      <w:r w:rsidRPr="008D7F2C">
        <w:rPr>
          <w:rFonts w:ascii="Arial" w:hAnsi="Arial" w:cs="Arial"/>
          <w:sz w:val="22"/>
          <w:szCs w:val="22"/>
        </w:rPr>
        <w:t xml:space="preserve">, mandatory in a </w:t>
      </w:r>
      <w:r w:rsidR="00FF4C4B">
        <w:rPr>
          <w:rFonts w:ascii="Arial" w:hAnsi="Arial" w:cs="Arial"/>
          <w:sz w:val="22"/>
          <w:szCs w:val="22"/>
        </w:rPr>
        <w:t xml:space="preserve">number of </w:t>
      </w:r>
      <w:r w:rsidRPr="008D7F2C">
        <w:rPr>
          <w:rFonts w:ascii="Arial" w:hAnsi="Arial" w:cs="Arial"/>
          <w:sz w:val="22"/>
          <w:szCs w:val="22"/>
        </w:rPr>
        <w:t>member-states</w:t>
      </w:r>
      <w:r w:rsidR="007B41CE" w:rsidRPr="008D7F2C">
        <w:rPr>
          <w:rFonts w:ascii="Arial" w:hAnsi="Arial" w:cs="Arial"/>
          <w:sz w:val="22"/>
          <w:szCs w:val="22"/>
        </w:rPr>
        <w:t>, even for DEC-B</w:t>
      </w:r>
      <w:r w:rsidRPr="008D7F2C">
        <w:rPr>
          <w:rFonts w:ascii="Arial" w:hAnsi="Arial" w:cs="Arial"/>
          <w:sz w:val="22"/>
          <w:szCs w:val="22"/>
        </w:rPr>
        <w:t xml:space="preserve">, but not in all. </w:t>
      </w:r>
      <w:r w:rsidR="003C6334" w:rsidRPr="008D7F2C">
        <w:rPr>
          <w:rFonts w:ascii="Arial" w:hAnsi="Arial" w:cs="Arial"/>
          <w:sz w:val="22"/>
          <w:szCs w:val="22"/>
        </w:rPr>
        <w:t xml:space="preserve">The combination of this criterion with </w:t>
      </w:r>
      <w:r w:rsidR="00B462ED" w:rsidRPr="008D7F2C">
        <w:rPr>
          <w:rFonts w:ascii="Arial" w:hAnsi="Arial" w:cs="Arial"/>
          <w:sz w:val="22"/>
          <w:szCs w:val="22"/>
        </w:rPr>
        <w:t xml:space="preserve">a strict implementation </w:t>
      </w:r>
      <w:r w:rsidR="00CC7504" w:rsidRPr="008D7F2C">
        <w:rPr>
          <w:rFonts w:ascii="Arial" w:hAnsi="Arial" w:cs="Arial"/>
          <w:sz w:val="22"/>
          <w:szCs w:val="22"/>
        </w:rPr>
        <w:t xml:space="preserve">of independency between </w:t>
      </w:r>
      <w:r w:rsidR="00830956" w:rsidRPr="008D7F2C">
        <w:rPr>
          <w:rFonts w:ascii="Arial" w:hAnsi="Arial" w:cs="Arial"/>
          <w:sz w:val="22"/>
          <w:szCs w:val="22"/>
        </w:rPr>
        <w:t xml:space="preserve">the safety systems </w:t>
      </w:r>
      <w:r w:rsidR="00493BBE" w:rsidRPr="008D7F2C">
        <w:rPr>
          <w:rFonts w:ascii="Arial" w:hAnsi="Arial" w:cs="Arial"/>
          <w:sz w:val="22"/>
          <w:szCs w:val="22"/>
        </w:rPr>
        <w:t>in different DiD levels</w:t>
      </w:r>
      <w:r w:rsidR="00FF4C4B">
        <w:rPr>
          <w:rFonts w:ascii="Arial" w:hAnsi="Arial" w:cs="Arial"/>
          <w:sz w:val="22"/>
          <w:szCs w:val="22"/>
        </w:rPr>
        <w:t xml:space="preserve">, </w:t>
      </w:r>
      <w:r w:rsidR="00E477E0" w:rsidRPr="008D7F2C">
        <w:rPr>
          <w:rFonts w:ascii="Arial" w:hAnsi="Arial" w:cs="Arial"/>
          <w:sz w:val="22"/>
          <w:szCs w:val="22"/>
        </w:rPr>
        <w:t>as presented by WENRA O3.2 Position 2</w:t>
      </w:r>
      <w:r w:rsidR="00FF4C4B" w:rsidRPr="00FF4C4B">
        <w:rPr>
          <w:rFonts w:ascii="Arial" w:hAnsi="Arial" w:cs="Arial"/>
          <w:sz w:val="22"/>
          <w:szCs w:val="22"/>
          <w:vertAlign w:val="superscript"/>
        </w:rPr>
        <w:t>(</w:t>
      </w:r>
      <w:r w:rsidR="00FF4C4B">
        <w:rPr>
          <w:rStyle w:val="FootnoteReference"/>
          <w:rFonts w:ascii="Arial" w:hAnsi="Arial" w:cs="Arial"/>
          <w:sz w:val="22"/>
          <w:szCs w:val="22"/>
        </w:rPr>
        <w:footnoteReference w:id="4"/>
      </w:r>
      <w:r w:rsidR="00E477E0" w:rsidRPr="00FF4C4B">
        <w:rPr>
          <w:rFonts w:ascii="Arial" w:hAnsi="Arial" w:cs="Arial"/>
          <w:sz w:val="22"/>
          <w:szCs w:val="22"/>
          <w:vertAlign w:val="superscript"/>
        </w:rPr>
        <w:t>)</w:t>
      </w:r>
      <w:r w:rsidR="00FF4C4B">
        <w:rPr>
          <w:rFonts w:ascii="Arial" w:hAnsi="Arial" w:cs="Arial"/>
          <w:sz w:val="22"/>
          <w:szCs w:val="22"/>
        </w:rPr>
        <w:t>,</w:t>
      </w:r>
      <w:r w:rsidR="00E477E0" w:rsidRPr="00FF4C4B">
        <w:rPr>
          <w:rFonts w:ascii="Arial" w:hAnsi="Arial" w:cs="Arial"/>
          <w:sz w:val="22"/>
          <w:szCs w:val="22"/>
        </w:rPr>
        <w:t xml:space="preserve"> </w:t>
      </w:r>
      <w:r w:rsidR="0065144B" w:rsidRPr="00FF4C4B">
        <w:rPr>
          <w:rFonts w:ascii="Arial" w:hAnsi="Arial" w:cs="Arial"/>
          <w:sz w:val="22"/>
          <w:szCs w:val="22"/>
        </w:rPr>
        <w:t>and the principle that e</w:t>
      </w:r>
      <w:r w:rsidR="007507FB" w:rsidRPr="00FF4C4B">
        <w:rPr>
          <w:rFonts w:ascii="Arial" w:hAnsi="Arial" w:cs="Arial"/>
          <w:sz w:val="22"/>
          <w:szCs w:val="22"/>
        </w:rPr>
        <w:t xml:space="preserve">ach module of a </w:t>
      </w:r>
      <w:r w:rsidR="007507FB" w:rsidRPr="008D7F2C">
        <w:rPr>
          <w:rFonts w:ascii="Arial" w:hAnsi="Arial" w:cs="Arial"/>
          <w:sz w:val="22"/>
          <w:szCs w:val="22"/>
        </w:rPr>
        <w:t>multi-module unit shall have its own safety systems and features</w:t>
      </w:r>
      <w:r w:rsidR="009B2AED" w:rsidRPr="008D7F2C">
        <w:rPr>
          <w:rFonts w:ascii="Arial" w:hAnsi="Arial" w:cs="Arial"/>
          <w:sz w:val="22"/>
          <w:szCs w:val="22"/>
        </w:rPr>
        <w:t xml:space="preserve">, </w:t>
      </w:r>
      <w:r w:rsidR="00D611D5" w:rsidRPr="008D7F2C">
        <w:rPr>
          <w:rFonts w:ascii="Arial" w:hAnsi="Arial" w:cs="Arial"/>
          <w:sz w:val="22"/>
          <w:szCs w:val="22"/>
        </w:rPr>
        <w:t>could, f</w:t>
      </w:r>
      <w:r w:rsidR="004E6EA1" w:rsidRPr="008D7F2C">
        <w:rPr>
          <w:rFonts w:ascii="Arial" w:hAnsi="Arial" w:cs="Arial"/>
          <w:sz w:val="22"/>
          <w:szCs w:val="22"/>
        </w:rPr>
        <w:t>or a two-module SMR</w:t>
      </w:r>
      <w:r w:rsidR="00FF4C4B">
        <w:rPr>
          <w:rFonts w:ascii="Arial" w:hAnsi="Arial" w:cs="Arial"/>
          <w:sz w:val="22"/>
          <w:szCs w:val="22"/>
        </w:rPr>
        <w:t xml:space="preserve"> and</w:t>
      </w:r>
      <w:r w:rsidR="00993491" w:rsidRPr="008D7F2C">
        <w:rPr>
          <w:rFonts w:ascii="Arial" w:hAnsi="Arial" w:cs="Arial"/>
          <w:sz w:val="22"/>
          <w:szCs w:val="22"/>
        </w:rPr>
        <w:t xml:space="preserve"> in most conservative </w:t>
      </w:r>
      <w:r w:rsidR="00FF4C4B">
        <w:rPr>
          <w:rFonts w:ascii="Arial" w:hAnsi="Arial" w:cs="Arial"/>
          <w:sz w:val="22"/>
          <w:szCs w:val="22"/>
        </w:rPr>
        <w:t xml:space="preserve">interpretation </w:t>
      </w:r>
      <w:r w:rsidR="00993491" w:rsidRPr="008D7F2C">
        <w:rPr>
          <w:rFonts w:ascii="Arial" w:hAnsi="Arial" w:cs="Arial"/>
          <w:sz w:val="22"/>
          <w:szCs w:val="22"/>
        </w:rPr>
        <w:t xml:space="preserve">lead to a design with 12 </w:t>
      </w:r>
      <w:r w:rsidR="008E6BE2" w:rsidRPr="008D7F2C">
        <w:rPr>
          <w:rFonts w:ascii="Arial" w:hAnsi="Arial" w:cs="Arial"/>
          <w:sz w:val="22"/>
          <w:szCs w:val="22"/>
        </w:rPr>
        <w:t>emergency diesel generators</w:t>
      </w:r>
      <w:r w:rsidR="004B5CCB" w:rsidRPr="008D7F2C">
        <w:rPr>
          <w:rFonts w:ascii="Arial" w:hAnsi="Arial" w:cs="Arial"/>
          <w:sz w:val="22"/>
          <w:szCs w:val="22"/>
        </w:rPr>
        <w:t xml:space="preserve"> </w:t>
      </w:r>
      <w:r w:rsidR="00FF4C4B">
        <w:rPr>
          <w:rFonts w:ascii="Arial" w:hAnsi="Arial" w:cs="Arial"/>
          <w:sz w:val="22"/>
          <w:szCs w:val="22"/>
        </w:rPr>
        <w:t>per reactor</w:t>
      </w:r>
      <w:r w:rsidR="004B5CCB" w:rsidRPr="00FF4C4B">
        <w:rPr>
          <w:rFonts w:ascii="Arial" w:hAnsi="Arial" w:cs="Arial"/>
          <w:sz w:val="22"/>
          <w:szCs w:val="22"/>
          <w:vertAlign w:val="superscript"/>
        </w:rPr>
        <w:t>(</w:t>
      </w:r>
      <w:r w:rsidR="00FF4C4B">
        <w:rPr>
          <w:rStyle w:val="FootnoteReference"/>
          <w:rFonts w:ascii="Arial" w:hAnsi="Arial" w:cs="Arial"/>
          <w:sz w:val="22"/>
          <w:szCs w:val="22"/>
        </w:rPr>
        <w:footnoteReference w:id="5"/>
      </w:r>
      <w:r w:rsidR="005D4B4E" w:rsidRPr="00FF4C4B">
        <w:rPr>
          <w:rFonts w:ascii="Arial" w:hAnsi="Arial" w:cs="Arial"/>
          <w:sz w:val="22"/>
          <w:szCs w:val="22"/>
          <w:vertAlign w:val="superscript"/>
        </w:rPr>
        <w:t>)</w:t>
      </w:r>
      <w:r w:rsidR="008E6BE2" w:rsidRPr="008D7F2C">
        <w:rPr>
          <w:rFonts w:ascii="Arial" w:hAnsi="Arial" w:cs="Arial"/>
          <w:sz w:val="22"/>
          <w:szCs w:val="22"/>
        </w:rPr>
        <w:t>.</w:t>
      </w:r>
      <w:r w:rsidR="006A6956" w:rsidRPr="008D7F2C">
        <w:rPr>
          <w:rFonts w:ascii="Arial" w:hAnsi="Arial" w:cs="Arial"/>
          <w:sz w:val="22"/>
          <w:szCs w:val="22"/>
        </w:rPr>
        <w:t xml:space="preserve"> </w:t>
      </w:r>
      <w:r w:rsidR="00DA7DCB" w:rsidRPr="008D7F2C">
        <w:rPr>
          <w:rFonts w:ascii="Arial" w:hAnsi="Arial" w:cs="Arial"/>
          <w:sz w:val="22"/>
          <w:szCs w:val="22"/>
        </w:rPr>
        <w:t xml:space="preserve">This number </w:t>
      </w:r>
      <w:r w:rsidR="00115E72" w:rsidRPr="008D7F2C">
        <w:rPr>
          <w:rFonts w:ascii="Arial" w:hAnsi="Arial" w:cs="Arial"/>
          <w:sz w:val="22"/>
          <w:szCs w:val="22"/>
        </w:rPr>
        <w:t xml:space="preserve">will be </w:t>
      </w:r>
      <w:r w:rsidR="00982D14" w:rsidRPr="008D7F2C">
        <w:rPr>
          <w:rFonts w:ascii="Arial" w:hAnsi="Arial" w:cs="Arial"/>
          <w:sz w:val="22"/>
          <w:szCs w:val="22"/>
        </w:rPr>
        <w:t xml:space="preserve">reduced in countries where </w:t>
      </w:r>
      <w:r w:rsidR="00115E72" w:rsidRPr="008D7F2C">
        <w:rPr>
          <w:rFonts w:ascii="Arial" w:hAnsi="Arial" w:cs="Arial"/>
          <w:sz w:val="22"/>
          <w:szCs w:val="22"/>
        </w:rPr>
        <w:t xml:space="preserve">one </w:t>
      </w:r>
      <w:proofErr w:type="spellStart"/>
      <w:r w:rsidR="00115E72" w:rsidRPr="008D7F2C">
        <w:rPr>
          <w:rFonts w:ascii="Arial" w:hAnsi="Arial" w:cs="Arial"/>
          <w:sz w:val="22"/>
          <w:szCs w:val="22"/>
        </w:rPr>
        <w:t>ore</w:t>
      </w:r>
      <w:proofErr w:type="spellEnd"/>
      <w:r w:rsidR="00115E72" w:rsidRPr="008D7F2C">
        <w:rPr>
          <w:rFonts w:ascii="Arial" w:hAnsi="Arial" w:cs="Arial"/>
          <w:sz w:val="22"/>
          <w:szCs w:val="22"/>
        </w:rPr>
        <w:t xml:space="preserve"> more of the above requirements are </w:t>
      </w:r>
      <w:r w:rsidR="005C446C" w:rsidRPr="008D7F2C">
        <w:rPr>
          <w:rFonts w:ascii="Arial" w:hAnsi="Arial" w:cs="Arial"/>
          <w:sz w:val="22"/>
          <w:szCs w:val="22"/>
        </w:rPr>
        <w:t>not valid</w:t>
      </w:r>
      <w:r w:rsidR="008B6EBA">
        <w:rPr>
          <w:rFonts w:ascii="Arial" w:hAnsi="Arial" w:cs="Arial"/>
          <w:sz w:val="22"/>
          <w:szCs w:val="22"/>
        </w:rPr>
        <w:t xml:space="preserve">. Even if individual Safety Authorities are generally open for discussions on a case by case basis, </w:t>
      </w:r>
      <w:r w:rsidR="00802B1A" w:rsidRPr="008D7F2C">
        <w:rPr>
          <w:rFonts w:ascii="Arial" w:hAnsi="Arial" w:cs="Arial"/>
          <w:sz w:val="22"/>
          <w:szCs w:val="22"/>
        </w:rPr>
        <w:t xml:space="preserve">it is clear that such differences complicate the </w:t>
      </w:r>
      <w:r w:rsidR="00B86D45" w:rsidRPr="008D7F2C">
        <w:rPr>
          <w:rFonts w:ascii="Arial" w:hAnsi="Arial" w:cs="Arial"/>
          <w:sz w:val="22"/>
          <w:szCs w:val="22"/>
        </w:rPr>
        <w:t xml:space="preserve">concept of </w:t>
      </w:r>
      <w:r w:rsidR="00802B1A" w:rsidRPr="008D7F2C">
        <w:rPr>
          <w:rFonts w:ascii="Arial" w:hAnsi="Arial" w:cs="Arial"/>
          <w:sz w:val="22"/>
          <w:szCs w:val="22"/>
        </w:rPr>
        <w:t>standardization</w:t>
      </w:r>
      <w:r w:rsidR="00B86D45" w:rsidRPr="008D7F2C">
        <w:rPr>
          <w:rFonts w:ascii="Arial" w:hAnsi="Arial" w:cs="Arial"/>
          <w:sz w:val="22"/>
          <w:szCs w:val="22"/>
        </w:rPr>
        <w:t>.</w:t>
      </w:r>
      <w:r w:rsidR="005C1A90" w:rsidRPr="008D7F2C">
        <w:rPr>
          <w:rFonts w:ascii="Arial" w:hAnsi="Arial" w:cs="Arial"/>
          <w:sz w:val="22"/>
          <w:szCs w:val="22"/>
        </w:rPr>
        <w:t xml:space="preserve"> </w:t>
      </w:r>
      <w:r w:rsidR="008B6EBA">
        <w:rPr>
          <w:rFonts w:ascii="Arial" w:hAnsi="Arial" w:cs="Arial"/>
          <w:sz w:val="22"/>
          <w:szCs w:val="22"/>
        </w:rPr>
        <w:t>All stakeholders would</w:t>
      </w:r>
      <w:r w:rsidR="008B6EBA" w:rsidRPr="008B6EBA">
        <w:rPr>
          <w:rFonts w:ascii="Arial" w:hAnsi="Arial" w:cs="Arial"/>
          <w:sz w:val="22"/>
          <w:szCs w:val="22"/>
        </w:rPr>
        <w:t xml:space="preserve"> benefit </w:t>
      </w:r>
      <w:r w:rsidR="008B6EBA">
        <w:rPr>
          <w:rFonts w:ascii="Arial" w:hAnsi="Arial" w:cs="Arial"/>
          <w:sz w:val="22"/>
          <w:szCs w:val="22"/>
        </w:rPr>
        <w:t xml:space="preserve">from a balanced, </w:t>
      </w:r>
      <w:r w:rsidR="005C1A90" w:rsidRPr="008D7F2C">
        <w:rPr>
          <w:rFonts w:ascii="Arial" w:hAnsi="Arial" w:cs="Arial"/>
          <w:sz w:val="22"/>
          <w:szCs w:val="22"/>
        </w:rPr>
        <w:t>common regu</w:t>
      </w:r>
      <w:r w:rsidR="008F4F98" w:rsidRPr="008D7F2C">
        <w:rPr>
          <w:rFonts w:ascii="Arial" w:hAnsi="Arial" w:cs="Arial"/>
          <w:sz w:val="22"/>
          <w:szCs w:val="22"/>
        </w:rPr>
        <w:t>latory framework</w:t>
      </w:r>
      <w:r w:rsidR="008B6EBA">
        <w:rPr>
          <w:rFonts w:ascii="Arial" w:hAnsi="Arial" w:cs="Arial"/>
          <w:sz w:val="22"/>
          <w:szCs w:val="22"/>
        </w:rPr>
        <w:t xml:space="preserve">. To obtain such set of technology-specific requirements </w:t>
      </w:r>
      <w:r w:rsidR="008B6EBA" w:rsidRPr="008D7F2C">
        <w:rPr>
          <w:rFonts w:ascii="Arial" w:hAnsi="Arial" w:cs="Arial"/>
          <w:sz w:val="22"/>
          <w:szCs w:val="22"/>
        </w:rPr>
        <w:t>for SMR</w:t>
      </w:r>
      <w:r w:rsidR="008B6EBA">
        <w:rPr>
          <w:rFonts w:ascii="Arial" w:hAnsi="Arial" w:cs="Arial"/>
          <w:sz w:val="22"/>
          <w:szCs w:val="22"/>
        </w:rPr>
        <w:t>,</w:t>
      </w:r>
      <w:r w:rsidR="008F4F98" w:rsidRPr="008D7F2C">
        <w:rPr>
          <w:rFonts w:ascii="Arial" w:hAnsi="Arial" w:cs="Arial"/>
          <w:sz w:val="22"/>
          <w:szCs w:val="22"/>
        </w:rPr>
        <w:t xml:space="preserve"> </w:t>
      </w:r>
      <w:r w:rsidR="00075548" w:rsidRPr="008D7F2C">
        <w:rPr>
          <w:rFonts w:ascii="Arial" w:hAnsi="Arial" w:cs="Arial"/>
          <w:sz w:val="22"/>
          <w:szCs w:val="22"/>
        </w:rPr>
        <w:t xml:space="preserve">the </w:t>
      </w:r>
      <w:r w:rsidR="00027292" w:rsidRPr="008D7F2C">
        <w:rPr>
          <w:rFonts w:ascii="Arial" w:hAnsi="Arial" w:cs="Arial"/>
          <w:sz w:val="22"/>
          <w:szCs w:val="22"/>
        </w:rPr>
        <w:t xml:space="preserve">inherent safety features, like passive system, </w:t>
      </w:r>
      <w:r w:rsidR="00EF36DA" w:rsidRPr="008D7F2C">
        <w:rPr>
          <w:rFonts w:ascii="Arial" w:hAnsi="Arial" w:cs="Arial"/>
          <w:sz w:val="22"/>
          <w:szCs w:val="22"/>
        </w:rPr>
        <w:t xml:space="preserve">resulting in considerably lower </w:t>
      </w:r>
      <w:r w:rsidR="00416E4C" w:rsidRPr="008D7F2C">
        <w:rPr>
          <w:rFonts w:ascii="Arial" w:hAnsi="Arial" w:cs="Arial"/>
          <w:sz w:val="22"/>
          <w:szCs w:val="22"/>
        </w:rPr>
        <w:t xml:space="preserve">accident frequencies </w:t>
      </w:r>
      <w:r w:rsidR="00AE1937" w:rsidRPr="008D7F2C">
        <w:rPr>
          <w:rFonts w:ascii="Arial" w:hAnsi="Arial" w:cs="Arial"/>
          <w:sz w:val="22"/>
          <w:szCs w:val="22"/>
        </w:rPr>
        <w:t xml:space="preserve">(DBA/DEC) </w:t>
      </w:r>
      <w:r w:rsidR="002E0A20" w:rsidRPr="008D7F2C">
        <w:rPr>
          <w:rFonts w:ascii="Arial" w:hAnsi="Arial" w:cs="Arial"/>
          <w:sz w:val="22"/>
          <w:szCs w:val="22"/>
        </w:rPr>
        <w:t xml:space="preserve">and the </w:t>
      </w:r>
      <w:r w:rsidR="00CF7C2C" w:rsidRPr="008D7F2C">
        <w:rPr>
          <w:rFonts w:ascii="Arial" w:hAnsi="Arial" w:cs="Arial"/>
          <w:sz w:val="22"/>
          <w:szCs w:val="22"/>
        </w:rPr>
        <w:t xml:space="preserve">reduced </w:t>
      </w:r>
      <w:r w:rsidR="002E0A20" w:rsidRPr="008D7F2C">
        <w:rPr>
          <w:rFonts w:ascii="Arial" w:hAnsi="Arial" w:cs="Arial"/>
          <w:sz w:val="22"/>
          <w:szCs w:val="22"/>
        </w:rPr>
        <w:t xml:space="preserve">consequences </w:t>
      </w:r>
      <w:r w:rsidR="00CF7C2C" w:rsidRPr="008D7F2C">
        <w:rPr>
          <w:rFonts w:ascii="Arial" w:hAnsi="Arial" w:cs="Arial"/>
          <w:sz w:val="22"/>
          <w:szCs w:val="22"/>
        </w:rPr>
        <w:t>if</w:t>
      </w:r>
      <w:r w:rsidR="002E0A20" w:rsidRPr="008D7F2C">
        <w:rPr>
          <w:rFonts w:ascii="Arial" w:hAnsi="Arial" w:cs="Arial"/>
          <w:sz w:val="22"/>
          <w:szCs w:val="22"/>
        </w:rPr>
        <w:t xml:space="preserve"> such conditions </w:t>
      </w:r>
      <w:r w:rsidR="00CF7C2C" w:rsidRPr="008D7F2C">
        <w:rPr>
          <w:rFonts w:ascii="Arial" w:hAnsi="Arial" w:cs="Arial"/>
          <w:sz w:val="22"/>
          <w:szCs w:val="22"/>
        </w:rPr>
        <w:t>occur</w:t>
      </w:r>
      <w:r w:rsidR="00C60E12" w:rsidRPr="008D7F2C">
        <w:rPr>
          <w:rFonts w:ascii="Arial" w:hAnsi="Arial" w:cs="Arial"/>
          <w:sz w:val="22"/>
          <w:szCs w:val="22"/>
        </w:rPr>
        <w:t xml:space="preserve">, </w:t>
      </w:r>
      <w:r w:rsidR="00D85D86" w:rsidRPr="008D7F2C">
        <w:rPr>
          <w:rFonts w:ascii="Arial" w:hAnsi="Arial" w:cs="Arial"/>
          <w:sz w:val="22"/>
          <w:szCs w:val="22"/>
        </w:rPr>
        <w:t xml:space="preserve">should allow a waiving of </w:t>
      </w:r>
      <w:r w:rsidR="00C60E12" w:rsidRPr="008D7F2C">
        <w:rPr>
          <w:rFonts w:ascii="Arial" w:hAnsi="Arial" w:cs="Arial"/>
          <w:sz w:val="22"/>
          <w:szCs w:val="22"/>
        </w:rPr>
        <w:t>excessive conservati</w:t>
      </w:r>
      <w:r w:rsidR="002A7C5F" w:rsidRPr="008D7F2C">
        <w:rPr>
          <w:rFonts w:ascii="Arial" w:hAnsi="Arial" w:cs="Arial"/>
          <w:sz w:val="22"/>
          <w:szCs w:val="22"/>
        </w:rPr>
        <w:t xml:space="preserve">sms </w:t>
      </w:r>
      <w:r w:rsidR="008B6EBA">
        <w:rPr>
          <w:rFonts w:ascii="Arial" w:hAnsi="Arial" w:cs="Arial"/>
          <w:sz w:val="22"/>
          <w:szCs w:val="22"/>
        </w:rPr>
        <w:t xml:space="preserve">in the existing framework </w:t>
      </w:r>
      <w:r w:rsidR="00BA266F" w:rsidRPr="008D7F2C">
        <w:rPr>
          <w:rFonts w:ascii="Arial" w:hAnsi="Arial" w:cs="Arial"/>
          <w:sz w:val="22"/>
          <w:szCs w:val="22"/>
        </w:rPr>
        <w:t xml:space="preserve">and </w:t>
      </w:r>
      <w:r w:rsidR="008B6EBA">
        <w:rPr>
          <w:rFonts w:ascii="Arial" w:hAnsi="Arial" w:cs="Arial"/>
          <w:sz w:val="22"/>
          <w:szCs w:val="22"/>
        </w:rPr>
        <w:t xml:space="preserve">a </w:t>
      </w:r>
      <w:r w:rsidR="002A7C5F" w:rsidRPr="008D7F2C">
        <w:rPr>
          <w:rFonts w:ascii="Arial" w:hAnsi="Arial" w:cs="Arial"/>
          <w:sz w:val="22"/>
          <w:szCs w:val="22"/>
        </w:rPr>
        <w:t>reduc</w:t>
      </w:r>
      <w:r w:rsidR="008B6EBA">
        <w:rPr>
          <w:rFonts w:ascii="Arial" w:hAnsi="Arial" w:cs="Arial"/>
          <w:sz w:val="22"/>
          <w:szCs w:val="22"/>
        </w:rPr>
        <w:t>tion of</w:t>
      </w:r>
      <w:r w:rsidR="002A7C5F" w:rsidRPr="008D7F2C">
        <w:rPr>
          <w:rFonts w:ascii="Arial" w:hAnsi="Arial" w:cs="Arial"/>
          <w:sz w:val="22"/>
          <w:szCs w:val="22"/>
        </w:rPr>
        <w:t xml:space="preserve"> </w:t>
      </w:r>
      <w:r w:rsidR="00BA266F" w:rsidRPr="008D7F2C">
        <w:rPr>
          <w:rFonts w:ascii="Arial" w:hAnsi="Arial" w:cs="Arial"/>
          <w:sz w:val="22"/>
          <w:szCs w:val="22"/>
        </w:rPr>
        <w:t xml:space="preserve">the overall </w:t>
      </w:r>
      <w:r w:rsidR="008B6EBA">
        <w:rPr>
          <w:rFonts w:ascii="Arial" w:hAnsi="Arial" w:cs="Arial"/>
          <w:sz w:val="22"/>
          <w:szCs w:val="22"/>
        </w:rPr>
        <w:t xml:space="preserve">development and construction </w:t>
      </w:r>
      <w:r w:rsidR="00BA266F" w:rsidRPr="008D7F2C">
        <w:rPr>
          <w:rFonts w:ascii="Arial" w:hAnsi="Arial" w:cs="Arial"/>
          <w:sz w:val="22"/>
          <w:szCs w:val="22"/>
        </w:rPr>
        <w:t>cost</w:t>
      </w:r>
      <w:r w:rsidR="008B6EBA">
        <w:rPr>
          <w:rFonts w:ascii="Arial" w:hAnsi="Arial" w:cs="Arial"/>
          <w:sz w:val="22"/>
          <w:szCs w:val="22"/>
        </w:rPr>
        <w:t>s of an SMR</w:t>
      </w:r>
      <w:r w:rsidR="00BA266F" w:rsidRPr="008D7F2C">
        <w:rPr>
          <w:rFonts w:ascii="Arial" w:hAnsi="Arial" w:cs="Arial"/>
          <w:sz w:val="22"/>
          <w:szCs w:val="22"/>
        </w:rPr>
        <w:t>, without concession to nuclear safety.</w:t>
      </w:r>
      <w:r w:rsidR="001172AE" w:rsidRPr="008D7F2C">
        <w:rPr>
          <w:rFonts w:ascii="Arial" w:hAnsi="Arial" w:cs="Arial"/>
          <w:sz w:val="22"/>
          <w:szCs w:val="22"/>
        </w:rPr>
        <w:t xml:space="preserve"> </w:t>
      </w:r>
    </w:p>
    <w:p w14:paraId="29D473C6" w14:textId="67DA1184" w:rsidR="003A24E0" w:rsidRPr="008D7F2C" w:rsidRDefault="00A93671" w:rsidP="002138E1">
      <w:pPr>
        <w:spacing w:before="240" w:line="276" w:lineRule="auto"/>
        <w:jc w:val="both"/>
        <w:rPr>
          <w:rFonts w:ascii="Arial" w:hAnsi="Arial" w:cs="Arial"/>
          <w:sz w:val="22"/>
          <w:szCs w:val="22"/>
        </w:rPr>
      </w:pPr>
      <w:r w:rsidRPr="008D7F2C">
        <w:rPr>
          <w:rFonts w:ascii="Arial" w:hAnsi="Arial" w:cs="Arial"/>
          <w:sz w:val="22"/>
          <w:szCs w:val="22"/>
        </w:rPr>
        <w:t xml:space="preserve">The differences </w:t>
      </w:r>
      <w:r w:rsidR="004D01F5" w:rsidRPr="008D7F2C">
        <w:rPr>
          <w:rFonts w:ascii="Arial" w:hAnsi="Arial" w:cs="Arial"/>
          <w:sz w:val="22"/>
          <w:szCs w:val="22"/>
        </w:rPr>
        <w:t xml:space="preserve">with the existing regulatory framework </w:t>
      </w:r>
      <w:r w:rsidR="001172AE" w:rsidRPr="008D7F2C">
        <w:rPr>
          <w:rFonts w:ascii="Arial" w:hAnsi="Arial" w:cs="Arial"/>
          <w:sz w:val="22"/>
          <w:szCs w:val="22"/>
        </w:rPr>
        <w:t>can be even more pronounced for non-</w:t>
      </w:r>
      <w:r w:rsidR="008B6EBA">
        <w:rPr>
          <w:rFonts w:ascii="Arial" w:hAnsi="Arial" w:cs="Arial"/>
          <w:sz w:val="22"/>
          <w:szCs w:val="22"/>
        </w:rPr>
        <w:t>Light Water Reactor</w:t>
      </w:r>
      <w:r w:rsidR="001172AE" w:rsidRPr="008D7F2C">
        <w:rPr>
          <w:rFonts w:ascii="Arial" w:hAnsi="Arial" w:cs="Arial"/>
          <w:sz w:val="22"/>
          <w:szCs w:val="22"/>
        </w:rPr>
        <w:t xml:space="preserve"> </w:t>
      </w:r>
      <w:r w:rsidR="008B6EBA">
        <w:rPr>
          <w:rFonts w:ascii="Arial" w:hAnsi="Arial" w:cs="Arial"/>
          <w:sz w:val="22"/>
          <w:szCs w:val="22"/>
        </w:rPr>
        <w:t xml:space="preserve">(LWR) </w:t>
      </w:r>
      <w:r w:rsidR="001172AE" w:rsidRPr="008D7F2C">
        <w:rPr>
          <w:rFonts w:ascii="Arial" w:hAnsi="Arial" w:cs="Arial"/>
          <w:sz w:val="22"/>
          <w:szCs w:val="22"/>
        </w:rPr>
        <w:t>SMR, like the High Temperature Reactor</w:t>
      </w:r>
      <w:r w:rsidR="00A2775D" w:rsidRPr="008D7F2C">
        <w:rPr>
          <w:rFonts w:ascii="Arial" w:hAnsi="Arial" w:cs="Arial"/>
          <w:sz w:val="22"/>
          <w:szCs w:val="22"/>
        </w:rPr>
        <w:t xml:space="preserve"> (HTR-SMR</w:t>
      </w:r>
      <w:r w:rsidR="00E47F71" w:rsidRPr="008D7F2C">
        <w:rPr>
          <w:rFonts w:ascii="Arial" w:hAnsi="Arial" w:cs="Arial"/>
          <w:sz w:val="22"/>
          <w:szCs w:val="22"/>
        </w:rPr>
        <w:t>)</w:t>
      </w:r>
      <w:r w:rsidR="004D01F5" w:rsidRPr="008D7F2C">
        <w:rPr>
          <w:rFonts w:ascii="Arial" w:hAnsi="Arial" w:cs="Arial"/>
          <w:sz w:val="22"/>
          <w:szCs w:val="22"/>
        </w:rPr>
        <w:t xml:space="preserve">. </w:t>
      </w:r>
      <w:r w:rsidR="008568C8">
        <w:rPr>
          <w:rFonts w:ascii="Arial" w:hAnsi="Arial" w:cs="Arial"/>
          <w:sz w:val="22"/>
          <w:szCs w:val="22"/>
        </w:rPr>
        <w:t>For example</w:t>
      </w:r>
      <w:r w:rsidR="00F80F4B" w:rsidRPr="008D7F2C">
        <w:rPr>
          <w:rFonts w:ascii="Arial" w:hAnsi="Arial" w:cs="Arial"/>
          <w:sz w:val="22"/>
          <w:szCs w:val="22"/>
        </w:rPr>
        <w:t xml:space="preserve">, </w:t>
      </w:r>
      <w:r w:rsidR="0081505E" w:rsidRPr="008D7F2C">
        <w:rPr>
          <w:rFonts w:ascii="Arial" w:hAnsi="Arial" w:cs="Arial"/>
          <w:sz w:val="22"/>
          <w:szCs w:val="22"/>
        </w:rPr>
        <w:t xml:space="preserve">HTR designs </w:t>
      </w:r>
      <w:r w:rsidR="008568C8">
        <w:rPr>
          <w:rFonts w:ascii="Arial" w:hAnsi="Arial" w:cs="Arial"/>
          <w:sz w:val="22"/>
          <w:szCs w:val="22"/>
        </w:rPr>
        <w:t xml:space="preserve">pretend to represent even significantly </w:t>
      </w:r>
      <w:r w:rsidR="00AD001A" w:rsidRPr="008D7F2C">
        <w:rPr>
          <w:rFonts w:ascii="Arial" w:hAnsi="Arial" w:cs="Arial"/>
          <w:sz w:val="22"/>
          <w:szCs w:val="22"/>
        </w:rPr>
        <w:t>lower source term</w:t>
      </w:r>
      <w:r w:rsidR="0081505E" w:rsidRPr="008D7F2C">
        <w:rPr>
          <w:rFonts w:ascii="Arial" w:hAnsi="Arial" w:cs="Arial"/>
          <w:sz w:val="22"/>
          <w:szCs w:val="22"/>
        </w:rPr>
        <w:t>s</w:t>
      </w:r>
      <w:r w:rsidR="00AD001A" w:rsidRPr="008D7F2C">
        <w:rPr>
          <w:rFonts w:ascii="Arial" w:hAnsi="Arial" w:cs="Arial"/>
          <w:sz w:val="22"/>
          <w:szCs w:val="22"/>
        </w:rPr>
        <w:t xml:space="preserve"> from the use of </w:t>
      </w:r>
      <w:r w:rsidR="008568C8">
        <w:rPr>
          <w:rFonts w:ascii="Arial" w:hAnsi="Arial" w:cs="Arial"/>
          <w:sz w:val="22"/>
          <w:szCs w:val="22"/>
        </w:rPr>
        <w:t>A</w:t>
      </w:r>
      <w:r w:rsidR="00AD001A" w:rsidRPr="008D7F2C">
        <w:rPr>
          <w:rFonts w:ascii="Arial" w:hAnsi="Arial" w:cs="Arial"/>
          <w:sz w:val="22"/>
          <w:szCs w:val="22"/>
        </w:rPr>
        <w:t xml:space="preserve">ccident </w:t>
      </w:r>
      <w:r w:rsidR="008568C8">
        <w:rPr>
          <w:rFonts w:ascii="Arial" w:hAnsi="Arial" w:cs="Arial"/>
          <w:sz w:val="22"/>
          <w:szCs w:val="22"/>
        </w:rPr>
        <w:t>T</w:t>
      </w:r>
      <w:r w:rsidR="00AD001A" w:rsidRPr="008D7F2C">
        <w:rPr>
          <w:rFonts w:ascii="Arial" w:hAnsi="Arial" w:cs="Arial"/>
          <w:sz w:val="22"/>
          <w:szCs w:val="22"/>
        </w:rPr>
        <w:t xml:space="preserve">olerant </w:t>
      </w:r>
      <w:r w:rsidR="008568C8">
        <w:rPr>
          <w:rFonts w:ascii="Arial" w:hAnsi="Arial" w:cs="Arial"/>
          <w:sz w:val="22"/>
          <w:szCs w:val="22"/>
        </w:rPr>
        <w:t>F</w:t>
      </w:r>
      <w:r w:rsidR="00AD001A" w:rsidRPr="008D7F2C">
        <w:rPr>
          <w:rFonts w:ascii="Arial" w:hAnsi="Arial" w:cs="Arial"/>
          <w:sz w:val="22"/>
          <w:szCs w:val="22"/>
        </w:rPr>
        <w:t>uel</w:t>
      </w:r>
      <w:r w:rsidR="008568C8">
        <w:rPr>
          <w:rFonts w:ascii="Arial" w:hAnsi="Arial" w:cs="Arial"/>
          <w:sz w:val="22"/>
          <w:szCs w:val="22"/>
        </w:rPr>
        <w:t xml:space="preserve"> (ATF)</w:t>
      </w:r>
      <w:r w:rsidR="0078058E" w:rsidRPr="008D7F2C">
        <w:rPr>
          <w:rFonts w:ascii="Arial" w:hAnsi="Arial" w:cs="Arial"/>
          <w:sz w:val="22"/>
          <w:szCs w:val="22"/>
        </w:rPr>
        <w:t>.</w:t>
      </w:r>
      <w:r w:rsidR="004E2E51" w:rsidRPr="008D7F2C">
        <w:rPr>
          <w:rFonts w:ascii="Arial" w:hAnsi="Arial" w:cs="Arial"/>
          <w:sz w:val="22"/>
          <w:szCs w:val="22"/>
        </w:rPr>
        <w:t xml:space="preserve"> </w:t>
      </w:r>
      <w:r w:rsidR="005113C8" w:rsidRPr="008D7F2C">
        <w:rPr>
          <w:rFonts w:ascii="Arial" w:hAnsi="Arial" w:cs="Arial"/>
          <w:sz w:val="22"/>
          <w:szCs w:val="22"/>
        </w:rPr>
        <w:t xml:space="preserve">Some designers challenge even the existence of </w:t>
      </w:r>
      <w:proofErr w:type="spellStart"/>
      <w:r w:rsidR="00561B23" w:rsidRPr="008D7F2C">
        <w:rPr>
          <w:rFonts w:ascii="Arial" w:hAnsi="Arial" w:cs="Arial"/>
          <w:sz w:val="22"/>
          <w:szCs w:val="22"/>
        </w:rPr>
        <w:t>Defence</w:t>
      </w:r>
      <w:proofErr w:type="spellEnd"/>
      <w:r w:rsidR="00561B23" w:rsidRPr="008D7F2C">
        <w:rPr>
          <w:rFonts w:ascii="Arial" w:hAnsi="Arial" w:cs="Arial"/>
          <w:sz w:val="22"/>
          <w:szCs w:val="22"/>
        </w:rPr>
        <w:t>-</w:t>
      </w:r>
      <w:r w:rsidR="008568C8">
        <w:rPr>
          <w:rFonts w:ascii="Arial" w:hAnsi="Arial" w:cs="Arial"/>
          <w:sz w:val="22"/>
          <w:szCs w:val="22"/>
        </w:rPr>
        <w:t>i</w:t>
      </w:r>
      <w:r w:rsidR="00561B23" w:rsidRPr="008D7F2C">
        <w:rPr>
          <w:rFonts w:ascii="Arial" w:hAnsi="Arial" w:cs="Arial"/>
          <w:sz w:val="22"/>
          <w:szCs w:val="22"/>
        </w:rPr>
        <w:t xml:space="preserve">n-Depth </w:t>
      </w:r>
      <w:r w:rsidR="008568C8">
        <w:rPr>
          <w:rFonts w:ascii="Arial" w:hAnsi="Arial" w:cs="Arial"/>
          <w:sz w:val="22"/>
          <w:szCs w:val="22"/>
        </w:rPr>
        <w:t xml:space="preserve">(DiD) </w:t>
      </w:r>
      <w:r w:rsidR="00561B23" w:rsidRPr="008D7F2C">
        <w:rPr>
          <w:rFonts w:ascii="Arial" w:hAnsi="Arial" w:cs="Arial"/>
          <w:sz w:val="22"/>
          <w:szCs w:val="22"/>
        </w:rPr>
        <w:t xml:space="preserve">levels 4 and 5, as no </w:t>
      </w:r>
      <w:r w:rsidR="008568C8">
        <w:rPr>
          <w:rFonts w:ascii="Arial" w:hAnsi="Arial" w:cs="Arial"/>
          <w:sz w:val="22"/>
          <w:szCs w:val="22"/>
        </w:rPr>
        <w:t>D</w:t>
      </w:r>
      <w:r w:rsidR="00E85674" w:rsidRPr="008D7F2C">
        <w:rPr>
          <w:rFonts w:ascii="Arial" w:hAnsi="Arial" w:cs="Arial"/>
          <w:sz w:val="22"/>
          <w:szCs w:val="22"/>
        </w:rPr>
        <w:t xml:space="preserve">esign </w:t>
      </w:r>
      <w:r w:rsidR="008568C8">
        <w:rPr>
          <w:rFonts w:ascii="Arial" w:hAnsi="Arial" w:cs="Arial"/>
          <w:sz w:val="22"/>
          <w:szCs w:val="22"/>
        </w:rPr>
        <w:t>E</w:t>
      </w:r>
      <w:r w:rsidR="00E85674" w:rsidRPr="008D7F2C">
        <w:rPr>
          <w:rFonts w:ascii="Arial" w:hAnsi="Arial" w:cs="Arial"/>
          <w:sz w:val="22"/>
          <w:szCs w:val="22"/>
        </w:rPr>
        <w:t xml:space="preserve">xtension </w:t>
      </w:r>
      <w:r w:rsidR="008568C8">
        <w:rPr>
          <w:rFonts w:ascii="Arial" w:hAnsi="Arial" w:cs="Arial"/>
          <w:sz w:val="22"/>
          <w:szCs w:val="22"/>
        </w:rPr>
        <w:t>C</w:t>
      </w:r>
      <w:r w:rsidR="00E85674" w:rsidRPr="008D7F2C">
        <w:rPr>
          <w:rFonts w:ascii="Arial" w:hAnsi="Arial" w:cs="Arial"/>
          <w:sz w:val="22"/>
          <w:szCs w:val="22"/>
        </w:rPr>
        <w:t xml:space="preserve">onditions with core melt will occur. </w:t>
      </w:r>
      <w:r w:rsidR="00A67631" w:rsidRPr="008D7F2C">
        <w:rPr>
          <w:rFonts w:ascii="Arial" w:hAnsi="Arial" w:cs="Arial"/>
          <w:sz w:val="22"/>
          <w:szCs w:val="22"/>
        </w:rPr>
        <w:t xml:space="preserve">In extreme accident conditions, the </w:t>
      </w:r>
      <w:r w:rsidR="008568C8">
        <w:rPr>
          <w:rFonts w:ascii="Arial" w:hAnsi="Arial" w:cs="Arial"/>
          <w:sz w:val="22"/>
          <w:szCs w:val="22"/>
        </w:rPr>
        <w:t xml:space="preserve">fuel </w:t>
      </w:r>
      <w:r w:rsidR="00A67631" w:rsidRPr="008D7F2C">
        <w:rPr>
          <w:rFonts w:ascii="Arial" w:hAnsi="Arial" w:cs="Arial"/>
          <w:sz w:val="22"/>
          <w:szCs w:val="22"/>
        </w:rPr>
        <w:t xml:space="preserve">effects would typically be limited </w:t>
      </w:r>
      <w:r w:rsidR="00C80CFF" w:rsidRPr="008D7F2C">
        <w:rPr>
          <w:rFonts w:ascii="Arial" w:hAnsi="Arial" w:cs="Arial"/>
          <w:sz w:val="22"/>
          <w:szCs w:val="22"/>
        </w:rPr>
        <w:t xml:space="preserve">to </w:t>
      </w:r>
      <w:r w:rsidR="008568C8">
        <w:rPr>
          <w:rFonts w:ascii="Arial" w:hAnsi="Arial" w:cs="Arial"/>
          <w:sz w:val="22"/>
          <w:szCs w:val="22"/>
        </w:rPr>
        <w:t xml:space="preserve">a </w:t>
      </w:r>
      <w:r w:rsidR="00C80CFF" w:rsidRPr="008D7F2C">
        <w:rPr>
          <w:rFonts w:ascii="Arial" w:hAnsi="Arial" w:cs="Arial"/>
          <w:sz w:val="22"/>
          <w:szCs w:val="22"/>
        </w:rPr>
        <w:t xml:space="preserve">degradation of the </w:t>
      </w:r>
      <w:r w:rsidR="00E90CE2" w:rsidRPr="008D7F2C">
        <w:rPr>
          <w:rFonts w:ascii="Arial" w:hAnsi="Arial" w:cs="Arial"/>
          <w:sz w:val="22"/>
          <w:szCs w:val="22"/>
        </w:rPr>
        <w:t xml:space="preserve">fuel, </w:t>
      </w:r>
      <w:r w:rsidR="008568C8">
        <w:rPr>
          <w:rFonts w:ascii="Arial" w:hAnsi="Arial" w:cs="Arial"/>
          <w:sz w:val="22"/>
          <w:szCs w:val="22"/>
        </w:rPr>
        <w:t xml:space="preserve">potentially </w:t>
      </w:r>
      <w:r w:rsidR="00E90CE2" w:rsidRPr="008D7F2C">
        <w:rPr>
          <w:rFonts w:ascii="Arial" w:hAnsi="Arial" w:cs="Arial"/>
          <w:sz w:val="22"/>
          <w:szCs w:val="22"/>
        </w:rPr>
        <w:t xml:space="preserve">leading to </w:t>
      </w:r>
      <w:r w:rsidR="008568C8">
        <w:rPr>
          <w:rFonts w:ascii="Arial" w:hAnsi="Arial" w:cs="Arial"/>
          <w:sz w:val="22"/>
          <w:szCs w:val="22"/>
        </w:rPr>
        <w:t xml:space="preserve">some permeation through the coating </w:t>
      </w:r>
      <w:r w:rsidR="008568C8" w:rsidRPr="008D7F2C">
        <w:rPr>
          <w:rFonts w:ascii="Arial" w:hAnsi="Arial" w:cs="Arial"/>
          <w:sz w:val="22"/>
          <w:szCs w:val="22"/>
        </w:rPr>
        <w:t xml:space="preserve">as </w:t>
      </w:r>
      <w:r w:rsidR="008568C8">
        <w:rPr>
          <w:rFonts w:ascii="Arial" w:hAnsi="Arial" w:cs="Arial"/>
          <w:sz w:val="22"/>
          <w:szCs w:val="22"/>
        </w:rPr>
        <w:t xml:space="preserve">the </w:t>
      </w:r>
      <w:r w:rsidR="008568C8" w:rsidRPr="008D7F2C">
        <w:rPr>
          <w:rFonts w:ascii="Arial" w:hAnsi="Arial" w:cs="Arial"/>
          <w:sz w:val="22"/>
          <w:szCs w:val="22"/>
        </w:rPr>
        <w:t>worst case consequences</w:t>
      </w:r>
      <w:r w:rsidR="008568C8">
        <w:rPr>
          <w:rFonts w:ascii="Arial" w:hAnsi="Arial" w:cs="Arial"/>
          <w:sz w:val="22"/>
          <w:szCs w:val="22"/>
        </w:rPr>
        <w:t xml:space="preserve">. This represents </w:t>
      </w:r>
      <w:r w:rsidR="00E90CE2" w:rsidRPr="008D7F2C">
        <w:rPr>
          <w:rFonts w:ascii="Arial" w:hAnsi="Arial" w:cs="Arial"/>
          <w:sz w:val="22"/>
          <w:szCs w:val="22"/>
        </w:rPr>
        <w:lastRenderedPageBreak/>
        <w:t>reduce</w:t>
      </w:r>
      <w:r w:rsidR="004915C9" w:rsidRPr="008D7F2C">
        <w:rPr>
          <w:rFonts w:ascii="Arial" w:hAnsi="Arial" w:cs="Arial"/>
          <w:sz w:val="22"/>
          <w:szCs w:val="22"/>
        </w:rPr>
        <w:t>d and delayed releases</w:t>
      </w:r>
      <w:r w:rsidR="00EB5D3C" w:rsidRPr="008D7F2C">
        <w:rPr>
          <w:rFonts w:ascii="Arial" w:hAnsi="Arial" w:cs="Arial"/>
          <w:sz w:val="22"/>
          <w:szCs w:val="22"/>
        </w:rPr>
        <w:t xml:space="preserve">, </w:t>
      </w:r>
      <w:r w:rsidR="008568C8">
        <w:rPr>
          <w:rFonts w:ascii="Arial" w:hAnsi="Arial" w:cs="Arial"/>
          <w:sz w:val="22"/>
          <w:szCs w:val="22"/>
        </w:rPr>
        <w:t xml:space="preserve">allowing to conclude that the HTR technology meets </w:t>
      </w:r>
      <w:r w:rsidR="00EB5D3C" w:rsidRPr="008D7F2C">
        <w:rPr>
          <w:rFonts w:ascii="Arial" w:hAnsi="Arial" w:cs="Arial"/>
          <w:sz w:val="22"/>
          <w:szCs w:val="22"/>
        </w:rPr>
        <w:t xml:space="preserve">the safety objectives in </w:t>
      </w:r>
      <w:r w:rsidR="008568C8">
        <w:rPr>
          <w:rFonts w:ascii="Arial" w:hAnsi="Arial" w:cs="Arial"/>
          <w:sz w:val="22"/>
          <w:szCs w:val="22"/>
        </w:rPr>
        <w:t xml:space="preserve">DiD </w:t>
      </w:r>
      <w:r w:rsidR="00EB5D3C" w:rsidRPr="008D7F2C">
        <w:rPr>
          <w:rFonts w:ascii="Arial" w:hAnsi="Arial" w:cs="Arial"/>
          <w:sz w:val="22"/>
          <w:szCs w:val="22"/>
        </w:rPr>
        <w:t>level 4 by design</w:t>
      </w:r>
      <w:r w:rsidR="008568C8">
        <w:rPr>
          <w:rFonts w:ascii="Arial" w:hAnsi="Arial" w:cs="Arial"/>
          <w:sz w:val="22"/>
          <w:szCs w:val="22"/>
        </w:rPr>
        <w:t xml:space="preserve"> and avoiding the need for DiD level 5</w:t>
      </w:r>
      <w:r w:rsidR="00EB5D3C" w:rsidRPr="008D7F2C">
        <w:rPr>
          <w:rFonts w:ascii="Arial" w:hAnsi="Arial" w:cs="Arial"/>
          <w:sz w:val="22"/>
          <w:szCs w:val="22"/>
        </w:rPr>
        <w:t>.</w:t>
      </w:r>
      <w:r w:rsidR="00A67631" w:rsidRPr="008D7F2C">
        <w:rPr>
          <w:rFonts w:ascii="Arial" w:hAnsi="Arial" w:cs="Arial"/>
          <w:sz w:val="22"/>
          <w:szCs w:val="22"/>
        </w:rPr>
        <w:t xml:space="preserve"> </w:t>
      </w:r>
      <w:r w:rsidR="005514EB" w:rsidRPr="008D7F2C">
        <w:rPr>
          <w:rFonts w:ascii="Arial" w:hAnsi="Arial" w:cs="Arial"/>
          <w:sz w:val="22"/>
          <w:szCs w:val="22"/>
        </w:rPr>
        <w:t xml:space="preserve">As </w:t>
      </w:r>
      <w:r w:rsidR="00A06D6A" w:rsidRPr="008D7F2C">
        <w:rPr>
          <w:rFonts w:ascii="Arial" w:hAnsi="Arial" w:cs="Arial"/>
          <w:sz w:val="22"/>
          <w:szCs w:val="22"/>
        </w:rPr>
        <w:t xml:space="preserve">a </w:t>
      </w:r>
      <w:r w:rsidR="005E1527" w:rsidRPr="008D7F2C">
        <w:rPr>
          <w:rFonts w:ascii="Arial" w:hAnsi="Arial" w:cs="Arial"/>
          <w:sz w:val="22"/>
          <w:szCs w:val="22"/>
        </w:rPr>
        <w:t>consequence</w:t>
      </w:r>
      <w:r w:rsidR="005514EB" w:rsidRPr="008D7F2C">
        <w:rPr>
          <w:rFonts w:ascii="Arial" w:hAnsi="Arial" w:cs="Arial"/>
          <w:sz w:val="22"/>
          <w:szCs w:val="22"/>
        </w:rPr>
        <w:t xml:space="preserve">, the requirements on the leak tightness of the </w:t>
      </w:r>
      <w:r w:rsidR="00A45D4D" w:rsidRPr="008D7F2C">
        <w:rPr>
          <w:rFonts w:ascii="Arial" w:hAnsi="Arial" w:cs="Arial"/>
          <w:sz w:val="22"/>
          <w:szCs w:val="22"/>
        </w:rPr>
        <w:t xml:space="preserve">containment </w:t>
      </w:r>
      <w:r w:rsidR="00B96689" w:rsidRPr="008D7F2C">
        <w:rPr>
          <w:rFonts w:ascii="Arial" w:hAnsi="Arial" w:cs="Arial"/>
          <w:sz w:val="22"/>
          <w:szCs w:val="22"/>
        </w:rPr>
        <w:t xml:space="preserve">for an LWR </w:t>
      </w:r>
      <w:r w:rsidR="00A45D4D" w:rsidRPr="008D7F2C">
        <w:rPr>
          <w:rFonts w:ascii="Arial" w:hAnsi="Arial" w:cs="Arial"/>
          <w:sz w:val="22"/>
          <w:szCs w:val="22"/>
        </w:rPr>
        <w:t>can be excl</w:t>
      </w:r>
      <w:r w:rsidR="00E3164E" w:rsidRPr="008D7F2C">
        <w:rPr>
          <w:rFonts w:ascii="Arial" w:hAnsi="Arial" w:cs="Arial"/>
          <w:sz w:val="22"/>
          <w:szCs w:val="22"/>
        </w:rPr>
        <w:t xml:space="preserve">uded or at least reduced </w:t>
      </w:r>
      <w:r w:rsidR="00B96689" w:rsidRPr="008D7F2C">
        <w:rPr>
          <w:rFonts w:ascii="Arial" w:hAnsi="Arial" w:cs="Arial"/>
          <w:sz w:val="22"/>
          <w:szCs w:val="22"/>
        </w:rPr>
        <w:t xml:space="preserve">for HTR </w:t>
      </w:r>
      <w:r w:rsidR="00E3164E" w:rsidRPr="008D7F2C">
        <w:rPr>
          <w:rFonts w:ascii="Arial" w:hAnsi="Arial" w:cs="Arial"/>
          <w:sz w:val="22"/>
          <w:szCs w:val="22"/>
        </w:rPr>
        <w:t xml:space="preserve">as its’ role </w:t>
      </w:r>
      <w:r w:rsidR="000005D1" w:rsidRPr="008D7F2C">
        <w:rPr>
          <w:rFonts w:ascii="Arial" w:hAnsi="Arial" w:cs="Arial"/>
          <w:sz w:val="22"/>
          <w:szCs w:val="22"/>
        </w:rPr>
        <w:t xml:space="preserve">in the confinement function </w:t>
      </w:r>
      <w:r w:rsidR="00E3164E" w:rsidRPr="008D7F2C">
        <w:rPr>
          <w:rFonts w:ascii="Arial" w:hAnsi="Arial" w:cs="Arial"/>
          <w:sz w:val="22"/>
          <w:szCs w:val="22"/>
        </w:rPr>
        <w:t xml:space="preserve">as </w:t>
      </w:r>
      <w:r w:rsidR="000005D1" w:rsidRPr="008D7F2C">
        <w:rPr>
          <w:rFonts w:ascii="Arial" w:hAnsi="Arial" w:cs="Arial"/>
          <w:sz w:val="22"/>
          <w:szCs w:val="22"/>
        </w:rPr>
        <w:t xml:space="preserve">the </w:t>
      </w:r>
      <w:r w:rsidR="00E3164E" w:rsidRPr="008D7F2C">
        <w:rPr>
          <w:rFonts w:ascii="Arial" w:hAnsi="Arial" w:cs="Arial"/>
          <w:sz w:val="22"/>
          <w:szCs w:val="22"/>
        </w:rPr>
        <w:t>3</w:t>
      </w:r>
      <w:r w:rsidR="00E3164E" w:rsidRPr="008D7F2C">
        <w:rPr>
          <w:rFonts w:ascii="Arial" w:hAnsi="Arial" w:cs="Arial"/>
          <w:sz w:val="22"/>
          <w:szCs w:val="22"/>
          <w:vertAlign w:val="superscript"/>
        </w:rPr>
        <w:t>rd</w:t>
      </w:r>
      <w:r w:rsidR="00E3164E" w:rsidRPr="008D7F2C">
        <w:rPr>
          <w:rFonts w:ascii="Arial" w:hAnsi="Arial" w:cs="Arial"/>
          <w:sz w:val="22"/>
          <w:szCs w:val="22"/>
        </w:rPr>
        <w:t xml:space="preserve"> barrier </w:t>
      </w:r>
      <w:r w:rsidR="002D1556" w:rsidRPr="008D7F2C">
        <w:rPr>
          <w:rFonts w:ascii="Arial" w:hAnsi="Arial" w:cs="Arial"/>
          <w:sz w:val="22"/>
          <w:szCs w:val="22"/>
        </w:rPr>
        <w:t>is limited compared to a</w:t>
      </w:r>
      <w:r w:rsidR="001345A9" w:rsidRPr="008D7F2C">
        <w:rPr>
          <w:rFonts w:ascii="Arial" w:hAnsi="Arial" w:cs="Arial"/>
          <w:sz w:val="22"/>
          <w:szCs w:val="22"/>
        </w:rPr>
        <w:t xml:space="preserve">n </w:t>
      </w:r>
      <w:r w:rsidR="002D1556" w:rsidRPr="008D7F2C">
        <w:rPr>
          <w:rFonts w:ascii="Arial" w:hAnsi="Arial" w:cs="Arial"/>
          <w:sz w:val="22"/>
          <w:szCs w:val="22"/>
        </w:rPr>
        <w:t>LWR NPP.</w:t>
      </w:r>
      <w:r w:rsidR="0075493A" w:rsidRPr="008D7F2C">
        <w:rPr>
          <w:rFonts w:ascii="Arial" w:hAnsi="Arial" w:cs="Arial"/>
          <w:sz w:val="22"/>
          <w:szCs w:val="22"/>
        </w:rPr>
        <w:t xml:space="preserve"> </w:t>
      </w:r>
    </w:p>
    <w:p w14:paraId="59C735E8" w14:textId="77777777" w:rsidR="00B91B9A" w:rsidRDefault="00B91B9A" w:rsidP="002138E1">
      <w:pPr>
        <w:spacing w:line="276" w:lineRule="auto"/>
        <w:jc w:val="both"/>
        <w:rPr>
          <w:rFonts w:ascii="Arial" w:hAnsi="Arial" w:cs="Arial"/>
          <w:sz w:val="22"/>
          <w:szCs w:val="22"/>
        </w:rPr>
      </w:pPr>
    </w:p>
    <w:p w14:paraId="2B8BA9B2" w14:textId="27326E8D" w:rsidR="00B91B9A" w:rsidRPr="00B91B9A" w:rsidRDefault="00B91B9A" w:rsidP="002138E1">
      <w:pPr>
        <w:spacing w:line="276" w:lineRule="auto"/>
        <w:jc w:val="both"/>
        <w:rPr>
          <w:rFonts w:ascii="Arial" w:hAnsi="Arial" w:cs="Arial"/>
          <w:b/>
          <w:bCs/>
          <w:sz w:val="22"/>
          <w:szCs w:val="22"/>
        </w:rPr>
      </w:pPr>
      <w:r w:rsidRPr="00B91B9A">
        <w:rPr>
          <w:rFonts w:ascii="Arial" w:hAnsi="Arial" w:cs="Arial"/>
          <w:b/>
          <w:bCs/>
          <w:sz w:val="22"/>
          <w:szCs w:val="22"/>
        </w:rPr>
        <w:t>Risk-based graded approach</w:t>
      </w:r>
    </w:p>
    <w:p w14:paraId="0FE8E481" w14:textId="77777777" w:rsidR="00B91B9A" w:rsidRPr="008D7F2C" w:rsidRDefault="00B91B9A" w:rsidP="002138E1">
      <w:pPr>
        <w:spacing w:line="276" w:lineRule="auto"/>
        <w:jc w:val="both"/>
        <w:rPr>
          <w:rFonts w:ascii="Arial" w:hAnsi="Arial" w:cs="Arial"/>
          <w:sz w:val="22"/>
          <w:szCs w:val="22"/>
        </w:rPr>
      </w:pPr>
    </w:p>
    <w:p w14:paraId="641ADBEA" w14:textId="03CDCC32" w:rsidR="003C18F3" w:rsidRDefault="008568C8" w:rsidP="002138E1">
      <w:pPr>
        <w:spacing w:line="276" w:lineRule="auto"/>
        <w:jc w:val="both"/>
        <w:rPr>
          <w:rFonts w:ascii="Arial" w:hAnsi="Arial" w:cs="Arial"/>
          <w:sz w:val="22"/>
          <w:szCs w:val="22"/>
          <w:lang w:val="en-BE"/>
        </w:rPr>
      </w:pPr>
      <w:r>
        <w:rPr>
          <w:rFonts w:ascii="Arial" w:hAnsi="Arial" w:cs="Arial"/>
          <w:sz w:val="22"/>
          <w:szCs w:val="22"/>
        </w:rPr>
        <w:t xml:space="preserve">The above examples give an impression on the complex European licensing landscape and indicate the interest for </w:t>
      </w:r>
      <w:r w:rsidR="000B5D57" w:rsidRPr="008D7F2C">
        <w:rPr>
          <w:rFonts w:ascii="Arial" w:hAnsi="Arial" w:cs="Arial"/>
          <w:sz w:val="22"/>
          <w:szCs w:val="22"/>
        </w:rPr>
        <w:t xml:space="preserve">a </w:t>
      </w:r>
      <w:r w:rsidR="00F10FD3">
        <w:rPr>
          <w:rFonts w:ascii="Arial" w:hAnsi="Arial" w:cs="Arial"/>
          <w:sz w:val="22"/>
          <w:szCs w:val="22"/>
        </w:rPr>
        <w:t xml:space="preserve">unified, </w:t>
      </w:r>
      <w:r w:rsidR="000B5D57" w:rsidRPr="008D7F2C">
        <w:rPr>
          <w:rFonts w:ascii="Arial" w:hAnsi="Arial" w:cs="Arial"/>
          <w:sz w:val="22"/>
          <w:szCs w:val="22"/>
        </w:rPr>
        <w:t xml:space="preserve">graded </w:t>
      </w:r>
      <w:r w:rsidR="00F10FD3">
        <w:rPr>
          <w:rFonts w:ascii="Arial" w:hAnsi="Arial" w:cs="Arial"/>
          <w:sz w:val="22"/>
          <w:szCs w:val="22"/>
        </w:rPr>
        <w:t xml:space="preserve">regulatory </w:t>
      </w:r>
      <w:r w:rsidR="000B5D57" w:rsidRPr="008D7F2C">
        <w:rPr>
          <w:rFonts w:ascii="Arial" w:hAnsi="Arial" w:cs="Arial"/>
          <w:sz w:val="22"/>
          <w:szCs w:val="22"/>
        </w:rPr>
        <w:t xml:space="preserve">approach </w:t>
      </w:r>
      <w:r w:rsidR="003F47A1">
        <w:rPr>
          <w:rFonts w:ascii="Arial" w:hAnsi="Arial" w:cs="Arial"/>
          <w:sz w:val="22"/>
          <w:szCs w:val="22"/>
        </w:rPr>
        <w:t xml:space="preserve">between European </w:t>
      </w:r>
      <w:r w:rsidR="00715ADC">
        <w:rPr>
          <w:rFonts w:ascii="Arial" w:hAnsi="Arial" w:cs="Arial"/>
          <w:sz w:val="22"/>
          <w:szCs w:val="22"/>
        </w:rPr>
        <w:t xml:space="preserve">member states </w:t>
      </w:r>
      <w:r w:rsidR="000B5D57" w:rsidRPr="008D7F2C">
        <w:rPr>
          <w:rFonts w:ascii="Arial" w:hAnsi="Arial" w:cs="Arial"/>
          <w:sz w:val="22"/>
          <w:szCs w:val="22"/>
        </w:rPr>
        <w:t>to simplify the licensing of SMR and optimize the design</w:t>
      </w:r>
      <w:r w:rsidR="005F6822">
        <w:rPr>
          <w:rFonts w:ascii="Arial" w:hAnsi="Arial" w:cs="Arial"/>
          <w:sz w:val="22"/>
          <w:szCs w:val="22"/>
        </w:rPr>
        <w:t>, obviously always</w:t>
      </w:r>
      <w:r w:rsidR="000B5D57" w:rsidRPr="008D7F2C">
        <w:rPr>
          <w:rFonts w:ascii="Arial" w:hAnsi="Arial" w:cs="Arial"/>
          <w:sz w:val="22"/>
          <w:szCs w:val="22"/>
        </w:rPr>
        <w:t xml:space="preserve"> without concessions to the overall nuclear safety objectives.</w:t>
      </w:r>
      <w:r w:rsidR="00023EA5">
        <w:rPr>
          <w:rFonts w:ascii="Arial" w:hAnsi="Arial" w:cs="Arial"/>
          <w:sz w:val="22"/>
          <w:szCs w:val="22"/>
        </w:rPr>
        <w:t xml:space="preserve"> </w:t>
      </w:r>
      <w:r w:rsidR="005F6822">
        <w:rPr>
          <w:rFonts w:ascii="Arial" w:hAnsi="Arial" w:cs="Arial"/>
          <w:sz w:val="22"/>
          <w:szCs w:val="22"/>
        </w:rPr>
        <w:t>O</w:t>
      </w:r>
      <w:r w:rsidR="00023EA5">
        <w:rPr>
          <w:rFonts w:ascii="Arial" w:hAnsi="Arial" w:cs="Arial"/>
          <w:sz w:val="22"/>
          <w:szCs w:val="22"/>
        </w:rPr>
        <w:t>verall safety requirements</w:t>
      </w:r>
      <w:r w:rsidR="00273340">
        <w:rPr>
          <w:rFonts w:ascii="Arial" w:hAnsi="Arial" w:cs="Arial"/>
          <w:sz w:val="22"/>
          <w:szCs w:val="22"/>
        </w:rPr>
        <w:t xml:space="preserve"> should be tailored </w:t>
      </w:r>
      <w:r w:rsidR="00D60216">
        <w:rPr>
          <w:rFonts w:ascii="Arial" w:hAnsi="Arial" w:cs="Arial"/>
          <w:sz w:val="22"/>
          <w:szCs w:val="22"/>
        </w:rPr>
        <w:t>commensurate to the design-specific risk</w:t>
      </w:r>
      <w:r w:rsidR="005F6822">
        <w:rPr>
          <w:rFonts w:ascii="Arial" w:hAnsi="Arial" w:cs="Arial"/>
          <w:sz w:val="22"/>
          <w:szCs w:val="22"/>
        </w:rPr>
        <w:t xml:space="preserve"> and the European sensitivities</w:t>
      </w:r>
      <w:r w:rsidR="00D60216">
        <w:rPr>
          <w:rFonts w:ascii="Arial" w:hAnsi="Arial" w:cs="Arial"/>
          <w:sz w:val="22"/>
          <w:szCs w:val="22"/>
        </w:rPr>
        <w:t xml:space="preserve">. </w:t>
      </w:r>
      <w:r w:rsidR="003F47A1">
        <w:rPr>
          <w:rFonts w:ascii="Arial" w:hAnsi="Arial" w:cs="Arial"/>
          <w:sz w:val="22"/>
          <w:szCs w:val="22"/>
        </w:rPr>
        <w:t xml:space="preserve">Such approach </w:t>
      </w:r>
      <w:r w:rsidR="005F6822">
        <w:rPr>
          <w:rFonts w:ascii="Arial" w:hAnsi="Arial" w:cs="Arial"/>
          <w:sz w:val="22"/>
          <w:szCs w:val="22"/>
        </w:rPr>
        <w:t xml:space="preserve">is for example available in the </w:t>
      </w:r>
      <w:r w:rsidR="008A148D">
        <w:rPr>
          <w:rFonts w:ascii="Arial" w:hAnsi="Arial" w:cs="Arial"/>
          <w:sz w:val="22"/>
          <w:szCs w:val="22"/>
        </w:rPr>
        <w:t xml:space="preserve">American </w:t>
      </w:r>
      <w:r w:rsidR="005F6822">
        <w:rPr>
          <w:rFonts w:ascii="Arial" w:hAnsi="Arial" w:cs="Arial"/>
          <w:sz w:val="22"/>
          <w:szCs w:val="22"/>
        </w:rPr>
        <w:t xml:space="preserve">regulation, more specifically </w:t>
      </w:r>
      <w:r w:rsidR="00715ADC">
        <w:rPr>
          <w:rFonts w:ascii="Arial" w:hAnsi="Arial" w:cs="Arial"/>
          <w:sz w:val="22"/>
          <w:szCs w:val="22"/>
        </w:rPr>
        <w:t xml:space="preserve">10 CFR 53 </w:t>
      </w:r>
      <w:r w:rsidR="006D1EC9">
        <w:rPr>
          <w:rFonts w:ascii="Arial" w:hAnsi="Arial" w:cs="Arial"/>
          <w:sz w:val="22"/>
          <w:szCs w:val="22"/>
        </w:rPr>
        <w:t>“</w:t>
      </w:r>
      <w:r w:rsidR="006D1EC9" w:rsidRPr="006D1EC9">
        <w:rPr>
          <w:rFonts w:ascii="Arial" w:hAnsi="Arial" w:cs="Arial"/>
          <w:sz w:val="22"/>
          <w:szCs w:val="22"/>
          <w:lang w:val="en-BE"/>
        </w:rPr>
        <w:t>Risk Informed, Technology-Inclusive Regulatory Framework for Advanced Reactors</w:t>
      </w:r>
      <w:r w:rsidR="006D1EC9">
        <w:rPr>
          <w:rFonts w:ascii="Arial" w:hAnsi="Arial" w:cs="Arial"/>
          <w:sz w:val="22"/>
          <w:szCs w:val="22"/>
          <w:lang w:val="en-BE"/>
        </w:rPr>
        <w:t>”</w:t>
      </w:r>
      <w:r w:rsidR="00920A41">
        <w:rPr>
          <w:rFonts w:ascii="Arial" w:hAnsi="Arial" w:cs="Arial"/>
          <w:sz w:val="22"/>
          <w:szCs w:val="22"/>
          <w:lang w:val="en-BE"/>
        </w:rPr>
        <w:t>.</w:t>
      </w:r>
      <w:r w:rsidR="00BA539C">
        <w:rPr>
          <w:rFonts w:ascii="Arial" w:hAnsi="Arial" w:cs="Arial"/>
          <w:sz w:val="22"/>
          <w:szCs w:val="22"/>
          <w:lang w:val="en-BE"/>
        </w:rPr>
        <w:t xml:space="preserve"> </w:t>
      </w:r>
      <w:r w:rsidR="001D18F1">
        <w:rPr>
          <w:rFonts w:ascii="Arial" w:hAnsi="Arial" w:cs="Arial"/>
          <w:sz w:val="22"/>
          <w:szCs w:val="22"/>
          <w:lang w:val="en-BE"/>
        </w:rPr>
        <w:t>IAEA 1436</w:t>
      </w:r>
      <w:r w:rsidR="005C233E">
        <w:rPr>
          <w:rFonts w:ascii="Arial" w:hAnsi="Arial" w:cs="Arial"/>
          <w:sz w:val="22"/>
          <w:szCs w:val="22"/>
          <w:lang w:val="en-BE"/>
        </w:rPr>
        <w:t>, “</w:t>
      </w:r>
      <w:r w:rsidR="005C233E" w:rsidRPr="00B117BA">
        <w:rPr>
          <w:rFonts w:ascii="Arial" w:hAnsi="Arial" w:cs="Arial"/>
          <w:i/>
          <w:iCs/>
          <w:sz w:val="22"/>
          <w:szCs w:val="22"/>
        </w:rPr>
        <w:t>Risk informed regulation of nuclear facilities: Overview of the current status</w:t>
      </w:r>
      <w:r w:rsidR="005C233E">
        <w:rPr>
          <w:rFonts w:ascii="Arial" w:hAnsi="Arial" w:cs="Arial"/>
          <w:sz w:val="22"/>
          <w:szCs w:val="22"/>
        </w:rPr>
        <w:t>”</w:t>
      </w:r>
      <w:r w:rsidR="005C233E" w:rsidRPr="005C233E">
        <w:rPr>
          <w:rFonts w:ascii="Arial" w:hAnsi="Arial" w:cs="Arial"/>
          <w:sz w:val="22"/>
          <w:szCs w:val="22"/>
          <w:lang w:val="en-BE"/>
        </w:rPr>
        <w:t xml:space="preserve"> </w:t>
      </w:r>
      <w:r w:rsidR="005C233E">
        <w:rPr>
          <w:rFonts w:ascii="Arial" w:hAnsi="Arial" w:cs="Arial"/>
          <w:sz w:val="22"/>
          <w:szCs w:val="22"/>
          <w:lang w:val="en-BE"/>
        </w:rPr>
        <w:t xml:space="preserve">may be outdated (it dates from 2005), but provides </w:t>
      </w:r>
      <w:r w:rsidR="005F6822">
        <w:rPr>
          <w:rFonts w:ascii="Arial" w:hAnsi="Arial" w:cs="Arial"/>
          <w:sz w:val="22"/>
          <w:szCs w:val="22"/>
          <w:lang w:val="en-BE"/>
        </w:rPr>
        <w:t xml:space="preserve">also </w:t>
      </w:r>
      <w:r w:rsidR="005C233E">
        <w:rPr>
          <w:rFonts w:ascii="Arial" w:hAnsi="Arial" w:cs="Arial"/>
          <w:sz w:val="22"/>
          <w:szCs w:val="22"/>
          <w:lang w:val="en-BE"/>
        </w:rPr>
        <w:t xml:space="preserve">a generic basis for </w:t>
      </w:r>
      <w:r w:rsidR="004132BA">
        <w:rPr>
          <w:rFonts w:ascii="Arial" w:hAnsi="Arial" w:cs="Arial"/>
          <w:sz w:val="22"/>
          <w:szCs w:val="22"/>
          <w:lang w:val="en-BE"/>
        </w:rPr>
        <w:t xml:space="preserve">understanding </w:t>
      </w:r>
      <w:r w:rsidR="00B117BA">
        <w:rPr>
          <w:rFonts w:ascii="Arial" w:hAnsi="Arial" w:cs="Arial"/>
          <w:sz w:val="22"/>
          <w:szCs w:val="22"/>
          <w:lang w:val="en-BE"/>
        </w:rPr>
        <w:t xml:space="preserve">the </w:t>
      </w:r>
      <w:r w:rsidR="004132BA">
        <w:rPr>
          <w:rFonts w:ascii="Arial" w:hAnsi="Arial" w:cs="Arial"/>
          <w:sz w:val="22"/>
          <w:szCs w:val="22"/>
          <w:lang w:val="en-BE"/>
        </w:rPr>
        <w:t xml:space="preserve">philosophy behind the </w:t>
      </w:r>
      <w:r w:rsidR="00B117BA">
        <w:rPr>
          <w:rFonts w:ascii="Arial" w:hAnsi="Arial" w:cs="Arial"/>
          <w:sz w:val="22"/>
          <w:szCs w:val="22"/>
          <w:lang w:val="en-BE"/>
        </w:rPr>
        <w:t xml:space="preserve">development of </w:t>
      </w:r>
      <w:r w:rsidR="00247AF9" w:rsidRPr="00247AF9">
        <w:rPr>
          <w:rFonts w:ascii="Arial" w:hAnsi="Arial" w:cs="Arial"/>
          <w:sz w:val="22"/>
          <w:szCs w:val="22"/>
        </w:rPr>
        <w:t>integrated decision making process</w:t>
      </w:r>
      <w:r w:rsidR="00247AF9">
        <w:rPr>
          <w:rFonts w:ascii="Arial" w:hAnsi="Arial" w:cs="Arial"/>
          <w:sz w:val="22"/>
          <w:szCs w:val="22"/>
        </w:rPr>
        <w:t>.</w:t>
      </w:r>
      <w:r w:rsidR="00247AF9" w:rsidRPr="00247AF9">
        <w:rPr>
          <w:rFonts w:ascii="Arial" w:hAnsi="Arial" w:cs="Arial"/>
          <w:sz w:val="22"/>
          <w:szCs w:val="22"/>
          <w:lang w:val="en-BE"/>
        </w:rPr>
        <w:t xml:space="preserve"> </w:t>
      </w:r>
      <w:r w:rsidR="008B52F4">
        <w:rPr>
          <w:rFonts w:ascii="Arial" w:hAnsi="Arial" w:cs="Arial"/>
          <w:sz w:val="22"/>
          <w:szCs w:val="22"/>
          <w:lang w:val="en-BE"/>
        </w:rPr>
        <w:t xml:space="preserve">In such approach, a crucial role is </w:t>
      </w:r>
      <w:r w:rsidR="00332AD4">
        <w:rPr>
          <w:rFonts w:ascii="Arial" w:hAnsi="Arial" w:cs="Arial"/>
          <w:sz w:val="22"/>
          <w:szCs w:val="22"/>
          <w:lang w:val="en-BE"/>
        </w:rPr>
        <w:t xml:space="preserve">typically </w:t>
      </w:r>
      <w:r w:rsidR="00992D99">
        <w:rPr>
          <w:rFonts w:ascii="Arial" w:hAnsi="Arial" w:cs="Arial"/>
          <w:sz w:val="22"/>
          <w:szCs w:val="22"/>
          <w:lang w:val="en-BE"/>
        </w:rPr>
        <w:t xml:space="preserve">reserved for the Probabilistic </w:t>
      </w:r>
      <w:r w:rsidR="000534EE">
        <w:rPr>
          <w:rFonts w:ascii="Arial" w:hAnsi="Arial" w:cs="Arial"/>
          <w:sz w:val="22"/>
          <w:szCs w:val="22"/>
          <w:lang w:val="en-BE"/>
        </w:rPr>
        <w:t>Risk Assessment (PRA)</w:t>
      </w:r>
      <w:r w:rsidR="00B94461">
        <w:rPr>
          <w:rFonts w:ascii="Arial" w:hAnsi="Arial" w:cs="Arial"/>
          <w:sz w:val="22"/>
          <w:szCs w:val="22"/>
          <w:lang w:val="en-BE"/>
        </w:rPr>
        <w:t xml:space="preserve">, a well established practice in the United States, </w:t>
      </w:r>
      <w:r w:rsidR="00443856">
        <w:rPr>
          <w:rFonts w:ascii="Arial" w:hAnsi="Arial" w:cs="Arial"/>
          <w:sz w:val="22"/>
          <w:szCs w:val="22"/>
          <w:lang w:val="en-BE"/>
        </w:rPr>
        <w:t xml:space="preserve">e.g. to justify a relaxation of </w:t>
      </w:r>
      <w:r w:rsidR="00847FEF">
        <w:rPr>
          <w:rFonts w:ascii="Arial" w:hAnsi="Arial" w:cs="Arial"/>
          <w:sz w:val="22"/>
          <w:szCs w:val="22"/>
          <w:lang w:val="en-BE"/>
        </w:rPr>
        <w:t xml:space="preserve">Operating </w:t>
      </w:r>
      <w:r w:rsidR="00087418">
        <w:rPr>
          <w:rFonts w:ascii="Arial" w:hAnsi="Arial" w:cs="Arial"/>
          <w:sz w:val="22"/>
          <w:szCs w:val="22"/>
          <w:lang w:val="en-BE"/>
        </w:rPr>
        <w:t>Licensed Conditions</w:t>
      </w:r>
      <w:r w:rsidR="007628CC">
        <w:rPr>
          <w:rFonts w:ascii="Arial" w:hAnsi="Arial" w:cs="Arial"/>
          <w:sz w:val="22"/>
          <w:szCs w:val="22"/>
          <w:lang w:val="en-BE"/>
        </w:rPr>
        <w:t xml:space="preserve">. </w:t>
      </w:r>
      <w:r w:rsidR="005F6822">
        <w:rPr>
          <w:rFonts w:ascii="Arial" w:hAnsi="Arial" w:cs="Arial"/>
          <w:sz w:val="22"/>
          <w:szCs w:val="22"/>
          <w:lang w:val="en-BE"/>
        </w:rPr>
        <w:t xml:space="preserve">It can however be noted that </w:t>
      </w:r>
      <w:r w:rsidR="00430A83">
        <w:rPr>
          <w:rFonts w:ascii="Arial" w:hAnsi="Arial" w:cs="Arial"/>
          <w:sz w:val="22"/>
          <w:szCs w:val="22"/>
          <w:lang w:val="en-BE"/>
        </w:rPr>
        <w:t xml:space="preserve">10 CFR 53 also foresees a second </w:t>
      </w:r>
      <w:r w:rsidR="00083D7C">
        <w:rPr>
          <w:rFonts w:ascii="Arial" w:hAnsi="Arial" w:cs="Arial"/>
          <w:sz w:val="22"/>
          <w:szCs w:val="22"/>
          <w:lang w:val="en-BE"/>
        </w:rPr>
        <w:t>possibility, based on a more deterministic</w:t>
      </w:r>
      <w:r w:rsidR="00DC7A5D">
        <w:rPr>
          <w:rFonts w:ascii="Arial" w:hAnsi="Arial" w:cs="Arial"/>
          <w:sz w:val="22"/>
          <w:szCs w:val="22"/>
          <w:lang w:val="en-BE"/>
        </w:rPr>
        <w:t xml:space="preserve">, </w:t>
      </w:r>
      <w:r w:rsidR="00E703F1">
        <w:rPr>
          <w:rFonts w:ascii="Arial" w:hAnsi="Arial" w:cs="Arial"/>
          <w:sz w:val="22"/>
          <w:szCs w:val="22"/>
          <w:lang w:val="en-BE"/>
        </w:rPr>
        <w:t>A</w:t>
      </w:r>
      <w:r w:rsidR="00DC7A5D">
        <w:rPr>
          <w:rFonts w:ascii="Arial" w:hAnsi="Arial" w:cs="Arial"/>
          <w:sz w:val="22"/>
          <w:szCs w:val="22"/>
          <w:lang w:val="en-BE"/>
        </w:rPr>
        <w:t xml:space="preserve">lternative </w:t>
      </w:r>
      <w:r w:rsidR="00E703F1">
        <w:rPr>
          <w:rFonts w:ascii="Arial" w:hAnsi="Arial" w:cs="Arial"/>
          <w:sz w:val="22"/>
          <w:szCs w:val="22"/>
          <w:lang w:val="en-BE"/>
        </w:rPr>
        <w:t>Evaluation for Risk Insights (AERI)</w:t>
      </w:r>
      <w:r w:rsidR="007C43B7">
        <w:rPr>
          <w:rFonts w:ascii="Arial" w:hAnsi="Arial" w:cs="Arial"/>
          <w:sz w:val="22"/>
          <w:szCs w:val="22"/>
          <w:lang w:val="en-BE"/>
        </w:rPr>
        <w:t>.</w:t>
      </w:r>
      <w:r w:rsidR="00F630F5">
        <w:rPr>
          <w:rFonts w:ascii="Arial" w:hAnsi="Arial" w:cs="Arial"/>
          <w:sz w:val="22"/>
          <w:szCs w:val="22"/>
          <w:lang w:val="en-BE"/>
        </w:rPr>
        <w:t xml:space="preserve"> </w:t>
      </w:r>
      <w:r w:rsidR="005F6822">
        <w:rPr>
          <w:rFonts w:ascii="Arial" w:hAnsi="Arial" w:cs="Arial"/>
          <w:sz w:val="22"/>
          <w:szCs w:val="22"/>
          <w:lang w:val="en-BE"/>
        </w:rPr>
        <w:t>This approach is considered by t</w:t>
      </w:r>
      <w:r w:rsidR="00F630F5">
        <w:rPr>
          <w:rFonts w:ascii="Arial" w:hAnsi="Arial" w:cs="Arial"/>
          <w:sz w:val="22"/>
          <w:szCs w:val="22"/>
          <w:lang w:val="en-BE"/>
        </w:rPr>
        <w:t xml:space="preserve">he US NRC </w:t>
      </w:r>
      <w:r w:rsidR="005F6822">
        <w:rPr>
          <w:rFonts w:ascii="Arial" w:hAnsi="Arial" w:cs="Arial"/>
          <w:sz w:val="22"/>
          <w:szCs w:val="22"/>
          <w:lang w:val="en-BE"/>
        </w:rPr>
        <w:t xml:space="preserve">as being </w:t>
      </w:r>
      <w:r w:rsidR="001C1230">
        <w:rPr>
          <w:rFonts w:ascii="Arial" w:hAnsi="Arial" w:cs="Arial"/>
          <w:sz w:val="22"/>
          <w:szCs w:val="22"/>
          <w:lang w:val="en-BE"/>
        </w:rPr>
        <w:t>particular</w:t>
      </w:r>
      <w:r w:rsidR="005F6822">
        <w:rPr>
          <w:rFonts w:ascii="Arial" w:hAnsi="Arial" w:cs="Arial"/>
          <w:sz w:val="22"/>
          <w:szCs w:val="22"/>
          <w:lang w:val="en-BE"/>
        </w:rPr>
        <w:t>ly</w:t>
      </w:r>
      <w:r w:rsidR="001C1230">
        <w:rPr>
          <w:rFonts w:ascii="Arial" w:hAnsi="Arial" w:cs="Arial"/>
          <w:sz w:val="22"/>
          <w:szCs w:val="22"/>
          <w:lang w:val="en-BE"/>
        </w:rPr>
        <w:t xml:space="preserve"> useful for design applications </w:t>
      </w:r>
      <w:r w:rsidR="00E04FA9">
        <w:rPr>
          <w:rFonts w:ascii="Arial" w:hAnsi="Arial" w:cs="Arial"/>
          <w:sz w:val="22"/>
          <w:szCs w:val="22"/>
          <w:lang w:val="en-BE"/>
        </w:rPr>
        <w:t>representing small fission product inventories</w:t>
      </w:r>
      <w:r w:rsidR="005F6822">
        <w:rPr>
          <w:rFonts w:ascii="Arial" w:hAnsi="Arial" w:cs="Arial"/>
          <w:sz w:val="22"/>
          <w:szCs w:val="22"/>
          <w:lang w:val="en-BE"/>
        </w:rPr>
        <w:t>, like SMR,</w:t>
      </w:r>
      <w:r w:rsidR="00A6586C">
        <w:rPr>
          <w:rFonts w:ascii="Arial" w:hAnsi="Arial" w:cs="Arial"/>
          <w:sz w:val="22"/>
          <w:szCs w:val="22"/>
          <w:lang w:val="en-BE"/>
        </w:rPr>
        <w:t xml:space="preserve"> and </w:t>
      </w:r>
      <w:r w:rsidR="001C1230">
        <w:rPr>
          <w:rFonts w:ascii="Arial" w:hAnsi="Arial" w:cs="Arial"/>
          <w:sz w:val="22"/>
          <w:szCs w:val="22"/>
          <w:lang w:val="en-BE"/>
        </w:rPr>
        <w:t>seeking to market design internationally</w:t>
      </w:r>
      <w:r w:rsidR="004A7AE9">
        <w:rPr>
          <w:rFonts w:ascii="Arial" w:hAnsi="Arial" w:cs="Arial"/>
          <w:sz w:val="22"/>
          <w:szCs w:val="22"/>
          <w:lang w:val="en-BE"/>
        </w:rPr>
        <w:t>, like the European context.</w:t>
      </w:r>
    </w:p>
    <w:p w14:paraId="0853B56D" w14:textId="77777777" w:rsidR="004A7AE9" w:rsidRDefault="004A7AE9" w:rsidP="002138E1">
      <w:pPr>
        <w:spacing w:line="276" w:lineRule="auto"/>
        <w:jc w:val="both"/>
        <w:rPr>
          <w:rFonts w:ascii="Arial" w:hAnsi="Arial" w:cs="Arial"/>
          <w:sz w:val="22"/>
          <w:szCs w:val="22"/>
          <w:lang w:val="en-BE"/>
        </w:rPr>
      </w:pPr>
    </w:p>
    <w:p w14:paraId="272EF6D9" w14:textId="5843616C" w:rsidR="004A7AE9" w:rsidRDefault="005F6822" w:rsidP="002138E1">
      <w:pPr>
        <w:spacing w:line="276" w:lineRule="auto"/>
        <w:jc w:val="both"/>
        <w:rPr>
          <w:rFonts w:ascii="Arial" w:hAnsi="Arial" w:cs="Arial"/>
          <w:sz w:val="22"/>
          <w:szCs w:val="22"/>
          <w:lang w:val="en-BE"/>
        </w:rPr>
      </w:pPr>
      <w:r>
        <w:rPr>
          <w:rFonts w:ascii="Arial" w:hAnsi="Arial" w:cs="Arial"/>
          <w:sz w:val="22"/>
          <w:szCs w:val="22"/>
          <w:lang w:val="en-BE"/>
        </w:rPr>
        <w:t>Both approaches however</w:t>
      </w:r>
      <w:r w:rsidR="000872E8">
        <w:rPr>
          <w:rFonts w:ascii="Arial" w:hAnsi="Arial" w:cs="Arial"/>
          <w:sz w:val="22"/>
          <w:szCs w:val="22"/>
          <w:lang w:val="en-BE"/>
        </w:rPr>
        <w:t xml:space="preserve"> represent a set of challenges.</w:t>
      </w:r>
      <w:r w:rsidR="00C3079B">
        <w:rPr>
          <w:rFonts w:ascii="Arial" w:hAnsi="Arial" w:cs="Arial"/>
          <w:sz w:val="22"/>
          <w:szCs w:val="22"/>
          <w:lang w:val="en-BE"/>
        </w:rPr>
        <w:t xml:space="preserve"> </w:t>
      </w:r>
      <w:r w:rsidR="0010652E">
        <w:rPr>
          <w:rFonts w:ascii="Arial" w:hAnsi="Arial" w:cs="Arial"/>
          <w:sz w:val="22"/>
          <w:szCs w:val="22"/>
          <w:lang w:val="en-BE"/>
        </w:rPr>
        <w:t>Obviously</w:t>
      </w:r>
      <w:r w:rsidR="00C3079B">
        <w:rPr>
          <w:rFonts w:ascii="Arial" w:hAnsi="Arial" w:cs="Arial"/>
          <w:sz w:val="22"/>
          <w:szCs w:val="22"/>
          <w:lang w:val="en-BE"/>
        </w:rPr>
        <w:t xml:space="preserve">, </w:t>
      </w:r>
      <w:r w:rsidR="00AA533C">
        <w:rPr>
          <w:rFonts w:ascii="Arial" w:hAnsi="Arial" w:cs="Arial"/>
          <w:sz w:val="22"/>
          <w:szCs w:val="22"/>
          <w:lang w:val="en-BE"/>
        </w:rPr>
        <w:t>the level</w:t>
      </w:r>
      <w:r w:rsidR="00EE4F62">
        <w:rPr>
          <w:rFonts w:ascii="Arial" w:hAnsi="Arial" w:cs="Arial"/>
          <w:sz w:val="22"/>
          <w:szCs w:val="22"/>
          <w:lang w:val="en-BE"/>
        </w:rPr>
        <w:t xml:space="preserve"> of </w:t>
      </w:r>
      <w:r w:rsidR="006B04F3">
        <w:rPr>
          <w:rFonts w:ascii="Arial" w:hAnsi="Arial" w:cs="Arial"/>
          <w:sz w:val="22"/>
          <w:szCs w:val="22"/>
          <w:lang w:val="en-BE"/>
        </w:rPr>
        <w:t xml:space="preserve">maturity of </w:t>
      </w:r>
      <w:r w:rsidR="00C3079B">
        <w:rPr>
          <w:rFonts w:ascii="Arial" w:hAnsi="Arial" w:cs="Arial"/>
          <w:sz w:val="22"/>
          <w:szCs w:val="22"/>
          <w:lang w:val="en-BE"/>
        </w:rPr>
        <w:t xml:space="preserve">the technology </w:t>
      </w:r>
      <w:r w:rsidR="00A964A9">
        <w:rPr>
          <w:rFonts w:ascii="Arial" w:hAnsi="Arial" w:cs="Arial"/>
          <w:sz w:val="22"/>
          <w:szCs w:val="22"/>
          <w:lang w:val="en-BE"/>
        </w:rPr>
        <w:t xml:space="preserve">and the design </w:t>
      </w:r>
      <w:r>
        <w:rPr>
          <w:rFonts w:ascii="Arial" w:hAnsi="Arial" w:cs="Arial"/>
          <w:sz w:val="22"/>
          <w:szCs w:val="22"/>
          <w:lang w:val="en-BE"/>
        </w:rPr>
        <w:t xml:space="preserve">is </w:t>
      </w:r>
      <w:r w:rsidR="00EE4F62">
        <w:rPr>
          <w:rFonts w:ascii="Arial" w:hAnsi="Arial" w:cs="Arial"/>
          <w:sz w:val="22"/>
          <w:szCs w:val="22"/>
          <w:lang w:val="en-BE"/>
        </w:rPr>
        <w:t>also be important</w:t>
      </w:r>
      <w:r w:rsidR="00A964A9">
        <w:rPr>
          <w:rFonts w:ascii="Arial" w:hAnsi="Arial" w:cs="Arial"/>
          <w:sz w:val="22"/>
          <w:szCs w:val="22"/>
          <w:lang w:val="en-BE"/>
        </w:rPr>
        <w:t xml:space="preserve"> in a traditional regulatory framework, </w:t>
      </w:r>
      <w:r w:rsidR="00AE422D">
        <w:rPr>
          <w:rFonts w:ascii="Arial" w:hAnsi="Arial" w:cs="Arial"/>
          <w:sz w:val="22"/>
          <w:szCs w:val="22"/>
          <w:lang w:val="en-BE"/>
        </w:rPr>
        <w:t xml:space="preserve">but </w:t>
      </w:r>
      <w:r w:rsidR="007B7C96">
        <w:rPr>
          <w:rFonts w:ascii="Arial" w:hAnsi="Arial" w:cs="Arial"/>
          <w:sz w:val="22"/>
          <w:szCs w:val="22"/>
          <w:lang w:val="en-BE"/>
        </w:rPr>
        <w:t xml:space="preserve">uncertainties about the </w:t>
      </w:r>
      <w:r w:rsidR="00AE422D">
        <w:rPr>
          <w:rFonts w:ascii="Arial" w:hAnsi="Arial" w:cs="Arial"/>
          <w:sz w:val="22"/>
          <w:szCs w:val="22"/>
          <w:lang w:val="en-BE"/>
        </w:rPr>
        <w:t xml:space="preserve">SMR </w:t>
      </w:r>
      <w:r w:rsidR="00533BFD">
        <w:rPr>
          <w:rFonts w:ascii="Arial" w:hAnsi="Arial" w:cs="Arial"/>
          <w:sz w:val="22"/>
          <w:szCs w:val="22"/>
          <w:lang w:val="en-BE"/>
        </w:rPr>
        <w:t>technology-dependent transients</w:t>
      </w:r>
      <w:r w:rsidR="00CE6569">
        <w:rPr>
          <w:rFonts w:ascii="Arial" w:hAnsi="Arial" w:cs="Arial"/>
          <w:sz w:val="22"/>
          <w:szCs w:val="22"/>
          <w:lang w:val="en-BE"/>
        </w:rPr>
        <w:t xml:space="preserve"> and accident conditions </w:t>
      </w:r>
      <w:r w:rsidR="009B6391">
        <w:rPr>
          <w:rFonts w:ascii="Arial" w:hAnsi="Arial" w:cs="Arial"/>
          <w:sz w:val="22"/>
          <w:szCs w:val="22"/>
          <w:lang w:val="en-BE"/>
        </w:rPr>
        <w:t>or</w:t>
      </w:r>
      <w:r w:rsidR="00CE6569">
        <w:rPr>
          <w:rFonts w:ascii="Arial" w:hAnsi="Arial" w:cs="Arial"/>
          <w:sz w:val="22"/>
          <w:szCs w:val="22"/>
          <w:lang w:val="en-BE"/>
        </w:rPr>
        <w:t xml:space="preserve"> the behaviour of the passive safety features under such conditions </w:t>
      </w:r>
      <w:r w:rsidR="0088799F">
        <w:rPr>
          <w:rFonts w:ascii="Arial" w:hAnsi="Arial" w:cs="Arial"/>
          <w:sz w:val="22"/>
          <w:szCs w:val="22"/>
          <w:lang w:val="en-BE"/>
        </w:rPr>
        <w:t>complicate</w:t>
      </w:r>
      <w:r w:rsidR="00857977">
        <w:rPr>
          <w:rFonts w:ascii="Arial" w:hAnsi="Arial" w:cs="Arial"/>
          <w:sz w:val="22"/>
          <w:szCs w:val="22"/>
          <w:lang w:val="en-BE"/>
        </w:rPr>
        <w:t xml:space="preserve"> </w:t>
      </w:r>
      <w:r w:rsidR="00792ECF">
        <w:rPr>
          <w:rFonts w:ascii="Arial" w:hAnsi="Arial" w:cs="Arial"/>
          <w:sz w:val="22"/>
          <w:szCs w:val="22"/>
          <w:lang w:val="en-BE"/>
        </w:rPr>
        <w:t>a reliable estimation of the risk</w:t>
      </w:r>
      <w:r w:rsidR="00DD435B">
        <w:rPr>
          <w:rFonts w:ascii="Arial" w:hAnsi="Arial" w:cs="Arial"/>
          <w:sz w:val="22"/>
          <w:szCs w:val="22"/>
          <w:lang w:val="en-BE"/>
        </w:rPr>
        <w:t xml:space="preserve">. </w:t>
      </w:r>
      <w:r w:rsidR="009B6391">
        <w:rPr>
          <w:rFonts w:ascii="Arial" w:hAnsi="Arial" w:cs="Arial"/>
          <w:sz w:val="22"/>
          <w:szCs w:val="22"/>
          <w:lang w:val="en-BE"/>
        </w:rPr>
        <w:t xml:space="preserve"> </w:t>
      </w:r>
      <w:r w:rsidR="00DD435B">
        <w:rPr>
          <w:rFonts w:ascii="Arial" w:hAnsi="Arial" w:cs="Arial"/>
          <w:sz w:val="22"/>
          <w:szCs w:val="22"/>
          <w:lang w:val="en-BE"/>
        </w:rPr>
        <w:t xml:space="preserve">This becomes particularly complex when aiming for a graded approach-based regulatory framework that is expected to be technology-inclusive. As such, further </w:t>
      </w:r>
      <w:r w:rsidR="001466DC">
        <w:rPr>
          <w:rFonts w:ascii="Arial" w:hAnsi="Arial" w:cs="Arial"/>
          <w:sz w:val="22"/>
          <w:szCs w:val="22"/>
          <w:lang w:val="en-BE"/>
        </w:rPr>
        <w:t xml:space="preserve">R&amp;D </w:t>
      </w:r>
      <w:r w:rsidR="009B6391">
        <w:rPr>
          <w:rFonts w:ascii="Arial" w:hAnsi="Arial" w:cs="Arial"/>
          <w:sz w:val="22"/>
          <w:szCs w:val="22"/>
          <w:lang w:val="en-BE"/>
        </w:rPr>
        <w:t xml:space="preserve">on </w:t>
      </w:r>
      <w:r w:rsidR="00DD435B">
        <w:rPr>
          <w:rFonts w:ascii="Arial" w:hAnsi="Arial" w:cs="Arial"/>
          <w:sz w:val="22"/>
          <w:szCs w:val="22"/>
          <w:lang w:val="en-BE"/>
        </w:rPr>
        <w:t xml:space="preserve">these phenomena is necessary to develop confidence in the technology as a basis for </w:t>
      </w:r>
      <w:r w:rsidR="002B4A71">
        <w:rPr>
          <w:rFonts w:ascii="Arial" w:hAnsi="Arial" w:cs="Arial"/>
          <w:sz w:val="22"/>
          <w:szCs w:val="22"/>
          <w:lang w:val="en-BE"/>
        </w:rPr>
        <w:t>waiv</w:t>
      </w:r>
      <w:r w:rsidR="00DD435B">
        <w:rPr>
          <w:rFonts w:ascii="Arial" w:hAnsi="Arial" w:cs="Arial"/>
          <w:sz w:val="22"/>
          <w:szCs w:val="22"/>
          <w:lang w:val="en-BE"/>
        </w:rPr>
        <w:t>ing</w:t>
      </w:r>
      <w:r w:rsidR="002B4A71">
        <w:rPr>
          <w:rFonts w:ascii="Arial" w:hAnsi="Arial" w:cs="Arial"/>
          <w:sz w:val="22"/>
          <w:szCs w:val="22"/>
          <w:lang w:val="en-BE"/>
        </w:rPr>
        <w:t xml:space="preserve"> </w:t>
      </w:r>
      <w:r w:rsidR="00D740AC">
        <w:rPr>
          <w:rFonts w:ascii="Arial" w:hAnsi="Arial" w:cs="Arial"/>
          <w:sz w:val="22"/>
          <w:szCs w:val="22"/>
          <w:lang w:val="en-BE"/>
        </w:rPr>
        <w:t xml:space="preserve">some </w:t>
      </w:r>
      <w:r w:rsidR="002B4A71">
        <w:rPr>
          <w:rFonts w:ascii="Arial" w:hAnsi="Arial" w:cs="Arial"/>
          <w:sz w:val="22"/>
          <w:szCs w:val="22"/>
          <w:lang w:val="en-BE"/>
        </w:rPr>
        <w:t>requirements</w:t>
      </w:r>
      <w:r w:rsidR="009B6391">
        <w:rPr>
          <w:rFonts w:ascii="Arial" w:hAnsi="Arial" w:cs="Arial"/>
          <w:sz w:val="22"/>
          <w:szCs w:val="22"/>
          <w:lang w:val="en-BE"/>
        </w:rPr>
        <w:t>.</w:t>
      </w:r>
      <w:r w:rsidR="00943F43">
        <w:rPr>
          <w:rFonts w:ascii="Arial" w:hAnsi="Arial" w:cs="Arial"/>
          <w:sz w:val="22"/>
          <w:szCs w:val="22"/>
          <w:lang w:val="en-BE"/>
        </w:rPr>
        <w:t xml:space="preserve"> </w:t>
      </w:r>
      <w:r w:rsidR="008041ED">
        <w:rPr>
          <w:rFonts w:ascii="Arial" w:hAnsi="Arial" w:cs="Arial"/>
          <w:sz w:val="22"/>
          <w:szCs w:val="22"/>
          <w:lang w:val="en-BE"/>
        </w:rPr>
        <w:t xml:space="preserve">This challenge </w:t>
      </w:r>
      <w:r w:rsidR="00DD435B">
        <w:rPr>
          <w:rFonts w:ascii="Arial" w:hAnsi="Arial" w:cs="Arial"/>
          <w:sz w:val="22"/>
          <w:szCs w:val="22"/>
          <w:lang w:val="en-BE"/>
        </w:rPr>
        <w:t xml:space="preserve">may </w:t>
      </w:r>
      <w:r w:rsidR="008041ED">
        <w:rPr>
          <w:rFonts w:ascii="Arial" w:hAnsi="Arial" w:cs="Arial"/>
          <w:sz w:val="22"/>
          <w:szCs w:val="22"/>
          <w:lang w:val="en-BE"/>
        </w:rPr>
        <w:t>be surmounted</w:t>
      </w:r>
      <w:r w:rsidR="007A7594">
        <w:rPr>
          <w:rFonts w:ascii="Arial" w:hAnsi="Arial" w:cs="Arial"/>
          <w:sz w:val="22"/>
          <w:szCs w:val="22"/>
          <w:lang w:val="en-BE"/>
        </w:rPr>
        <w:t xml:space="preserve"> by c</w:t>
      </w:r>
      <w:r w:rsidR="008041ED">
        <w:rPr>
          <w:rFonts w:ascii="Arial" w:hAnsi="Arial" w:cs="Arial"/>
          <w:sz w:val="22"/>
          <w:szCs w:val="22"/>
          <w:lang w:val="en-BE"/>
        </w:rPr>
        <w:t>apturing th</w:t>
      </w:r>
      <w:r w:rsidR="00DD435B">
        <w:rPr>
          <w:rFonts w:ascii="Arial" w:hAnsi="Arial" w:cs="Arial"/>
          <w:sz w:val="22"/>
          <w:szCs w:val="22"/>
          <w:lang w:val="en-BE"/>
        </w:rPr>
        <w:t>is</w:t>
      </w:r>
      <w:r w:rsidR="008041ED">
        <w:rPr>
          <w:rFonts w:ascii="Arial" w:hAnsi="Arial" w:cs="Arial"/>
          <w:sz w:val="22"/>
          <w:szCs w:val="22"/>
          <w:lang w:val="en-BE"/>
        </w:rPr>
        <w:t xml:space="preserve"> uncertaint</w:t>
      </w:r>
      <w:r w:rsidR="00DD435B">
        <w:rPr>
          <w:rFonts w:ascii="Arial" w:hAnsi="Arial" w:cs="Arial"/>
          <w:sz w:val="22"/>
          <w:szCs w:val="22"/>
          <w:lang w:val="en-BE"/>
        </w:rPr>
        <w:t>y</w:t>
      </w:r>
      <w:r w:rsidR="008041ED">
        <w:rPr>
          <w:rFonts w:ascii="Arial" w:hAnsi="Arial" w:cs="Arial"/>
          <w:sz w:val="22"/>
          <w:szCs w:val="22"/>
          <w:lang w:val="en-BE"/>
        </w:rPr>
        <w:t xml:space="preserve"> by applying conservatisms</w:t>
      </w:r>
      <w:r w:rsidR="007A7594">
        <w:rPr>
          <w:rFonts w:ascii="Arial" w:hAnsi="Arial" w:cs="Arial"/>
          <w:sz w:val="22"/>
          <w:szCs w:val="22"/>
          <w:lang w:val="en-BE"/>
        </w:rPr>
        <w:t>, but the risk exists that it would le</w:t>
      </w:r>
      <w:r w:rsidR="00ED4023">
        <w:rPr>
          <w:rFonts w:ascii="Arial" w:hAnsi="Arial" w:cs="Arial"/>
          <w:sz w:val="22"/>
          <w:szCs w:val="22"/>
          <w:lang w:val="en-BE"/>
        </w:rPr>
        <w:t>ad back to the traditional approach.</w:t>
      </w:r>
    </w:p>
    <w:p w14:paraId="2A78C48C" w14:textId="77777777" w:rsidR="00ED4023" w:rsidRDefault="00ED4023" w:rsidP="002138E1">
      <w:pPr>
        <w:spacing w:line="276" w:lineRule="auto"/>
        <w:jc w:val="both"/>
        <w:rPr>
          <w:rFonts w:ascii="Arial" w:hAnsi="Arial" w:cs="Arial"/>
          <w:sz w:val="22"/>
          <w:szCs w:val="22"/>
          <w:lang w:val="en-BE"/>
        </w:rPr>
      </w:pPr>
    </w:p>
    <w:p w14:paraId="38197C17" w14:textId="5B26E48D" w:rsidR="00ED4023" w:rsidRDefault="00560EF0" w:rsidP="002138E1">
      <w:pPr>
        <w:spacing w:line="276" w:lineRule="auto"/>
        <w:jc w:val="both"/>
        <w:rPr>
          <w:rFonts w:ascii="Arial" w:hAnsi="Arial" w:cs="Arial"/>
          <w:sz w:val="22"/>
          <w:szCs w:val="22"/>
          <w:lang w:val="en-BE"/>
        </w:rPr>
      </w:pPr>
      <w:r>
        <w:rPr>
          <w:rFonts w:ascii="Arial" w:hAnsi="Arial" w:cs="Arial"/>
          <w:sz w:val="22"/>
          <w:szCs w:val="22"/>
          <w:lang w:val="en-BE"/>
        </w:rPr>
        <w:t xml:space="preserve">Even if the risk-based approach would </w:t>
      </w:r>
      <w:r w:rsidR="003E50D1">
        <w:rPr>
          <w:rFonts w:ascii="Arial" w:hAnsi="Arial" w:cs="Arial"/>
          <w:sz w:val="22"/>
          <w:szCs w:val="22"/>
          <w:lang w:val="en-BE"/>
        </w:rPr>
        <w:t xml:space="preserve">not </w:t>
      </w:r>
      <w:r>
        <w:rPr>
          <w:rFonts w:ascii="Arial" w:hAnsi="Arial" w:cs="Arial"/>
          <w:sz w:val="22"/>
          <w:szCs w:val="22"/>
          <w:lang w:val="en-BE"/>
        </w:rPr>
        <w:t xml:space="preserve">be applied </w:t>
      </w:r>
      <w:r w:rsidR="003E50D1">
        <w:rPr>
          <w:rFonts w:ascii="Arial" w:hAnsi="Arial" w:cs="Arial"/>
          <w:sz w:val="22"/>
          <w:szCs w:val="22"/>
          <w:lang w:val="en-BE"/>
        </w:rPr>
        <w:t xml:space="preserve">to grade the framework </w:t>
      </w:r>
      <w:r w:rsidR="00DD435B">
        <w:rPr>
          <w:rFonts w:ascii="Arial" w:hAnsi="Arial" w:cs="Arial"/>
          <w:sz w:val="22"/>
          <w:szCs w:val="22"/>
          <w:lang w:val="en-BE"/>
        </w:rPr>
        <w:t xml:space="preserve">overall </w:t>
      </w:r>
      <w:r w:rsidR="003E50D1">
        <w:rPr>
          <w:rFonts w:ascii="Arial" w:hAnsi="Arial" w:cs="Arial"/>
          <w:sz w:val="22"/>
          <w:szCs w:val="22"/>
          <w:lang w:val="en-BE"/>
        </w:rPr>
        <w:t xml:space="preserve">but rather </w:t>
      </w:r>
      <w:r w:rsidR="00531015">
        <w:rPr>
          <w:rFonts w:ascii="Arial" w:hAnsi="Arial" w:cs="Arial"/>
          <w:sz w:val="22"/>
          <w:szCs w:val="22"/>
          <w:lang w:val="en-BE"/>
        </w:rPr>
        <w:t xml:space="preserve">be allowed </w:t>
      </w:r>
      <w:r w:rsidR="008A00F4">
        <w:rPr>
          <w:rFonts w:ascii="Arial" w:hAnsi="Arial" w:cs="Arial"/>
          <w:sz w:val="22"/>
          <w:szCs w:val="22"/>
          <w:lang w:val="en-BE"/>
        </w:rPr>
        <w:t>as a</w:t>
      </w:r>
      <w:r w:rsidR="00DD435B">
        <w:rPr>
          <w:rFonts w:ascii="Arial" w:hAnsi="Arial" w:cs="Arial"/>
          <w:sz w:val="22"/>
          <w:szCs w:val="22"/>
          <w:lang w:val="en-BE"/>
        </w:rPr>
        <w:t xml:space="preserve"> basic</w:t>
      </w:r>
      <w:r w:rsidR="008A00F4">
        <w:rPr>
          <w:rFonts w:ascii="Arial" w:hAnsi="Arial" w:cs="Arial"/>
          <w:sz w:val="22"/>
          <w:szCs w:val="22"/>
          <w:lang w:val="en-BE"/>
        </w:rPr>
        <w:t xml:space="preserve"> principle to optimize </w:t>
      </w:r>
      <w:r w:rsidR="00DD435B">
        <w:rPr>
          <w:rFonts w:ascii="Arial" w:hAnsi="Arial" w:cs="Arial"/>
          <w:sz w:val="22"/>
          <w:szCs w:val="22"/>
          <w:lang w:val="en-BE"/>
        </w:rPr>
        <w:t xml:space="preserve">an individual </w:t>
      </w:r>
      <w:r w:rsidR="008A00F4">
        <w:rPr>
          <w:rFonts w:ascii="Arial" w:hAnsi="Arial" w:cs="Arial"/>
          <w:sz w:val="22"/>
          <w:szCs w:val="22"/>
          <w:lang w:val="en-BE"/>
        </w:rPr>
        <w:t xml:space="preserve">design, it would </w:t>
      </w:r>
      <w:r w:rsidR="00C16F34">
        <w:rPr>
          <w:rFonts w:ascii="Arial" w:hAnsi="Arial" w:cs="Arial"/>
          <w:sz w:val="22"/>
          <w:szCs w:val="22"/>
          <w:lang w:val="en-BE"/>
        </w:rPr>
        <w:t xml:space="preserve">require for the designer to start modelling the PRA </w:t>
      </w:r>
      <w:r w:rsidR="00DD435B">
        <w:rPr>
          <w:rFonts w:ascii="Arial" w:hAnsi="Arial" w:cs="Arial"/>
          <w:sz w:val="22"/>
          <w:szCs w:val="22"/>
          <w:lang w:val="en-BE"/>
        </w:rPr>
        <w:t xml:space="preserve">in parallel </w:t>
      </w:r>
      <w:r w:rsidR="00C16F34">
        <w:rPr>
          <w:rFonts w:ascii="Arial" w:hAnsi="Arial" w:cs="Arial"/>
          <w:sz w:val="22"/>
          <w:szCs w:val="22"/>
          <w:lang w:val="en-BE"/>
        </w:rPr>
        <w:t>with the design.</w:t>
      </w:r>
      <w:r w:rsidR="00F55ED9">
        <w:rPr>
          <w:rFonts w:ascii="Arial" w:hAnsi="Arial" w:cs="Arial"/>
          <w:sz w:val="22"/>
          <w:szCs w:val="22"/>
          <w:lang w:val="en-BE"/>
        </w:rPr>
        <w:t xml:space="preserve"> </w:t>
      </w:r>
      <w:r w:rsidR="00546C45">
        <w:rPr>
          <w:rFonts w:ascii="Arial" w:hAnsi="Arial" w:cs="Arial"/>
          <w:sz w:val="22"/>
          <w:szCs w:val="22"/>
          <w:lang w:val="en-BE"/>
        </w:rPr>
        <w:t>The European Utility Requirements strongly promote the development of such PRA as early as possible in the design stage</w:t>
      </w:r>
      <w:r w:rsidR="00C47D6B">
        <w:rPr>
          <w:rFonts w:ascii="Arial" w:hAnsi="Arial" w:cs="Arial"/>
          <w:sz w:val="22"/>
          <w:szCs w:val="22"/>
          <w:lang w:val="en-BE"/>
        </w:rPr>
        <w:t>, but it is recognised as an significant cost</w:t>
      </w:r>
      <w:r w:rsidR="00DD435B">
        <w:rPr>
          <w:rFonts w:ascii="Arial" w:hAnsi="Arial" w:cs="Arial"/>
          <w:sz w:val="22"/>
          <w:szCs w:val="22"/>
          <w:lang w:val="en-BE"/>
        </w:rPr>
        <w:t xml:space="preserve"> in the development phase</w:t>
      </w:r>
      <w:r w:rsidR="00490231">
        <w:rPr>
          <w:rFonts w:ascii="Arial" w:hAnsi="Arial" w:cs="Arial"/>
          <w:sz w:val="22"/>
          <w:szCs w:val="22"/>
          <w:lang w:val="en-BE"/>
        </w:rPr>
        <w:t>, with relatively limited added value in the current, deterministic European context.</w:t>
      </w:r>
    </w:p>
    <w:p w14:paraId="6197987A" w14:textId="77777777" w:rsidR="001D25BE" w:rsidRDefault="001D25BE" w:rsidP="002138E1">
      <w:pPr>
        <w:spacing w:line="276" w:lineRule="auto"/>
        <w:jc w:val="both"/>
        <w:rPr>
          <w:rFonts w:ascii="Arial" w:hAnsi="Arial" w:cs="Arial"/>
          <w:sz w:val="22"/>
          <w:szCs w:val="22"/>
          <w:lang w:val="en-BE"/>
        </w:rPr>
      </w:pPr>
    </w:p>
    <w:p w14:paraId="09C070A5" w14:textId="63E96E7A" w:rsidR="001D25BE" w:rsidRDefault="00DD435B" w:rsidP="002138E1">
      <w:pPr>
        <w:spacing w:line="276" w:lineRule="auto"/>
        <w:jc w:val="both"/>
        <w:rPr>
          <w:rFonts w:ascii="Arial" w:hAnsi="Arial" w:cs="Arial"/>
          <w:sz w:val="22"/>
          <w:szCs w:val="22"/>
          <w:lang w:val="en-BE"/>
        </w:rPr>
      </w:pPr>
      <w:r>
        <w:rPr>
          <w:rFonts w:ascii="Arial" w:hAnsi="Arial" w:cs="Arial"/>
          <w:sz w:val="22"/>
          <w:szCs w:val="22"/>
          <w:lang w:val="en-BE"/>
        </w:rPr>
        <w:t xml:space="preserve">Besides, the benefits of </w:t>
      </w:r>
      <w:r w:rsidR="0015499B">
        <w:rPr>
          <w:rFonts w:ascii="Arial" w:hAnsi="Arial" w:cs="Arial"/>
          <w:sz w:val="22"/>
          <w:szCs w:val="22"/>
          <w:lang w:val="en-BE"/>
        </w:rPr>
        <w:t>a risk-based approach</w:t>
      </w:r>
      <w:r>
        <w:rPr>
          <w:rFonts w:ascii="Arial" w:hAnsi="Arial" w:cs="Arial"/>
          <w:sz w:val="22"/>
          <w:szCs w:val="22"/>
          <w:lang w:val="en-BE"/>
        </w:rPr>
        <w:t xml:space="preserve"> may seem obvious</w:t>
      </w:r>
      <w:r w:rsidR="00B34D7F">
        <w:rPr>
          <w:rFonts w:ascii="Arial" w:hAnsi="Arial" w:cs="Arial"/>
          <w:sz w:val="22"/>
          <w:szCs w:val="22"/>
          <w:lang w:val="en-BE"/>
        </w:rPr>
        <w:t xml:space="preserve">, but may not be straightforward. E.g. if </w:t>
      </w:r>
      <w:r w:rsidR="00B963A6">
        <w:rPr>
          <w:rFonts w:ascii="Arial" w:hAnsi="Arial" w:cs="Arial"/>
          <w:sz w:val="22"/>
          <w:szCs w:val="22"/>
          <w:lang w:val="en-BE"/>
        </w:rPr>
        <w:t xml:space="preserve">Design Extension Conditions </w:t>
      </w:r>
      <w:r w:rsidR="00B34D7F">
        <w:rPr>
          <w:rFonts w:ascii="Arial" w:hAnsi="Arial" w:cs="Arial"/>
          <w:sz w:val="22"/>
          <w:szCs w:val="22"/>
          <w:lang w:val="en-BE"/>
        </w:rPr>
        <w:t xml:space="preserve">are minor contributor </w:t>
      </w:r>
      <w:r w:rsidR="00B963A6">
        <w:rPr>
          <w:rFonts w:ascii="Arial" w:hAnsi="Arial" w:cs="Arial"/>
          <w:sz w:val="22"/>
          <w:szCs w:val="22"/>
          <w:lang w:val="en-BE"/>
        </w:rPr>
        <w:t>to the Core Damage Frequency</w:t>
      </w:r>
      <w:r w:rsidR="00B64F03">
        <w:rPr>
          <w:rFonts w:ascii="Arial" w:hAnsi="Arial" w:cs="Arial"/>
          <w:sz w:val="22"/>
          <w:szCs w:val="22"/>
          <w:lang w:val="en-BE"/>
        </w:rPr>
        <w:t xml:space="preserve"> </w:t>
      </w:r>
      <w:r w:rsidR="00B64F03">
        <w:rPr>
          <w:rFonts w:ascii="Arial" w:hAnsi="Arial" w:cs="Arial"/>
          <w:sz w:val="22"/>
          <w:szCs w:val="22"/>
          <w:lang w:val="en-BE"/>
        </w:rPr>
        <w:lastRenderedPageBreak/>
        <w:t>(CDF)</w:t>
      </w:r>
      <w:r w:rsidR="00B963A6">
        <w:rPr>
          <w:rFonts w:ascii="Arial" w:hAnsi="Arial" w:cs="Arial"/>
          <w:sz w:val="22"/>
          <w:szCs w:val="22"/>
          <w:lang w:val="en-BE"/>
        </w:rPr>
        <w:t xml:space="preserve">, </w:t>
      </w:r>
      <w:r w:rsidR="00B34D7F">
        <w:rPr>
          <w:rFonts w:ascii="Arial" w:hAnsi="Arial" w:cs="Arial"/>
          <w:sz w:val="22"/>
          <w:szCs w:val="22"/>
          <w:lang w:val="en-BE"/>
        </w:rPr>
        <w:t xml:space="preserve">the benefit </w:t>
      </w:r>
      <w:r w:rsidR="00EF4631">
        <w:rPr>
          <w:rFonts w:ascii="Arial" w:hAnsi="Arial" w:cs="Arial"/>
          <w:sz w:val="22"/>
          <w:szCs w:val="22"/>
          <w:lang w:val="en-BE"/>
        </w:rPr>
        <w:t xml:space="preserve">of reducing the number of safety </w:t>
      </w:r>
      <w:r w:rsidR="00AC327B">
        <w:rPr>
          <w:rFonts w:ascii="Arial" w:hAnsi="Arial" w:cs="Arial"/>
          <w:sz w:val="22"/>
          <w:szCs w:val="22"/>
          <w:lang w:val="en-BE"/>
        </w:rPr>
        <w:t xml:space="preserve">features like the emergency diesel generators mentioned </w:t>
      </w:r>
      <w:r w:rsidR="008C4D27">
        <w:rPr>
          <w:rFonts w:ascii="Arial" w:hAnsi="Arial" w:cs="Arial"/>
          <w:sz w:val="22"/>
          <w:szCs w:val="22"/>
          <w:lang w:val="en-BE"/>
        </w:rPr>
        <w:t>earlier</w:t>
      </w:r>
      <w:r w:rsidR="00B34D7F">
        <w:rPr>
          <w:rFonts w:ascii="Arial" w:hAnsi="Arial" w:cs="Arial"/>
          <w:sz w:val="22"/>
          <w:szCs w:val="22"/>
          <w:lang w:val="en-BE"/>
        </w:rPr>
        <w:t>, may not stand out</w:t>
      </w:r>
      <w:r w:rsidR="008C4D27">
        <w:rPr>
          <w:rFonts w:ascii="Arial" w:hAnsi="Arial" w:cs="Arial"/>
          <w:sz w:val="22"/>
          <w:szCs w:val="22"/>
          <w:lang w:val="en-BE"/>
        </w:rPr>
        <w:t>.</w:t>
      </w:r>
      <w:r w:rsidR="00D54DCB">
        <w:rPr>
          <w:rFonts w:ascii="Arial" w:hAnsi="Arial" w:cs="Arial"/>
          <w:sz w:val="22"/>
          <w:szCs w:val="22"/>
          <w:lang w:val="en-BE"/>
        </w:rPr>
        <w:t xml:space="preserve"> </w:t>
      </w:r>
      <w:r w:rsidR="00B64F03">
        <w:rPr>
          <w:rFonts w:ascii="Arial" w:hAnsi="Arial" w:cs="Arial"/>
          <w:sz w:val="22"/>
          <w:szCs w:val="22"/>
          <w:lang w:val="en-BE"/>
        </w:rPr>
        <w:t xml:space="preserve">Also, the passive systems should lead to better CDF values, </w:t>
      </w:r>
      <w:r w:rsidR="0045088C">
        <w:rPr>
          <w:rFonts w:ascii="Arial" w:hAnsi="Arial" w:cs="Arial"/>
          <w:sz w:val="22"/>
          <w:szCs w:val="22"/>
          <w:lang w:val="en-BE"/>
        </w:rPr>
        <w:t xml:space="preserve">but it may be complex to </w:t>
      </w:r>
      <w:r w:rsidR="0092154D">
        <w:rPr>
          <w:rFonts w:ascii="Arial" w:hAnsi="Arial" w:cs="Arial"/>
          <w:sz w:val="22"/>
          <w:szCs w:val="22"/>
          <w:lang w:val="en-BE"/>
        </w:rPr>
        <w:t xml:space="preserve">demonstrate </w:t>
      </w:r>
      <w:r w:rsidR="0045088C">
        <w:rPr>
          <w:rFonts w:ascii="Arial" w:hAnsi="Arial" w:cs="Arial"/>
          <w:sz w:val="22"/>
          <w:szCs w:val="22"/>
          <w:lang w:val="en-BE"/>
        </w:rPr>
        <w:t>it</w:t>
      </w:r>
      <w:r w:rsidR="0091157C">
        <w:rPr>
          <w:rFonts w:ascii="Arial" w:hAnsi="Arial" w:cs="Arial"/>
          <w:sz w:val="22"/>
          <w:szCs w:val="22"/>
          <w:lang w:val="en-BE"/>
        </w:rPr>
        <w:t xml:space="preserve"> </w:t>
      </w:r>
      <w:r w:rsidR="0092154D">
        <w:rPr>
          <w:rFonts w:ascii="Arial" w:hAnsi="Arial" w:cs="Arial"/>
          <w:sz w:val="22"/>
          <w:szCs w:val="22"/>
          <w:lang w:val="en-BE"/>
        </w:rPr>
        <w:t xml:space="preserve">if </w:t>
      </w:r>
      <w:r w:rsidR="0091157C">
        <w:rPr>
          <w:rFonts w:ascii="Arial" w:hAnsi="Arial" w:cs="Arial"/>
          <w:sz w:val="22"/>
          <w:szCs w:val="22"/>
          <w:lang w:val="en-BE"/>
        </w:rPr>
        <w:t xml:space="preserve">the risk profile </w:t>
      </w:r>
      <w:r w:rsidR="00206BC4">
        <w:rPr>
          <w:rFonts w:ascii="Arial" w:hAnsi="Arial" w:cs="Arial"/>
          <w:sz w:val="22"/>
          <w:szCs w:val="22"/>
          <w:lang w:val="en-BE"/>
        </w:rPr>
        <w:t xml:space="preserve">is dominated by active components. As such, the advantage </w:t>
      </w:r>
      <w:r w:rsidR="00B34D7F">
        <w:rPr>
          <w:rFonts w:ascii="Arial" w:hAnsi="Arial" w:cs="Arial"/>
          <w:sz w:val="22"/>
          <w:szCs w:val="22"/>
          <w:lang w:val="en-BE"/>
        </w:rPr>
        <w:t xml:space="preserve">of </w:t>
      </w:r>
      <w:r w:rsidR="0028292A">
        <w:rPr>
          <w:rFonts w:ascii="Arial" w:hAnsi="Arial" w:cs="Arial"/>
          <w:sz w:val="22"/>
          <w:szCs w:val="22"/>
          <w:lang w:val="en-BE"/>
        </w:rPr>
        <w:t>SMR designs may be more obvious in level 2 or level 3 PRA.</w:t>
      </w:r>
    </w:p>
    <w:p w14:paraId="3F6A71E8" w14:textId="77777777" w:rsidR="0028292A" w:rsidRDefault="0028292A" w:rsidP="002138E1">
      <w:pPr>
        <w:spacing w:line="276" w:lineRule="auto"/>
        <w:jc w:val="both"/>
        <w:rPr>
          <w:rFonts w:ascii="Arial" w:hAnsi="Arial" w:cs="Arial"/>
          <w:sz w:val="22"/>
          <w:szCs w:val="22"/>
          <w:lang w:val="en-BE"/>
        </w:rPr>
      </w:pPr>
    </w:p>
    <w:p w14:paraId="18215294" w14:textId="76C9AA16" w:rsidR="00523B34" w:rsidRPr="006D1EC9" w:rsidRDefault="000A7B5B" w:rsidP="002138E1">
      <w:pPr>
        <w:spacing w:line="276" w:lineRule="auto"/>
        <w:jc w:val="both"/>
        <w:rPr>
          <w:rFonts w:ascii="Arial" w:hAnsi="Arial" w:cs="Arial"/>
          <w:sz w:val="22"/>
          <w:szCs w:val="22"/>
          <w:lang w:val="en-BE"/>
        </w:rPr>
      </w:pPr>
      <w:r>
        <w:rPr>
          <w:rFonts w:ascii="Arial" w:hAnsi="Arial" w:cs="Arial"/>
          <w:sz w:val="22"/>
          <w:szCs w:val="22"/>
          <w:lang w:val="en-BE"/>
        </w:rPr>
        <w:t xml:space="preserve">Finally, </w:t>
      </w:r>
      <w:r w:rsidR="000F4BDE">
        <w:rPr>
          <w:rFonts w:ascii="Arial" w:hAnsi="Arial" w:cs="Arial"/>
          <w:sz w:val="22"/>
          <w:szCs w:val="22"/>
          <w:lang w:val="en-BE"/>
        </w:rPr>
        <w:t xml:space="preserve">there may be discussions on how </w:t>
      </w:r>
      <w:r w:rsidR="00B34D7F">
        <w:rPr>
          <w:rFonts w:ascii="Arial" w:hAnsi="Arial" w:cs="Arial"/>
          <w:sz w:val="22"/>
          <w:szCs w:val="22"/>
          <w:lang w:val="en-BE"/>
        </w:rPr>
        <w:t xml:space="preserve">and compared to which objectives </w:t>
      </w:r>
      <w:r w:rsidR="000F4BDE">
        <w:rPr>
          <w:rFonts w:ascii="Arial" w:hAnsi="Arial" w:cs="Arial"/>
          <w:sz w:val="22"/>
          <w:szCs w:val="22"/>
          <w:lang w:val="en-BE"/>
        </w:rPr>
        <w:t xml:space="preserve">the grading should be </w:t>
      </w:r>
      <w:r w:rsidR="00B34D7F">
        <w:rPr>
          <w:rFonts w:ascii="Arial" w:hAnsi="Arial" w:cs="Arial"/>
          <w:sz w:val="22"/>
          <w:szCs w:val="22"/>
          <w:lang w:val="en-BE"/>
        </w:rPr>
        <w:t>aligned</w:t>
      </w:r>
      <w:r w:rsidR="008C52AB">
        <w:rPr>
          <w:rFonts w:ascii="Arial" w:hAnsi="Arial" w:cs="Arial"/>
          <w:sz w:val="22"/>
          <w:szCs w:val="22"/>
          <w:lang w:val="en-BE"/>
        </w:rPr>
        <w:t xml:space="preserve">. While </w:t>
      </w:r>
      <w:r w:rsidR="00515E88">
        <w:rPr>
          <w:rFonts w:ascii="Arial" w:hAnsi="Arial" w:cs="Arial"/>
          <w:sz w:val="22"/>
          <w:szCs w:val="22"/>
          <w:lang w:val="en-BE"/>
        </w:rPr>
        <w:t xml:space="preserve">European Safety Authorities tend to impose </w:t>
      </w:r>
      <w:r w:rsidR="00E7241F">
        <w:rPr>
          <w:rFonts w:ascii="Arial" w:hAnsi="Arial" w:cs="Arial"/>
          <w:sz w:val="22"/>
          <w:szCs w:val="22"/>
          <w:lang w:val="en-BE"/>
        </w:rPr>
        <w:t>more stringent</w:t>
      </w:r>
      <w:r w:rsidR="00515E88">
        <w:rPr>
          <w:rFonts w:ascii="Arial" w:hAnsi="Arial" w:cs="Arial"/>
          <w:sz w:val="22"/>
          <w:szCs w:val="22"/>
          <w:lang w:val="en-BE"/>
        </w:rPr>
        <w:t xml:space="preserve"> overall safety objectives</w:t>
      </w:r>
      <w:r w:rsidR="00B445D6">
        <w:rPr>
          <w:rFonts w:ascii="Arial" w:hAnsi="Arial" w:cs="Arial"/>
          <w:sz w:val="22"/>
          <w:szCs w:val="22"/>
          <w:lang w:val="en-BE"/>
        </w:rPr>
        <w:t xml:space="preserve"> </w:t>
      </w:r>
      <w:r w:rsidR="00515E88">
        <w:rPr>
          <w:rFonts w:ascii="Arial" w:hAnsi="Arial" w:cs="Arial"/>
          <w:sz w:val="22"/>
          <w:szCs w:val="22"/>
          <w:lang w:val="en-BE"/>
        </w:rPr>
        <w:t>to SMR</w:t>
      </w:r>
      <w:r w:rsidR="00B34D7F">
        <w:rPr>
          <w:rFonts w:ascii="Arial" w:hAnsi="Arial" w:cs="Arial"/>
          <w:sz w:val="22"/>
          <w:szCs w:val="22"/>
          <w:lang w:val="en-BE"/>
        </w:rPr>
        <w:t>(</w:t>
      </w:r>
      <w:r w:rsidR="00B34D7F">
        <w:rPr>
          <w:rStyle w:val="FootnoteReference"/>
          <w:rFonts w:ascii="Arial" w:hAnsi="Arial" w:cs="Arial"/>
          <w:sz w:val="22"/>
          <w:szCs w:val="22"/>
          <w:lang w:val="en-BE"/>
        </w:rPr>
        <w:footnoteReference w:id="6"/>
      </w:r>
      <w:r w:rsidR="00B34D7F">
        <w:rPr>
          <w:rFonts w:ascii="Arial" w:hAnsi="Arial" w:cs="Arial"/>
          <w:sz w:val="22"/>
          <w:szCs w:val="22"/>
          <w:lang w:val="en-BE"/>
        </w:rPr>
        <w:t>)</w:t>
      </w:r>
      <w:r w:rsidR="00D84932">
        <w:rPr>
          <w:rFonts w:ascii="Arial" w:hAnsi="Arial" w:cs="Arial"/>
          <w:sz w:val="22"/>
          <w:szCs w:val="22"/>
        </w:rPr>
        <w:t xml:space="preserve">, </w:t>
      </w:r>
      <w:r w:rsidR="00887883">
        <w:rPr>
          <w:rFonts w:ascii="Arial" w:hAnsi="Arial" w:cs="Arial"/>
          <w:sz w:val="22"/>
          <w:szCs w:val="22"/>
          <w:lang w:val="en-BE"/>
        </w:rPr>
        <w:t xml:space="preserve">existing </w:t>
      </w:r>
      <w:r w:rsidR="00D84932">
        <w:rPr>
          <w:rFonts w:ascii="Arial" w:hAnsi="Arial" w:cs="Arial"/>
          <w:sz w:val="22"/>
          <w:szCs w:val="22"/>
          <w:lang w:val="en-BE"/>
        </w:rPr>
        <w:t>PRA-</w:t>
      </w:r>
      <w:r w:rsidR="00887883">
        <w:rPr>
          <w:rFonts w:ascii="Arial" w:hAnsi="Arial" w:cs="Arial"/>
          <w:sz w:val="22"/>
          <w:szCs w:val="22"/>
          <w:lang w:val="en-BE"/>
        </w:rPr>
        <w:t xml:space="preserve">risk metrics </w:t>
      </w:r>
      <w:r w:rsidR="00B34D7F">
        <w:rPr>
          <w:rFonts w:ascii="Arial" w:hAnsi="Arial" w:cs="Arial"/>
          <w:sz w:val="22"/>
          <w:szCs w:val="22"/>
          <w:lang w:val="en-BE"/>
        </w:rPr>
        <w:t xml:space="preserve">may </w:t>
      </w:r>
      <w:r w:rsidR="00DD19BF">
        <w:rPr>
          <w:rFonts w:ascii="Arial" w:hAnsi="Arial" w:cs="Arial"/>
          <w:sz w:val="22"/>
          <w:szCs w:val="22"/>
          <w:lang w:val="en-BE"/>
        </w:rPr>
        <w:t>be</w:t>
      </w:r>
      <w:r w:rsidR="008E0C0B">
        <w:rPr>
          <w:rFonts w:ascii="Arial" w:hAnsi="Arial" w:cs="Arial"/>
          <w:sz w:val="22"/>
          <w:szCs w:val="22"/>
          <w:lang w:val="en-BE"/>
        </w:rPr>
        <w:t>come</w:t>
      </w:r>
      <w:r w:rsidR="00DD19BF">
        <w:rPr>
          <w:rFonts w:ascii="Arial" w:hAnsi="Arial" w:cs="Arial"/>
          <w:sz w:val="22"/>
          <w:szCs w:val="22"/>
          <w:lang w:val="en-BE"/>
        </w:rPr>
        <w:t xml:space="preserve"> </w:t>
      </w:r>
      <w:r w:rsidR="007255F6">
        <w:rPr>
          <w:rFonts w:ascii="Arial" w:hAnsi="Arial" w:cs="Arial"/>
          <w:sz w:val="22"/>
          <w:szCs w:val="22"/>
          <w:lang w:val="en-BE"/>
        </w:rPr>
        <w:t xml:space="preserve">obsolete as the definition of core damage becomes </w:t>
      </w:r>
      <w:r w:rsidR="00AC3B89">
        <w:rPr>
          <w:rFonts w:ascii="Arial" w:hAnsi="Arial" w:cs="Arial"/>
          <w:sz w:val="22"/>
          <w:szCs w:val="22"/>
          <w:lang w:val="en-BE"/>
        </w:rPr>
        <w:t xml:space="preserve">vague </w:t>
      </w:r>
      <w:r w:rsidR="007255F6">
        <w:rPr>
          <w:rFonts w:ascii="Arial" w:hAnsi="Arial" w:cs="Arial"/>
          <w:sz w:val="22"/>
          <w:szCs w:val="22"/>
          <w:lang w:val="en-BE"/>
        </w:rPr>
        <w:t>like in the example of the HTR</w:t>
      </w:r>
      <w:r w:rsidR="00297B3E">
        <w:rPr>
          <w:rFonts w:ascii="Arial" w:hAnsi="Arial" w:cs="Arial"/>
          <w:sz w:val="22"/>
          <w:szCs w:val="22"/>
          <w:lang w:val="en-BE"/>
        </w:rPr>
        <w:t xml:space="preserve"> and even more for </w:t>
      </w:r>
      <w:r w:rsidR="003043E5">
        <w:rPr>
          <w:rFonts w:ascii="Arial" w:hAnsi="Arial" w:cs="Arial"/>
          <w:sz w:val="22"/>
          <w:szCs w:val="22"/>
          <w:lang w:val="en-BE"/>
        </w:rPr>
        <w:t>a</w:t>
      </w:r>
      <w:r w:rsidR="00297B3E">
        <w:rPr>
          <w:rFonts w:ascii="Arial" w:hAnsi="Arial" w:cs="Arial"/>
          <w:sz w:val="22"/>
          <w:szCs w:val="22"/>
          <w:lang w:val="en-BE"/>
        </w:rPr>
        <w:t>dvance</w:t>
      </w:r>
      <w:r w:rsidR="003043E5">
        <w:rPr>
          <w:rFonts w:ascii="Arial" w:hAnsi="Arial" w:cs="Arial"/>
          <w:sz w:val="22"/>
          <w:szCs w:val="22"/>
          <w:lang w:val="en-BE"/>
        </w:rPr>
        <w:t xml:space="preserve">d technologies </w:t>
      </w:r>
      <w:r w:rsidR="00297B3E">
        <w:rPr>
          <w:rFonts w:ascii="Arial" w:hAnsi="Arial" w:cs="Arial"/>
          <w:sz w:val="22"/>
          <w:szCs w:val="22"/>
          <w:lang w:val="en-BE"/>
        </w:rPr>
        <w:t xml:space="preserve">using </w:t>
      </w:r>
      <w:r w:rsidR="00B34D7F">
        <w:rPr>
          <w:rFonts w:ascii="Arial" w:hAnsi="Arial" w:cs="Arial"/>
          <w:sz w:val="22"/>
          <w:szCs w:val="22"/>
          <w:lang w:val="en-BE"/>
        </w:rPr>
        <w:t xml:space="preserve">e.g. </w:t>
      </w:r>
      <w:r w:rsidR="00297B3E">
        <w:rPr>
          <w:rFonts w:ascii="Arial" w:hAnsi="Arial" w:cs="Arial"/>
          <w:sz w:val="22"/>
          <w:szCs w:val="22"/>
          <w:lang w:val="en-BE"/>
        </w:rPr>
        <w:t>liquid fuels.</w:t>
      </w:r>
      <w:r w:rsidR="00BA1C28">
        <w:rPr>
          <w:rFonts w:ascii="Arial" w:hAnsi="Arial" w:cs="Arial"/>
          <w:sz w:val="22"/>
          <w:szCs w:val="22"/>
          <w:lang w:val="en-BE"/>
        </w:rPr>
        <w:t xml:space="preserve"> </w:t>
      </w:r>
    </w:p>
    <w:p w14:paraId="44096073" w14:textId="77777777" w:rsidR="001A1DC6" w:rsidRDefault="001A1DC6" w:rsidP="002138E1">
      <w:pPr>
        <w:spacing w:line="276" w:lineRule="auto"/>
        <w:jc w:val="both"/>
        <w:rPr>
          <w:rFonts w:ascii="Arial" w:hAnsi="Arial" w:cs="Arial"/>
          <w:sz w:val="22"/>
          <w:szCs w:val="22"/>
        </w:rPr>
      </w:pPr>
    </w:p>
    <w:p w14:paraId="610B1B7C" w14:textId="354B6DFA" w:rsidR="001A1DC6" w:rsidRDefault="001A1DC6" w:rsidP="002138E1">
      <w:pPr>
        <w:spacing w:line="276" w:lineRule="auto"/>
        <w:jc w:val="both"/>
        <w:rPr>
          <w:rFonts w:ascii="Arial" w:hAnsi="Arial" w:cs="Arial"/>
          <w:b/>
          <w:bCs/>
          <w:sz w:val="22"/>
          <w:szCs w:val="22"/>
        </w:rPr>
      </w:pPr>
      <w:r w:rsidRPr="001A1DC6">
        <w:rPr>
          <w:rFonts w:ascii="Arial" w:hAnsi="Arial" w:cs="Arial"/>
          <w:b/>
          <w:bCs/>
          <w:sz w:val="22"/>
          <w:szCs w:val="22"/>
        </w:rPr>
        <w:t>Hazards</w:t>
      </w:r>
    </w:p>
    <w:p w14:paraId="1F23F51A" w14:textId="77777777" w:rsidR="001A1DC6" w:rsidRPr="001A1DC6" w:rsidRDefault="001A1DC6" w:rsidP="002138E1">
      <w:pPr>
        <w:spacing w:line="276" w:lineRule="auto"/>
        <w:jc w:val="both"/>
        <w:rPr>
          <w:rFonts w:ascii="Arial" w:hAnsi="Arial" w:cs="Arial"/>
          <w:b/>
          <w:bCs/>
          <w:sz w:val="22"/>
          <w:szCs w:val="22"/>
        </w:rPr>
      </w:pPr>
    </w:p>
    <w:p w14:paraId="593F2AC3" w14:textId="585375C4" w:rsidR="00E57E61" w:rsidRDefault="009C549B" w:rsidP="003043E5">
      <w:pPr>
        <w:spacing w:after="240" w:line="276" w:lineRule="auto"/>
        <w:jc w:val="both"/>
        <w:rPr>
          <w:rFonts w:ascii="Arial" w:hAnsi="Arial" w:cs="Arial"/>
          <w:sz w:val="22"/>
          <w:szCs w:val="22"/>
        </w:rPr>
      </w:pPr>
      <w:r>
        <w:rPr>
          <w:rFonts w:ascii="Arial" w:hAnsi="Arial" w:cs="Arial"/>
          <w:sz w:val="22"/>
          <w:szCs w:val="22"/>
        </w:rPr>
        <w:t xml:space="preserve">A specific point of attention </w:t>
      </w:r>
      <w:r w:rsidR="006948F0">
        <w:rPr>
          <w:rFonts w:ascii="Arial" w:hAnsi="Arial" w:cs="Arial"/>
          <w:sz w:val="22"/>
          <w:szCs w:val="22"/>
        </w:rPr>
        <w:t>in the design of SMR</w:t>
      </w:r>
      <w:r w:rsidR="00DF35C6">
        <w:rPr>
          <w:rFonts w:ascii="Arial" w:hAnsi="Arial" w:cs="Arial"/>
          <w:sz w:val="22"/>
          <w:szCs w:val="22"/>
        </w:rPr>
        <w:t xml:space="preserve"> concern the </w:t>
      </w:r>
      <w:r w:rsidR="005F4D46">
        <w:rPr>
          <w:rFonts w:ascii="Arial" w:hAnsi="Arial" w:cs="Arial"/>
          <w:sz w:val="22"/>
          <w:szCs w:val="22"/>
        </w:rPr>
        <w:t>protection</w:t>
      </w:r>
      <w:r w:rsidR="00DF35C6">
        <w:rPr>
          <w:rFonts w:ascii="Arial" w:hAnsi="Arial" w:cs="Arial"/>
          <w:sz w:val="22"/>
          <w:szCs w:val="22"/>
        </w:rPr>
        <w:t xml:space="preserve"> against hazards.</w:t>
      </w:r>
      <w:r w:rsidR="00250427">
        <w:rPr>
          <w:rFonts w:ascii="Arial" w:hAnsi="Arial" w:cs="Arial"/>
          <w:sz w:val="22"/>
          <w:szCs w:val="22"/>
        </w:rPr>
        <w:t xml:space="preserve"> </w:t>
      </w:r>
      <w:r w:rsidR="00C3509C">
        <w:rPr>
          <w:rFonts w:ascii="Arial" w:hAnsi="Arial" w:cs="Arial"/>
          <w:sz w:val="22"/>
          <w:szCs w:val="22"/>
        </w:rPr>
        <w:t xml:space="preserve">In Europe, the general approach is to define </w:t>
      </w:r>
      <w:r w:rsidR="000D40C6">
        <w:rPr>
          <w:rFonts w:ascii="Arial" w:hAnsi="Arial" w:cs="Arial"/>
          <w:sz w:val="22"/>
          <w:szCs w:val="22"/>
        </w:rPr>
        <w:t xml:space="preserve">hazard intensities with a return period of at least 10.000 years as </w:t>
      </w:r>
      <w:r w:rsidR="00B34D7F">
        <w:rPr>
          <w:rFonts w:ascii="Arial" w:hAnsi="Arial" w:cs="Arial"/>
          <w:sz w:val="22"/>
          <w:szCs w:val="22"/>
        </w:rPr>
        <w:t>D</w:t>
      </w:r>
      <w:r w:rsidR="00C3509C">
        <w:rPr>
          <w:rFonts w:ascii="Arial" w:hAnsi="Arial" w:cs="Arial"/>
          <w:sz w:val="22"/>
          <w:szCs w:val="22"/>
        </w:rPr>
        <w:t xml:space="preserve">esign </w:t>
      </w:r>
      <w:r w:rsidR="00B34D7F">
        <w:rPr>
          <w:rFonts w:ascii="Arial" w:hAnsi="Arial" w:cs="Arial"/>
          <w:sz w:val="22"/>
          <w:szCs w:val="22"/>
        </w:rPr>
        <w:t>B</w:t>
      </w:r>
      <w:r w:rsidR="00C3509C">
        <w:rPr>
          <w:rFonts w:ascii="Arial" w:hAnsi="Arial" w:cs="Arial"/>
          <w:sz w:val="22"/>
          <w:szCs w:val="22"/>
        </w:rPr>
        <w:t xml:space="preserve">asis </w:t>
      </w:r>
      <w:r w:rsidR="00B34D7F">
        <w:rPr>
          <w:rFonts w:ascii="Arial" w:hAnsi="Arial" w:cs="Arial"/>
          <w:sz w:val="22"/>
          <w:szCs w:val="22"/>
        </w:rPr>
        <w:t>E</w:t>
      </w:r>
      <w:r w:rsidR="00C3509C">
        <w:rPr>
          <w:rFonts w:ascii="Arial" w:hAnsi="Arial" w:cs="Arial"/>
          <w:sz w:val="22"/>
          <w:szCs w:val="22"/>
        </w:rPr>
        <w:t>vents</w:t>
      </w:r>
      <w:r w:rsidR="00B34D7F">
        <w:rPr>
          <w:rFonts w:ascii="Arial" w:hAnsi="Arial" w:cs="Arial"/>
          <w:sz w:val="22"/>
          <w:szCs w:val="22"/>
        </w:rPr>
        <w:t xml:space="preserve"> (DBE)</w:t>
      </w:r>
      <w:r w:rsidR="00CF176B">
        <w:rPr>
          <w:rFonts w:ascii="Arial" w:hAnsi="Arial" w:cs="Arial"/>
          <w:sz w:val="22"/>
          <w:szCs w:val="22"/>
        </w:rPr>
        <w:t xml:space="preserve">. </w:t>
      </w:r>
      <w:r w:rsidR="00CF176B" w:rsidRPr="00CF176B">
        <w:rPr>
          <w:rFonts w:ascii="Arial" w:hAnsi="Arial" w:cs="Arial"/>
          <w:sz w:val="22"/>
          <w:szCs w:val="22"/>
        </w:rPr>
        <w:t xml:space="preserve">Events that are more severe than the design basis events </w:t>
      </w:r>
      <w:r w:rsidR="00B34D7F">
        <w:rPr>
          <w:rFonts w:ascii="Arial" w:hAnsi="Arial" w:cs="Arial"/>
          <w:sz w:val="22"/>
          <w:szCs w:val="22"/>
        </w:rPr>
        <w:t xml:space="preserve">are </w:t>
      </w:r>
      <w:r w:rsidR="00CF176B" w:rsidRPr="00CF176B">
        <w:rPr>
          <w:rFonts w:ascii="Arial" w:hAnsi="Arial" w:cs="Arial"/>
          <w:sz w:val="22"/>
          <w:szCs w:val="22"/>
        </w:rPr>
        <w:t>identified as part of DEC analysis</w:t>
      </w:r>
      <w:r w:rsidR="00CF176B">
        <w:rPr>
          <w:rFonts w:ascii="Arial" w:hAnsi="Arial" w:cs="Arial"/>
          <w:sz w:val="22"/>
          <w:szCs w:val="22"/>
        </w:rPr>
        <w:t xml:space="preserve">, to </w:t>
      </w:r>
      <w:r w:rsidR="005F4D46">
        <w:rPr>
          <w:rFonts w:ascii="Arial" w:hAnsi="Arial" w:cs="Arial"/>
          <w:sz w:val="22"/>
          <w:szCs w:val="22"/>
        </w:rPr>
        <w:t xml:space="preserve">demonstrate </w:t>
      </w:r>
      <w:r w:rsidR="00CF176B">
        <w:rPr>
          <w:rFonts w:ascii="Arial" w:hAnsi="Arial" w:cs="Arial"/>
          <w:sz w:val="22"/>
          <w:szCs w:val="22"/>
        </w:rPr>
        <w:t xml:space="preserve">the robustness </w:t>
      </w:r>
      <w:r w:rsidR="00E57E61">
        <w:rPr>
          <w:rFonts w:ascii="Arial" w:hAnsi="Arial" w:cs="Arial"/>
          <w:sz w:val="22"/>
          <w:szCs w:val="22"/>
        </w:rPr>
        <w:t>of</w:t>
      </w:r>
      <w:r w:rsidR="00B34D7F">
        <w:rPr>
          <w:rFonts w:ascii="Arial" w:hAnsi="Arial" w:cs="Arial"/>
          <w:sz w:val="22"/>
          <w:szCs w:val="22"/>
        </w:rPr>
        <w:t>,</w:t>
      </w:r>
      <w:r w:rsidR="00E57E61">
        <w:rPr>
          <w:rFonts w:ascii="Arial" w:hAnsi="Arial" w:cs="Arial"/>
          <w:sz w:val="22"/>
          <w:szCs w:val="22"/>
        </w:rPr>
        <w:t xml:space="preserve"> and the margin in</w:t>
      </w:r>
      <w:r w:rsidR="00B34D7F">
        <w:rPr>
          <w:rFonts w:ascii="Arial" w:hAnsi="Arial" w:cs="Arial"/>
          <w:sz w:val="22"/>
          <w:szCs w:val="22"/>
        </w:rPr>
        <w:t>,</w:t>
      </w:r>
      <w:r w:rsidR="00E57E61">
        <w:rPr>
          <w:rFonts w:ascii="Arial" w:hAnsi="Arial" w:cs="Arial"/>
          <w:sz w:val="22"/>
          <w:szCs w:val="22"/>
        </w:rPr>
        <w:t xml:space="preserve"> the </w:t>
      </w:r>
      <w:r w:rsidR="00B34D7F">
        <w:rPr>
          <w:rFonts w:ascii="Arial" w:hAnsi="Arial" w:cs="Arial"/>
          <w:sz w:val="22"/>
          <w:szCs w:val="22"/>
        </w:rPr>
        <w:t>protection concept against the hazard</w:t>
      </w:r>
      <w:r w:rsidR="00E57E61">
        <w:rPr>
          <w:rFonts w:ascii="Arial" w:hAnsi="Arial" w:cs="Arial"/>
          <w:sz w:val="22"/>
          <w:szCs w:val="22"/>
        </w:rPr>
        <w:t>.</w:t>
      </w:r>
    </w:p>
    <w:p w14:paraId="4DB1C478" w14:textId="77777777" w:rsidR="003043E5" w:rsidRDefault="007A71DD" w:rsidP="003043E5">
      <w:pPr>
        <w:spacing w:after="240" w:line="276" w:lineRule="auto"/>
        <w:jc w:val="both"/>
        <w:rPr>
          <w:rFonts w:ascii="Arial" w:hAnsi="Arial" w:cs="Arial"/>
          <w:sz w:val="22"/>
          <w:szCs w:val="22"/>
        </w:rPr>
      </w:pPr>
      <w:r>
        <w:rPr>
          <w:rFonts w:ascii="Arial" w:hAnsi="Arial" w:cs="Arial"/>
          <w:sz w:val="22"/>
          <w:szCs w:val="22"/>
        </w:rPr>
        <w:t xml:space="preserve">Considering </w:t>
      </w:r>
      <w:r w:rsidR="00C636E1">
        <w:rPr>
          <w:rFonts w:ascii="Arial" w:hAnsi="Arial" w:cs="Arial"/>
          <w:sz w:val="22"/>
          <w:szCs w:val="22"/>
        </w:rPr>
        <w:t>the operating experience from existing hazard PRA</w:t>
      </w:r>
      <w:r w:rsidR="006E4285">
        <w:rPr>
          <w:rFonts w:ascii="Arial" w:hAnsi="Arial" w:cs="Arial"/>
          <w:sz w:val="22"/>
          <w:szCs w:val="22"/>
        </w:rPr>
        <w:t>s and the expected risk metrics for internal events for SMR</w:t>
      </w:r>
      <w:r w:rsidR="001A1DC6" w:rsidRPr="008D7F2C">
        <w:rPr>
          <w:rFonts w:ascii="Arial" w:hAnsi="Arial" w:cs="Arial"/>
          <w:sz w:val="22"/>
          <w:szCs w:val="22"/>
        </w:rPr>
        <w:t xml:space="preserve">, hazards </w:t>
      </w:r>
      <w:r w:rsidR="00B34D7F">
        <w:rPr>
          <w:rFonts w:ascii="Arial" w:hAnsi="Arial" w:cs="Arial"/>
          <w:sz w:val="22"/>
          <w:szCs w:val="22"/>
        </w:rPr>
        <w:t>may</w:t>
      </w:r>
      <w:r w:rsidR="006E4285">
        <w:rPr>
          <w:rFonts w:ascii="Arial" w:hAnsi="Arial" w:cs="Arial"/>
          <w:sz w:val="22"/>
          <w:szCs w:val="22"/>
        </w:rPr>
        <w:t xml:space="preserve"> </w:t>
      </w:r>
      <w:r w:rsidR="001A1DC6" w:rsidRPr="008D7F2C">
        <w:rPr>
          <w:rFonts w:ascii="Arial" w:hAnsi="Arial" w:cs="Arial"/>
          <w:sz w:val="22"/>
          <w:szCs w:val="22"/>
        </w:rPr>
        <w:t xml:space="preserve">become </w:t>
      </w:r>
      <w:r w:rsidR="00D02F65">
        <w:rPr>
          <w:rFonts w:ascii="Arial" w:hAnsi="Arial" w:cs="Arial"/>
          <w:sz w:val="22"/>
          <w:szCs w:val="22"/>
        </w:rPr>
        <w:t xml:space="preserve">very </w:t>
      </w:r>
      <w:r w:rsidR="006E4285">
        <w:rPr>
          <w:rFonts w:ascii="Arial" w:hAnsi="Arial" w:cs="Arial"/>
          <w:sz w:val="22"/>
          <w:szCs w:val="22"/>
        </w:rPr>
        <w:t xml:space="preserve">dominant </w:t>
      </w:r>
      <w:r w:rsidR="00D02F65">
        <w:rPr>
          <w:rFonts w:ascii="Arial" w:hAnsi="Arial" w:cs="Arial"/>
          <w:sz w:val="22"/>
          <w:szCs w:val="22"/>
        </w:rPr>
        <w:t xml:space="preserve">in the risk profile of an </w:t>
      </w:r>
      <w:r w:rsidR="00A947B4">
        <w:rPr>
          <w:rFonts w:ascii="Arial" w:hAnsi="Arial" w:cs="Arial"/>
          <w:sz w:val="22"/>
          <w:szCs w:val="22"/>
        </w:rPr>
        <w:t>SMR</w:t>
      </w:r>
      <w:r w:rsidR="00B34D7F">
        <w:rPr>
          <w:rFonts w:ascii="Arial" w:hAnsi="Arial" w:cs="Arial"/>
          <w:sz w:val="22"/>
          <w:szCs w:val="22"/>
        </w:rPr>
        <w:t>,</w:t>
      </w:r>
      <w:r w:rsidR="00A947B4">
        <w:rPr>
          <w:rFonts w:ascii="Arial" w:hAnsi="Arial" w:cs="Arial"/>
          <w:sz w:val="22"/>
          <w:szCs w:val="22"/>
        </w:rPr>
        <w:t xml:space="preserve"> </w:t>
      </w:r>
      <w:r w:rsidR="00D02F65">
        <w:rPr>
          <w:rFonts w:ascii="Arial" w:hAnsi="Arial" w:cs="Arial"/>
          <w:sz w:val="22"/>
          <w:szCs w:val="22"/>
        </w:rPr>
        <w:t xml:space="preserve">if </w:t>
      </w:r>
      <w:r w:rsidR="00A947B4">
        <w:rPr>
          <w:rFonts w:ascii="Arial" w:hAnsi="Arial" w:cs="Arial"/>
          <w:sz w:val="22"/>
          <w:szCs w:val="22"/>
        </w:rPr>
        <w:t xml:space="preserve">specific safety features like </w:t>
      </w:r>
      <w:r w:rsidR="001A1DC6" w:rsidRPr="008D7F2C">
        <w:rPr>
          <w:rFonts w:ascii="Arial" w:hAnsi="Arial" w:cs="Arial"/>
          <w:sz w:val="22"/>
          <w:szCs w:val="22"/>
        </w:rPr>
        <w:t>the passive systems</w:t>
      </w:r>
      <w:r w:rsidR="00A947B4">
        <w:rPr>
          <w:rFonts w:ascii="Arial" w:hAnsi="Arial" w:cs="Arial"/>
          <w:sz w:val="22"/>
          <w:szCs w:val="22"/>
        </w:rPr>
        <w:t xml:space="preserve"> </w:t>
      </w:r>
      <w:r w:rsidR="00FB3159">
        <w:rPr>
          <w:rFonts w:ascii="Arial" w:hAnsi="Arial" w:cs="Arial"/>
          <w:sz w:val="22"/>
          <w:szCs w:val="22"/>
        </w:rPr>
        <w:t>show insufficient robustness</w:t>
      </w:r>
      <w:r w:rsidR="00B34D7F">
        <w:rPr>
          <w:rFonts w:ascii="Arial" w:hAnsi="Arial" w:cs="Arial"/>
          <w:sz w:val="22"/>
          <w:szCs w:val="22"/>
        </w:rPr>
        <w:t xml:space="preserve"> against the extreme loads induced by hazards</w:t>
      </w:r>
      <w:r w:rsidR="001A1DC6" w:rsidRPr="008D7F2C">
        <w:rPr>
          <w:rFonts w:ascii="Arial" w:hAnsi="Arial" w:cs="Arial"/>
          <w:sz w:val="22"/>
          <w:szCs w:val="22"/>
        </w:rPr>
        <w:t xml:space="preserve">. </w:t>
      </w:r>
      <w:r w:rsidR="00171DA1">
        <w:rPr>
          <w:rFonts w:ascii="Arial" w:hAnsi="Arial" w:cs="Arial"/>
          <w:sz w:val="22"/>
          <w:szCs w:val="22"/>
        </w:rPr>
        <w:t xml:space="preserve">Even </w:t>
      </w:r>
      <w:r w:rsidR="003076C8">
        <w:rPr>
          <w:rFonts w:ascii="Arial" w:hAnsi="Arial" w:cs="Arial"/>
          <w:sz w:val="22"/>
          <w:szCs w:val="22"/>
        </w:rPr>
        <w:t xml:space="preserve">for </w:t>
      </w:r>
      <w:r w:rsidR="00854CFB" w:rsidRPr="00854CFB">
        <w:rPr>
          <w:rFonts w:ascii="Arial" w:hAnsi="Arial" w:cs="Arial"/>
          <w:sz w:val="22"/>
          <w:szCs w:val="22"/>
        </w:rPr>
        <w:t xml:space="preserve">conditions resulting from </w:t>
      </w:r>
      <w:r w:rsidR="00013114">
        <w:rPr>
          <w:rFonts w:ascii="Arial" w:hAnsi="Arial" w:cs="Arial"/>
          <w:sz w:val="22"/>
          <w:szCs w:val="22"/>
        </w:rPr>
        <w:t xml:space="preserve">extreme </w:t>
      </w:r>
      <w:r w:rsidR="00854CFB" w:rsidRPr="00854CFB">
        <w:rPr>
          <w:rFonts w:ascii="Arial" w:hAnsi="Arial" w:cs="Arial"/>
          <w:sz w:val="22"/>
          <w:szCs w:val="22"/>
        </w:rPr>
        <w:t>hazards</w:t>
      </w:r>
      <w:r w:rsidR="003076C8">
        <w:rPr>
          <w:rFonts w:ascii="Arial" w:hAnsi="Arial" w:cs="Arial"/>
          <w:sz w:val="22"/>
          <w:szCs w:val="22"/>
        </w:rPr>
        <w:t xml:space="preserve">, </w:t>
      </w:r>
      <w:r w:rsidR="00854CFB" w:rsidRPr="00854CFB">
        <w:rPr>
          <w:rFonts w:ascii="Arial" w:hAnsi="Arial" w:cs="Arial"/>
          <w:sz w:val="22"/>
          <w:szCs w:val="22"/>
        </w:rPr>
        <w:t xml:space="preserve">the boundary conditions </w:t>
      </w:r>
      <w:r w:rsidR="00B34D7F">
        <w:rPr>
          <w:rFonts w:ascii="Arial" w:hAnsi="Arial" w:cs="Arial"/>
          <w:sz w:val="22"/>
          <w:szCs w:val="22"/>
        </w:rPr>
        <w:t xml:space="preserve">for </w:t>
      </w:r>
      <w:r w:rsidR="00854CFB" w:rsidRPr="00854CFB">
        <w:rPr>
          <w:rFonts w:ascii="Arial" w:hAnsi="Arial" w:cs="Arial"/>
          <w:sz w:val="22"/>
          <w:szCs w:val="22"/>
        </w:rPr>
        <w:t xml:space="preserve">successful operation of the passive systems </w:t>
      </w:r>
      <w:r w:rsidR="008B0088">
        <w:rPr>
          <w:rFonts w:ascii="Arial" w:hAnsi="Arial" w:cs="Arial"/>
          <w:sz w:val="22"/>
          <w:szCs w:val="22"/>
        </w:rPr>
        <w:t xml:space="preserve">should </w:t>
      </w:r>
      <w:r w:rsidR="00854CFB" w:rsidRPr="00854CFB">
        <w:rPr>
          <w:rFonts w:ascii="Arial" w:hAnsi="Arial" w:cs="Arial"/>
          <w:sz w:val="22"/>
          <w:szCs w:val="22"/>
        </w:rPr>
        <w:t xml:space="preserve">still </w:t>
      </w:r>
      <w:r w:rsidR="008B0088">
        <w:rPr>
          <w:rFonts w:ascii="Arial" w:hAnsi="Arial" w:cs="Arial"/>
          <w:sz w:val="22"/>
          <w:szCs w:val="22"/>
        </w:rPr>
        <w:t xml:space="preserve">be </w:t>
      </w:r>
      <w:r w:rsidR="00854CFB" w:rsidRPr="00854CFB">
        <w:rPr>
          <w:rFonts w:ascii="Arial" w:hAnsi="Arial" w:cs="Arial"/>
          <w:sz w:val="22"/>
          <w:szCs w:val="22"/>
        </w:rPr>
        <w:t>met</w:t>
      </w:r>
      <w:r w:rsidR="00F63B37">
        <w:rPr>
          <w:rFonts w:ascii="Arial" w:hAnsi="Arial" w:cs="Arial"/>
          <w:sz w:val="22"/>
          <w:szCs w:val="22"/>
        </w:rPr>
        <w:t>.</w:t>
      </w:r>
      <w:r w:rsidR="008B0088">
        <w:rPr>
          <w:rFonts w:ascii="Arial" w:hAnsi="Arial" w:cs="Arial"/>
          <w:sz w:val="22"/>
          <w:szCs w:val="22"/>
        </w:rPr>
        <w:t xml:space="preserve"> </w:t>
      </w:r>
      <w:r w:rsidR="001757CD">
        <w:rPr>
          <w:rFonts w:ascii="Arial" w:hAnsi="Arial" w:cs="Arial"/>
          <w:sz w:val="22"/>
          <w:szCs w:val="22"/>
        </w:rPr>
        <w:t xml:space="preserve">If the </w:t>
      </w:r>
      <w:r w:rsidR="008B0088">
        <w:rPr>
          <w:rFonts w:ascii="Arial" w:hAnsi="Arial" w:cs="Arial"/>
          <w:sz w:val="22"/>
          <w:szCs w:val="22"/>
        </w:rPr>
        <w:t>overall safety objectives for SMR</w:t>
      </w:r>
      <w:r w:rsidR="001757CD">
        <w:rPr>
          <w:rFonts w:ascii="Arial" w:hAnsi="Arial" w:cs="Arial"/>
          <w:sz w:val="22"/>
          <w:szCs w:val="22"/>
        </w:rPr>
        <w:t xml:space="preserve"> would become more stringent</w:t>
      </w:r>
      <w:r w:rsidR="008B0088">
        <w:rPr>
          <w:rFonts w:ascii="Arial" w:hAnsi="Arial" w:cs="Arial"/>
          <w:sz w:val="22"/>
          <w:szCs w:val="22"/>
        </w:rPr>
        <w:t xml:space="preserve">, </w:t>
      </w:r>
      <w:r w:rsidR="00802C2D">
        <w:rPr>
          <w:rFonts w:ascii="Arial" w:hAnsi="Arial" w:cs="Arial"/>
          <w:sz w:val="22"/>
          <w:szCs w:val="22"/>
        </w:rPr>
        <w:t xml:space="preserve">this may lead to the conclusion that more extreme hazards levels </w:t>
      </w:r>
      <w:r w:rsidR="003043E5">
        <w:rPr>
          <w:rFonts w:ascii="Arial" w:hAnsi="Arial" w:cs="Arial"/>
          <w:sz w:val="22"/>
          <w:szCs w:val="22"/>
        </w:rPr>
        <w:t xml:space="preserve">must </w:t>
      </w:r>
      <w:r w:rsidR="00802C2D">
        <w:rPr>
          <w:rFonts w:ascii="Arial" w:hAnsi="Arial" w:cs="Arial"/>
          <w:sz w:val="22"/>
          <w:szCs w:val="22"/>
        </w:rPr>
        <w:t xml:space="preserve">be considered </w:t>
      </w:r>
      <w:r w:rsidR="001757CD">
        <w:rPr>
          <w:rFonts w:ascii="Arial" w:hAnsi="Arial" w:cs="Arial"/>
          <w:sz w:val="22"/>
          <w:szCs w:val="22"/>
        </w:rPr>
        <w:t xml:space="preserve">in the safety demonstration </w:t>
      </w:r>
      <w:r w:rsidR="003043E5">
        <w:rPr>
          <w:rFonts w:ascii="Arial" w:hAnsi="Arial" w:cs="Arial"/>
          <w:sz w:val="22"/>
          <w:szCs w:val="22"/>
        </w:rPr>
        <w:t xml:space="preserve">for SMR compared to </w:t>
      </w:r>
      <w:r w:rsidR="001757CD">
        <w:rPr>
          <w:rFonts w:ascii="Arial" w:hAnsi="Arial" w:cs="Arial"/>
          <w:sz w:val="22"/>
          <w:szCs w:val="22"/>
        </w:rPr>
        <w:t>traditional large NPP.</w:t>
      </w:r>
      <w:r w:rsidR="00F33E05">
        <w:rPr>
          <w:rFonts w:ascii="Arial" w:hAnsi="Arial" w:cs="Arial"/>
          <w:sz w:val="22"/>
          <w:szCs w:val="22"/>
        </w:rPr>
        <w:t xml:space="preserve"> </w:t>
      </w:r>
      <w:r w:rsidR="003043E5">
        <w:rPr>
          <w:rFonts w:ascii="Arial" w:hAnsi="Arial" w:cs="Arial"/>
          <w:sz w:val="22"/>
          <w:szCs w:val="22"/>
        </w:rPr>
        <w:t xml:space="preserve">Also, </w:t>
      </w:r>
      <w:r w:rsidR="0070476E">
        <w:rPr>
          <w:rFonts w:ascii="Arial" w:hAnsi="Arial" w:cs="Arial"/>
          <w:sz w:val="22"/>
          <w:szCs w:val="22"/>
        </w:rPr>
        <w:t>SMR</w:t>
      </w:r>
      <w:r w:rsidR="00485E7C">
        <w:rPr>
          <w:rFonts w:ascii="Arial" w:hAnsi="Arial" w:cs="Arial"/>
          <w:sz w:val="22"/>
          <w:szCs w:val="22"/>
        </w:rPr>
        <w:t>s</w:t>
      </w:r>
      <w:r w:rsidR="0070476E">
        <w:rPr>
          <w:rFonts w:ascii="Arial" w:hAnsi="Arial" w:cs="Arial"/>
          <w:sz w:val="22"/>
          <w:szCs w:val="22"/>
        </w:rPr>
        <w:t xml:space="preserve"> </w:t>
      </w:r>
      <w:r w:rsidR="00485E7C">
        <w:rPr>
          <w:rFonts w:ascii="Arial" w:hAnsi="Arial" w:cs="Arial"/>
          <w:sz w:val="22"/>
          <w:szCs w:val="22"/>
        </w:rPr>
        <w:t xml:space="preserve">have the potential to be </w:t>
      </w:r>
      <w:r w:rsidR="003043E5">
        <w:rPr>
          <w:rFonts w:ascii="Arial" w:hAnsi="Arial" w:cs="Arial"/>
          <w:sz w:val="22"/>
          <w:szCs w:val="22"/>
        </w:rPr>
        <w:t xml:space="preserve">sited </w:t>
      </w:r>
      <w:r w:rsidR="00485E7C">
        <w:rPr>
          <w:rFonts w:ascii="Arial" w:hAnsi="Arial" w:cs="Arial"/>
          <w:sz w:val="22"/>
          <w:szCs w:val="22"/>
        </w:rPr>
        <w:t>a</w:t>
      </w:r>
      <w:r w:rsidR="001A0757">
        <w:rPr>
          <w:rFonts w:ascii="Arial" w:hAnsi="Arial" w:cs="Arial"/>
          <w:sz w:val="22"/>
          <w:szCs w:val="22"/>
        </w:rPr>
        <w:t>t</w:t>
      </w:r>
      <w:r w:rsidR="005A5CDF">
        <w:rPr>
          <w:rFonts w:ascii="Arial" w:hAnsi="Arial" w:cs="Arial"/>
          <w:sz w:val="22"/>
          <w:szCs w:val="22"/>
        </w:rPr>
        <w:t xml:space="preserve"> locations that are </w:t>
      </w:r>
      <w:r w:rsidR="00787C50">
        <w:rPr>
          <w:rFonts w:ascii="Arial" w:hAnsi="Arial" w:cs="Arial"/>
          <w:sz w:val="22"/>
          <w:szCs w:val="22"/>
        </w:rPr>
        <w:t xml:space="preserve">typically not </w:t>
      </w:r>
      <w:r w:rsidR="003043E5">
        <w:rPr>
          <w:rFonts w:ascii="Arial" w:hAnsi="Arial" w:cs="Arial"/>
          <w:sz w:val="22"/>
          <w:szCs w:val="22"/>
        </w:rPr>
        <w:t xml:space="preserve">selected </w:t>
      </w:r>
      <w:r w:rsidR="004D0DBD">
        <w:rPr>
          <w:rFonts w:ascii="Arial" w:hAnsi="Arial" w:cs="Arial"/>
          <w:sz w:val="22"/>
          <w:szCs w:val="22"/>
        </w:rPr>
        <w:t xml:space="preserve">for </w:t>
      </w:r>
      <w:r w:rsidR="00F33E05">
        <w:rPr>
          <w:rFonts w:ascii="Arial" w:hAnsi="Arial" w:cs="Arial"/>
          <w:sz w:val="22"/>
          <w:szCs w:val="22"/>
        </w:rPr>
        <w:t>large</w:t>
      </w:r>
      <w:r w:rsidR="001A0757">
        <w:rPr>
          <w:rFonts w:ascii="Arial" w:hAnsi="Arial" w:cs="Arial"/>
          <w:sz w:val="22"/>
          <w:szCs w:val="22"/>
        </w:rPr>
        <w:t xml:space="preserve"> NPP, </w:t>
      </w:r>
      <w:r w:rsidR="00526D34">
        <w:rPr>
          <w:rFonts w:ascii="Arial" w:hAnsi="Arial" w:cs="Arial"/>
          <w:sz w:val="22"/>
          <w:szCs w:val="22"/>
        </w:rPr>
        <w:t>like remote locations</w:t>
      </w:r>
      <w:r w:rsidR="00A95247">
        <w:rPr>
          <w:rFonts w:ascii="Arial" w:hAnsi="Arial" w:cs="Arial"/>
          <w:sz w:val="22"/>
          <w:szCs w:val="22"/>
        </w:rPr>
        <w:t xml:space="preserve"> </w:t>
      </w:r>
      <w:r w:rsidR="003043E5">
        <w:rPr>
          <w:rFonts w:ascii="Arial" w:hAnsi="Arial" w:cs="Arial"/>
          <w:sz w:val="22"/>
          <w:szCs w:val="22"/>
        </w:rPr>
        <w:t xml:space="preserve">with limited power demand, adjacent to non-electrical end-users (like a hydrogen production plant) </w:t>
      </w:r>
      <w:r w:rsidR="00A95247">
        <w:rPr>
          <w:rFonts w:ascii="Arial" w:hAnsi="Arial" w:cs="Arial"/>
          <w:sz w:val="22"/>
          <w:szCs w:val="22"/>
        </w:rPr>
        <w:t xml:space="preserve">or closer to </w:t>
      </w:r>
      <w:r w:rsidR="000849D8">
        <w:rPr>
          <w:rFonts w:ascii="Arial" w:hAnsi="Arial" w:cs="Arial"/>
          <w:sz w:val="22"/>
          <w:szCs w:val="22"/>
        </w:rPr>
        <w:t>high populated areas</w:t>
      </w:r>
      <w:r w:rsidR="003043E5">
        <w:rPr>
          <w:rFonts w:ascii="Arial" w:hAnsi="Arial" w:cs="Arial"/>
          <w:sz w:val="22"/>
          <w:szCs w:val="22"/>
        </w:rPr>
        <w:t xml:space="preserve">. Hence, </w:t>
      </w:r>
      <w:r w:rsidR="00E4575F">
        <w:rPr>
          <w:rFonts w:ascii="Arial" w:hAnsi="Arial" w:cs="Arial"/>
          <w:sz w:val="22"/>
          <w:szCs w:val="22"/>
        </w:rPr>
        <w:t>designer</w:t>
      </w:r>
      <w:r w:rsidR="003043E5">
        <w:rPr>
          <w:rFonts w:ascii="Arial" w:hAnsi="Arial" w:cs="Arial"/>
          <w:sz w:val="22"/>
          <w:szCs w:val="22"/>
        </w:rPr>
        <w:t>s</w:t>
      </w:r>
      <w:r w:rsidR="00E4575F">
        <w:rPr>
          <w:rFonts w:ascii="Arial" w:hAnsi="Arial" w:cs="Arial"/>
          <w:sz w:val="22"/>
          <w:szCs w:val="22"/>
        </w:rPr>
        <w:t xml:space="preserve"> may </w:t>
      </w:r>
      <w:r w:rsidR="000849D8">
        <w:rPr>
          <w:rFonts w:ascii="Arial" w:hAnsi="Arial" w:cs="Arial"/>
          <w:sz w:val="22"/>
          <w:szCs w:val="22"/>
        </w:rPr>
        <w:t xml:space="preserve">define </w:t>
      </w:r>
      <w:r w:rsidR="00E4575F">
        <w:rPr>
          <w:rFonts w:ascii="Arial" w:hAnsi="Arial" w:cs="Arial"/>
          <w:sz w:val="22"/>
          <w:szCs w:val="22"/>
        </w:rPr>
        <w:t xml:space="preserve">a </w:t>
      </w:r>
      <w:r w:rsidR="003043E5">
        <w:rPr>
          <w:rFonts w:ascii="Arial" w:hAnsi="Arial" w:cs="Arial"/>
          <w:sz w:val="22"/>
          <w:szCs w:val="22"/>
        </w:rPr>
        <w:t xml:space="preserve">broader </w:t>
      </w:r>
      <w:r w:rsidR="00E4575F">
        <w:rPr>
          <w:rFonts w:ascii="Arial" w:hAnsi="Arial" w:cs="Arial"/>
          <w:sz w:val="22"/>
          <w:szCs w:val="22"/>
        </w:rPr>
        <w:t>standard</w:t>
      </w:r>
      <w:r w:rsidR="0035250F">
        <w:rPr>
          <w:rFonts w:ascii="Arial" w:hAnsi="Arial" w:cs="Arial"/>
          <w:sz w:val="22"/>
          <w:szCs w:val="22"/>
        </w:rPr>
        <w:t xml:space="preserve"> plant parameter design envelope</w:t>
      </w:r>
      <w:r w:rsidR="003043E5">
        <w:rPr>
          <w:rFonts w:ascii="Arial" w:hAnsi="Arial" w:cs="Arial"/>
          <w:sz w:val="22"/>
          <w:szCs w:val="22"/>
        </w:rPr>
        <w:t xml:space="preserve"> then for large NPP</w:t>
      </w:r>
      <w:r w:rsidR="0035250F">
        <w:rPr>
          <w:rFonts w:ascii="Arial" w:hAnsi="Arial" w:cs="Arial"/>
          <w:sz w:val="22"/>
          <w:szCs w:val="22"/>
        </w:rPr>
        <w:t>.</w:t>
      </w:r>
      <w:r w:rsidR="003010DD">
        <w:rPr>
          <w:rFonts w:ascii="Arial" w:hAnsi="Arial" w:cs="Arial"/>
          <w:sz w:val="22"/>
          <w:szCs w:val="22"/>
        </w:rPr>
        <w:t xml:space="preserve"> </w:t>
      </w:r>
    </w:p>
    <w:p w14:paraId="3ECE7554" w14:textId="5F36A453" w:rsidR="003043E5" w:rsidRPr="003043E5" w:rsidRDefault="009F190A" w:rsidP="003043E5">
      <w:pPr>
        <w:spacing w:line="276" w:lineRule="auto"/>
        <w:jc w:val="both"/>
        <w:rPr>
          <w:rFonts w:ascii="Arial" w:hAnsi="Arial" w:cs="Arial"/>
          <w:sz w:val="22"/>
          <w:szCs w:val="22"/>
          <w:lang w:val="en-BE"/>
        </w:rPr>
      </w:pPr>
      <w:r>
        <w:rPr>
          <w:rFonts w:ascii="Arial" w:hAnsi="Arial" w:cs="Arial"/>
          <w:sz w:val="22"/>
          <w:szCs w:val="22"/>
        </w:rPr>
        <w:t>As such</w:t>
      </w:r>
      <w:r w:rsidR="001A1DC6" w:rsidRPr="008D7F2C">
        <w:rPr>
          <w:rFonts w:ascii="Arial" w:hAnsi="Arial" w:cs="Arial"/>
          <w:sz w:val="22"/>
          <w:szCs w:val="22"/>
        </w:rPr>
        <w:t xml:space="preserve">, </w:t>
      </w:r>
      <w:r w:rsidR="000849D8">
        <w:rPr>
          <w:rFonts w:ascii="Arial" w:hAnsi="Arial" w:cs="Arial"/>
          <w:sz w:val="22"/>
          <w:szCs w:val="22"/>
        </w:rPr>
        <w:t xml:space="preserve">grading </w:t>
      </w:r>
      <w:r w:rsidR="003043E5">
        <w:rPr>
          <w:rFonts w:ascii="Arial" w:hAnsi="Arial" w:cs="Arial"/>
          <w:sz w:val="22"/>
          <w:szCs w:val="22"/>
        </w:rPr>
        <w:t xml:space="preserve">for </w:t>
      </w:r>
      <w:r w:rsidR="005403DE">
        <w:rPr>
          <w:rFonts w:ascii="Arial" w:hAnsi="Arial" w:cs="Arial"/>
          <w:sz w:val="22"/>
          <w:szCs w:val="22"/>
        </w:rPr>
        <w:t xml:space="preserve">hazards </w:t>
      </w:r>
      <w:r w:rsidR="001A1DC6" w:rsidRPr="008D7F2C">
        <w:rPr>
          <w:rFonts w:ascii="Arial" w:hAnsi="Arial" w:cs="Arial"/>
          <w:sz w:val="22"/>
          <w:szCs w:val="22"/>
        </w:rPr>
        <w:t xml:space="preserve">may </w:t>
      </w:r>
      <w:r>
        <w:rPr>
          <w:rFonts w:ascii="Arial" w:hAnsi="Arial" w:cs="Arial"/>
          <w:sz w:val="22"/>
          <w:szCs w:val="22"/>
        </w:rPr>
        <w:t xml:space="preserve">rather </w:t>
      </w:r>
      <w:r w:rsidR="005403DE">
        <w:rPr>
          <w:rFonts w:ascii="Arial" w:hAnsi="Arial" w:cs="Arial"/>
          <w:sz w:val="22"/>
          <w:szCs w:val="22"/>
        </w:rPr>
        <w:t xml:space="preserve">be found </w:t>
      </w:r>
      <w:r w:rsidR="001A1DC6" w:rsidRPr="008D7F2C">
        <w:rPr>
          <w:rFonts w:ascii="Arial" w:hAnsi="Arial" w:cs="Arial"/>
          <w:sz w:val="22"/>
          <w:szCs w:val="22"/>
        </w:rPr>
        <w:t xml:space="preserve">in the hazard characterization of the site-specific hazard. </w:t>
      </w:r>
      <w:r w:rsidR="004167FB">
        <w:rPr>
          <w:rFonts w:ascii="Arial" w:hAnsi="Arial" w:cs="Arial"/>
          <w:sz w:val="22"/>
          <w:szCs w:val="22"/>
        </w:rPr>
        <w:t>E.g.</w:t>
      </w:r>
      <w:r w:rsidR="001A1DC6" w:rsidRPr="008D7F2C">
        <w:rPr>
          <w:rFonts w:ascii="Arial" w:hAnsi="Arial" w:cs="Arial"/>
          <w:sz w:val="22"/>
          <w:szCs w:val="22"/>
        </w:rPr>
        <w:t>, as most SMR standard designs use a design basis earthquake representative for a peak ground acceleration of 0.3g (or more), no full Probabilistic Seismic Hazard Analysis should be required to characterize the seismic hazard in low seismic areas like Western or Northern Europe.</w:t>
      </w:r>
      <w:r w:rsidR="00F1197A">
        <w:rPr>
          <w:rFonts w:ascii="Arial" w:hAnsi="Arial" w:cs="Arial"/>
          <w:sz w:val="22"/>
          <w:szCs w:val="22"/>
        </w:rPr>
        <w:t xml:space="preserve"> </w:t>
      </w:r>
      <w:r w:rsidR="003043E5">
        <w:rPr>
          <w:rFonts w:ascii="Arial" w:hAnsi="Arial" w:cs="Arial"/>
          <w:sz w:val="22"/>
          <w:szCs w:val="22"/>
        </w:rPr>
        <w:t xml:space="preserve">An example of such approach has been developed in </w:t>
      </w:r>
      <w:r w:rsidR="003043E5" w:rsidRPr="003043E5">
        <w:rPr>
          <w:rFonts w:ascii="Arial" w:hAnsi="Arial" w:cs="Arial"/>
          <w:sz w:val="22"/>
          <w:szCs w:val="22"/>
        </w:rPr>
        <w:t>IAEA-TECDOC-2042</w:t>
      </w:r>
      <w:r w:rsidR="003043E5">
        <w:rPr>
          <w:rFonts w:ascii="Arial" w:hAnsi="Arial" w:cs="Arial"/>
          <w:sz w:val="22"/>
          <w:szCs w:val="22"/>
        </w:rPr>
        <w:t>, “</w:t>
      </w:r>
      <w:r w:rsidR="003043E5" w:rsidRPr="003043E5">
        <w:rPr>
          <w:rFonts w:ascii="Arial" w:hAnsi="Arial" w:cs="Arial"/>
          <w:sz w:val="22"/>
          <w:szCs w:val="22"/>
          <w:lang w:val="en-BE"/>
        </w:rPr>
        <w:t>Optimization of Safety Measures for Protection of Nuclear Installations Against External Hazards</w:t>
      </w:r>
      <w:r w:rsidR="003043E5">
        <w:rPr>
          <w:rFonts w:ascii="Arial" w:hAnsi="Arial" w:cs="Arial"/>
          <w:sz w:val="22"/>
          <w:szCs w:val="22"/>
          <w:lang w:val="en-BE"/>
        </w:rPr>
        <w:t>”</w:t>
      </w:r>
    </w:p>
    <w:p w14:paraId="1054D003" w14:textId="77777777" w:rsidR="00FE7447" w:rsidRPr="004167FB" w:rsidRDefault="00FE7447" w:rsidP="002138E1">
      <w:pPr>
        <w:spacing w:line="276" w:lineRule="auto"/>
        <w:jc w:val="both"/>
        <w:rPr>
          <w:rFonts w:ascii="Arial" w:hAnsi="Arial" w:cs="Arial"/>
          <w:sz w:val="22"/>
          <w:szCs w:val="22"/>
        </w:rPr>
      </w:pPr>
    </w:p>
    <w:p w14:paraId="0164597C" w14:textId="0CEC0E3F" w:rsidR="00FE7447" w:rsidRPr="003043E5" w:rsidRDefault="0035250F" w:rsidP="002138E1">
      <w:pPr>
        <w:spacing w:line="276" w:lineRule="auto"/>
        <w:jc w:val="both"/>
        <w:rPr>
          <w:rFonts w:ascii="Arial" w:hAnsi="Arial" w:cs="Arial"/>
          <w:b/>
          <w:bCs/>
          <w:sz w:val="22"/>
          <w:szCs w:val="22"/>
        </w:rPr>
      </w:pPr>
      <w:r w:rsidRPr="003043E5">
        <w:rPr>
          <w:rFonts w:ascii="Arial" w:hAnsi="Arial" w:cs="Arial"/>
          <w:b/>
          <w:bCs/>
          <w:sz w:val="22"/>
          <w:szCs w:val="22"/>
        </w:rPr>
        <w:t>Conclusion</w:t>
      </w:r>
    </w:p>
    <w:p w14:paraId="7E441383" w14:textId="77777777" w:rsidR="00523B34" w:rsidRPr="003043E5" w:rsidRDefault="00523B34" w:rsidP="002138E1">
      <w:pPr>
        <w:jc w:val="both"/>
        <w:rPr>
          <w:rFonts w:ascii="Arial" w:hAnsi="Arial" w:cs="Arial"/>
        </w:rPr>
      </w:pPr>
    </w:p>
    <w:p w14:paraId="06AC6D14" w14:textId="761F3262" w:rsidR="00973B94" w:rsidRDefault="00E308BC" w:rsidP="00B34D7F">
      <w:pPr>
        <w:spacing w:line="276" w:lineRule="auto"/>
        <w:jc w:val="both"/>
        <w:rPr>
          <w:rFonts w:ascii="Arial" w:hAnsi="Arial" w:cs="Arial"/>
          <w:sz w:val="22"/>
          <w:szCs w:val="22"/>
        </w:rPr>
      </w:pPr>
      <w:r>
        <w:rPr>
          <w:rFonts w:ascii="Arial" w:hAnsi="Arial" w:cs="Arial"/>
          <w:sz w:val="22"/>
          <w:szCs w:val="22"/>
        </w:rPr>
        <w:t xml:space="preserve">The existing </w:t>
      </w:r>
      <w:r w:rsidR="000A04BA">
        <w:rPr>
          <w:rFonts w:ascii="Arial" w:hAnsi="Arial" w:cs="Arial"/>
          <w:sz w:val="22"/>
          <w:szCs w:val="22"/>
        </w:rPr>
        <w:t xml:space="preserve">European </w:t>
      </w:r>
      <w:r>
        <w:rPr>
          <w:rFonts w:ascii="Arial" w:hAnsi="Arial" w:cs="Arial"/>
          <w:sz w:val="22"/>
          <w:szCs w:val="22"/>
        </w:rPr>
        <w:t xml:space="preserve">regulatory framework </w:t>
      </w:r>
      <w:r w:rsidR="002E0802">
        <w:rPr>
          <w:rFonts w:ascii="Arial" w:hAnsi="Arial" w:cs="Arial"/>
          <w:sz w:val="22"/>
          <w:szCs w:val="22"/>
        </w:rPr>
        <w:t xml:space="preserve">is </w:t>
      </w:r>
      <w:r w:rsidR="003043E5">
        <w:rPr>
          <w:rFonts w:ascii="Arial" w:hAnsi="Arial" w:cs="Arial"/>
          <w:sz w:val="22"/>
          <w:szCs w:val="22"/>
        </w:rPr>
        <w:t xml:space="preserve">typically </w:t>
      </w:r>
      <w:r w:rsidR="002E0802">
        <w:rPr>
          <w:rFonts w:ascii="Arial" w:hAnsi="Arial" w:cs="Arial"/>
          <w:sz w:val="22"/>
          <w:szCs w:val="22"/>
        </w:rPr>
        <w:t>inspired by safety requirement</w:t>
      </w:r>
      <w:r w:rsidR="000A04BA">
        <w:rPr>
          <w:rFonts w:ascii="Arial" w:hAnsi="Arial" w:cs="Arial"/>
          <w:sz w:val="22"/>
          <w:szCs w:val="22"/>
        </w:rPr>
        <w:t>s</w:t>
      </w:r>
      <w:r w:rsidR="002E0802">
        <w:rPr>
          <w:rFonts w:ascii="Arial" w:hAnsi="Arial" w:cs="Arial"/>
          <w:sz w:val="22"/>
          <w:szCs w:val="22"/>
        </w:rPr>
        <w:t xml:space="preserve"> </w:t>
      </w:r>
      <w:r w:rsidR="001E5502">
        <w:rPr>
          <w:rFonts w:ascii="Arial" w:hAnsi="Arial" w:cs="Arial"/>
          <w:sz w:val="22"/>
          <w:szCs w:val="22"/>
        </w:rPr>
        <w:t xml:space="preserve">developed </w:t>
      </w:r>
      <w:r w:rsidR="002E0802">
        <w:rPr>
          <w:rFonts w:ascii="Arial" w:hAnsi="Arial" w:cs="Arial"/>
          <w:sz w:val="22"/>
          <w:szCs w:val="22"/>
        </w:rPr>
        <w:t>for large Light Water Reactors</w:t>
      </w:r>
      <w:r w:rsidR="003043E5">
        <w:rPr>
          <w:rFonts w:ascii="Arial" w:hAnsi="Arial" w:cs="Arial"/>
          <w:sz w:val="22"/>
          <w:szCs w:val="22"/>
        </w:rPr>
        <w:t xml:space="preserve"> (LWR)</w:t>
      </w:r>
      <w:r w:rsidR="001E5502">
        <w:rPr>
          <w:rFonts w:ascii="Arial" w:hAnsi="Arial" w:cs="Arial"/>
          <w:sz w:val="22"/>
          <w:szCs w:val="22"/>
        </w:rPr>
        <w:t>.</w:t>
      </w:r>
      <w:r w:rsidR="001D1D60">
        <w:rPr>
          <w:rFonts w:ascii="Arial" w:hAnsi="Arial" w:cs="Arial"/>
          <w:sz w:val="22"/>
          <w:szCs w:val="22"/>
        </w:rPr>
        <w:t xml:space="preserve"> </w:t>
      </w:r>
      <w:r w:rsidR="003935BC">
        <w:rPr>
          <w:rFonts w:ascii="Arial" w:hAnsi="Arial" w:cs="Arial"/>
          <w:sz w:val="22"/>
          <w:szCs w:val="22"/>
        </w:rPr>
        <w:t xml:space="preserve">Although the </w:t>
      </w:r>
      <w:r w:rsidR="00AC3EC7">
        <w:rPr>
          <w:rFonts w:ascii="Arial" w:hAnsi="Arial" w:cs="Arial"/>
          <w:sz w:val="22"/>
          <w:szCs w:val="22"/>
        </w:rPr>
        <w:t xml:space="preserve">preferred option to </w:t>
      </w:r>
      <w:r w:rsidR="00C4397E">
        <w:rPr>
          <w:rFonts w:ascii="Arial" w:hAnsi="Arial" w:cs="Arial"/>
          <w:sz w:val="22"/>
          <w:szCs w:val="22"/>
        </w:rPr>
        <w:t xml:space="preserve">demonstrate </w:t>
      </w:r>
      <w:r w:rsidR="00CA4588">
        <w:rPr>
          <w:rFonts w:ascii="Arial" w:hAnsi="Arial" w:cs="Arial"/>
          <w:sz w:val="22"/>
          <w:szCs w:val="22"/>
        </w:rPr>
        <w:t>compli</w:t>
      </w:r>
      <w:r w:rsidR="005A2E63">
        <w:rPr>
          <w:rFonts w:ascii="Arial" w:hAnsi="Arial" w:cs="Arial"/>
          <w:sz w:val="22"/>
          <w:szCs w:val="22"/>
        </w:rPr>
        <w:t>ance to these requirements</w:t>
      </w:r>
      <w:r w:rsidR="004458C7">
        <w:rPr>
          <w:rFonts w:ascii="Arial" w:hAnsi="Arial" w:cs="Arial"/>
          <w:sz w:val="22"/>
          <w:szCs w:val="22"/>
        </w:rPr>
        <w:t xml:space="preserve"> </w:t>
      </w:r>
      <w:r w:rsidR="003043E5">
        <w:rPr>
          <w:rFonts w:ascii="Arial" w:hAnsi="Arial" w:cs="Arial"/>
          <w:sz w:val="22"/>
          <w:szCs w:val="22"/>
        </w:rPr>
        <w:t xml:space="preserve">in the European context </w:t>
      </w:r>
      <w:r w:rsidR="00AC3EC7">
        <w:rPr>
          <w:rFonts w:ascii="Arial" w:hAnsi="Arial" w:cs="Arial"/>
          <w:sz w:val="22"/>
          <w:szCs w:val="22"/>
        </w:rPr>
        <w:t xml:space="preserve">is </w:t>
      </w:r>
      <w:r w:rsidR="000E5618">
        <w:rPr>
          <w:rFonts w:ascii="Arial" w:hAnsi="Arial" w:cs="Arial"/>
          <w:sz w:val="22"/>
          <w:szCs w:val="22"/>
        </w:rPr>
        <w:t xml:space="preserve">the deterministic </w:t>
      </w:r>
      <w:r w:rsidR="00EA6787">
        <w:rPr>
          <w:rFonts w:ascii="Arial" w:hAnsi="Arial" w:cs="Arial"/>
          <w:sz w:val="22"/>
          <w:szCs w:val="22"/>
        </w:rPr>
        <w:t>safety analysis</w:t>
      </w:r>
      <w:r w:rsidR="003043E5">
        <w:rPr>
          <w:rFonts w:ascii="Arial" w:hAnsi="Arial" w:cs="Arial"/>
          <w:sz w:val="22"/>
          <w:szCs w:val="22"/>
        </w:rPr>
        <w:t xml:space="preserve">, </w:t>
      </w:r>
      <w:r w:rsidR="003043E5">
        <w:rPr>
          <w:rFonts w:ascii="Arial" w:hAnsi="Arial" w:cs="Arial"/>
          <w:sz w:val="22"/>
          <w:szCs w:val="22"/>
        </w:rPr>
        <w:lastRenderedPageBreak/>
        <w:t xml:space="preserve">representing </w:t>
      </w:r>
      <w:r w:rsidR="00830616">
        <w:rPr>
          <w:rFonts w:ascii="Arial" w:hAnsi="Arial" w:cs="Arial"/>
          <w:sz w:val="22"/>
          <w:szCs w:val="22"/>
        </w:rPr>
        <w:t>the mandatory application of a set of prerequisites</w:t>
      </w:r>
      <w:r w:rsidR="005E15A4">
        <w:rPr>
          <w:rFonts w:ascii="Arial" w:hAnsi="Arial" w:cs="Arial"/>
          <w:sz w:val="22"/>
          <w:szCs w:val="22"/>
        </w:rPr>
        <w:t xml:space="preserve">, significant differences exist in the </w:t>
      </w:r>
      <w:r w:rsidR="00650290">
        <w:rPr>
          <w:rFonts w:ascii="Arial" w:hAnsi="Arial" w:cs="Arial"/>
          <w:sz w:val="22"/>
          <w:szCs w:val="22"/>
        </w:rPr>
        <w:t xml:space="preserve">interpretation and </w:t>
      </w:r>
      <w:r w:rsidR="005E15A4">
        <w:rPr>
          <w:rFonts w:ascii="Arial" w:hAnsi="Arial" w:cs="Arial"/>
          <w:sz w:val="22"/>
          <w:szCs w:val="22"/>
        </w:rPr>
        <w:t>practical implementation</w:t>
      </w:r>
      <w:r w:rsidR="000A510A">
        <w:rPr>
          <w:rFonts w:ascii="Arial" w:hAnsi="Arial" w:cs="Arial"/>
          <w:sz w:val="22"/>
          <w:szCs w:val="22"/>
        </w:rPr>
        <w:t xml:space="preserve"> of these requirements</w:t>
      </w:r>
      <w:r w:rsidR="00650290">
        <w:rPr>
          <w:rFonts w:ascii="Arial" w:hAnsi="Arial" w:cs="Arial"/>
          <w:sz w:val="22"/>
          <w:szCs w:val="22"/>
        </w:rPr>
        <w:t xml:space="preserve"> and prerequisites</w:t>
      </w:r>
      <w:r w:rsidR="000A510A">
        <w:rPr>
          <w:rFonts w:ascii="Arial" w:hAnsi="Arial" w:cs="Arial"/>
          <w:sz w:val="22"/>
          <w:szCs w:val="22"/>
        </w:rPr>
        <w:t xml:space="preserve">. </w:t>
      </w:r>
      <w:r w:rsidR="004132BA" w:rsidRPr="00E308BC">
        <w:rPr>
          <w:rFonts w:ascii="Arial" w:hAnsi="Arial" w:cs="Arial"/>
          <w:sz w:val="22"/>
          <w:szCs w:val="22"/>
        </w:rPr>
        <w:t xml:space="preserve">The current paper provides a set of </w:t>
      </w:r>
      <w:r w:rsidR="000A510A">
        <w:rPr>
          <w:rFonts w:ascii="Arial" w:hAnsi="Arial" w:cs="Arial"/>
          <w:sz w:val="22"/>
          <w:szCs w:val="22"/>
        </w:rPr>
        <w:t>examples</w:t>
      </w:r>
      <w:r w:rsidR="00DF0201">
        <w:rPr>
          <w:rFonts w:ascii="Arial" w:hAnsi="Arial" w:cs="Arial"/>
          <w:sz w:val="22"/>
          <w:szCs w:val="22"/>
        </w:rPr>
        <w:t xml:space="preserve">, that show the challenge of </w:t>
      </w:r>
      <w:r w:rsidR="003935BC">
        <w:rPr>
          <w:rFonts w:ascii="Arial" w:hAnsi="Arial" w:cs="Arial"/>
          <w:sz w:val="22"/>
          <w:szCs w:val="22"/>
        </w:rPr>
        <w:t xml:space="preserve">such </w:t>
      </w:r>
      <w:r w:rsidR="00DF0201">
        <w:rPr>
          <w:rFonts w:ascii="Arial" w:hAnsi="Arial" w:cs="Arial"/>
          <w:sz w:val="22"/>
          <w:szCs w:val="22"/>
        </w:rPr>
        <w:t xml:space="preserve">situation for the </w:t>
      </w:r>
      <w:r w:rsidR="00973B94">
        <w:rPr>
          <w:rFonts w:ascii="Arial" w:hAnsi="Arial" w:cs="Arial"/>
          <w:sz w:val="22"/>
          <w:szCs w:val="22"/>
        </w:rPr>
        <w:t>licensing process of SMR</w:t>
      </w:r>
      <w:r w:rsidR="003935BC">
        <w:rPr>
          <w:rFonts w:ascii="Arial" w:hAnsi="Arial" w:cs="Arial"/>
          <w:sz w:val="22"/>
          <w:szCs w:val="22"/>
        </w:rPr>
        <w:t xml:space="preserve"> designs</w:t>
      </w:r>
      <w:r w:rsidR="00973B94">
        <w:rPr>
          <w:rFonts w:ascii="Arial" w:hAnsi="Arial" w:cs="Arial"/>
          <w:sz w:val="22"/>
          <w:szCs w:val="22"/>
        </w:rPr>
        <w:t>.</w:t>
      </w:r>
      <w:r w:rsidR="00B54431">
        <w:rPr>
          <w:rFonts w:ascii="Arial" w:hAnsi="Arial" w:cs="Arial"/>
          <w:sz w:val="22"/>
          <w:szCs w:val="22"/>
        </w:rPr>
        <w:t xml:space="preserve"> </w:t>
      </w:r>
    </w:p>
    <w:p w14:paraId="1FF5B747" w14:textId="77777777" w:rsidR="00973B94" w:rsidRDefault="00973B94" w:rsidP="00B34D7F">
      <w:pPr>
        <w:spacing w:line="276" w:lineRule="auto"/>
        <w:jc w:val="both"/>
        <w:rPr>
          <w:rFonts w:ascii="Arial" w:hAnsi="Arial" w:cs="Arial"/>
          <w:sz w:val="22"/>
          <w:szCs w:val="22"/>
        </w:rPr>
      </w:pPr>
    </w:p>
    <w:p w14:paraId="5D399BEA" w14:textId="575C6846" w:rsidR="003E53CE" w:rsidRDefault="00DD127D" w:rsidP="00B34D7F">
      <w:pPr>
        <w:spacing w:line="276" w:lineRule="auto"/>
        <w:jc w:val="both"/>
        <w:rPr>
          <w:rFonts w:ascii="Arial" w:hAnsi="Arial" w:cs="Arial"/>
          <w:sz w:val="22"/>
          <w:szCs w:val="22"/>
        </w:rPr>
      </w:pPr>
      <w:r>
        <w:rPr>
          <w:rFonts w:ascii="Arial" w:hAnsi="Arial" w:cs="Arial"/>
          <w:sz w:val="22"/>
          <w:szCs w:val="22"/>
        </w:rPr>
        <w:t xml:space="preserve">To make </w:t>
      </w:r>
      <w:r w:rsidR="003935BC">
        <w:rPr>
          <w:rFonts w:ascii="Arial" w:hAnsi="Arial" w:cs="Arial"/>
          <w:sz w:val="22"/>
          <w:szCs w:val="22"/>
        </w:rPr>
        <w:t xml:space="preserve">the </w:t>
      </w:r>
      <w:r>
        <w:rPr>
          <w:rFonts w:ascii="Arial" w:hAnsi="Arial" w:cs="Arial"/>
          <w:sz w:val="22"/>
          <w:szCs w:val="22"/>
        </w:rPr>
        <w:t>SMR</w:t>
      </w:r>
      <w:r w:rsidR="003935BC">
        <w:rPr>
          <w:rFonts w:ascii="Arial" w:hAnsi="Arial" w:cs="Arial"/>
          <w:sz w:val="22"/>
          <w:szCs w:val="22"/>
        </w:rPr>
        <w:t>-technology</w:t>
      </w:r>
      <w:r>
        <w:rPr>
          <w:rFonts w:ascii="Arial" w:hAnsi="Arial" w:cs="Arial"/>
          <w:sz w:val="22"/>
          <w:szCs w:val="22"/>
        </w:rPr>
        <w:t xml:space="preserve"> </w:t>
      </w:r>
      <w:r w:rsidR="00E13A4D">
        <w:rPr>
          <w:rFonts w:ascii="Arial" w:hAnsi="Arial" w:cs="Arial"/>
          <w:sz w:val="22"/>
          <w:szCs w:val="22"/>
        </w:rPr>
        <w:t xml:space="preserve">market </w:t>
      </w:r>
      <w:r>
        <w:rPr>
          <w:rFonts w:ascii="Arial" w:hAnsi="Arial" w:cs="Arial"/>
          <w:sz w:val="22"/>
          <w:szCs w:val="22"/>
        </w:rPr>
        <w:t xml:space="preserve">competitive and tackle the </w:t>
      </w:r>
      <w:r w:rsidR="0031679B">
        <w:rPr>
          <w:rFonts w:ascii="Arial" w:hAnsi="Arial" w:cs="Arial"/>
          <w:sz w:val="22"/>
          <w:szCs w:val="22"/>
        </w:rPr>
        <w:t xml:space="preserve">European </w:t>
      </w:r>
      <w:r>
        <w:rPr>
          <w:rFonts w:ascii="Arial" w:hAnsi="Arial" w:cs="Arial"/>
          <w:sz w:val="22"/>
          <w:szCs w:val="22"/>
        </w:rPr>
        <w:t>ambitio</w:t>
      </w:r>
      <w:r w:rsidR="0031679B">
        <w:rPr>
          <w:rFonts w:ascii="Arial" w:hAnsi="Arial" w:cs="Arial"/>
          <w:sz w:val="22"/>
          <w:szCs w:val="22"/>
        </w:rPr>
        <w:t xml:space="preserve">ns </w:t>
      </w:r>
      <w:r w:rsidR="003935BC">
        <w:rPr>
          <w:rFonts w:ascii="Arial" w:hAnsi="Arial" w:cs="Arial"/>
          <w:sz w:val="22"/>
          <w:szCs w:val="22"/>
        </w:rPr>
        <w:t xml:space="preserve">on </w:t>
      </w:r>
      <w:r w:rsidR="00166166">
        <w:rPr>
          <w:rFonts w:ascii="Arial" w:hAnsi="Arial" w:cs="Arial"/>
          <w:sz w:val="22"/>
          <w:szCs w:val="22"/>
        </w:rPr>
        <w:t xml:space="preserve">the </w:t>
      </w:r>
      <w:r w:rsidR="00FA607E">
        <w:rPr>
          <w:rFonts w:ascii="Arial" w:hAnsi="Arial" w:cs="Arial"/>
          <w:sz w:val="22"/>
          <w:szCs w:val="22"/>
        </w:rPr>
        <w:t xml:space="preserve">development of nuclear energy </w:t>
      </w:r>
      <w:r w:rsidR="00AB6509">
        <w:rPr>
          <w:rFonts w:ascii="Arial" w:hAnsi="Arial" w:cs="Arial"/>
          <w:sz w:val="22"/>
          <w:szCs w:val="22"/>
        </w:rPr>
        <w:t>by 2050</w:t>
      </w:r>
      <w:r w:rsidR="003331D2">
        <w:rPr>
          <w:rFonts w:ascii="Arial" w:hAnsi="Arial" w:cs="Arial"/>
          <w:sz w:val="22"/>
          <w:szCs w:val="22"/>
        </w:rPr>
        <w:t>, the current regulatory context</w:t>
      </w:r>
      <w:r w:rsidR="007A7D46">
        <w:rPr>
          <w:rFonts w:ascii="Arial" w:hAnsi="Arial" w:cs="Arial"/>
          <w:sz w:val="22"/>
          <w:szCs w:val="22"/>
        </w:rPr>
        <w:t xml:space="preserve"> </w:t>
      </w:r>
      <w:r w:rsidR="003935BC">
        <w:rPr>
          <w:rFonts w:ascii="Arial" w:hAnsi="Arial" w:cs="Arial"/>
          <w:sz w:val="22"/>
          <w:szCs w:val="22"/>
        </w:rPr>
        <w:t xml:space="preserve">needs to </w:t>
      </w:r>
      <w:r w:rsidR="007A7D46">
        <w:rPr>
          <w:rFonts w:ascii="Arial" w:hAnsi="Arial" w:cs="Arial"/>
          <w:sz w:val="22"/>
          <w:szCs w:val="22"/>
        </w:rPr>
        <w:t xml:space="preserve">be adapted </w:t>
      </w:r>
      <w:r w:rsidR="003935BC" w:rsidRPr="00E308BC">
        <w:rPr>
          <w:rFonts w:ascii="Arial" w:hAnsi="Arial" w:cs="Arial"/>
          <w:sz w:val="22"/>
          <w:szCs w:val="22"/>
        </w:rPr>
        <w:t>commensurate with the radiological risk it represents</w:t>
      </w:r>
      <w:r w:rsidR="003935BC">
        <w:rPr>
          <w:rFonts w:ascii="Arial" w:hAnsi="Arial" w:cs="Arial"/>
          <w:sz w:val="22"/>
          <w:szCs w:val="22"/>
        </w:rPr>
        <w:t xml:space="preserve">, </w:t>
      </w:r>
      <w:r w:rsidR="00977A8B" w:rsidRPr="00E308BC">
        <w:rPr>
          <w:rFonts w:ascii="Arial" w:hAnsi="Arial" w:cs="Arial"/>
          <w:sz w:val="22"/>
          <w:szCs w:val="22"/>
        </w:rPr>
        <w:t xml:space="preserve">enable designers to optimize their SMR design </w:t>
      </w:r>
      <w:r w:rsidR="003935BC">
        <w:rPr>
          <w:rFonts w:ascii="Arial" w:hAnsi="Arial" w:cs="Arial"/>
          <w:sz w:val="22"/>
          <w:szCs w:val="22"/>
        </w:rPr>
        <w:t>and give room for risk-based approaches</w:t>
      </w:r>
      <w:r w:rsidR="002A0281">
        <w:rPr>
          <w:rFonts w:ascii="Arial" w:hAnsi="Arial" w:cs="Arial"/>
          <w:sz w:val="22"/>
          <w:szCs w:val="22"/>
        </w:rPr>
        <w:t xml:space="preserve">. </w:t>
      </w:r>
      <w:r w:rsidR="00012ADA">
        <w:rPr>
          <w:rFonts w:ascii="Arial" w:hAnsi="Arial" w:cs="Arial"/>
          <w:sz w:val="22"/>
          <w:szCs w:val="22"/>
        </w:rPr>
        <w:t>The possibility for grading should be includ</w:t>
      </w:r>
      <w:r w:rsidR="00EA5CAD">
        <w:rPr>
          <w:rFonts w:ascii="Arial" w:hAnsi="Arial" w:cs="Arial"/>
          <w:sz w:val="22"/>
          <w:szCs w:val="22"/>
        </w:rPr>
        <w:t xml:space="preserve">ed in a global, balanced European framework that </w:t>
      </w:r>
      <w:r w:rsidR="00B14AAF">
        <w:rPr>
          <w:rFonts w:ascii="Arial" w:hAnsi="Arial" w:cs="Arial"/>
          <w:sz w:val="22"/>
          <w:szCs w:val="22"/>
        </w:rPr>
        <w:t>accounts for the specific context.</w:t>
      </w:r>
    </w:p>
    <w:p w14:paraId="791D32EE" w14:textId="77777777" w:rsidR="003E53CE" w:rsidRDefault="003E53CE" w:rsidP="002138E1">
      <w:pPr>
        <w:spacing w:line="276" w:lineRule="auto"/>
        <w:jc w:val="both"/>
        <w:rPr>
          <w:rFonts w:ascii="Arial" w:hAnsi="Arial" w:cs="Arial"/>
          <w:sz w:val="22"/>
          <w:szCs w:val="22"/>
        </w:rPr>
      </w:pPr>
    </w:p>
    <w:p w14:paraId="462916F9" w14:textId="431EC8A7" w:rsidR="004167FB" w:rsidRPr="00E308BC" w:rsidRDefault="00655972" w:rsidP="002138E1">
      <w:pPr>
        <w:spacing w:line="276" w:lineRule="auto"/>
        <w:jc w:val="both"/>
        <w:rPr>
          <w:rFonts w:ascii="Arial" w:hAnsi="Arial" w:cs="Arial"/>
          <w:sz w:val="22"/>
          <w:szCs w:val="22"/>
        </w:rPr>
      </w:pPr>
      <w:r>
        <w:rPr>
          <w:rFonts w:ascii="Arial" w:hAnsi="Arial" w:cs="Arial"/>
          <w:sz w:val="22"/>
          <w:szCs w:val="22"/>
        </w:rPr>
        <w:t xml:space="preserve">Overall, one could draw the parallel with the </w:t>
      </w:r>
      <w:r w:rsidR="002A78A3">
        <w:rPr>
          <w:rFonts w:ascii="Arial" w:hAnsi="Arial" w:cs="Arial"/>
          <w:sz w:val="22"/>
          <w:szCs w:val="22"/>
        </w:rPr>
        <w:t>‘modern portfolio theory’ developed by the American economist Harry Markowitz in 1927.</w:t>
      </w:r>
      <w:r w:rsidR="0084671B">
        <w:rPr>
          <w:rFonts w:ascii="Arial" w:hAnsi="Arial" w:cs="Arial"/>
          <w:sz w:val="22"/>
          <w:szCs w:val="22"/>
        </w:rPr>
        <w:t xml:space="preserve"> </w:t>
      </w:r>
      <w:r w:rsidR="00D84CBE">
        <w:rPr>
          <w:rFonts w:ascii="Arial" w:hAnsi="Arial" w:cs="Arial"/>
          <w:sz w:val="22"/>
          <w:szCs w:val="22"/>
        </w:rPr>
        <w:t>One of the basic principles of this theory was</w:t>
      </w:r>
      <w:r w:rsidR="00137C27">
        <w:rPr>
          <w:rFonts w:ascii="Arial" w:hAnsi="Arial" w:cs="Arial"/>
          <w:sz w:val="22"/>
          <w:szCs w:val="22"/>
        </w:rPr>
        <w:t xml:space="preserve"> that an efficient portfolio </w:t>
      </w:r>
      <w:r w:rsidR="002417C3">
        <w:rPr>
          <w:rFonts w:ascii="Arial" w:hAnsi="Arial" w:cs="Arial"/>
          <w:sz w:val="22"/>
          <w:szCs w:val="22"/>
        </w:rPr>
        <w:t>meets two conditions</w:t>
      </w:r>
      <w:r w:rsidR="002462CC">
        <w:rPr>
          <w:rFonts w:ascii="Arial" w:hAnsi="Arial" w:cs="Arial"/>
          <w:sz w:val="22"/>
          <w:szCs w:val="22"/>
        </w:rPr>
        <w:t>: first</w:t>
      </w:r>
      <w:r w:rsidR="00CB115E">
        <w:rPr>
          <w:rFonts w:ascii="Arial" w:hAnsi="Arial" w:cs="Arial"/>
          <w:sz w:val="22"/>
          <w:szCs w:val="22"/>
        </w:rPr>
        <w:t xml:space="preserve">, if two portfolios represent the same </w:t>
      </w:r>
      <w:r w:rsidR="00155B51">
        <w:rPr>
          <w:rFonts w:ascii="Arial" w:hAnsi="Arial" w:cs="Arial"/>
          <w:sz w:val="22"/>
          <w:szCs w:val="22"/>
        </w:rPr>
        <w:t>efficiency, take the one with the</w:t>
      </w:r>
      <w:r w:rsidR="00ED1CDD">
        <w:rPr>
          <w:rFonts w:ascii="Arial" w:hAnsi="Arial" w:cs="Arial"/>
          <w:sz w:val="22"/>
          <w:szCs w:val="22"/>
        </w:rPr>
        <w:t xml:space="preserve"> lowest risk; second, if two portfolios represent the same risk, </w:t>
      </w:r>
      <w:r w:rsidR="00731383">
        <w:rPr>
          <w:rFonts w:ascii="Arial" w:hAnsi="Arial" w:cs="Arial"/>
          <w:sz w:val="22"/>
          <w:szCs w:val="22"/>
        </w:rPr>
        <w:t xml:space="preserve">choose the one with the highest efficiency. </w:t>
      </w:r>
      <w:r w:rsidR="0084671B">
        <w:rPr>
          <w:rFonts w:ascii="Arial" w:hAnsi="Arial" w:cs="Arial"/>
          <w:sz w:val="22"/>
          <w:szCs w:val="22"/>
        </w:rPr>
        <w:t xml:space="preserve">Markowitz received the </w:t>
      </w:r>
      <w:r w:rsidR="00D84CBE">
        <w:rPr>
          <w:rFonts w:ascii="Arial" w:hAnsi="Arial" w:cs="Arial"/>
          <w:sz w:val="22"/>
          <w:szCs w:val="22"/>
        </w:rPr>
        <w:t>N</w:t>
      </w:r>
      <w:r w:rsidR="0084671B">
        <w:rPr>
          <w:rFonts w:ascii="Arial" w:hAnsi="Arial" w:cs="Arial"/>
          <w:sz w:val="22"/>
          <w:szCs w:val="22"/>
        </w:rPr>
        <w:t>obel</w:t>
      </w:r>
      <w:r w:rsidR="00D84CBE">
        <w:rPr>
          <w:rFonts w:ascii="Arial" w:hAnsi="Arial" w:cs="Arial"/>
          <w:sz w:val="22"/>
          <w:szCs w:val="22"/>
        </w:rPr>
        <w:t xml:space="preserve"> </w:t>
      </w:r>
      <w:r w:rsidR="00776CEB">
        <w:rPr>
          <w:rFonts w:ascii="Arial" w:hAnsi="Arial" w:cs="Arial"/>
          <w:sz w:val="22"/>
          <w:szCs w:val="22"/>
        </w:rPr>
        <w:t>Prize</w:t>
      </w:r>
      <w:r w:rsidR="0084671B">
        <w:rPr>
          <w:rFonts w:ascii="Arial" w:hAnsi="Arial" w:cs="Arial"/>
          <w:sz w:val="22"/>
          <w:szCs w:val="22"/>
        </w:rPr>
        <w:t xml:space="preserve"> for economics</w:t>
      </w:r>
      <w:r w:rsidR="004E67E1">
        <w:rPr>
          <w:rFonts w:ascii="Arial" w:hAnsi="Arial" w:cs="Arial"/>
          <w:sz w:val="22"/>
          <w:szCs w:val="22"/>
        </w:rPr>
        <w:t xml:space="preserve"> for this simple but efficient </w:t>
      </w:r>
      <w:r w:rsidR="00776CEB">
        <w:rPr>
          <w:rFonts w:ascii="Arial" w:hAnsi="Arial" w:cs="Arial"/>
          <w:sz w:val="22"/>
          <w:szCs w:val="22"/>
        </w:rPr>
        <w:t xml:space="preserve">principle </w:t>
      </w:r>
      <w:r w:rsidR="004E67E1">
        <w:rPr>
          <w:rFonts w:ascii="Arial" w:hAnsi="Arial" w:cs="Arial"/>
          <w:sz w:val="22"/>
          <w:szCs w:val="22"/>
        </w:rPr>
        <w:t>in 1990.</w:t>
      </w:r>
    </w:p>
    <w:p w14:paraId="562A2476" w14:textId="77777777" w:rsidR="00E308BC" w:rsidRDefault="00E308BC" w:rsidP="002138E1">
      <w:pPr>
        <w:jc w:val="both"/>
        <w:rPr>
          <w:rFonts w:ascii="Arial" w:hAnsi="Arial" w:cs="Arial"/>
        </w:rPr>
      </w:pPr>
    </w:p>
    <w:p w14:paraId="20EDD154" w14:textId="77777777" w:rsidR="00E308BC" w:rsidRPr="004132BA" w:rsidRDefault="00E308BC" w:rsidP="002138E1">
      <w:pPr>
        <w:jc w:val="both"/>
        <w:rPr>
          <w:rFonts w:ascii="Arial" w:hAnsi="Arial" w:cs="Arial"/>
        </w:rPr>
      </w:pPr>
    </w:p>
    <w:p w14:paraId="4282B5CC" w14:textId="77777777" w:rsidR="00523B34" w:rsidRPr="004132BA" w:rsidRDefault="00523B34" w:rsidP="002138E1">
      <w:pPr>
        <w:jc w:val="both"/>
        <w:rPr>
          <w:rFonts w:ascii="Arial" w:hAnsi="Arial" w:cs="Arial"/>
        </w:rPr>
      </w:pPr>
    </w:p>
    <w:p w14:paraId="2C8AD570" w14:textId="77777777" w:rsidR="00523B34" w:rsidRPr="004132BA" w:rsidRDefault="00523B34" w:rsidP="002138E1">
      <w:pPr>
        <w:jc w:val="both"/>
        <w:rPr>
          <w:rFonts w:ascii="Arial" w:hAnsi="Arial" w:cs="Arial"/>
        </w:rPr>
      </w:pPr>
    </w:p>
    <w:p w14:paraId="3B36861E" w14:textId="77777777" w:rsidR="00523B34" w:rsidRPr="004132BA" w:rsidRDefault="00523B34" w:rsidP="002138E1">
      <w:pPr>
        <w:jc w:val="both"/>
        <w:rPr>
          <w:rFonts w:ascii="Arial" w:hAnsi="Arial" w:cs="Arial"/>
        </w:rPr>
      </w:pPr>
    </w:p>
    <w:p w14:paraId="0F31C41F" w14:textId="77777777" w:rsidR="00523B34" w:rsidRPr="004132BA" w:rsidRDefault="00523B34" w:rsidP="002138E1">
      <w:pPr>
        <w:jc w:val="both"/>
        <w:rPr>
          <w:rFonts w:ascii="Arial" w:hAnsi="Arial" w:cs="Arial"/>
        </w:rPr>
      </w:pPr>
    </w:p>
    <w:p w14:paraId="79EC2CC0" w14:textId="77777777" w:rsidR="0083381B" w:rsidRPr="004132BA" w:rsidRDefault="0083381B" w:rsidP="002138E1">
      <w:pPr>
        <w:jc w:val="both"/>
        <w:rPr>
          <w:rFonts w:ascii="Arial" w:hAnsi="Arial" w:cs="Arial"/>
        </w:rPr>
      </w:pPr>
    </w:p>
    <w:p w14:paraId="15F9D13D" w14:textId="77777777" w:rsidR="0083381B" w:rsidRPr="004132BA" w:rsidRDefault="0083381B" w:rsidP="002138E1">
      <w:pPr>
        <w:jc w:val="both"/>
        <w:rPr>
          <w:rFonts w:ascii="Arial" w:hAnsi="Arial" w:cs="Arial"/>
        </w:rPr>
      </w:pPr>
    </w:p>
    <w:sectPr w:rsidR="0083381B" w:rsidRPr="004132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39B83" w14:textId="77777777" w:rsidR="00776CEB" w:rsidRDefault="00776CEB" w:rsidP="00776CEB">
      <w:r>
        <w:separator/>
      </w:r>
    </w:p>
  </w:endnote>
  <w:endnote w:type="continuationSeparator" w:id="0">
    <w:p w14:paraId="562963BB" w14:textId="77777777" w:rsidR="00776CEB" w:rsidRDefault="00776CEB" w:rsidP="0077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F6CE1" w14:textId="77777777" w:rsidR="00776CEB" w:rsidRDefault="00776CEB" w:rsidP="00776CEB">
      <w:r>
        <w:separator/>
      </w:r>
    </w:p>
  </w:footnote>
  <w:footnote w:type="continuationSeparator" w:id="0">
    <w:p w14:paraId="115EBAEF" w14:textId="77777777" w:rsidR="00776CEB" w:rsidRDefault="00776CEB" w:rsidP="00776CEB">
      <w:r>
        <w:continuationSeparator/>
      </w:r>
    </w:p>
  </w:footnote>
  <w:footnote w:id="1">
    <w:p w14:paraId="3280FF45" w14:textId="2EB785E7" w:rsidR="00776CEB" w:rsidRDefault="00776CEB">
      <w:pPr>
        <w:pStyle w:val="FootnoteText"/>
      </w:pPr>
      <w:r>
        <w:rPr>
          <w:rStyle w:val="FootnoteReference"/>
        </w:rPr>
        <w:footnoteRef/>
      </w:r>
      <w:r>
        <w:t xml:space="preserve"> </w:t>
      </w:r>
      <w:r>
        <w:tab/>
      </w:r>
      <w:r w:rsidRPr="00776CEB">
        <w:t xml:space="preserve">Source: Presentation </w:t>
      </w:r>
      <w:proofErr w:type="spellStart"/>
      <w:r w:rsidRPr="00776CEB">
        <w:t>NuclearEurope</w:t>
      </w:r>
      <w:proofErr w:type="spellEnd"/>
      <w:r w:rsidRPr="00776CEB">
        <w:t xml:space="preserve"> ‘</w:t>
      </w:r>
      <w:r w:rsidRPr="00776CEB">
        <w:rPr>
          <w:i/>
          <w:iCs/>
        </w:rPr>
        <w:t>Overview of nuclear new build in EU with 2050 perspective</w:t>
      </w:r>
      <w:r w:rsidRPr="00776CEB">
        <w:t>’ at SNETP forum 2024</w:t>
      </w:r>
    </w:p>
  </w:footnote>
  <w:footnote w:id="2">
    <w:p w14:paraId="1589E51E" w14:textId="3AC67FEC" w:rsidR="00CD1D88" w:rsidRDefault="00CD1D88">
      <w:pPr>
        <w:pStyle w:val="FootnoteText"/>
      </w:pPr>
      <w:r>
        <w:rPr>
          <w:rStyle w:val="FootnoteReference"/>
        </w:rPr>
        <w:footnoteRef/>
      </w:r>
      <w:r>
        <w:t xml:space="preserve"> </w:t>
      </w:r>
      <w:r>
        <w:tab/>
      </w:r>
      <w:r w:rsidRPr="00CD1D88">
        <w:t>Belgium, Bulgaria, Czech Republic, Finland, France, Germany, Hungary, Italy, Lithuania, Netherlands, Romania, Slovakia, Slovenia, Spain and Sweden</w:t>
      </w:r>
    </w:p>
  </w:footnote>
  <w:footnote w:id="3">
    <w:p w14:paraId="4979B19D" w14:textId="2972080A" w:rsidR="00CD1D88" w:rsidRDefault="00CD1D88">
      <w:pPr>
        <w:pStyle w:val="FootnoteText"/>
      </w:pPr>
      <w:r>
        <w:rPr>
          <w:rStyle w:val="FootnoteReference"/>
        </w:rPr>
        <w:footnoteRef/>
      </w:r>
      <w:r>
        <w:t xml:space="preserve"> </w:t>
      </w:r>
      <w:r>
        <w:tab/>
      </w:r>
      <w:r w:rsidRPr="00CD1D88">
        <w:t xml:space="preserve">Source – </w:t>
      </w:r>
      <w:proofErr w:type="spellStart"/>
      <w:r w:rsidRPr="00CD1D88">
        <w:t>NuclearEurope</w:t>
      </w:r>
      <w:proofErr w:type="spellEnd"/>
      <w:r w:rsidRPr="00CD1D88">
        <w:t xml:space="preserve"> chart based on IAEA PRIS data base</w:t>
      </w:r>
    </w:p>
  </w:footnote>
  <w:footnote w:id="4">
    <w:p w14:paraId="4D1E93B3" w14:textId="227E2C3C" w:rsidR="00FF4C4B" w:rsidRDefault="00FF4C4B">
      <w:pPr>
        <w:pStyle w:val="FootnoteText"/>
      </w:pPr>
      <w:r>
        <w:rPr>
          <w:rStyle w:val="FootnoteReference"/>
        </w:rPr>
        <w:footnoteRef/>
      </w:r>
      <w:r>
        <w:t xml:space="preserve"> </w:t>
      </w:r>
      <w:r>
        <w:tab/>
      </w:r>
      <w:r w:rsidRPr="00FF4C4B">
        <w:t>WENRA (RHWG) Report “Safety of new NPP designs” (March 2013)</w:t>
      </w:r>
    </w:p>
  </w:footnote>
  <w:footnote w:id="5">
    <w:p w14:paraId="0C9CEB91" w14:textId="2CBFB3D8" w:rsidR="00FF4C4B" w:rsidRDefault="00FF4C4B">
      <w:pPr>
        <w:pStyle w:val="FootnoteText"/>
      </w:pPr>
      <w:r>
        <w:rPr>
          <w:rStyle w:val="FootnoteReference"/>
        </w:rPr>
        <w:footnoteRef/>
      </w:r>
      <w:r>
        <w:t xml:space="preserve"> </w:t>
      </w:r>
      <w:r>
        <w:tab/>
      </w:r>
      <w:r w:rsidRPr="00FF4C4B">
        <w:t>3 levels of DiD x 2 EDG for redundancy per level of DiD x 2 modules/unit = 12 EDG/unit</w:t>
      </w:r>
    </w:p>
  </w:footnote>
  <w:footnote w:id="6">
    <w:p w14:paraId="2C6EFD72" w14:textId="03EE84EE" w:rsidR="00B34D7F" w:rsidRDefault="00B34D7F">
      <w:pPr>
        <w:pStyle w:val="FootnoteText"/>
      </w:pPr>
      <w:r>
        <w:rPr>
          <w:rStyle w:val="FootnoteReference"/>
        </w:rPr>
        <w:footnoteRef/>
      </w:r>
      <w:r>
        <w:t xml:space="preserve"> </w:t>
      </w:r>
      <w:r>
        <w:tab/>
      </w:r>
      <w:r w:rsidRPr="00B34D7F">
        <w:rPr>
          <w:lang w:val="en-BE"/>
        </w:rPr>
        <w:t xml:space="preserve">WENRA </w:t>
      </w:r>
      <w:r w:rsidRPr="00B34D7F">
        <w:t>Report “Applicability of the Safety Objectives to SMRs”,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28C3"/>
    <w:multiLevelType w:val="multilevel"/>
    <w:tmpl w:val="E3FA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7649A"/>
    <w:multiLevelType w:val="hybridMultilevel"/>
    <w:tmpl w:val="4ED6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35168">
    <w:abstractNumId w:val="0"/>
  </w:num>
  <w:num w:numId="2" w16cid:durableId="1565067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B6"/>
    <w:rsid w:val="000005D1"/>
    <w:rsid w:val="00012ADA"/>
    <w:rsid w:val="00013114"/>
    <w:rsid w:val="000217D3"/>
    <w:rsid w:val="00023EA5"/>
    <w:rsid w:val="00027292"/>
    <w:rsid w:val="0003013C"/>
    <w:rsid w:val="00040871"/>
    <w:rsid w:val="00045AC4"/>
    <w:rsid w:val="00047D23"/>
    <w:rsid w:val="000534EE"/>
    <w:rsid w:val="00060E48"/>
    <w:rsid w:val="00061686"/>
    <w:rsid w:val="00075548"/>
    <w:rsid w:val="00083D7C"/>
    <w:rsid w:val="000849D8"/>
    <w:rsid w:val="000872E8"/>
    <w:rsid w:val="00087418"/>
    <w:rsid w:val="000A04BA"/>
    <w:rsid w:val="000A510A"/>
    <w:rsid w:val="000A7B5B"/>
    <w:rsid w:val="000A7D20"/>
    <w:rsid w:val="000B5D57"/>
    <w:rsid w:val="000C434E"/>
    <w:rsid w:val="000D40C6"/>
    <w:rsid w:val="000E5618"/>
    <w:rsid w:val="000E61AD"/>
    <w:rsid w:val="000F4BDE"/>
    <w:rsid w:val="0010652E"/>
    <w:rsid w:val="00110150"/>
    <w:rsid w:val="00115E72"/>
    <w:rsid w:val="001172AE"/>
    <w:rsid w:val="001345A9"/>
    <w:rsid w:val="00137C27"/>
    <w:rsid w:val="001466DC"/>
    <w:rsid w:val="0015499B"/>
    <w:rsid w:val="00155B51"/>
    <w:rsid w:val="00166166"/>
    <w:rsid w:val="00171DA1"/>
    <w:rsid w:val="001757CD"/>
    <w:rsid w:val="00176E2A"/>
    <w:rsid w:val="001A0757"/>
    <w:rsid w:val="001A1DC6"/>
    <w:rsid w:val="001B56EB"/>
    <w:rsid w:val="001B6575"/>
    <w:rsid w:val="001C1230"/>
    <w:rsid w:val="001D18F1"/>
    <w:rsid w:val="001D1D60"/>
    <w:rsid w:val="001D25BE"/>
    <w:rsid w:val="001E4634"/>
    <w:rsid w:val="001E5502"/>
    <w:rsid w:val="00201B5A"/>
    <w:rsid w:val="00206BC4"/>
    <w:rsid w:val="002138E1"/>
    <w:rsid w:val="00221D5B"/>
    <w:rsid w:val="002236AF"/>
    <w:rsid w:val="002417C3"/>
    <w:rsid w:val="002462CC"/>
    <w:rsid w:val="00247AF9"/>
    <w:rsid w:val="00250427"/>
    <w:rsid w:val="00254007"/>
    <w:rsid w:val="00273340"/>
    <w:rsid w:val="00281CF0"/>
    <w:rsid w:val="0028292A"/>
    <w:rsid w:val="002829BA"/>
    <w:rsid w:val="00286409"/>
    <w:rsid w:val="00287C37"/>
    <w:rsid w:val="00297B3E"/>
    <w:rsid w:val="002A0281"/>
    <w:rsid w:val="002A37D8"/>
    <w:rsid w:val="002A78A3"/>
    <w:rsid w:val="002A7C5F"/>
    <w:rsid w:val="002B4A71"/>
    <w:rsid w:val="002B5E03"/>
    <w:rsid w:val="002D1556"/>
    <w:rsid w:val="002E0802"/>
    <w:rsid w:val="002E0A20"/>
    <w:rsid w:val="002F3CDD"/>
    <w:rsid w:val="0030058E"/>
    <w:rsid w:val="003010DD"/>
    <w:rsid w:val="00301CD2"/>
    <w:rsid w:val="00302DCD"/>
    <w:rsid w:val="003043E5"/>
    <w:rsid w:val="003076C8"/>
    <w:rsid w:val="00313E52"/>
    <w:rsid w:val="0031679B"/>
    <w:rsid w:val="00332AD4"/>
    <w:rsid w:val="003331D2"/>
    <w:rsid w:val="0034616F"/>
    <w:rsid w:val="0035250F"/>
    <w:rsid w:val="003548AF"/>
    <w:rsid w:val="003628E0"/>
    <w:rsid w:val="003935BC"/>
    <w:rsid w:val="003A24E0"/>
    <w:rsid w:val="003C18F3"/>
    <w:rsid w:val="003C6334"/>
    <w:rsid w:val="003E2C5A"/>
    <w:rsid w:val="003E50D1"/>
    <w:rsid w:val="003E53CE"/>
    <w:rsid w:val="003F47A1"/>
    <w:rsid w:val="0040414F"/>
    <w:rsid w:val="004132BA"/>
    <w:rsid w:val="004167FB"/>
    <w:rsid w:val="00416E4C"/>
    <w:rsid w:val="0041797E"/>
    <w:rsid w:val="00430A83"/>
    <w:rsid w:val="00443856"/>
    <w:rsid w:val="004458C7"/>
    <w:rsid w:val="0045088C"/>
    <w:rsid w:val="00451084"/>
    <w:rsid w:val="00455051"/>
    <w:rsid w:val="00485E7C"/>
    <w:rsid w:val="00490231"/>
    <w:rsid w:val="004915C9"/>
    <w:rsid w:val="00493BBE"/>
    <w:rsid w:val="004A6E44"/>
    <w:rsid w:val="004A7AE9"/>
    <w:rsid w:val="004B5CCB"/>
    <w:rsid w:val="004B75C6"/>
    <w:rsid w:val="004C0B4F"/>
    <w:rsid w:val="004D01F5"/>
    <w:rsid w:val="004D0DBD"/>
    <w:rsid w:val="004D2EE8"/>
    <w:rsid w:val="004E2E51"/>
    <w:rsid w:val="004E67E1"/>
    <w:rsid w:val="004E6EA1"/>
    <w:rsid w:val="004F3720"/>
    <w:rsid w:val="00504526"/>
    <w:rsid w:val="005113C8"/>
    <w:rsid w:val="00515E88"/>
    <w:rsid w:val="0051601E"/>
    <w:rsid w:val="00523AF5"/>
    <w:rsid w:val="00523B34"/>
    <w:rsid w:val="00526D34"/>
    <w:rsid w:val="00531015"/>
    <w:rsid w:val="00533BFD"/>
    <w:rsid w:val="005403DE"/>
    <w:rsid w:val="00546C45"/>
    <w:rsid w:val="005514EB"/>
    <w:rsid w:val="0055753B"/>
    <w:rsid w:val="00560EF0"/>
    <w:rsid w:val="00561B23"/>
    <w:rsid w:val="00574B97"/>
    <w:rsid w:val="0059334B"/>
    <w:rsid w:val="005A2E63"/>
    <w:rsid w:val="005A5CDF"/>
    <w:rsid w:val="005B7AF5"/>
    <w:rsid w:val="005C1A90"/>
    <w:rsid w:val="005C233E"/>
    <w:rsid w:val="005C446C"/>
    <w:rsid w:val="005D4B4E"/>
    <w:rsid w:val="005E1527"/>
    <w:rsid w:val="005E15A4"/>
    <w:rsid w:val="005F4D46"/>
    <w:rsid w:val="005F6822"/>
    <w:rsid w:val="00605A39"/>
    <w:rsid w:val="006214A7"/>
    <w:rsid w:val="00625BB6"/>
    <w:rsid w:val="00644DAA"/>
    <w:rsid w:val="00647DBD"/>
    <w:rsid w:val="00650290"/>
    <w:rsid w:val="0065144B"/>
    <w:rsid w:val="00655972"/>
    <w:rsid w:val="00664D37"/>
    <w:rsid w:val="006817CD"/>
    <w:rsid w:val="00683C51"/>
    <w:rsid w:val="00685E5B"/>
    <w:rsid w:val="006948F0"/>
    <w:rsid w:val="006A6956"/>
    <w:rsid w:val="006B04F3"/>
    <w:rsid w:val="006B124F"/>
    <w:rsid w:val="006C138F"/>
    <w:rsid w:val="006D1EC9"/>
    <w:rsid w:val="006E4285"/>
    <w:rsid w:val="006F0F3C"/>
    <w:rsid w:val="006F53B6"/>
    <w:rsid w:val="0070476E"/>
    <w:rsid w:val="00715ADC"/>
    <w:rsid w:val="007255F6"/>
    <w:rsid w:val="00731383"/>
    <w:rsid w:val="007420F1"/>
    <w:rsid w:val="007471CD"/>
    <w:rsid w:val="007507FB"/>
    <w:rsid w:val="0075493A"/>
    <w:rsid w:val="007628CC"/>
    <w:rsid w:val="00776CEB"/>
    <w:rsid w:val="0078058E"/>
    <w:rsid w:val="00784C55"/>
    <w:rsid w:val="00787C50"/>
    <w:rsid w:val="00792ECF"/>
    <w:rsid w:val="007932CA"/>
    <w:rsid w:val="007A4D77"/>
    <w:rsid w:val="007A71DD"/>
    <w:rsid w:val="007A7594"/>
    <w:rsid w:val="007A7D46"/>
    <w:rsid w:val="007B2CC0"/>
    <w:rsid w:val="007B41CE"/>
    <w:rsid w:val="007B7C96"/>
    <w:rsid w:val="007C43B7"/>
    <w:rsid w:val="007C5F50"/>
    <w:rsid w:val="007E28C7"/>
    <w:rsid w:val="0080103A"/>
    <w:rsid w:val="00802338"/>
    <w:rsid w:val="00802B1A"/>
    <w:rsid w:val="00802C2D"/>
    <w:rsid w:val="008035D6"/>
    <w:rsid w:val="008041ED"/>
    <w:rsid w:val="0081505E"/>
    <w:rsid w:val="00821534"/>
    <w:rsid w:val="00823B1E"/>
    <w:rsid w:val="00830616"/>
    <w:rsid w:val="00830956"/>
    <w:rsid w:val="0083381B"/>
    <w:rsid w:val="00844B95"/>
    <w:rsid w:val="0084671B"/>
    <w:rsid w:val="00847FEF"/>
    <w:rsid w:val="00852283"/>
    <w:rsid w:val="00854CFB"/>
    <w:rsid w:val="008568C8"/>
    <w:rsid w:val="00857977"/>
    <w:rsid w:val="00864DA5"/>
    <w:rsid w:val="0086612F"/>
    <w:rsid w:val="00875B64"/>
    <w:rsid w:val="008859A9"/>
    <w:rsid w:val="00887883"/>
    <w:rsid w:val="0088799F"/>
    <w:rsid w:val="00894316"/>
    <w:rsid w:val="008A00F4"/>
    <w:rsid w:val="008A148D"/>
    <w:rsid w:val="008A2307"/>
    <w:rsid w:val="008B0088"/>
    <w:rsid w:val="008B52F4"/>
    <w:rsid w:val="008B6EBA"/>
    <w:rsid w:val="008C1B66"/>
    <w:rsid w:val="008C4D27"/>
    <w:rsid w:val="008C52AB"/>
    <w:rsid w:val="008C7047"/>
    <w:rsid w:val="008D7F2C"/>
    <w:rsid w:val="008E0C0B"/>
    <w:rsid w:val="008E35CE"/>
    <w:rsid w:val="008E4E7F"/>
    <w:rsid w:val="008E6BE2"/>
    <w:rsid w:val="008F4F98"/>
    <w:rsid w:val="008F7E3A"/>
    <w:rsid w:val="0091157C"/>
    <w:rsid w:val="00920A41"/>
    <w:rsid w:val="0092154D"/>
    <w:rsid w:val="00943F43"/>
    <w:rsid w:val="0095652C"/>
    <w:rsid w:val="00973B94"/>
    <w:rsid w:val="00977A8B"/>
    <w:rsid w:val="00982D14"/>
    <w:rsid w:val="00992D99"/>
    <w:rsid w:val="00993491"/>
    <w:rsid w:val="009A6412"/>
    <w:rsid w:val="009B2AED"/>
    <w:rsid w:val="009B6391"/>
    <w:rsid w:val="009B737E"/>
    <w:rsid w:val="009B7424"/>
    <w:rsid w:val="009C549B"/>
    <w:rsid w:val="009F190A"/>
    <w:rsid w:val="00A02E77"/>
    <w:rsid w:val="00A04DF2"/>
    <w:rsid w:val="00A06D6A"/>
    <w:rsid w:val="00A23E9D"/>
    <w:rsid w:val="00A2775D"/>
    <w:rsid w:val="00A45D4D"/>
    <w:rsid w:val="00A47738"/>
    <w:rsid w:val="00A53C24"/>
    <w:rsid w:val="00A55C38"/>
    <w:rsid w:val="00A6586C"/>
    <w:rsid w:val="00A67631"/>
    <w:rsid w:val="00A90775"/>
    <w:rsid w:val="00A93671"/>
    <w:rsid w:val="00A947B4"/>
    <w:rsid w:val="00A95247"/>
    <w:rsid w:val="00A964A9"/>
    <w:rsid w:val="00AA533C"/>
    <w:rsid w:val="00AB6509"/>
    <w:rsid w:val="00AC327B"/>
    <w:rsid w:val="00AC3B89"/>
    <w:rsid w:val="00AC3EC7"/>
    <w:rsid w:val="00AD001A"/>
    <w:rsid w:val="00AE1937"/>
    <w:rsid w:val="00AE4062"/>
    <w:rsid w:val="00AE422D"/>
    <w:rsid w:val="00AF7BD5"/>
    <w:rsid w:val="00B117BA"/>
    <w:rsid w:val="00B14AAF"/>
    <w:rsid w:val="00B24A12"/>
    <w:rsid w:val="00B2570B"/>
    <w:rsid w:val="00B31D4C"/>
    <w:rsid w:val="00B34D7F"/>
    <w:rsid w:val="00B445D6"/>
    <w:rsid w:val="00B462ED"/>
    <w:rsid w:val="00B54431"/>
    <w:rsid w:val="00B61D32"/>
    <w:rsid w:val="00B647D8"/>
    <w:rsid w:val="00B64F03"/>
    <w:rsid w:val="00B86D45"/>
    <w:rsid w:val="00B91B9A"/>
    <w:rsid w:val="00B94034"/>
    <w:rsid w:val="00B94461"/>
    <w:rsid w:val="00B963A6"/>
    <w:rsid w:val="00B96689"/>
    <w:rsid w:val="00BA1C28"/>
    <w:rsid w:val="00BA266F"/>
    <w:rsid w:val="00BA539C"/>
    <w:rsid w:val="00BB4A5A"/>
    <w:rsid w:val="00BC21EA"/>
    <w:rsid w:val="00BD0B1E"/>
    <w:rsid w:val="00C076CB"/>
    <w:rsid w:val="00C16F34"/>
    <w:rsid w:val="00C201CC"/>
    <w:rsid w:val="00C21EB7"/>
    <w:rsid w:val="00C3079B"/>
    <w:rsid w:val="00C32392"/>
    <w:rsid w:val="00C34CD8"/>
    <w:rsid w:val="00C3509C"/>
    <w:rsid w:val="00C3535E"/>
    <w:rsid w:val="00C4397E"/>
    <w:rsid w:val="00C47D6B"/>
    <w:rsid w:val="00C60BED"/>
    <w:rsid w:val="00C60E12"/>
    <w:rsid w:val="00C636E1"/>
    <w:rsid w:val="00C80CFF"/>
    <w:rsid w:val="00C9645C"/>
    <w:rsid w:val="00CA4588"/>
    <w:rsid w:val="00CB115E"/>
    <w:rsid w:val="00CC7504"/>
    <w:rsid w:val="00CD1D88"/>
    <w:rsid w:val="00CD50A3"/>
    <w:rsid w:val="00CE6569"/>
    <w:rsid w:val="00CF176B"/>
    <w:rsid w:val="00CF7C2C"/>
    <w:rsid w:val="00D02F65"/>
    <w:rsid w:val="00D35322"/>
    <w:rsid w:val="00D47A9A"/>
    <w:rsid w:val="00D54DCB"/>
    <w:rsid w:val="00D60216"/>
    <w:rsid w:val="00D611D5"/>
    <w:rsid w:val="00D63ADD"/>
    <w:rsid w:val="00D740AC"/>
    <w:rsid w:val="00D84932"/>
    <w:rsid w:val="00D84CBE"/>
    <w:rsid w:val="00D85D86"/>
    <w:rsid w:val="00D97B9C"/>
    <w:rsid w:val="00DA7DCB"/>
    <w:rsid w:val="00DC7A5D"/>
    <w:rsid w:val="00DD127D"/>
    <w:rsid w:val="00DD19BF"/>
    <w:rsid w:val="00DD3989"/>
    <w:rsid w:val="00DD435B"/>
    <w:rsid w:val="00DE2865"/>
    <w:rsid w:val="00DE2C9D"/>
    <w:rsid w:val="00DE3049"/>
    <w:rsid w:val="00DF0201"/>
    <w:rsid w:val="00DF35C6"/>
    <w:rsid w:val="00E04FA9"/>
    <w:rsid w:val="00E13A4D"/>
    <w:rsid w:val="00E14CD4"/>
    <w:rsid w:val="00E308BC"/>
    <w:rsid w:val="00E3164E"/>
    <w:rsid w:val="00E4112B"/>
    <w:rsid w:val="00E4575F"/>
    <w:rsid w:val="00E475B8"/>
    <w:rsid w:val="00E477E0"/>
    <w:rsid w:val="00E47F71"/>
    <w:rsid w:val="00E57E61"/>
    <w:rsid w:val="00E703F1"/>
    <w:rsid w:val="00E7241F"/>
    <w:rsid w:val="00E85674"/>
    <w:rsid w:val="00E90CE2"/>
    <w:rsid w:val="00E95F56"/>
    <w:rsid w:val="00EA5CAD"/>
    <w:rsid w:val="00EA6787"/>
    <w:rsid w:val="00EB5D3C"/>
    <w:rsid w:val="00EC6AFE"/>
    <w:rsid w:val="00ED1CDD"/>
    <w:rsid w:val="00ED4023"/>
    <w:rsid w:val="00EE24EA"/>
    <w:rsid w:val="00EE4F62"/>
    <w:rsid w:val="00EF36DA"/>
    <w:rsid w:val="00EF4631"/>
    <w:rsid w:val="00F01048"/>
    <w:rsid w:val="00F10FD3"/>
    <w:rsid w:val="00F1197A"/>
    <w:rsid w:val="00F33E05"/>
    <w:rsid w:val="00F5027F"/>
    <w:rsid w:val="00F55ED9"/>
    <w:rsid w:val="00F60D92"/>
    <w:rsid w:val="00F626DF"/>
    <w:rsid w:val="00F630F5"/>
    <w:rsid w:val="00F63B37"/>
    <w:rsid w:val="00F64F36"/>
    <w:rsid w:val="00F65108"/>
    <w:rsid w:val="00F80F4B"/>
    <w:rsid w:val="00FA607E"/>
    <w:rsid w:val="00FB3159"/>
    <w:rsid w:val="00FB62AB"/>
    <w:rsid w:val="00FE067B"/>
    <w:rsid w:val="00FE7447"/>
    <w:rsid w:val="00FE794A"/>
    <w:rsid w:val="00FF17C3"/>
    <w:rsid w:val="00FF2575"/>
    <w:rsid w:val="00FF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9DBB"/>
  <w15:chartTrackingRefBased/>
  <w15:docId w15:val="{302CCE7F-DA78-40A9-B2BC-90CA51E8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B6"/>
    <w:pPr>
      <w:spacing w:after="0" w:line="240" w:lineRule="auto"/>
    </w:pPr>
    <w:rPr>
      <w:rFonts w:ascii="Calibri" w:hAnsi="Calibri" w:cs="Calibri"/>
      <w:kern w:val="0"/>
      <w:sz w:val="20"/>
      <w:szCs w:val="20"/>
      <w14:ligatures w14:val="none"/>
    </w:rPr>
  </w:style>
  <w:style w:type="paragraph" w:styleId="Heading1">
    <w:name w:val="heading 1"/>
    <w:basedOn w:val="Normal"/>
    <w:next w:val="Normal"/>
    <w:link w:val="Heading1Char"/>
    <w:uiPriority w:val="9"/>
    <w:qFormat/>
    <w:rsid w:val="006D1EC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062"/>
    <w:pPr>
      <w:ind w:left="720"/>
      <w:contextualSpacing/>
    </w:pPr>
  </w:style>
  <w:style w:type="paragraph" w:styleId="Title">
    <w:name w:val="Title"/>
    <w:basedOn w:val="Normal"/>
    <w:next w:val="Normal"/>
    <w:link w:val="TitleChar"/>
    <w:uiPriority w:val="10"/>
    <w:qFormat/>
    <w:rsid w:val="00301C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CD2"/>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6D1EC9"/>
    <w:rPr>
      <w:rFonts w:asciiTheme="majorHAnsi" w:eastAsiaTheme="majorEastAsia" w:hAnsiTheme="majorHAnsi" w:cstheme="majorBidi"/>
      <w:color w:val="2F5496" w:themeColor="accent1" w:themeShade="BF"/>
      <w:kern w:val="0"/>
      <w:sz w:val="32"/>
      <w:szCs w:val="32"/>
      <w14:ligatures w14:val="none"/>
    </w:rPr>
  </w:style>
  <w:style w:type="paragraph" w:styleId="FootnoteText">
    <w:name w:val="footnote text"/>
    <w:basedOn w:val="Normal"/>
    <w:link w:val="FootnoteTextChar"/>
    <w:uiPriority w:val="99"/>
    <w:semiHidden/>
    <w:unhideWhenUsed/>
    <w:rsid w:val="00776CEB"/>
  </w:style>
  <w:style w:type="character" w:customStyle="1" w:styleId="FootnoteTextChar">
    <w:name w:val="Footnote Text Char"/>
    <w:basedOn w:val="DefaultParagraphFont"/>
    <w:link w:val="FootnoteText"/>
    <w:uiPriority w:val="99"/>
    <w:semiHidden/>
    <w:rsid w:val="00776CEB"/>
    <w:rPr>
      <w:rFonts w:ascii="Calibri" w:hAnsi="Calibri" w:cs="Calibri"/>
      <w:kern w:val="0"/>
      <w:sz w:val="20"/>
      <w:szCs w:val="20"/>
      <w14:ligatures w14:val="none"/>
    </w:rPr>
  </w:style>
  <w:style w:type="character" w:styleId="FootnoteReference">
    <w:name w:val="footnote reference"/>
    <w:basedOn w:val="DefaultParagraphFont"/>
    <w:uiPriority w:val="99"/>
    <w:semiHidden/>
    <w:unhideWhenUsed/>
    <w:rsid w:val="00776CEB"/>
    <w:rPr>
      <w:vertAlign w:val="superscript"/>
    </w:rPr>
  </w:style>
  <w:style w:type="paragraph" w:customStyle="1" w:styleId="Authornameandaffiliation">
    <w:name w:val="Author name and affiliation"/>
    <w:link w:val="AuthornameandaffiliationChar"/>
    <w:uiPriority w:val="49"/>
    <w:qFormat/>
    <w:rsid w:val="00DE2865"/>
    <w:pPr>
      <w:spacing w:after="0" w:line="240" w:lineRule="auto"/>
      <w:ind w:left="567"/>
      <w:contextualSpacing/>
    </w:pPr>
    <w:rPr>
      <w:rFonts w:ascii="Times New Roman" w:eastAsia="Times New Roman" w:hAnsi="Times New Roman" w:cs="Times New Roman"/>
      <w:kern w:val="0"/>
      <w:sz w:val="20"/>
      <w:szCs w:val="20"/>
      <w14:ligatures w14:val="none"/>
    </w:rPr>
  </w:style>
  <w:style w:type="character" w:customStyle="1" w:styleId="AuthornameandaffiliationChar">
    <w:name w:val="Author name and affiliation Char"/>
    <w:basedOn w:val="DefaultParagraphFont"/>
    <w:link w:val="Authornameandaffiliation"/>
    <w:uiPriority w:val="49"/>
    <w:rsid w:val="00DE286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0455">
      <w:bodyDiv w:val="1"/>
      <w:marLeft w:val="0"/>
      <w:marRight w:val="0"/>
      <w:marTop w:val="0"/>
      <w:marBottom w:val="0"/>
      <w:divBdr>
        <w:top w:val="none" w:sz="0" w:space="0" w:color="auto"/>
        <w:left w:val="none" w:sz="0" w:space="0" w:color="auto"/>
        <w:bottom w:val="none" w:sz="0" w:space="0" w:color="auto"/>
        <w:right w:val="none" w:sz="0" w:space="0" w:color="auto"/>
      </w:divBdr>
    </w:div>
    <w:div w:id="301279118">
      <w:bodyDiv w:val="1"/>
      <w:marLeft w:val="0"/>
      <w:marRight w:val="0"/>
      <w:marTop w:val="0"/>
      <w:marBottom w:val="0"/>
      <w:divBdr>
        <w:top w:val="none" w:sz="0" w:space="0" w:color="auto"/>
        <w:left w:val="none" w:sz="0" w:space="0" w:color="auto"/>
        <w:bottom w:val="none" w:sz="0" w:space="0" w:color="auto"/>
        <w:right w:val="none" w:sz="0" w:space="0" w:color="auto"/>
      </w:divBdr>
    </w:div>
    <w:div w:id="677926549">
      <w:bodyDiv w:val="1"/>
      <w:marLeft w:val="0"/>
      <w:marRight w:val="0"/>
      <w:marTop w:val="0"/>
      <w:marBottom w:val="0"/>
      <w:divBdr>
        <w:top w:val="none" w:sz="0" w:space="0" w:color="auto"/>
        <w:left w:val="none" w:sz="0" w:space="0" w:color="auto"/>
        <w:bottom w:val="none" w:sz="0" w:space="0" w:color="auto"/>
        <w:right w:val="none" w:sz="0" w:space="0" w:color="auto"/>
      </w:divBdr>
    </w:div>
    <w:div w:id="976108449">
      <w:bodyDiv w:val="1"/>
      <w:marLeft w:val="0"/>
      <w:marRight w:val="0"/>
      <w:marTop w:val="0"/>
      <w:marBottom w:val="0"/>
      <w:divBdr>
        <w:top w:val="none" w:sz="0" w:space="0" w:color="auto"/>
        <w:left w:val="none" w:sz="0" w:space="0" w:color="auto"/>
        <w:bottom w:val="none" w:sz="0" w:space="0" w:color="auto"/>
        <w:right w:val="none" w:sz="0" w:space="0" w:color="auto"/>
      </w:divBdr>
    </w:div>
    <w:div w:id="1264999133">
      <w:bodyDiv w:val="1"/>
      <w:marLeft w:val="0"/>
      <w:marRight w:val="0"/>
      <w:marTop w:val="0"/>
      <w:marBottom w:val="0"/>
      <w:divBdr>
        <w:top w:val="none" w:sz="0" w:space="0" w:color="auto"/>
        <w:left w:val="none" w:sz="0" w:space="0" w:color="auto"/>
        <w:bottom w:val="none" w:sz="0" w:space="0" w:color="auto"/>
        <w:right w:val="none" w:sz="0" w:space="0" w:color="auto"/>
      </w:divBdr>
    </w:div>
    <w:div w:id="1431269439">
      <w:bodyDiv w:val="1"/>
      <w:marLeft w:val="0"/>
      <w:marRight w:val="0"/>
      <w:marTop w:val="0"/>
      <w:marBottom w:val="0"/>
      <w:divBdr>
        <w:top w:val="none" w:sz="0" w:space="0" w:color="auto"/>
        <w:left w:val="none" w:sz="0" w:space="0" w:color="auto"/>
        <w:bottom w:val="none" w:sz="0" w:space="0" w:color="auto"/>
        <w:right w:val="none" w:sz="0" w:space="0" w:color="auto"/>
      </w:divBdr>
    </w:div>
    <w:div w:id="15323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F9A9-4985-4D88-B2E0-809D4C6C8045}">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 Jo (TRACTEBEL - BELGIUM)</dc:creator>
  <cp:keywords/>
  <dc:description/>
  <cp:lastModifiedBy>REGA Jo (TRACTEBEL - BELGIUM)</cp:lastModifiedBy>
  <cp:revision>6</cp:revision>
  <dcterms:created xsi:type="dcterms:W3CDTF">2024-08-01T20:09:00Z</dcterms:created>
  <dcterms:modified xsi:type="dcterms:W3CDTF">2024-08-01T20:16:00Z</dcterms:modified>
</cp:coreProperties>
</file>