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6DBB3" w14:textId="77777777" w:rsidR="00E020A1" w:rsidRDefault="00E020A1" w:rsidP="0042484E">
      <w:pPr>
        <w:pStyle w:val="Heading1"/>
        <w:jc w:val="both"/>
      </w:pPr>
      <w:r w:rsidRPr="00B96EEC">
        <w:t xml:space="preserve">IDENTIFYING TECHNICAL CHALLENGES IN </w:t>
      </w:r>
    </w:p>
    <w:p w14:paraId="62D7489A" w14:textId="77777777" w:rsidR="00E020A1" w:rsidRDefault="00E020A1" w:rsidP="0042484E">
      <w:pPr>
        <w:pStyle w:val="Heading1"/>
        <w:jc w:val="both"/>
      </w:pPr>
      <w:r w:rsidRPr="00B96EEC">
        <w:t xml:space="preserve">SAFEGUARDS MEASUREMENTS OF ADVANCED </w:t>
      </w:r>
    </w:p>
    <w:p w14:paraId="78092F55" w14:textId="77777777" w:rsidR="00E020A1" w:rsidRPr="00AA34D8" w:rsidRDefault="00E020A1" w:rsidP="0042484E">
      <w:pPr>
        <w:pStyle w:val="Heading1"/>
        <w:jc w:val="both"/>
      </w:pPr>
      <w:r w:rsidRPr="00B96EEC">
        <w:t>SMALL MODULAR REACTOR FUEL ELEMENTS</w:t>
      </w:r>
    </w:p>
    <w:p w14:paraId="4B6D582A" w14:textId="77777777" w:rsidR="00D53EED" w:rsidRPr="00B96EEC" w:rsidRDefault="00D53EED" w:rsidP="0042484E">
      <w:pPr>
        <w:pStyle w:val="Authornameandaffiliation"/>
        <w:jc w:val="both"/>
      </w:pPr>
    </w:p>
    <w:p w14:paraId="32159D0F" w14:textId="55A930FC" w:rsidR="003B5E0E" w:rsidRPr="00B96EEC" w:rsidRDefault="00DF3CB5" w:rsidP="0042484E">
      <w:pPr>
        <w:pStyle w:val="Authornameandaffiliation"/>
        <w:jc w:val="both"/>
      </w:pPr>
      <w:r w:rsidRPr="00B96EEC">
        <w:t>Jianwei Hu, Donny Hartanto, Robert McElroy Jr.</w:t>
      </w:r>
    </w:p>
    <w:p w14:paraId="02370931" w14:textId="3233E65D" w:rsidR="00FF386F" w:rsidRPr="00B96EEC" w:rsidRDefault="00DF3CB5" w:rsidP="0042484E">
      <w:pPr>
        <w:pStyle w:val="Authornameandaffiliation"/>
        <w:jc w:val="both"/>
      </w:pPr>
      <w:r w:rsidRPr="00B96EEC">
        <w:t>Oak Ridge National Laboratory</w:t>
      </w:r>
      <w:r w:rsidRPr="00B96EEC">
        <w:tab/>
      </w:r>
    </w:p>
    <w:p w14:paraId="14684DE2" w14:textId="7D94BEBF" w:rsidR="00FF386F" w:rsidRPr="00B96EEC" w:rsidRDefault="00DF3CB5" w:rsidP="0042484E">
      <w:pPr>
        <w:pStyle w:val="Authornameandaffiliation"/>
        <w:jc w:val="both"/>
      </w:pPr>
      <w:r w:rsidRPr="00B96EEC">
        <w:t>Oak Ridge</w:t>
      </w:r>
      <w:r w:rsidR="00FF386F" w:rsidRPr="00B96EEC">
        <w:t>,</w:t>
      </w:r>
      <w:r w:rsidRPr="00B96EEC">
        <w:t xml:space="preserve"> TN,</w:t>
      </w:r>
      <w:r w:rsidR="00FF386F" w:rsidRPr="00B96EEC">
        <w:t xml:space="preserve"> </w:t>
      </w:r>
      <w:r w:rsidRPr="00B96EEC">
        <w:t>USA</w:t>
      </w:r>
    </w:p>
    <w:p w14:paraId="0080899C" w14:textId="648E6170" w:rsidR="00FF386F" w:rsidRPr="00B96EEC" w:rsidRDefault="00FF386F" w:rsidP="0042484E">
      <w:pPr>
        <w:pStyle w:val="Authornameandaffiliation"/>
        <w:jc w:val="both"/>
      </w:pPr>
      <w:r w:rsidRPr="00B96EEC">
        <w:t xml:space="preserve">Email: </w:t>
      </w:r>
      <w:hyperlink r:id="rId11" w:history="1">
        <w:r w:rsidR="00DF3CB5" w:rsidRPr="00B96EEC">
          <w:rPr>
            <w:rStyle w:val="Hyperlink"/>
          </w:rPr>
          <w:t>huj1@ornl.gov</w:t>
        </w:r>
      </w:hyperlink>
    </w:p>
    <w:p w14:paraId="2C7F19CB" w14:textId="77777777" w:rsidR="00FF386F" w:rsidRPr="00B96EEC" w:rsidRDefault="00FF386F" w:rsidP="0042484E">
      <w:pPr>
        <w:pStyle w:val="Authornameandaffiliation"/>
        <w:jc w:val="both"/>
      </w:pPr>
    </w:p>
    <w:p w14:paraId="4F2E62A2" w14:textId="0F8DC4CE" w:rsidR="00647F33" w:rsidRPr="00B96EEC" w:rsidRDefault="00647F33" w:rsidP="0042484E">
      <w:pPr>
        <w:pStyle w:val="Authornameandaffiliation"/>
        <w:jc w:val="both"/>
        <w:rPr>
          <w:b/>
        </w:rPr>
      </w:pPr>
      <w:r w:rsidRPr="00B96EEC">
        <w:rPr>
          <w:b/>
        </w:rPr>
        <w:t>Abstract</w:t>
      </w:r>
    </w:p>
    <w:p w14:paraId="2F5432A9" w14:textId="5CB59FB4" w:rsidR="00D53EED" w:rsidRPr="00B96EEC" w:rsidRDefault="00D53EED" w:rsidP="0042484E">
      <w:pPr>
        <w:pStyle w:val="ARIAAbstractText"/>
        <w:ind w:firstLine="0"/>
      </w:pPr>
      <w:r w:rsidRPr="00B96EEC">
        <w:rPr>
          <w:rFonts w:eastAsia="YMZVES+NimbusRomNo9L-Regu" w:cs="YMZVES+NimbusRomNo9L-Regu"/>
          <w:color w:val="000000"/>
          <w:sz w:val="18"/>
          <w:szCs w:val="18"/>
        </w:rPr>
        <w:t xml:space="preserve">            Advanced small modular reactor (SMR) designs use various nuclear fuel element types that can be significantly different than </w:t>
      </w:r>
      <w:r w:rsidR="00094B96" w:rsidRPr="00B96EEC">
        <w:rPr>
          <w:rFonts w:eastAsia="YMZVES+NimbusRomNo9L-Regu" w:cs="YMZVES+NimbusRomNo9L-Regu"/>
          <w:color w:val="000000"/>
          <w:sz w:val="18"/>
          <w:szCs w:val="18"/>
        </w:rPr>
        <w:t xml:space="preserve">those of </w:t>
      </w:r>
      <w:r w:rsidRPr="00B96EEC">
        <w:rPr>
          <w:rFonts w:eastAsia="YMZVES+NimbusRomNo9L-Regu" w:cs="YMZVES+NimbusRomNo9L-Regu"/>
          <w:color w:val="000000"/>
          <w:sz w:val="18"/>
          <w:szCs w:val="18"/>
        </w:rPr>
        <w:t>conventional light</w:t>
      </w:r>
      <w:r w:rsidR="009029D1" w:rsidRPr="00B96EEC">
        <w:rPr>
          <w:rFonts w:eastAsia="YMZVES+NimbusRomNo9L-Regu" w:cs="YMZVES+NimbusRomNo9L-Regu"/>
          <w:color w:val="000000"/>
          <w:sz w:val="18"/>
          <w:szCs w:val="18"/>
        </w:rPr>
        <w:t>-</w:t>
      </w:r>
      <w:r w:rsidRPr="00B96EEC">
        <w:rPr>
          <w:rFonts w:eastAsia="YMZVES+NimbusRomNo9L-Regu" w:cs="YMZVES+NimbusRomNo9L-Regu"/>
          <w:color w:val="000000"/>
          <w:sz w:val="18"/>
          <w:szCs w:val="18"/>
        </w:rPr>
        <w:t>water reactor (LWR) fuels</w:t>
      </w:r>
      <w:r w:rsidR="00BF6A3A" w:rsidRPr="00B96EEC">
        <w:rPr>
          <w:rFonts w:eastAsia="YMZVES+NimbusRomNo9L-Regu" w:cs="YMZVES+NimbusRomNo9L-Regu"/>
          <w:color w:val="000000"/>
          <w:sz w:val="18"/>
          <w:szCs w:val="18"/>
        </w:rPr>
        <w:t xml:space="preserve">; they differ </w:t>
      </w:r>
      <w:r w:rsidRPr="00B96EEC">
        <w:rPr>
          <w:rFonts w:eastAsia="YMZVES+NimbusRomNo9L-Regu" w:cs="YMZVES+NimbusRomNo9L-Regu"/>
          <w:color w:val="000000"/>
          <w:sz w:val="18"/>
          <w:szCs w:val="18"/>
        </w:rPr>
        <w:t xml:space="preserve">in size, composition, and chemical form (e.g., oxide, carbide, metallic). </w:t>
      </w:r>
      <w:bookmarkStart w:id="0" w:name="OLE_LINK1"/>
      <w:r w:rsidRPr="00B96EEC">
        <w:rPr>
          <w:rFonts w:eastAsia="YMZVES+NimbusRomNo9L-Regu" w:cs="YMZVES+NimbusRomNo9L-Regu"/>
          <w:color w:val="000000"/>
          <w:sz w:val="18"/>
          <w:szCs w:val="18"/>
        </w:rPr>
        <w:t>Nearly all the proposed advanced fuels use high-assay low-enriched uranium, which can have much higher enrichments than those of LWR fuels (currently limited to &lt; 5 wt</w:t>
      </w:r>
      <w:r w:rsidR="002351A4" w:rsidRPr="00B96EEC">
        <w:rPr>
          <w:rFonts w:eastAsia="YMZVES+NimbusRomNo9L-Regu" w:cs="YMZVES+NimbusRomNo9L-Regu"/>
          <w:color w:val="000000"/>
          <w:sz w:val="18"/>
          <w:szCs w:val="18"/>
        </w:rPr>
        <w:t xml:space="preserve"> </w:t>
      </w:r>
      <w:r w:rsidRPr="00B96EEC">
        <w:rPr>
          <w:rFonts w:eastAsia="YMZVES+NimbusRomNo9L-Regu" w:cs="YMZVES+NimbusRomNo9L-Regu"/>
          <w:color w:val="000000"/>
          <w:sz w:val="18"/>
          <w:szCs w:val="18"/>
        </w:rPr>
        <w:t xml:space="preserve">% </w:t>
      </w:r>
      <w:r w:rsidRPr="00B96EEC">
        <w:rPr>
          <w:rFonts w:eastAsia="YMZVES+NimbusRomNo9L-Regu" w:cs="YMZVES+NimbusRomNo9L-Regu"/>
          <w:color w:val="000000"/>
          <w:sz w:val="18"/>
          <w:szCs w:val="18"/>
          <w:vertAlign w:val="superscript"/>
        </w:rPr>
        <w:t>235</w:t>
      </w:r>
      <w:r w:rsidRPr="00B96EEC">
        <w:rPr>
          <w:rFonts w:eastAsia="YMZVES+NimbusRomNo9L-Regu" w:cs="YMZVES+NimbusRomNo9L-Regu"/>
          <w:color w:val="000000"/>
          <w:sz w:val="18"/>
          <w:szCs w:val="18"/>
        </w:rPr>
        <w:t>U).</w:t>
      </w:r>
      <w:bookmarkEnd w:id="0"/>
      <w:r w:rsidRPr="00B96EEC">
        <w:rPr>
          <w:rFonts w:eastAsia="YMZVES+NimbusRomNo9L-Regu" w:cs="YMZVES+NimbusRomNo9L-Regu"/>
          <w:color w:val="000000"/>
          <w:sz w:val="18"/>
          <w:szCs w:val="18"/>
        </w:rPr>
        <w:t xml:space="preserve"> The overarching goal of this work is to identify the potential technical challenges in safeguards verification measurements of these advanced fuel elements. This paper focuses on using modeling and simulation to assess (1) the performance of the existing instruments that are commonly used for safeguards measurements of </w:t>
      </w:r>
      <w:r w:rsidR="00B23014" w:rsidRPr="00B96EEC">
        <w:rPr>
          <w:rFonts w:eastAsia="YMZVES+NimbusRomNo9L-Regu" w:cs="YMZVES+NimbusRomNo9L-Regu"/>
          <w:color w:val="000000"/>
          <w:sz w:val="18"/>
          <w:szCs w:val="18"/>
        </w:rPr>
        <w:t>LWR</w:t>
      </w:r>
      <w:r w:rsidRPr="00B96EEC">
        <w:rPr>
          <w:rFonts w:eastAsia="YMZVES+NimbusRomNo9L-Regu" w:cs="YMZVES+NimbusRomNo9L-Regu"/>
          <w:color w:val="000000"/>
          <w:sz w:val="18"/>
          <w:szCs w:val="18"/>
        </w:rPr>
        <w:t xml:space="preserve"> fuel elements, (2) how </w:t>
      </w:r>
      <w:r w:rsidR="00A4028B" w:rsidRPr="00BF4A8F">
        <w:rPr>
          <w:rFonts w:eastAsia="YMZVES+NimbusRomNo9L-Regu" w:cs="YMZVES+NimbusRomNo9L-Regu"/>
          <w:color w:val="000000"/>
          <w:sz w:val="18"/>
          <w:szCs w:val="18"/>
        </w:rPr>
        <w:t>the</w:t>
      </w:r>
      <w:r w:rsidR="00A4028B" w:rsidRPr="00B96EEC">
        <w:rPr>
          <w:rFonts w:eastAsia="YMZVES+NimbusRomNo9L-Regu" w:cs="YMZVES+NimbusRomNo9L-Regu"/>
          <w:color w:val="000000"/>
          <w:sz w:val="18"/>
          <w:szCs w:val="18"/>
        </w:rPr>
        <w:t xml:space="preserve"> </w:t>
      </w:r>
      <w:r w:rsidRPr="00B96EEC">
        <w:rPr>
          <w:rFonts w:eastAsia="YMZVES+NimbusRomNo9L-Regu" w:cs="YMZVES+NimbusRomNo9L-Regu"/>
          <w:color w:val="000000"/>
          <w:sz w:val="18"/>
          <w:szCs w:val="18"/>
        </w:rPr>
        <w:t>performance for advanced fuel elements differs from that for LWR fuel elements, and (3) the potential challenges of using the existing instruments in meeting technical safeguards objectives for advanced fuel elements. This paper present</w:t>
      </w:r>
      <w:r w:rsidR="00F561EE" w:rsidRPr="00B96EEC">
        <w:rPr>
          <w:rFonts w:eastAsia="YMZVES+NimbusRomNo9L-Regu" w:cs="YMZVES+NimbusRomNo9L-Regu"/>
          <w:color w:val="000000"/>
          <w:sz w:val="18"/>
          <w:szCs w:val="18"/>
        </w:rPr>
        <w:t>s</w:t>
      </w:r>
      <w:r w:rsidRPr="00B96EEC">
        <w:rPr>
          <w:rFonts w:eastAsia="YMZVES+NimbusRomNo9L-Regu" w:cs="YMZVES+NimbusRomNo9L-Regu"/>
          <w:color w:val="000000"/>
          <w:sz w:val="18"/>
          <w:szCs w:val="18"/>
        </w:rPr>
        <w:t xml:space="preserve"> </w:t>
      </w:r>
      <w:r w:rsidR="00E93D15" w:rsidRPr="00B96EEC">
        <w:rPr>
          <w:rFonts w:eastAsia="YMZVES+NimbusRomNo9L-Regu" w:cs="YMZVES+NimbusRomNo9L-Regu"/>
          <w:color w:val="000000"/>
          <w:sz w:val="18"/>
          <w:szCs w:val="18"/>
        </w:rPr>
        <w:t xml:space="preserve">the </w:t>
      </w:r>
      <w:r w:rsidRPr="00B96EEC">
        <w:rPr>
          <w:rFonts w:eastAsia="YMZVES+NimbusRomNo9L-Regu" w:cs="YMZVES+NimbusRomNo9L-Regu"/>
          <w:color w:val="000000"/>
          <w:sz w:val="18"/>
          <w:szCs w:val="18"/>
        </w:rPr>
        <w:t xml:space="preserve">simulation results </w:t>
      </w:r>
      <w:r w:rsidR="00E93D15" w:rsidRPr="00B96EEC">
        <w:rPr>
          <w:rFonts w:eastAsia="YMZVES+NimbusRomNo9L-Regu" w:cs="YMZVES+NimbusRomNo9L-Regu"/>
          <w:color w:val="000000"/>
          <w:sz w:val="18"/>
          <w:szCs w:val="18"/>
        </w:rPr>
        <w:t xml:space="preserve">from </w:t>
      </w:r>
      <w:r w:rsidRPr="00B96EEC">
        <w:rPr>
          <w:rFonts w:eastAsia="YMZVES+NimbusRomNo9L-Regu" w:cs="YMZVES+NimbusRomNo9L-Regu"/>
          <w:color w:val="000000"/>
          <w:sz w:val="18"/>
          <w:szCs w:val="18"/>
        </w:rPr>
        <w:t xml:space="preserve">safeguards measurements of select fresh advanced fuel elements (e.g., pebble, prismatic fuel </w:t>
      </w:r>
      <w:r w:rsidR="001F5D87" w:rsidRPr="00B96EEC">
        <w:rPr>
          <w:rFonts w:eastAsia="YMZVES+NimbusRomNo9L-Regu" w:cs="YMZVES+NimbusRomNo9L-Regu"/>
          <w:color w:val="000000"/>
          <w:sz w:val="18"/>
          <w:szCs w:val="18"/>
        </w:rPr>
        <w:t>block</w:t>
      </w:r>
      <w:r w:rsidRPr="00B96EEC">
        <w:rPr>
          <w:rFonts w:eastAsia="YMZVES+NimbusRomNo9L-Regu" w:cs="YMZVES+NimbusRomNo9L-Regu"/>
          <w:color w:val="000000"/>
          <w:sz w:val="18"/>
          <w:szCs w:val="18"/>
        </w:rPr>
        <w:t>, and metal fuel bundle)</w:t>
      </w:r>
      <w:r w:rsidR="00B23014" w:rsidRPr="00B96EEC">
        <w:rPr>
          <w:rFonts w:eastAsia="YMZVES+NimbusRomNo9L-Regu" w:cs="YMZVES+NimbusRomNo9L-Regu"/>
          <w:color w:val="000000"/>
          <w:sz w:val="18"/>
          <w:szCs w:val="18"/>
        </w:rPr>
        <w:t xml:space="preserve"> </w:t>
      </w:r>
      <w:r w:rsidRPr="00B96EEC">
        <w:rPr>
          <w:rFonts w:eastAsia="YMZVES+NimbusRomNo9L-Regu" w:cs="YMZVES+NimbusRomNo9L-Regu"/>
          <w:color w:val="000000"/>
          <w:sz w:val="18"/>
          <w:szCs w:val="18"/>
        </w:rPr>
        <w:t>using commonly</w:t>
      </w:r>
      <w:r w:rsidR="00156105" w:rsidRPr="00B96EEC">
        <w:rPr>
          <w:rFonts w:eastAsia="YMZVES+NimbusRomNo9L-Regu" w:cs="YMZVES+NimbusRomNo9L-Regu"/>
          <w:color w:val="000000"/>
          <w:sz w:val="18"/>
          <w:szCs w:val="18"/>
        </w:rPr>
        <w:t xml:space="preserve"> </w:t>
      </w:r>
      <w:r w:rsidRPr="00B96EEC">
        <w:rPr>
          <w:rFonts w:eastAsia="YMZVES+NimbusRomNo9L-Regu" w:cs="YMZVES+NimbusRomNo9L-Regu"/>
          <w:color w:val="000000"/>
          <w:sz w:val="18"/>
          <w:szCs w:val="18"/>
        </w:rPr>
        <w:t>applied safeguards instruments</w:t>
      </w:r>
      <w:r w:rsidR="00185F59" w:rsidRPr="00B96EEC">
        <w:rPr>
          <w:rFonts w:eastAsia="YMZVES+NimbusRomNo9L-Regu" w:cs="YMZVES+NimbusRomNo9L-Regu"/>
          <w:color w:val="000000"/>
          <w:sz w:val="18"/>
          <w:szCs w:val="18"/>
        </w:rPr>
        <w:t>,</w:t>
      </w:r>
      <w:r w:rsidRPr="00B96EEC">
        <w:rPr>
          <w:rFonts w:eastAsia="YMZVES+NimbusRomNo9L-Regu" w:cs="YMZVES+NimbusRomNo9L-Regu"/>
          <w:color w:val="000000"/>
          <w:sz w:val="18"/>
          <w:szCs w:val="18"/>
        </w:rPr>
        <w:t xml:space="preserve"> including a high-purity germanium gamma detector, </w:t>
      </w:r>
      <w:r w:rsidR="00726007" w:rsidRPr="00B96EEC">
        <w:rPr>
          <w:rFonts w:eastAsia="YMZVES+NimbusRomNo9L-Regu" w:cs="YMZVES+NimbusRomNo9L-Regu"/>
          <w:color w:val="000000"/>
          <w:sz w:val="18"/>
          <w:szCs w:val="18"/>
        </w:rPr>
        <w:t xml:space="preserve">the </w:t>
      </w:r>
      <w:r w:rsidRPr="00B96EEC">
        <w:rPr>
          <w:rFonts w:eastAsia="YMZVES+NimbusRomNo9L-Regu" w:cs="YMZVES+NimbusRomNo9L-Regu"/>
          <w:color w:val="000000"/>
          <w:sz w:val="18"/>
          <w:szCs w:val="18"/>
        </w:rPr>
        <w:t>Uranium Neutron Coincidence Collar</w:t>
      </w:r>
      <w:r w:rsidR="00F2754D" w:rsidRPr="00B96EEC">
        <w:rPr>
          <w:rFonts w:eastAsia="YMZVES+NimbusRomNo9L-Regu" w:cs="YMZVES+NimbusRomNo9L-Regu"/>
          <w:color w:val="000000"/>
          <w:sz w:val="18"/>
          <w:szCs w:val="18"/>
        </w:rPr>
        <w:t xml:space="preserve"> </w:t>
      </w:r>
      <w:r w:rsidRPr="00B96EEC">
        <w:rPr>
          <w:rFonts w:eastAsia="YMZVES+NimbusRomNo9L-Regu" w:cs="YMZVES+NimbusRomNo9L-Regu"/>
          <w:color w:val="000000"/>
          <w:sz w:val="18"/>
          <w:szCs w:val="18"/>
        </w:rPr>
        <w:t xml:space="preserve">II, and </w:t>
      </w:r>
      <w:r w:rsidR="00224DAA" w:rsidRPr="00B96EEC">
        <w:rPr>
          <w:rFonts w:eastAsia="YMZVES+NimbusRomNo9L-Regu" w:cs="YMZVES+NimbusRomNo9L-Regu"/>
          <w:color w:val="000000"/>
          <w:sz w:val="18"/>
          <w:szCs w:val="18"/>
        </w:rPr>
        <w:t xml:space="preserve">the </w:t>
      </w:r>
      <w:r w:rsidRPr="00B96EEC">
        <w:rPr>
          <w:rFonts w:eastAsia="YMZVES+NimbusRomNo9L-Regu" w:cs="YMZVES+NimbusRomNo9L-Regu"/>
          <w:color w:val="000000"/>
          <w:sz w:val="18"/>
          <w:szCs w:val="18"/>
        </w:rPr>
        <w:t xml:space="preserve">Fast Neutron Collar. The performance of these instruments for advanced fuel elements </w:t>
      </w:r>
      <w:r w:rsidR="007D3F46" w:rsidRPr="00B96EEC">
        <w:rPr>
          <w:rFonts w:eastAsia="YMZVES+NimbusRomNo9L-Regu" w:cs="YMZVES+NimbusRomNo9L-Regu"/>
          <w:color w:val="000000"/>
          <w:sz w:val="18"/>
          <w:szCs w:val="18"/>
        </w:rPr>
        <w:t>was</w:t>
      </w:r>
      <w:r w:rsidR="0006457D" w:rsidRPr="00B96EEC">
        <w:rPr>
          <w:rFonts w:eastAsia="YMZVES+NimbusRomNo9L-Regu" w:cs="YMZVES+NimbusRomNo9L-Regu"/>
          <w:color w:val="000000"/>
          <w:sz w:val="18"/>
          <w:szCs w:val="18"/>
        </w:rPr>
        <w:t xml:space="preserve"> </w:t>
      </w:r>
      <w:r w:rsidRPr="00B96EEC">
        <w:rPr>
          <w:rFonts w:eastAsia="YMZVES+NimbusRomNo9L-Regu" w:cs="YMZVES+NimbusRomNo9L-Regu"/>
          <w:color w:val="000000"/>
          <w:sz w:val="18"/>
          <w:szCs w:val="18"/>
        </w:rPr>
        <w:t>then compared with that of LWR fuel elements</w:t>
      </w:r>
      <w:r w:rsidR="006D6BA2" w:rsidRPr="00B96EEC">
        <w:rPr>
          <w:rFonts w:eastAsia="YMZVES+NimbusRomNo9L-Regu" w:cs="YMZVES+NimbusRomNo9L-Regu"/>
          <w:color w:val="000000"/>
          <w:sz w:val="18"/>
          <w:szCs w:val="18"/>
        </w:rPr>
        <w:t>,</w:t>
      </w:r>
      <w:r w:rsidRPr="00B96EEC">
        <w:rPr>
          <w:rFonts w:eastAsia="YMZVES+NimbusRomNo9L-Regu" w:cs="YMZVES+NimbusRomNo9L-Regu"/>
          <w:color w:val="000000"/>
          <w:sz w:val="18"/>
          <w:szCs w:val="18"/>
        </w:rPr>
        <w:t xml:space="preserve"> and the potential safeguards challenges of the advanced fuel elements are summarized and discussed</w:t>
      </w:r>
      <w:r w:rsidR="00B87D1C" w:rsidRPr="00B96EEC">
        <w:rPr>
          <w:rFonts w:eastAsia="YMZVES+NimbusRomNo9L-Regu" w:cs="YMZVES+NimbusRomNo9L-Regu"/>
          <w:color w:val="000000"/>
          <w:sz w:val="18"/>
          <w:szCs w:val="18"/>
        </w:rPr>
        <w:t xml:space="preserve"> herein</w:t>
      </w:r>
      <w:r w:rsidRPr="00B96EEC">
        <w:rPr>
          <w:rFonts w:eastAsia="YMZVES+NimbusRomNo9L-Regu" w:cs="YMZVES+NimbusRomNo9L-Regu"/>
          <w:color w:val="000000"/>
          <w:sz w:val="18"/>
          <w:szCs w:val="18"/>
        </w:rPr>
        <w:t xml:space="preserve">. </w:t>
      </w:r>
      <w:r w:rsidR="00432CEA" w:rsidRPr="00B96EEC">
        <w:rPr>
          <w:rFonts w:eastAsia="YMZVES+NimbusRomNo9L-Regu" w:cs="YMZVES+NimbusRomNo9L-Regu"/>
          <w:color w:val="000000"/>
          <w:sz w:val="18"/>
          <w:szCs w:val="18"/>
        </w:rPr>
        <w:t xml:space="preserve">The </w:t>
      </w:r>
      <w:r w:rsidRPr="00B96EEC">
        <w:rPr>
          <w:rFonts w:eastAsia="YMZVES+NimbusRomNo9L-Regu" w:cs="YMZVES+NimbusRomNo9L-Regu"/>
          <w:color w:val="000000"/>
          <w:sz w:val="18"/>
          <w:szCs w:val="18"/>
        </w:rPr>
        <w:t xml:space="preserve">findings are expected to be useful to the </w:t>
      </w:r>
      <w:proofErr w:type="gramStart"/>
      <w:r w:rsidRPr="00B96EEC">
        <w:rPr>
          <w:rFonts w:eastAsia="YMZVES+NimbusRomNo9L-Regu" w:cs="YMZVES+NimbusRomNo9L-Regu"/>
          <w:color w:val="000000"/>
          <w:sz w:val="18"/>
          <w:szCs w:val="18"/>
        </w:rPr>
        <w:t>safeguards</w:t>
      </w:r>
      <w:proofErr w:type="gramEnd"/>
      <w:r w:rsidRPr="00B96EEC">
        <w:rPr>
          <w:rFonts w:eastAsia="YMZVES+NimbusRomNo9L-Regu" w:cs="YMZVES+NimbusRomNo9L-Regu"/>
          <w:color w:val="000000"/>
          <w:sz w:val="18"/>
          <w:szCs w:val="18"/>
        </w:rPr>
        <w:t xml:space="preserve"> community and SMR developers</w:t>
      </w:r>
      <w:r w:rsidR="005C1E58" w:rsidRPr="00B96EEC">
        <w:rPr>
          <w:rFonts w:eastAsia="YMZVES+NimbusRomNo9L-Regu" w:cs="YMZVES+NimbusRomNo9L-Regu"/>
          <w:color w:val="000000"/>
          <w:sz w:val="18"/>
          <w:szCs w:val="18"/>
        </w:rPr>
        <w:t>,</w:t>
      </w:r>
      <w:r w:rsidRPr="00B96EEC">
        <w:rPr>
          <w:rFonts w:eastAsia="YMZVES+NimbusRomNo9L-Regu" w:cs="YMZVES+NimbusRomNo9L-Regu"/>
          <w:color w:val="000000"/>
          <w:sz w:val="18"/>
          <w:szCs w:val="18"/>
        </w:rPr>
        <w:t xml:space="preserve"> as new or alternative safeguards technologies can take </w:t>
      </w:r>
      <w:r w:rsidR="00533F02" w:rsidRPr="00B96EEC">
        <w:rPr>
          <w:rFonts w:eastAsia="YMZVES+NimbusRomNo9L-Regu" w:cs="YMZVES+NimbusRomNo9L-Regu"/>
          <w:color w:val="000000"/>
          <w:sz w:val="18"/>
          <w:szCs w:val="18"/>
        </w:rPr>
        <w:t>years</w:t>
      </w:r>
      <w:r w:rsidRPr="00B96EEC">
        <w:rPr>
          <w:rFonts w:eastAsia="YMZVES+NimbusRomNo9L-Regu" w:cs="YMZVES+NimbusRomNo9L-Regu"/>
          <w:color w:val="000000"/>
          <w:sz w:val="18"/>
          <w:szCs w:val="18"/>
        </w:rPr>
        <w:t xml:space="preserve"> to develop and mature. </w:t>
      </w:r>
    </w:p>
    <w:p w14:paraId="03C6D75B" w14:textId="77777777" w:rsidR="00647F33" w:rsidRPr="00B96EEC" w:rsidRDefault="00F523CA" w:rsidP="0042484E">
      <w:pPr>
        <w:pStyle w:val="Heading2"/>
        <w:numPr>
          <w:ilvl w:val="1"/>
          <w:numId w:val="5"/>
        </w:numPr>
        <w:jc w:val="both"/>
        <w:rPr>
          <w:lang w:val="en-US"/>
        </w:rPr>
      </w:pPr>
      <w:r w:rsidRPr="00B96EEC">
        <w:rPr>
          <w:lang w:val="en-US"/>
        </w:rPr>
        <w:t>INTRODUCTION</w:t>
      </w:r>
    </w:p>
    <w:p w14:paraId="52C4B429" w14:textId="30F0BEF7" w:rsidR="00970410" w:rsidRPr="00B96EEC" w:rsidRDefault="00970410" w:rsidP="0042484E">
      <w:pPr>
        <w:pStyle w:val="BlockText"/>
        <w:spacing w:after="0"/>
        <w:jc w:val="both"/>
        <w:rPr>
          <w:rFonts w:eastAsia="YMZVES+NimbusRomNo9L-Regu" w:cs="YMZVES+NimbusRomNo9L-Regu"/>
          <w:color w:val="000000"/>
          <w:sz w:val="20"/>
          <w:szCs w:val="20"/>
        </w:rPr>
      </w:pPr>
      <w:r w:rsidRPr="00B96EEC">
        <w:rPr>
          <w:sz w:val="20"/>
          <w:szCs w:val="20"/>
        </w:rPr>
        <w:t xml:space="preserve">           Dozens of advanced reactor (AR) designs are being pursued around the world </w:t>
      </w:r>
      <w:sdt>
        <w:sdtPr>
          <w:rPr>
            <w:sz w:val="20"/>
            <w:szCs w:val="20"/>
          </w:rPr>
          <w:id w:val="72087960"/>
          <w:citation/>
        </w:sdtPr>
        <w:sdtEndPr/>
        <w:sdtContent>
          <w:r w:rsidRPr="00B96EEC">
            <w:rPr>
              <w:sz w:val="20"/>
              <w:szCs w:val="20"/>
            </w:rPr>
            <w:fldChar w:fldCharType="begin"/>
          </w:r>
          <w:r w:rsidRPr="00B96EEC">
            <w:rPr>
              <w:sz w:val="20"/>
              <w:szCs w:val="20"/>
            </w:rPr>
            <w:instrText xml:space="preserve"> CITATION Wor23 \l 1033 </w:instrText>
          </w:r>
          <w:r w:rsidRPr="00B96EEC">
            <w:rPr>
              <w:sz w:val="20"/>
              <w:szCs w:val="20"/>
            </w:rPr>
            <w:fldChar w:fldCharType="separate"/>
          </w:r>
          <w:r w:rsidR="00B90BAC" w:rsidRPr="00B96EEC">
            <w:rPr>
              <w:sz w:val="20"/>
              <w:szCs w:val="20"/>
            </w:rPr>
            <w:t>[1]</w:t>
          </w:r>
          <w:r w:rsidRPr="00B96EEC">
            <w:rPr>
              <w:sz w:val="20"/>
              <w:szCs w:val="20"/>
            </w:rPr>
            <w:fldChar w:fldCharType="end"/>
          </w:r>
        </w:sdtContent>
      </w:sdt>
      <w:r w:rsidRPr="00B96EEC">
        <w:rPr>
          <w:sz w:val="20"/>
          <w:szCs w:val="20"/>
        </w:rPr>
        <w:t xml:space="preserve">. These AR </w:t>
      </w:r>
      <w:r w:rsidRPr="00B96EEC">
        <w:rPr>
          <w:rFonts w:eastAsia="YMZVES+NimbusRomNo9L-Regu" w:cs="YMZVES+NimbusRomNo9L-Regu"/>
          <w:color w:val="000000"/>
          <w:sz w:val="20"/>
          <w:szCs w:val="20"/>
        </w:rPr>
        <w:t>designs use various nuclear fuel types that can be significantly different than conventional light-water reactor (LWR) fuels</w:t>
      </w:r>
      <w:r w:rsidR="00CB7EF6" w:rsidRPr="00B96EEC">
        <w:rPr>
          <w:rFonts w:eastAsia="YMZVES+NimbusRomNo9L-Regu" w:cs="YMZVES+NimbusRomNo9L-Regu"/>
          <w:color w:val="000000"/>
          <w:sz w:val="20"/>
          <w:szCs w:val="20"/>
        </w:rPr>
        <w:t>—in terms of</w:t>
      </w:r>
      <w:r w:rsidRPr="00B96EEC">
        <w:rPr>
          <w:rFonts w:eastAsia="YMZVES+NimbusRomNo9L-Regu" w:cs="YMZVES+NimbusRomNo9L-Regu"/>
          <w:color w:val="000000"/>
          <w:sz w:val="20"/>
          <w:szCs w:val="20"/>
        </w:rPr>
        <w:t xml:space="preserve"> size, composition, and chemical form (e.g., oxide, carbide, metal). Nearly all the proposed AR fuels use high-assay low-enriched uranium (HALEU), which </w:t>
      </w:r>
      <w:r w:rsidR="00B23014" w:rsidRPr="00B96EEC">
        <w:rPr>
          <w:rFonts w:eastAsia="YMZVES+NimbusRomNo9L-Regu" w:cs="YMZVES+NimbusRomNo9L-Regu"/>
          <w:color w:val="000000"/>
          <w:sz w:val="20"/>
          <w:szCs w:val="20"/>
        </w:rPr>
        <w:t>can</w:t>
      </w:r>
      <w:r w:rsidRPr="00B96EEC">
        <w:rPr>
          <w:rFonts w:eastAsia="YMZVES+NimbusRomNo9L-Regu" w:cs="YMZVES+NimbusRomNo9L-Regu"/>
          <w:color w:val="000000"/>
          <w:sz w:val="20"/>
          <w:szCs w:val="20"/>
        </w:rPr>
        <w:t xml:space="preserve"> have</w:t>
      </w:r>
      <w:r w:rsidR="00B23014" w:rsidRPr="00B96EEC">
        <w:rPr>
          <w:rFonts w:eastAsia="YMZVES+NimbusRomNo9L-Regu" w:cs="YMZVES+NimbusRomNo9L-Regu"/>
          <w:color w:val="000000"/>
          <w:sz w:val="20"/>
          <w:szCs w:val="20"/>
        </w:rPr>
        <w:t xml:space="preserve"> much</w:t>
      </w:r>
      <w:r w:rsidRPr="00B96EEC">
        <w:rPr>
          <w:rFonts w:eastAsia="YMZVES+NimbusRomNo9L-Regu" w:cs="YMZVES+NimbusRomNo9L-Regu"/>
          <w:color w:val="000000"/>
          <w:sz w:val="20"/>
          <w:szCs w:val="20"/>
        </w:rPr>
        <w:t xml:space="preserve"> higher enrichments </w:t>
      </w:r>
      <w:r w:rsidRPr="00B96EEC">
        <w:rPr>
          <w:rFonts w:eastAsia="YMZVES+NimbusRomNo9L-Regu"/>
          <w:sz w:val="20"/>
          <w:szCs w:val="20"/>
        </w:rPr>
        <w:t>(5</w:t>
      </w:r>
      <w:r w:rsidR="00CB7EF6" w:rsidRPr="00B96EEC">
        <w:rPr>
          <w:rFonts w:eastAsia="YMZVES+NimbusRomNo9L-Regu"/>
          <w:sz w:val="20"/>
          <w:szCs w:val="20"/>
        </w:rPr>
        <w:t>–</w:t>
      </w:r>
      <w:r w:rsidRPr="00B96EEC">
        <w:rPr>
          <w:rFonts w:eastAsia="YMZVES+NimbusRomNo9L-Regu"/>
          <w:sz w:val="20"/>
          <w:szCs w:val="20"/>
        </w:rPr>
        <w:t xml:space="preserve">20 </w:t>
      </w:r>
      <w:proofErr w:type="spellStart"/>
      <w:r w:rsidRPr="00B96EEC">
        <w:rPr>
          <w:rFonts w:eastAsia="YMZVES+NimbusRomNo9L-Regu"/>
          <w:sz w:val="20"/>
          <w:szCs w:val="20"/>
        </w:rPr>
        <w:t>wt</w:t>
      </w:r>
      <w:proofErr w:type="spellEnd"/>
      <w:r w:rsidRPr="00B96EEC">
        <w:rPr>
          <w:rFonts w:eastAsia="YMZVES+NimbusRomNo9L-Regu"/>
          <w:sz w:val="20"/>
          <w:szCs w:val="20"/>
        </w:rPr>
        <w:t xml:space="preserve">% </w:t>
      </w:r>
      <w:r w:rsidRPr="00B96EEC">
        <w:rPr>
          <w:rFonts w:eastAsia="YMZVES+NimbusRomNo9L-Regu"/>
          <w:sz w:val="20"/>
          <w:szCs w:val="20"/>
          <w:vertAlign w:val="superscript"/>
        </w:rPr>
        <w:t>235</w:t>
      </w:r>
      <w:r w:rsidRPr="00B96EEC">
        <w:rPr>
          <w:rFonts w:eastAsia="YMZVES+NimbusRomNo9L-Regu"/>
          <w:sz w:val="20"/>
          <w:szCs w:val="20"/>
        </w:rPr>
        <w:t>U)</w:t>
      </w:r>
      <w:r w:rsidRPr="00B96EEC">
        <w:rPr>
          <w:rFonts w:eastAsia="YMZVES+NimbusRomNo9L-Regu" w:cs="YMZVES+NimbusRomNo9L-Regu"/>
          <w:color w:val="000000"/>
          <w:sz w:val="20"/>
          <w:szCs w:val="20"/>
        </w:rPr>
        <w:t xml:space="preserve"> than those of LWR fuels (currently limited to &lt; 5 wt% </w:t>
      </w:r>
      <w:r w:rsidRPr="00B96EEC">
        <w:rPr>
          <w:rFonts w:eastAsia="YMZVES+NimbusRomNo9L-Regu" w:cs="YMZVES+NimbusRomNo9L-Regu"/>
          <w:color w:val="000000"/>
          <w:sz w:val="20"/>
          <w:szCs w:val="20"/>
          <w:vertAlign w:val="superscript"/>
        </w:rPr>
        <w:t>235</w:t>
      </w:r>
      <w:r w:rsidRPr="00B96EEC">
        <w:rPr>
          <w:rFonts w:eastAsia="YMZVES+NimbusRomNo9L-Regu" w:cs="YMZVES+NimbusRomNo9L-Regu"/>
          <w:color w:val="000000"/>
          <w:sz w:val="20"/>
          <w:szCs w:val="20"/>
        </w:rPr>
        <w:t xml:space="preserve">U). Given that most of the existing safeguards measurement instruments have been developed for LWR fuel elements, potential technical challenges are expected when these existing instruments </w:t>
      </w:r>
      <w:r w:rsidR="00B23014" w:rsidRPr="00B96EEC">
        <w:rPr>
          <w:rFonts w:eastAsia="YMZVES+NimbusRomNo9L-Regu" w:cs="YMZVES+NimbusRomNo9L-Regu"/>
          <w:color w:val="000000"/>
          <w:sz w:val="20"/>
          <w:szCs w:val="20"/>
        </w:rPr>
        <w:t xml:space="preserve">are </w:t>
      </w:r>
      <w:r w:rsidRPr="00B96EEC">
        <w:rPr>
          <w:rFonts w:eastAsia="YMZVES+NimbusRomNo9L-Regu" w:cs="YMZVES+NimbusRomNo9L-Regu"/>
          <w:color w:val="000000"/>
          <w:sz w:val="20"/>
          <w:szCs w:val="20"/>
        </w:rPr>
        <w:t>applied to AR fuel elements. In advance of the wide use of these new fuel types around the world, identifying those challenges will afford international safeguards</w:t>
      </w:r>
      <w:r w:rsidR="00CB7EF6" w:rsidRPr="00B96EEC">
        <w:rPr>
          <w:rFonts w:eastAsia="YMZVES+NimbusRomNo9L-Regu" w:cs="YMZVES+NimbusRomNo9L-Regu"/>
          <w:color w:val="000000"/>
          <w:sz w:val="20"/>
          <w:szCs w:val="20"/>
        </w:rPr>
        <w:t xml:space="preserve"> </w:t>
      </w:r>
      <w:r w:rsidRPr="00B96EEC">
        <w:rPr>
          <w:rFonts w:eastAsia="YMZVES+NimbusRomNo9L-Regu" w:cs="YMZVES+NimbusRomNo9L-Regu"/>
          <w:color w:val="000000"/>
          <w:sz w:val="20"/>
          <w:szCs w:val="20"/>
        </w:rPr>
        <w:t xml:space="preserve">organizations—such as the International Atomic Energy Agency (IAEA)—extra time to adapt existing technologies or develop alternative technologies to overcome them. It will also help domestic AR developers </w:t>
      </w:r>
      <w:r w:rsidR="00BF4A8F">
        <w:rPr>
          <w:rFonts w:eastAsia="YMZVES+NimbusRomNo9L-Regu" w:cs="YMZVES+NimbusRomNo9L-Regu"/>
          <w:color w:val="000000"/>
          <w:sz w:val="20"/>
          <w:szCs w:val="20"/>
        </w:rPr>
        <w:t>develop</w:t>
      </w:r>
      <w:r w:rsidR="00BF4A8F" w:rsidRPr="00B96EEC">
        <w:rPr>
          <w:rFonts w:eastAsia="YMZVES+NimbusRomNo9L-Regu" w:cs="YMZVES+NimbusRomNo9L-Regu"/>
          <w:color w:val="000000"/>
          <w:sz w:val="20"/>
          <w:szCs w:val="20"/>
        </w:rPr>
        <w:t xml:space="preserve"> </w:t>
      </w:r>
      <w:r w:rsidRPr="00B96EEC">
        <w:rPr>
          <w:rFonts w:eastAsia="YMZVES+NimbusRomNo9L-Regu" w:cs="YMZVES+NimbusRomNo9L-Regu"/>
          <w:color w:val="000000"/>
          <w:sz w:val="20"/>
          <w:szCs w:val="20"/>
        </w:rPr>
        <w:t xml:space="preserve">plans to accommodate the </w:t>
      </w:r>
      <w:r w:rsidR="00B23014" w:rsidRPr="00B96EEC">
        <w:rPr>
          <w:rFonts w:eastAsia="YMZVES+NimbusRomNo9L-Regu" w:cs="YMZVES+NimbusRomNo9L-Regu"/>
          <w:color w:val="000000"/>
          <w:sz w:val="20"/>
          <w:szCs w:val="20"/>
        </w:rPr>
        <w:t xml:space="preserve">new </w:t>
      </w:r>
      <w:r w:rsidRPr="00B96EEC">
        <w:rPr>
          <w:rFonts w:eastAsia="YMZVES+NimbusRomNo9L-Regu" w:cs="YMZVES+NimbusRomNo9L-Regu"/>
          <w:color w:val="000000"/>
          <w:sz w:val="20"/>
          <w:szCs w:val="20"/>
        </w:rPr>
        <w:t xml:space="preserve">safeguards needs. </w:t>
      </w:r>
    </w:p>
    <w:p w14:paraId="66B460C7" w14:textId="5C00F522" w:rsidR="00970410" w:rsidRPr="00B96EEC" w:rsidRDefault="00970410" w:rsidP="0042484E">
      <w:pPr>
        <w:pStyle w:val="BlockText"/>
        <w:spacing w:after="0"/>
        <w:ind w:firstLine="567"/>
        <w:jc w:val="both"/>
      </w:pPr>
      <w:r w:rsidRPr="00B96EEC">
        <w:rPr>
          <w:rFonts w:eastAsia="YMZVES+NimbusRomNo9L-Regu" w:cs="YMZVES+NimbusRomNo9L-Regu"/>
          <w:color w:val="000000"/>
          <w:sz w:val="20"/>
          <w:szCs w:val="20"/>
        </w:rPr>
        <w:t xml:space="preserve">For the safeguards measurements of the LWR fuels, the enrichments of the </w:t>
      </w:r>
      <w:r w:rsidRPr="00B96EEC">
        <w:rPr>
          <w:rFonts w:eastAsia="YMZVES+NimbusRomNo9L-Regu" w:cs="YMZVES+NimbusRomNo9L-Regu"/>
          <w:b/>
          <w:bCs/>
          <w:color w:val="000000"/>
          <w:sz w:val="20"/>
          <w:szCs w:val="20"/>
        </w:rPr>
        <w:t>fuel pins</w:t>
      </w:r>
      <w:r w:rsidRPr="00B96EEC">
        <w:rPr>
          <w:rFonts w:eastAsia="YMZVES+NimbusRomNo9L-Regu" w:cs="YMZVES+NimbusRomNo9L-Regu"/>
          <w:color w:val="000000"/>
          <w:sz w:val="20"/>
          <w:szCs w:val="20"/>
        </w:rPr>
        <w:t xml:space="preserve"> are routinely measured and verified by the safeguards inspectors using high-purity germanium (HPGe) detectors, and the fissile content of the </w:t>
      </w:r>
      <w:r w:rsidRPr="00B96EEC">
        <w:rPr>
          <w:rFonts w:eastAsia="YMZVES+NimbusRomNo9L-Regu" w:cs="YMZVES+NimbusRomNo9L-Regu"/>
          <w:b/>
          <w:bCs/>
          <w:color w:val="000000"/>
          <w:sz w:val="20"/>
          <w:szCs w:val="20"/>
        </w:rPr>
        <w:t>fuel assemblies</w:t>
      </w:r>
      <w:r w:rsidRPr="00B96EEC">
        <w:rPr>
          <w:rFonts w:eastAsia="YMZVES+NimbusRomNo9L-Regu" w:cs="YMZVES+NimbusRomNo9L-Regu"/>
          <w:color w:val="000000"/>
          <w:sz w:val="20"/>
          <w:szCs w:val="20"/>
        </w:rPr>
        <w:t xml:space="preserve"> have been routinely measured and verified using the Uranium Neutron Coincidence Collar – II (UNCL-II) detector </w:t>
      </w:r>
      <w:sdt>
        <w:sdtPr>
          <w:rPr>
            <w:sz w:val="20"/>
            <w:szCs w:val="20"/>
          </w:rPr>
          <w:id w:val="-1132408676"/>
          <w:citation/>
        </w:sdtPr>
        <w:sdtEndPr/>
        <w:sdtContent>
          <w:r w:rsidRPr="00B96EEC">
            <w:rPr>
              <w:sz w:val="20"/>
              <w:szCs w:val="20"/>
            </w:rPr>
            <w:fldChar w:fldCharType="begin"/>
          </w:r>
          <w:r w:rsidRPr="00B96EEC">
            <w:rPr>
              <w:sz w:val="20"/>
              <w:szCs w:val="20"/>
            </w:rPr>
            <w:instrText xml:space="preserve">CITATION Men90 \m Sic12 \l 1033 </w:instrText>
          </w:r>
          <w:r w:rsidRPr="00B96EEC">
            <w:rPr>
              <w:sz w:val="20"/>
              <w:szCs w:val="20"/>
            </w:rPr>
            <w:fldChar w:fldCharType="separate"/>
          </w:r>
          <w:r w:rsidR="00B90BAC" w:rsidRPr="00B96EEC">
            <w:rPr>
              <w:sz w:val="20"/>
              <w:szCs w:val="20"/>
            </w:rPr>
            <w:t>[2, 3]</w:t>
          </w:r>
          <w:r w:rsidRPr="00B96EEC">
            <w:rPr>
              <w:sz w:val="20"/>
              <w:szCs w:val="20"/>
            </w:rPr>
            <w:fldChar w:fldCharType="end"/>
          </w:r>
        </w:sdtContent>
      </w:sdt>
      <w:r w:rsidRPr="00B96EEC">
        <w:rPr>
          <w:rFonts w:eastAsia="YMZVES+NimbusRomNo9L-Regu" w:cs="YMZVES+NimbusRomNo9L-Regu"/>
          <w:color w:val="000000"/>
          <w:sz w:val="20"/>
          <w:szCs w:val="20"/>
        </w:rPr>
        <w:t xml:space="preserve">. To reduce the impacts of burnable poisons (e.g., gadolinium) used in LWR assemblies on the coincidence neutron signals, the IAEA has </w:t>
      </w:r>
      <w:r w:rsidR="00B23014" w:rsidRPr="00B96EEC">
        <w:rPr>
          <w:rFonts w:eastAsia="YMZVES+NimbusRomNo9L-Regu" w:cs="YMZVES+NimbusRomNo9L-Regu"/>
          <w:color w:val="000000"/>
          <w:sz w:val="20"/>
          <w:szCs w:val="20"/>
        </w:rPr>
        <w:t xml:space="preserve">recently </w:t>
      </w:r>
      <w:r w:rsidRPr="00B96EEC">
        <w:rPr>
          <w:rFonts w:eastAsia="YMZVES+NimbusRomNo9L-Regu" w:cs="YMZVES+NimbusRomNo9L-Regu"/>
          <w:color w:val="000000"/>
          <w:sz w:val="20"/>
          <w:szCs w:val="20"/>
        </w:rPr>
        <w:t xml:space="preserve">developed the Fast Neutron Collar (FNCL) </w:t>
      </w:r>
      <w:sdt>
        <w:sdtPr>
          <w:rPr>
            <w:rFonts w:eastAsia="YMZVES+NimbusRomNo9L-Regu" w:cs="YMZVES+NimbusRomNo9L-Regu"/>
            <w:color w:val="000000"/>
            <w:sz w:val="20"/>
            <w:szCs w:val="20"/>
          </w:rPr>
          <w:id w:val="-210495226"/>
          <w:citation/>
        </w:sdtPr>
        <w:sdtEndPr/>
        <w:sdtContent>
          <w:r w:rsidRPr="00B96EEC">
            <w:rPr>
              <w:rFonts w:eastAsia="YMZVES+NimbusRomNo9L-Regu" w:cs="YMZVES+NimbusRomNo9L-Regu"/>
              <w:color w:val="000000"/>
              <w:sz w:val="20"/>
              <w:szCs w:val="20"/>
            </w:rPr>
            <w:fldChar w:fldCharType="begin"/>
          </w:r>
          <w:r w:rsidRPr="00B96EEC">
            <w:rPr>
              <w:rFonts w:eastAsia="YMZVES+NimbusRomNo9L-Regu" w:cs="YMZVES+NimbusRomNo9L-Regu"/>
              <w:color w:val="000000"/>
              <w:sz w:val="20"/>
              <w:szCs w:val="20"/>
            </w:rPr>
            <w:instrText xml:space="preserve"> CITATION CAE23 \l 1033 </w:instrText>
          </w:r>
          <w:r w:rsidRPr="00B96EEC">
            <w:rPr>
              <w:rFonts w:eastAsia="YMZVES+NimbusRomNo9L-Regu" w:cs="YMZVES+NimbusRomNo9L-Regu"/>
              <w:color w:val="000000"/>
              <w:sz w:val="20"/>
              <w:szCs w:val="20"/>
            </w:rPr>
            <w:fldChar w:fldCharType="separate"/>
          </w:r>
          <w:r w:rsidR="00B90BAC" w:rsidRPr="00B96EEC">
            <w:rPr>
              <w:rFonts w:eastAsia="YMZVES+NimbusRomNo9L-Regu" w:cs="YMZVES+NimbusRomNo9L-Regu"/>
              <w:color w:val="000000"/>
              <w:sz w:val="20"/>
              <w:szCs w:val="20"/>
            </w:rPr>
            <w:t>[4]</w:t>
          </w:r>
          <w:r w:rsidRPr="00B96EEC">
            <w:rPr>
              <w:rFonts w:eastAsia="YMZVES+NimbusRomNo9L-Regu" w:cs="YMZVES+NimbusRomNo9L-Regu"/>
              <w:color w:val="000000"/>
              <w:sz w:val="20"/>
              <w:szCs w:val="20"/>
            </w:rPr>
            <w:fldChar w:fldCharType="end"/>
          </w:r>
        </w:sdtContent>
      </w:sdt>
      <w:r w:rsidRPr="00B96EEC">
        <w:rPr>
          <w:rFonts w:eastAsia="YMZVES+NimbusRomNo9L-Regu" w:cs="YMZVES+NimbusRomNo9L-Regu"/>
          <w:color w:val="000000"/>
          <w:sz w:val="20"/>
          <w:szCs w:val="20"/>
        </w:rPr>
        <w:t xml:space="preserve"> </w:t>
      </w:r>
      <w:sdt>
        <w:sdtPr>
          <w:rPr>
            <w:color w:val="000000" w:themeColor="text1"/>
            <w:sz w:val="20"/>
            <w:szCs w:val="20"/>
          </w:rPr>
          <w:id w:val="689187159"/>
          <w:citation/>
        </w:sdtPr>
        <w:sdtEndPr/>
        <w:sdtContent>
          <w:r w:rsidRPr="00B96EEC">
            <w:rPr>
              <w:color w:val="000000" w:themeColor="text1"/>
              <w:sz w:val="20"/>
              <w:szCs w:val="20"/>
            </w:rPr>
            <w:fldChar w:fldCharType="begin"/>
          </w:r>
          <w:r w:rsidRPr="00B96EEC">
            <w:rPr>
              <w:color w:val="000000" w:themeColor="text1"/>
              <w:sz w:val="20"/>
              <w:szCs w:val="20"/>
            </w:rPr>
            <w:instrText xml:space="preserve"> CITATION Lav12 \l 1033  \m Bea17</w:instrText>
          </w:r>
          <w:r w:rsidRPr="00B96EEC">
            <w:rPr>
              <w:color w:val="000000" w:themeColor="text1"/>
              <w:sz w:val="20"/>
              <w:szCs w:val="20"/>
            </w:rPr>
            <w:fldChar w:fldCharType="separate"/>
          </w:r>
          <w:r w:rsidR="00B90BAC" w:rsidRPr="00B96EEC">
            <w:rPr>
              <w:color w:val="000000" w:themeColor="text1"/>
              <w:sz w:val="20"/>
              <w:szCs w:val="20"/>
            </w:rPr>
            <w:t>[5, 6]</w:t>
          </w:r>
          <w:r w:rsidRPr="00B96EEC">
            <w:rPr>
              <w:color w:val="000000" w:themeColor="text1"/>
              <w:sz w:val="20"/>
              <w:szCs w:val="20"/>
            </w:rPr>
            <w:fldChar w:fldCharType="end"/>
          </w:r>
        </w:sdtContent>
      </w:sdt>
      <w:r w:rsidRPr="00B96EEC">
        <w:rPr>
          <w:color w:val="000000" w:themeColor="text1"/>
          <w:sz w:val="20"/>
          <w:szCs w:val="20"/>
        </w:rPr>
        <w:t>.</w:t>
      </w:r>
      <w:r w:rsidRPr="00B96EEC">
        <w:rPr>
          <w:rFonts w:eastAsia="YMZVES+NimbusRomNo9L-Regu" w:cs="YMZVES+NimbusRomNo9L-Regu"/>
          <w:color w:val="000000"/>
          <w:sz w:val="20"/>
          <w:szCs w:val="20"/>
        </w:rPr>
        <w:t xml:space="preserve"> In this work, HPGe, UNCL-II, and FNCL measurements were modeled and simulated on a set of AR fuel elements that are </w:t>
      </w:r>
      <w:r w:rsidR="00B23014" w:rsidRPr="00B96EEC">
        <w:rPr>
          <w:rFonts w:eastAsia="YMZVES+NimbusRomNo9L-Regu" w:cs="YMZVES+NimbusRomNo9L-Regu"/>
          <w:color w:val="000000"/>
          <w:sz w:val="20"/>
          <w:szCs w:val="20"/>
        </w:rPr>
        <w:t xml:space="preserve">either </w:t>
      </w:r>
      <w:r w:rsidRPr="00B96EEC">
        <w:rPr>
          <w:rFonts w:eastAsia="YMZVES+NimbusRomNo9L-Regu" w:cs="YMZVES+NimbusRomNo9L-Regu"/>
          <w:color w:val="000000"/>
          <w:sz w:val="20"/>
          <w:szCs w:val="20"/>
        </w:rPr>
        <w:t>equivalent to the LWR fuel pins (</w:t>
      </w:r>
      <w:r w:rsidRPr="00AD69AA">
        <w:rPr>
          <w:rFonts w:eastAsia="YMZVES+NimbusRomNo9L-Regu" w:cs="YMZVES+NimbusRomNo9L-Regu"/>
          <w:color w:val="000000"/>
          <w:sz w:val="20"/>
          <w:szCs w:val="20"/>
        </w:rPr>
        <w:t>e.g., tri</w:t>
      </w:r>
      <w:r w:rsidR="0026575E">
        <w:rPr>
          <w:rFonts w:eastAsia="YMZVES+NimbusRomNo9L-Regu" w:cs="YMZVES+NimbusRomNo9L-Regu"/>
          <w:color w:val="000000"/>
          <w:sz w:val="20"/>
          <w:szCs w:val="20"/>
        </w:rPr>
        <w:t>-</w:t>
      </w:r>
      <w:r w:rsidRPr="00AD69AA">
        <w:rPr>
          <w:rFonts w:eastAsia="YMZVES+NimbusRomNo9L-Regu" w:cs="YMZVES+NimbusRomNo9L-Regu"/>
          <w:color w:val="000000"/>
          <w:sz w:val="20"/>
          <w:szCs w:val="20"/>
        </w:rPr>
        <w:t>structural isotropic</w:t>
      </w:r>
      <w:r w:rsidRPr="00B96EEC">
        <w:rPr>
          <w:rFonts w:eastAsia="YMZVES+NimbusRomNo9L-Regu" w:cs="YMZVES+NimbusRomNo9L-Regu"/>
          <w:color w:val="000000"/>
          <w:sz w:val="20"/>
          <w:szCs w:val="20"/>
        </w:rPr>
        <w:t xml:space="preserve"> </w:t>
      </w:r>
      <w:r w:rsidR="00606A82" w:rsidRPr="00B96EEC">
        <w:rPr>
          <w:rFonts w:eastAsia="YMZVES+NimbusRomNo9L-Regu" w:cs="YMZVES+NimbusRomNo9L-Regu"/>
          <w:color w:val="000000"/>
          <w:sz w:val="20"/>
          <w:szCs w:val="20"/>
        </w:rPr>
        <w:t>[</w:t>
      </w:r>
      <w:r w:rsidRPr="00B96EEC">
        <w:rPr>
          <w:rFonts w:eastAsia="YMZVES+NimbusRomNo9L-Regu" w:cs="YMZVES+NimbusRomNo9L-Regu"/>
          <w:color w:val="000000"/>
          <w:sz w:val="20"/>
          <w:szCs w:val="20"/>
        </w:rPr>
        <w:t>TRISO</w:t>
      </w:r>
      <w:r w:rsidR="00606A82" w:rsidRPr="00B96EEC">
        <w:rPr>
          <w:rFonts w:eastAsia="YMZVES+NimbusRomNo9L-Regu" w:cs="YMZVES+NimbusRomNo9L-Regu"/>
          <w:color w:val="000000"/>
          <w:sz w:val="20"/>
          <w:szCs w:val="20"/>
        </w:rPr>
        <w:t>]–</w:t>
      </w:r>
      <w:r w:rsidRPr="00B96EEC">
        <w:rPr>
          <w:rFonts w:eastAsia="YMZVES+NimbusRomNo9L-Regu" w:cs="YMZVES+NimbusRomNo9L-Regu"/>
          <w:color w:val="000000"/>
          <w:sz w:val="20"/>
          <w:szCs w:val="20"/>
        </w:rPr>
        <w:t xml:space="preserve">based pebbles and compacts) </w:t>
      </w:r>
      <w:r w:rsidR="00B23014" w:rsidRPr="00B96EEC">
        <w:rPr>
          <w:rFonts w:eastAsia="YMZVES+NimbusRomNo9L-Regu" w:cs="YMZVES+NimbusRomNo9L-Regu"/>
          <w:color w:val="000000"/>
          <w:sz w:val="20"/>
          <w:szCs w:val="20"/>
        </w:rPr>
        <w:t>or the</w:t>
      </w:r>
      <w:r w:rsidRPr="00B96EEC">
        <w:rPr>
          <w:rFonts w:eastAsia="YMZVES+NimbusRomNo9L-Regu" w:cs="YMZVES+NimbusRomNo9L-Regu"/>
          <w:color w:val="000000"/>
          <w:sz w:val="20"/>
          <w:szCs w:val="20"/>
        </w:rPr>
        <w:t xml:space="preserve"> LWR fuel assemblies (e.g., prismatic graphite blocks). These AR fuel elements were chosen for study in this work based on our survey of domestic AR designs (discussed in the next subsection). These detectors’ performance on the various AR fuel elements are compared with that of the LWR fuels to identify challenges. Fuel pins and fuel assemblies of a pressurized water reactor (PWR) </w:t>
      </w:r>
      <w:r w:rsidR="00A07B0B" w:rsidRPr="00B96EEC">
        <w:rPr>
          <w:rFonts w:eastAsia="YMZVES+NimbusRomNo9L-Regu" w:cs="YMZVES+NimbusRomNo9L-Regu"/>
          <w:color w:val="000000"/>
          <w:sz w:val="20"/>
          <w:szCs w:val="20"/>
        </w:rPr>
        <w:br/>
      </w:r>
      <w:r w:rsidRPr="00B96EEC">
        <w:rPr>
          <w:rFonts w:eastAsia="YMZVES+NimbusRomNo9L-Regu" w:cs="YMZVES+NimbusRomNo9L-Regu"/>
          <w:color w:val="000000"/>
          <w:sz w:val="20"/>
          <w:szCs w:val="20"/>
        </w:rPr>
        <w:t>17 × 17 assembly design</w:t>
      </w:r>
      <w:r w:rsidR="00B23014" w:rsidRPr="00B96EEC">
        <w:rPr>
          <w:rFonts w:eastAsia="YMZVES+NimbusRomNo9L-Regu" w:cs="YMZVES+NimbusRomNo9L-Regu"/>
          <w:color w:val="000000"/>
          <w:sz w:val="20"/>
          <w:szCs w:val="20"/>
        </w:rPr>
        <w:t xml:space="preserve"> </w:t>
      </w:r>
      <w:r w:rsidRPr="00B96EEC">
        <w:rPr>
          <w:rFonts w:eastAsia="YMZVES+NimbusRomNo9L-Regu" w:cs="YMZVES+NimbusRomNo9L-Regu"/>
          <w:color w:val="000000"/>
          <w:sz w:val="20"/>
          <w:szCs w:val="20"/>
        </w:rPr>
        <w:t>were used in this work to represent LWR fuels because it is one of the most</w:t>
      </w:r>
      <w:r w:rsidR="00606A82" w:rsidRPr="00B96EEC">
        <w:rPr>
          <w:rFonts w:eastAsia="YMZVES+NimbusRomNo9L-Regu" w:cs="YMZVES+NimbusRomNo9L-Regu"/>
          <w:color w:val="000000"/>
          <w:sz w:val="20"/>
          <w:szCs w:val="20"/>
        </w:rPr>
        <w:t xml:space="preserve"> widely</w:t>
      </w:r>
      <w:r w:rsidRPr="00B96EEC">
        <w:rPr>
          <w:rFonts w:eastAsia="YMZVES+NimbusRomNo9L-Regu" w:cs="YMZVES+NimbusRomNo9L-Regu"/>
          <w:color w:val="000000"/>
          <w:sz w:val="20"/>
          <w:szCs w:val="20"/>
        </w:rPr>
        <w:t xml:space="preserve"> used fuel designs.</w:t>
      </w:r>
      <w:r w:rsidRPr="00B96EEC">
        <w:rPr>
          <w:sz w:val="20"/>
          <w:szCs w:val="20"/>
        </w:rPr>
        <w:t xml:space="preserve"> </w:t>
      </w:r>
    </w:p>
    <w:p w14:paraId="31BA134F" w14:textId="77777777" w:rsidR="00BC6786" w:rsidRPr="00B96EEC" w:rsidRDefault="00BC6786" w:rsidP="0042484E">
      <w:pPr>
        <w:pStyle w:val="Heading3"/>
        <w:numPr>
          <w:ilvl w:val="0"/>
          <w:numId w:val="0"/>
        </w:numPr>
        <w:jc w:val="both"/>
        <w:rPr>
          <w:lang w:val="en-US"/>
        </w:rPr>
      </w:pPr>
    </w:p>
    <w:p w14:paraId="6B4DB000" w14:textId="2141F239" w:rsidR="008B6BB9" w:rsidRPr="00B96EEC" w:rsidRDefault="00970410" w:rsidP="0042484E">
      <w:pPr>
        <w:pStyle w:val="Heading3"/>
        <w:jc w:val="both"/>
        <w:rPr>
          <w:lang w:val="en-US"/>
        </w:rPr>
      </w:pPr>
      <w:r w:rsidRPr="00B96EEC">
        <w:rPr>
          <w:lang w:val="en-US"/>
        </w:rPr>
        <w:lastRenderedPageBreak/>
        <w:t xml:space="preserve">Survey of </w:t>
      </w:r>
      <w:r w:rsidR="00583555" w:rsidRPr="00B96EEC">
        <w:rPr>
          <w:lang w:val="en-US"/>
        </w:rPr>
        <w:t>A</w:t>
      </w:r>
      <w:r w:rsidRPr="00B96EEC">
        <w:rPr>
          <w:lang w:val="en-US"/>
        </w:rPr>
        <w:t xml:space="preserve">dvanced </w:t>
      </w:r>
      <w:r w:rsidR="00583555" w:rsidRPr="00B96EEC">
        <w:rPr>
          <w:lang w:val="en-US"/>
        </w:rPr>
        <w:t>R</w:t>
      </w:r>
      <w:r w:rsidRPr="00B96EEC">
        <w:rPr>
          <w:lang w:val="en-US"/>
        </w:rPr>
        <w:t xml:space="preserve">eactor </w:t>
      </w:r>
      <w:r w:rsidR="00583555" w:rsidRPr="00B96EEC">
        <w:rPr>
          <w:lang w:val="en-US"/>
        </w:rPr>
        <w:t>F</w:t>
      </w:r>
      <w:r w:rsidRPr="00B96EEC">
        <w:rPr>
          <w:lang w:val="en-US"/>
        </w:rPr>
        <w:t>uels</w:t>
      </w:r>
    </w:p>
    <w:p w14:paraId="5981CFC4" w14:textId="6D965C2C" w:rsidR="00FE0F4A" w:rsidRPr="00B96EEC" w:rsidRDefault="00FE0F4A" w:rsidP="0042484E">
      <w:pPr>
        <w:pStyle w:val="Authornameandaffiliation"/>
        <w:ind w:left="0" w:firstLine="567"/>
        <w:jc w:val="both"/>
      </w:pPr>
      <w:r w:rsidRPr="00B96EEC">
        <w:t xml:space="preserve">Given the large number of AR designs being pursued by various organizations around the world, it is impossible to study all of them in this work. The US Department of Energy’s (DOE’s) Advanced Reactor Demonstration Program (ARDP) has down-selected domestic AR designs and is currently supporting 10 of those designs </w:t>
      </w:r>
      <w:sdt>
        <w:sdtPr>
          <w:id w:val="-516072054"/>
          <w:citation/>
        </w:sdtPr>
        <w:sdtEndPr/>
        <w:sdtContent>
          <w:r w:rsidRPr="00B96EEC">
            <w:fldChar w:fldCharType="begin"/>
          </w:r>
          <w:r w:rsidRPr="00B96EEC">
            <w:instrText xml:space="preserve"> CITATION USD23 \l 1033 </w:instrText>
          </w:r>
          <w:r w:rsidRPr="00B96EEC">
            <w:fldChar w:fldCharType="separate"/>
          </w:r>
          <w:r w:rsidR="00B90BAC" w:rsidRPr="00B96EEC">
            <w:t>[7]</w:t>
          </w:r>
          <w:r w:rsidRPr="00B96EEC">
            <w:fldChar w:fldCharType="end"/>
          </w:r>
        </w:sdtContent>
      </w:sdt>
      <w:r w:rsidRPr="00B96EEC">
        <w:t xml:space="preserve">, which are shown in </w:t>
      </w:r>
      <w:r w:rsidRPr="00B96EEC">
        <w:fldChar w:fldCharType="begin"/>
      </w:r>
      <w:r w:rsidRPr="00B96EEC">
        <w:instrText xml:space="preserve"> REF _Ref152593496 \h  \* MERGEFORMAT </w:instrText>
      </w:r>
      <w:r w:rsidRPr="00B96EEC">
        <w:fldChar w:fldCharType="separate"/>
      </w:r>
      <w:r w:rsidR="00B90BAC" w:rsidRPr="00B96EEC">
        <w:t>Table 1</w:t>
      </w:r>
      <w:r w:rsidRPr="00B96EEC">
        <w:fldChar w:fldCharType="end"/>
      </w:r>
      <w:r w:rsidRPr="00B96EEC">
        <w:t xml:space="preserve"> along with the associated fuel types. Among the 10 ARs, 5 use TRISO-based fuel elements (e.g., pebbles or compacts); 2 use metal fuel; 2 use UO</w:t>
      </w:r>
      <w:r w:rsidRPr="00B96EEC">
        <w:rPr>
          <w:vertAlign w:val="subscript"/>
        </w:rPr>
        <w:t>2</w:t>
      </w:r>
      <w:r w:rsidRPr="00B96EEC">
        <w:t xml:space="preserve"> fuel, which is expected to be </w:t>
      </w:r>
      <w:proofErr w:type="gramStart"/>
      <w:r w:rsidRPr="00B96EEC">
        <w:t>similar to</w:t>
      </w:r>
      <w:proofErr w:type="gramEnd"/>
      <w:r w:rsidRPr="00B96EEC">
        <w:t xml:space="preserve"> existing LWR fuel</w:t>
      </w:r>
      <w:r w:rsidR="009D29DF" w:rsidRPr="00B96EEC">
        <w:t>s</w:t>
      </w:r>
      <w:r w:rsidRPr="00B96EEC">
        <w:t>; and 1 uses molten salt. This work focused on the various types of TRISO-based fuel elements (i.e., pebbles, compacts, and graphite fuel blocks) and metal fuel elements, which together represent 7 of these 10 AR designs. This work’s analysis also includes the Ultra Safe Nuclear Corporation (USNC) fuel elements (also TRISO based) because of the availability of their fuel design information in the public domain.</w:t>
      </w:r>
      <w:r w:rsidR="007C2066" w:rsidRPr="00B96EEC">
        <w:t xml:space="preserve"> </w:t>
      </w:r>
      <w:r w:rsidR="007C2066" w:rsidRPr="00B96EEC">
        <w:fldChar w:fldCharType="begin"/>
      </w:r>
      <w:r w:rsidR="007C2066" w:rsidRPr="00B96EEC">
        <w:instrText xml:space="preserve"> REF _Ref166887428 \h </w:instrText>
      </w:r>
      <w:r w:rsidR="0042484E">
        <w:instrText xml:space="preserve"> \* MERGEFORMAT </w:instrText>
      </w:r>
      <w:r w:rsidR="007C2066" w:rsidRPr="00B96EEC">
        <w:fldChar w:fldCharType="separate"/>
      </w:r>
      <w:r w:rsidR="00B90BAC" w:rsidRPr="00B96EEC">
        <w:t>Figure 1</w:t>
      </w:r>
      <w:r w:rsidR="007C2066" w:rsidRPr="00B96EEC">
        <w:fldChar w:fldCharType="end"/>
      </w:r>
      <w:r w:rsidR="007C2066" w:rsidRPr="00B96EEC">
        <w:t xml:space="preserve"> </w:t>
      </w:r>
      <w:r w:rsidR="001F5D87" w:rsidRPr="00B96EEC">
        <w:t>shows four different forms of TRISO-based AR fuel element designs. More details of the AR fuel designs included in this work can be found in later sections.</w:t>
      </w:r>
    </w:p>
    <w:p w14:paraId="486F80EA" w14:textId="77777777" w:rsidR="007C2066" w:rsidRPr="00B96EEC" w:rsidRDefault="007C2066" w:rsidP="0042484E">
      <w:pPr>
        <w:pStyle w:val="Authornameandaffiliation"/>
        <w:ind w:left="0" w:firstLine="567"/>
        <w:jc w:val="both"/>
      </w:pPr>
    </w:p>
    <w:p w14:paraId="640C6872" w14:textId="4FC97093" w:rsidR="00FE0F4A" w:rsidRPr="00B96EEC" w:rsidRDefault="00FE0F4A" w:rsidP="0042484E">
      <w:pPr>
        <w:pStyle w:val="TableCaption"/>
        <w:jc w:val="both"/>
        <w:rPr>
          <w:rFonts w:ascii="Times New Roman" w:hAnsi="Times New Roman"/>
          <w:b w:val="0"/>
        </w:rPr>
      </w:pPr>
      <w:bookmarkStart w:id="1" w:name="_Ref152593496"/>
      <w:bookmarkStart w:id="2" w:name="_Toc153126017"/>
      <w:r w:rsidRPr="00B96EEC">
        <w:rPr>
          <w:rFonts w:ascii="Times New Roman" w:hAnsi="Times New Roman"/>
          <w:b w:val="0"/>
        </w:rPr>
        <w:t>T</w:t>
      </w:r>
      <w:r w:rsidR="00A20EEC">
        <w:rPr>
          <w:rFonts w:ascii="Times New Roman" w:hAnsi="Times New Roman"/>
          <w:b w:val="0"/>
        </w:rPr>
        <w:t>ABLE</w:t>
      </w:r>
      <w:r w:rsidRPr="00B96EEC">
        <w:rPr>
          <w:rFonts w:ascii="Times New Roman" w:hAnsi="Times New Roman"/>
          <w:b w:val="0"/>
        </w:rPr>
        <w:t xml:space="preserve"> </w:t>
      </w:r>
      <w:r w:rsidRPr="00B96EEC">
        <w:rPr>
          <w:rFonts w:ascii="Times New Roman" w:hAnsi="Times New Roman"/>
          <w:b w:val="0"/>
        </w:rPr>
        <w:fldChar w:fldCharType="begin"/>
      </w:r>
      <w:r w:rsidRPr="00B96EEC">
        <w:rPr>
          <w:rFonts w:ascii="Times New Roman" w:hAnsi="Times New Roman"/>
          <w:b w:val="0"/>
        </w:rPr>
        <w:instrText xml:space="preserve"> SEQ Table \* ARABIC </w:instrText>
      </w:r>
      <w:r w:rsidRPr="00B96EEC">
        <w:rPr>
          <w:rFonts w:ascii="Times New Roman" w:hAnsi="Times New Roman"/>
          <w:b w:val="0"/>
        </w:rPr>
        <w:fldChar w:fldCharType="separate"/>
      </w:r>
      <w:r w:rsidR="00B90BAC" w:rsidRPr="00B96EEC">
        <w:rPr>
          <w:rFonts w:ascii="Times New Roman" w:hAnsi="Times New Roman"/>
          <w:b w:val="0"/>
        </w:rPr>
        <w:t>1</w:t>
      </w:r>
      <w:r w:rsidRPr="00B96EEC">
        <w:rPr>
          <w:rFonts w:ascii="Times New Roman" w:hAnsi="Times New Roman"/>
          <w:b w:val="0"/>
        </w:rPr>
        <w:fldChar w:fldCharType="end"/>
      </w:r>
      <w:bookmarkEnd w:id="1"/>
      <w:r w:rsidRPr="00B96EEC">
        <w:rPr>
          <w:rFonts w:ascii="Times New Roman" w:hAnsi="Times New Roman"/>
          <w:b w:val="0"/>
        </w:rPr>
        <w:t>.</w:t>
      </w:r>
      <w:r w:rsidR="003016A6">
        <w:rPr>
          <w:rFonts w:ascii="Times New Roman" w:hAnsi="Times New Roman"/>
          <w:b w:val="0"/>
        </w:rPr>
        <w:tab/>
      </w:r>
      <w:r w:rsidR="00AA0E19" w:rsidRPr="00AA0E19">
        <w:rPr>
          <w:rFonts w:ascii="Times New Roman" w:hAnsi="Times New Roman"/>
          <w:b w:val="0"/>
        </w:rPr>
        <w:t>THE TEN AR DESIGNS SUPPORTED BY DOE’S ARDP PROGRAM</w:t>
      </w:r>
      <w:r w:rsidRPr="00B96EEC">
        <w:rPr>
          <w:rFonts w:ascii="Times New Roman" w:hAnsi="Times New Roman"/>
          <w:b w:val="0"/>
        </w:rPr>
        <w:t xml:space="preserve"> </w:t>
      </w:r>
      <w:sdt>
        <w:sdtPr>
          <w:rPr>
            <w:rFonts w:ascii="Times New Roman" w:hAnsi="Times New Roman"/>
            <w:b w:val="0"/>
          </w:rPr>
          <w:id w:val="-1716570196"/>
          <w:citation/>
        </w:sdtPr>
        <w:sdtEndPr/>
        <w:sdtContent>
          <w:r w:rsidRPr="00B96EEC">
            <w:rPr>
              <w:rFonts w:ascii="Times New Roman" w:hAnsi="Times New Roman"/>
              <w:b w:val="0"/>
            </w:rPr>
            <w:fldChar w:fldCharType="begin"/>
          </w:r>
          <w:r w:rsidRPr="00B96EEC">
            <w:rPr>
              <w:rFonts w:ascii="Times New Roman" w:hAnsi="Times New Roman"/>
              <w:b w:val="0"/>
            </w:rPr>
            <w:instrText xml:space="preserve"> CITATION USD23 \l 1033 </w:instrText>
          </w:r>
          <w:r w:rsidRPr="00B96EEC">
            <w:rPr>
              <w:rFonts w:ascii="Times New Roman" w:hAnsi="Times New Roman"/>
              <w:b w:val="0"/>
            </w:rPr>
            <w:fldChar w:fldCharType="separate"/>
          </w:r>
          <w:r w:rsidR="00B90BAC" w:rsidRPr="00B96EEC">
            <w:rPr>
              <w:rFonts w:ascii="Times New Roman" w:hAnsi="Times New Roman"/>
              <w:b w:val="0"/>
            </w:rPr>
            <w:t>[7]</w:t>
          </w:r>
          <w:r w:rsidRPr="00B96EEC">
            <w:rPr>
              <w:rFonts w:ascii="Times New Roman" w:hAnsi="Times New Roman"/>
              <w:b w:val="0"/>
            </w:rPr>
            <w:fldChar w:fldCharType="end"/>
          </w:r>
        </w:sdtContent>
      </w:sdt>
      <w:r w:rsidRPr="00B96EEC">
        <w:rPr>
          <w:rFonts w:ascii="Times New Roman" w:hAnsi="Times New Roman"/>
          <w:b w:val="0"/>
        </w:rPr>
        <w:t>.</w:t>
      </w:r>
      <w:bookmarkEnd w:id="2"/>
    </w:p>
    <w:tbl>
      <w:tblPr>
        <w:tblW w:w="8708" w:type="dxa"/>
        <w:tblCellMar>
          <w:left w:w="0" w:type="dxa"/>
          <w:right w:w="0" w:type="dxa"/>
        </w:tblCellMar>
        <w:tblLook w:val="0600" w:firstRow="0" w:lastRow="0" w:firstColumn="0" w:lastColumn="0" w:noHBand="1" w:noVBand="1"/>
      </w:tblPr>
      <w:tblGrid>
        <w:gridCol w:w="1808"/>
        <w:gridCol w:w="3202"/>
        <w:gridCol w:w="1761"/>
        <w:gridCol w:w="1937"/>
      </w:tblGrid>
      <w:tr w:rsidR="001F5D87" w:rsidRPr="00B96EEC" w14:paraId="438183C1" w14:textId="77777777" w:rsidTr="001F5D87">
        <w:trPr>
          <w:trHeight w:val="162"/>
        </w:trPr>
        <w:tc>
          <w:tcPr>
            <w:tcW w:w="1808" w:type="dxa"/>
            <w:tcBorders>
              <w:top w:val="single" w:sz="8" w:space="0" w:color="000000"/>
              <w:left w:val="single" w:sz="8" w:space="0" w:color="000000"/>
              <w:bottom w:val="single" w:sz="4" w:space="0" w:color="000000"/>
              <w:right w:val="single" w:sz="4" w:space="0" w:color="000000"/>
            </w:tcBorders>
            <w:shd w:val="clear" w:color="auto" w:fill="E2EFDA"/>
            <w:tcMar>
              <w:top w:w="15" w:type="dxa"/>
              <w:left w:w="15" w:type="dxa"/>
              <w:bottom w:w="0" w:type="dxa"/>
              <w:right w:w="15" w:type="dxa"/>
            </w:tcMar>
            <w:vAlign w:val="bottom"/>
            <w:hideMark/>
          </w:tcPr>
          <w:p w14:paraId="4B0FB9E0" w14:textId="77777777" w:rsidR="00FE0F4A" w:rsidRPr="00B96EEC" w:rsidRDefault="00FE0F4A" w:rsidP="0042484E">
            <w:pPr>
              <w:jc w:val="both"/>
              <w:rPr>
                <w:sz w:val="18"/>
                <w:szCs w:val="18"/>
                <w:lang w:val="en-US"/>
              </w:rPr>
            </w:pPr>
            <w:r w:rsidRPr="00B96EEC">
              <w:rPr>
                <w:sz w:val="18"/>
                <w:szCs w:val="18"/>
                <w:lang w:val="en-US"/>
              </w:rPr>
              <w:t>DOE program</w:t>
            </w:r>
          </w:p>
        </w:tc>
        <w:tc>
          <w:tcPr>
            <w:tcW w:w="3202" w:type="dxa"/>
            <w:tcBorders>
              <w:top w:val="single" w:sz="8" w:space="0" w:color="000000"/>
              <w:left w:val="single" w:sz="4" w:space="0" w:color="000000"/>
              <w:bottom w:val="single" w:sz="4" w:space="0" w:color="000000"/>
              <w:right w:val="single" w:sz="4" w:space="0" w:color="000000"/>
            </w:tcBorders>
            <w:shd w:val="clear" w:color="auto" w:fill="E2EFDA"/>
            <w:tcMar>
              <w:top w:w="15" w:type="dxa"/>
              <w:left w:w="15" w:type="dxa"/>
              <w:bottom w:w="0" w:type="dxa"/>
              <w:right w:w="15" w:type="dxa"/>
            </w:tcMar>
            <w:vAlign w:val="bottom"/>
            <w:hideMark/>
          </w:tcPr>
          <w:p w14:paraId="355AA5C2" w14:textId="77777777" w:rsidR="00FE0F4A" w:rsidRPr="00B96EEC" w:rsidRDefault="00FE0F4A" w:rsidP="0042484E">
            <w:pPr>
              <w:jc w:val="both"/>
              <w:rPr>
                <w:sz w:val="18"/>
                <w:szCs w:val="18"/>
                <w:lang w:val="en-US"/>
              </w:rPr>
            </w:pPr>
            <w:r w:rsidRPr="00B96EEC">
              <w:rPr>
                <w:sz w:val="18"/>
                <w:szCs w:val="18"/>
                <w:lang w:val="en-US"/>
              </w:rPr>
              <w:t>Reactor name</w:t>
            </w:r>
          </w:p>
        </w:tc>
        <w:tc>
          <w:tcPr>
            <w:tcW w:w="1761" w:type="dxa"/>
            <w:tcBorders>
              <w:top w:val="single" w:sz="8" w:space="0" w:color="000000"/>
              <w:left w:val="single" w:sz="4" w:space="0" w:color="000000"/>
              <w:bottom w:val="single" w:sz="4" w:space="0" w:color="000000"/>
              <w:right w:val="single" w:sz="4" w:space="0" w:color="000000"/>
            </w:tcBorders>
            <w:shd w:val="clear" w:color="auto" w:fill="E2EFDA"/>
            <w:tcMar>
              <w:top w:w="15" w:type="dxa"/>
              <w:left w:w="15" w:type="dxa"/>
              <w:bottom w:w="0" w:type="dxa"/>
              <w:right w:w="15" w:type="dxa"/>
            </w:tcMar>
            <w:vAlign w:val="bottom"/>
            <w:hideMark/>
          </w:tcPr>
          <w:p w14:paraId="7195E614" w14:textId="77777777" w:rsidR="00FE0F4A" w:rsidRPr="00B96EEC" w:rsidRDefault="00FE0F4A" w:rsidP="0042484E">
            <w:pPr>
              <w:jc w:val="both"/>
              <w:rPr>
                <w:sz w:val="18"/>
                <w:szCs w:val="18"/>
                <w:lang w:val="en-US"/>
              </w:rPr>
            </w:pPr>
            <w:r w:rsidRPr="00B96EEC">
              <w:rPr>
                <w:sz w:val="18"/>
                <w:szCs w:val="18"/>
                <w:lang w:val="en-US"/>
              </w:rPr>
              <w:t>Company name</w:t>
            </w:r>
          </w:p>
        </w:tc>
        <w:tc>
          <w:tcPr>
            <w:tcW w:w="1937" w:type="dxa"/>
            <w:tcBorders>
              <w:top w:val="single" w:sz="8" w:space="0" w:color="000000"/>
              <w:left w:val="single" w:sz="4" w:space="0" w:color="000000"/>
              <w:bottom w:val="single" w:sz="4" w:space="0" w:color="000000"/>
              <w:right w:val="single" w:sz="8" w:space="0" w:color="000000"/>
            </w:tcBorders>
            <w:shd w:val="clear" w:color="auto" w:fill="E2EFDA"/>
            <w:tcMar>
              <w:top w:w="15" w:type="dxa"/>
              <w:left w:w="15" w:type="dxa"/>
              <w:bottom w:w="0" w:type="dxa"/>
              <w:right w:w="15" w:type="dxa"/>
            </w:tcMar>
            <w:vAlign w:val="bottom"/>
            <w:hideMark/>
          </w:tcPr>
          <w:p w14:paraId="1EA88EF8" w14:textId="77777777" w:rsidR="00FE0F4A" w:rsidRPr="00B96EEC" w:rsidRDefault="00FE0F4A" w:rsidP="0042484E">
            <w:pPr>
              <w:jc w:val="both"/>
              <w:rPr>
                <w:sz w:val="18"/>
                <w:szCs w:val="18"/>
                <w:lang w:val="en-US"/>
              </w:rPr>
            </w:pPr>
            <w:r w:rsidRPr="00B96EEC">
              <w:rPr>
                <w:sz w:val="18"/>
                <w:szCs w:val="18"/>
                <w:lang w:val="en-US"/>
              </w:rPr>
              <w:t>Fuel type</w:t>
            </w:r>
          </w:p>
        </w:tc>
      </w:tr>
      <w:tr w:rsidR="001F5D87" w:rsidRPr="00B96EEC" w14:paraId="22979EF6" w14:textId="77777777" w:rsidTr="001F5D87">
        <w:trPr>
          <w:trHeight w:val="181"/>
        </w:trPr>
        <w:tc>
          <w:tcPr>
            <w:tcW w:w="1808" w:type="dxa"/>
            <w:vMerge w:val="restart"/>
            <w:tcBorders>
              <w:top w:val="single" w:sz="4" w:space="0" w:color="000000"/>
              <w:left w:val="single" w:sz="8" w:space="0" w:color="000000"/>
              <w:bottom w:val="single" w:sz="4" w:space="0" w:color="000000"/>
              <w:right w:val="single" w:sz="4" w:space="0" w:color="000000"/>
            </w:tcBorders>
            <w:shd w:val="clear" w:color="auto" w:fill="DDEBF7"/>
            <w:tcMar>
              <w:top w:w="70" w:type="dxa"/>
              <w:left w:w="139" w:type="dxa"/>
              <w:bottom w:w="70" w:type="dxa"/>
              <w:right w:w="139" w:type="dxa"/>
            </w:tcMar>
            <w:hideMark/>
          </w:tcPr>
          <w:p w14:paraId="5AA85DC6" w14:textId="77777777" w:rsidR="00FE0F4A" w:rsidRPr="00B96EEC" w:rsidRDefault="00FE0F4A" w:rsidP="0042484E">
            <w:pPr>
              <w:jc w:val="both"/>
              <w:rPr>
                <w:sz w:val="18"/>
                <w:szCs w:val="18"/>
                <w:lang w:val="en-US"/>
              </w:rPr>
            </w:pPr>
            <w:r w:rsidRPr="00B96EEC">
              <w:rPr>
                <w:sz w:val="18"/>
                <w:szCs w:val="18"/>
                <w:lang w:val="en-US"/>
              </w:rPr>
              <w:t>Advanced Reactor Demonstration Projects (ARDP)</w:t>
            </w:r>
          </w:p>
        </w:tc>
        <w:tc>
          <w:tcPr>
            <w:tcW w:w="3202" w:type="dxa"/>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08226CE5" w14:textId="77777777" w:rsidR="00FE0F4A" w:rsidRPr="00B96EEC" w:rsidRDefault="00FE0F4A" w:rsidP="0042484E">
            <w:pPr>
              <w:jc w:val="both"/>
              <w:rPr>
                <w:sz w:val="18"/>
                <w:szCs w:val="18"/>
                <w:lang w:val="en-US"/>
              </w:rPr>
            </w:pPr>
            <w:r w:rsidRPr="00B96EEC">
              <w:rPr>
                <w:sz w:val="18"/>
                <w:szCs w:val="18"/>
                <w:lang w:val="en-US"/>
              </w:rPr>
              <w:t>Xe-100</w:t>
            </w:r>
          </w:p>
        </w:tc>
        <w:tc>
          <w:tcPr>
            <w:tcW w:w="1761" w:type="dxa"/>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2BB83940" w14:textId="6408F764" w:rsidR="00FE0F4A" w:rsidRPr="00B96EEC" w:rsidRDefault="00FE0F4A" w:rsidP="0042484E">
            <w:pPr>
              <w:jc w:val="both"/>
              <w:rPr>
                <w:sz w:val="18"/>
                <w:szCs w:val="18"/>
                <w:lang w:val="en-US"/>
              </w:rPr>
            </w:pPr>
            <w:r w:rsidRPr="00B96EEC">
              <w:rPr>
                <w:sz w:val="18"/>
                <w:szCs w:val="18"/>
                <w:lang w:val="en-US"/>
              </w:rPr>
              <w:t>X-</w:t>
            </w:r>
            <w:r w:rsidR="002D2E0C" w:rsidRPr="00B96EEC">
              <w:rPr>
                <w:sz w:val="18"/>
                <w:szCs w:val="18"/>
                <w:lang w:val="en-US"/>
              </w:rPr>
              <w:t>E</w:t>
            </w:r>
            <w:r w:rsidRPr="00B96EEC">
              <w:rPr>
                <w:sz w:val="18"/>
                <w:szCs w:val="18"/>
                <w:lang w:val="en-US"/>
              </w:rPr>
              <w:t>nergy (XE)</w:t>
            </w:r>
          </w:p>
        </w:tc>
        <w:tc>
          <w:tcPr>
            <w:tcW w:w="1937"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center"/>
            <w:hideMark/>
          </w:tcPr>
          <w:p w14:paraId="55791E98" w14:textId="77777777" w:rsidR="00FE0F4A" w:rsidRPr="00B96EEC" w:rsidRDefault="00FE0F4A" w:rsidP="0042484E">
            <w:pPr>
              <w:jc w:val="both"/>
              <w:rPr>
                <w:sz w:val="18"/>
                <w:szCs w:val="18"/>
                <w:lang w:val="en-US"/>
              </w:rPr>
            </w:pPr>
            <w:r w:rsidRPr="00B96EEC">
              <w:rPr>
                <w:sz w:val="18"/>
                <w:szCs w:val="18"/>
                <w:lang w:val="en-US"/>
              </w:rPr>
              <w:t>Pebble (TRISO based)</w:t>
            </w:r>
          </w:p>
        </w:tc>
      </w:tr>
      <w:tr w:rsidR="001F5D87" w:rsidRPr="00B96EEC" w14:paraId="7D72610B" w14:textId="77777777" w:rsidTr="001F5D87">
        <w:trPr>
          <w:trHeight w:val="191"/>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2DBA12DE" w14:textId="77777777" w:rsidR="00FE0F4A" w:rsidRPr="00B96EEC" w:rsidRDefault="00FE0F4A" w:rsidP="0042484E">
            <w:pPr>
              <w:jc w:val="both"/>
              <w:rPr>
                <w:sz w:val="18"/>
                <w:szCs w:val="18"/>
                <w:lang w:val="en-US"/>
              </w:rPr>
            </w:pPr>
          </w:p>
        </w:tc>
        <w:tc>
          <w:tcPr>
            <w:tcW w:w="3202" w:type="dxa"/>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56729DC6" w14:textId="77777777" w:rsidR="00FE0F4A" w:rsidRPr="00B96EEC" w:rsidRDefault="00FE0F4A" w:rsidP="0042484E">
            <w:pPr>
              <w:jc w:val="both"/>
              <w:rPr>
                <w:sz w:val="18"/>
                <w:szCs w:val="18"/>
                <w:lang w:val="en-US"/>
              </w:rPr>
            </w:pPr>
            <w:r w:rsidRPr="00B96EEC">
              <w:rPr>
                <w:sz w:val="18"/>
                <w:szCs w:val="18"/>
                <w:lang w:val="en-US"/>
              </w:rPr>
              <w:t>Natrium</w:t>
            </w:r>
          </w:p>
        </w:tc>
        <w:tc>
          <w:tcPr>
            <w:tcW w:w="1761" w:type="dxa"/>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061B8794" w14:textId="77777777" w:rsidR="00FE0F4A" w:rsidRPr="00B96EEC" w:rsidRDefault="00FE0F4A" w:rsidP="0042484E">
            <w:pPr>
              <w:jc w:val="both"/>
              <w:rPr>
                <w:sz w:val="18"/>
                <w:szCs w:val="18"/>
                <w:lang w:val="en-US"/>
              </w:rPr>
            </w:pPr>
            <w:r w:rsidRPr="00B96EEC">
              <w:rPr>
                <w:sz w:val="18"/>
                <w:szCs w:val="18"/>
                <w:lang w:val="en-US"/>
              </w:rPr>
              <w:t>TerraPower</w:t>
            </w:r>
          </w:p>
        </w:tc>
        <w:tc>
          <w:tcPr>
            <w:tcW w:w="1937"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center"/>
            <w:hideMark/>
          </w:tcPr>
          <w:p w14:paraId="692CF9A7" w14:textId="77777777" w:rsidR="00FE0F4A" w:rsidRPr="00B96EEC" w:rsidRDefault="00FE0F4A" w:rsidP="0042484E">
            <w:pPr>
              <w:jc w:val="both"/>
              <w:rPr>
                <w:sz w:val="18"/>
                <w:szCs w:val="18"/>
                <w:lang w:val="en-US"/>
              </w:rPr>
            </w:pPr>
            <w:r w:rsidRPr="00B96EEC">
              <w:rPr>
                <w:sz w:val="18"/>
                <w:szCs w:val="18"/>
                <w:lang w:val="en-US"/>
              </w:rPr>
              <w:t>Metal fuel</w:t>
            </w:r>
          </w:p>
        </w:tc>
      </w:tr>
      <w:tr w:rsidR="001F5D87" w:rsidRPr="00B96EEC" w14:paraId="24E0D5F3" w14:textId="77777777" w:rsidTr="001F5D87">
        <w:trPr>
          <w:trHeight w:val="181"/>
        </w:trPr>
        <w:tc>
          <w:tcPr>
            <w:tcW w:w="1808" w:type="dxa"/>
            <w:vMerge w:val="restart"/>
            <w:tcBorders>
              <w:top w:val="single" w:sz="4" w:space="0" w:color="000000"/>
              <w:left w:val="single" w:sz="8" w:space="0" w:color="000000"/>
              <w:bottom w:val="single" w:sz="4" w:space="0" w:color="000000"/>
              <w:right w:val="single" w:sz="4" w:space="0" w:color="000000"/>
            </w:tcBorders>
            <w:shd w:val="clear" w:color="auto" w:fill="FFF2CC"/>
            <w:tcMar>
              <w:top w:w="70" w:type="dxa"/>
              <w:left w:w="139" w:type="dxa"/>
              <w:bottom w:w="70" w:type="dxa"/>
              <w:right w:w="139" w:type="dxa"/>
            </w:tcMar>
            <w:hideMark/>
          </w:tcPr>
          <w:p w14:paraId="2801D9FC" w14:textId="77777777" w:rsidR="00FE0F4A" w:rsidRPr="00B96EEC" w:rsidRDefault="00FE0F4A" w:rsidP="0042484E">
            <w:pPr>
              <w:jc w:val="both"/>
              <w:rPr>
                <w:sz w:val="18"/>
                <w:szCs w:val="18"/>
                <w:lang w:val="en-US"/>
              </w:rPr>
            </w:pPr>
            <w:r w:rsidRPr="00B96EEC">
              <w:rPr>
                <w:sz w:val="18"/>
                <w:szCs w:val="18"/>
                <w:lang w:val="en-US"/>
              </w:rPr>
              <w:t>Risk Reduction for Future Demonstration Projects</w:t>
            </w:r>
          </w:p>
        </w:tc>
        <w:tc>
          <w:tcPr>
            <w:tcW w:w="3202"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6A145D1B" w14:textId="77777777" w:rsidR="00FE0F4A" w:rsidRPr="00B96EEC" w:rsidRDefault="00FE0F4A" w:rsidP="0042484E">
            <w:pPr>
              <w:jc w:val="both"/>
              <w:rPr>
                <w:sz w:val="18"/>
                <w:szCs w:val="18"/>
                <w:lang w:val="en-US"/>
              </w:rPr>
            </w:pPr>
            <w:r w:rsidRPr="00B96EEC">
              <w:rPr>
                <w:sz w:val="18"/>
                <w:szCs w:val="18"/>
                <w:lang w:val="en-US"/>
              </w:rPr>
              <w:t>Hermes Reduced-Scale Test Reactor </w:t>
            </w:r>
          </w:p>
        </w:tc>
        <w:tc>
          <w:tcPr>
            <w:tcW w:w="1761"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2A44B65E" w14:textId="77777777" w:rsidR="00FE0F4A" w:rsidRPr="00B96EEC" w:rsidRDefault="00FE0F4A" w:rsidP="0042484E">
            <w:pPr>
              <w:jc w:val="both"/>
              <w:rPr>
                <w:sz w:val="18"/>
                <w:szCs w:val="18"/>
                <w:lang w:val="en-US"/>
              </w:rPr>
            </w:pPr>
            <w:r w:rsidRPr="00B96EEC">
              <w:rPr>
                <w:sz w:val="18"/>
                <w:szCs w:val="18"/>
                <w:lang w:val="en-US"/>
              </w:rPr>
              <w:t>Kairos Power (KP)</w:t>
            </w:r>
          </w:p>
        </w:tc>
        <w:tc>
          <w:tcPr>
            <w:tcW w:w="1937" w:type="dxa"/>
            <w:tcBorders>
              <w:top w:val="single" w:sz="4" w:space="0" w:color="000000"/>
              <w:left w:val="single" w:sz="4" w:space="0" w:color="000000"/>
              <w:bottom w:val="single" w:sz="4" w:space="0" w:color="000000"/>
              <w:right w:val="single" w:sz="8" w:space="0" w:color="000000"/>
            </w:tcBorders>
            <w:shd w:val="clear" w:color="auto" w:fill="FFF2CC"/>
            <w:tcMar>
              <w:top w:w="15" w:type="dxa"/>
              <w:left w:w="15" w:type="dxa"/>
              <w:bottom w:w="0" w:type="dxa"/>
              <w:right w:w="15" w:type="dxa"/>
            </w:tcMar>
            <w:vAlign w:val="center"/>
            <w:hideMark/>
          </w:tcPr>
          <w:p w14:paraId="2914FAA8" w14:textId="77777777" w:rsidR="00FE0F4A" w:rsidRPr="00B96EEC" w:rsidRDefault="00FE0F4A" w:rsidP="0042484E">
            <w:pPr>
              <w:jc w:val="both"/>
              <w:rPr>
                <w:sz w:val="18"/>
                <w:szCs w:val="18"/>
                <w:lang w:val="en-US"/>
              </w:rPr>
            </w:pPr>
            <w:r w:rsidRPr="00B96EEC">
              <w:rPr>
                <w:sz w:val="18"/>
                <w:szCs w:val="18"/>
                <w:lang w:val="en-US"/>
              </w:rPr>
              <w:t>Pebble (TRISO based)</w:t>
            </w:r>
          </w:p>
        </w:tc>
      </w:tr>
      <w:tr w:rsidR="001F5D87" w:rsidRPr="00B96EEC" w14:paraId="1FC64E1B" w14:textId="77777777" w:rsidTr="001F5D87">
        <w:trPr>
          <w:trHeight w:val="245"/>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607C99BA" w14:textId="77777777" w:rsidR="00FE0F4A" w:rsidRPr="00B96EEC" w:rsidRDefault="00FE0F4A" w:rsidP="0042484E">
            <w:pPr>
              <w:jc w:val="both"/>
              <w:rPr>
                <w:sz w:val="18"/>
                <w:szCs w:val="18"/>
                <w:lang w:val="en-US"/>
              </w:rPr>
            </w:pPr>
          </w:p>
        </w:tc>
        <w:tc>
          <w:tcPr>
            <w:tcW w:w="3202"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2722553B" w14:textId="77777777" w:rsidR="00FE0F4A" w:rsidRPr="00B96EEC" w:rsidRDefault="00FE0F4A" w:rsidP="0042484E">
            <w:pPr>
              <w:jc w:val="both"/>
              <w:rPr>
                <w:sz w:val="18"/>
                <w:szCs w:val="18"/>
                <w:lang w:val="en-US"/>
              </w:rPr>
            </w:pPr>
            <w:r w:rsidRPr="00B96EEC">
              <w:rPr>
                <w:sz w:val="18"/>
                <w:szCs w:val="18"/>
                <w:lang w:val="en-US"/>
              </w:rPr>
              <w:t>eVinci Microreactor</w:t>
            </w:r>
          </w:p>
        </w:tc>
        <w:tc>
          <w:tcPr>
            <w:tcW w:w="1761"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6B2C780C" w14:textId="77777777" w:rsidR="00FE0F4A" w:rsidRPr="00B96EEC" w:rsidRDefault="00FE0F4A" w:rsidP="0042484E">
            <w:pPr>
              <w:jc w:val="both"/>
              <w:rPr>
                <w:sz w:val="18"/>
                <w:szCs w:val="18"/>
                <w:lang w:val="en-US"/>
              </w:rPr>
            </w:pPr>
            <w:r w:rsidRPr="00B96EEC">
              <w:rPr>
                <w:sz w:val="18"/>
                <w:szCs w:val="18"/>
                <w:lang w:val="en-US"/>
              </w:rPr>
              <w:t>Westinghouse</w:t>
            </w:r>
          </w:p>
        </w:tc>
        <w:tc>
          <w:tcPr>
            <w:tcW w:w="1937" w:type="dxa"/>
            <w:tcBorders>
              <w:top w:val="single" w:sz="4" w:space="0" w:color="000000"/>
              <w:left w:val="single" w:sz="4" w:space="0" w:color="000000"/>
              <w:bottom w:val="single" w:sz="4" w:space="0" w:color="000000"/>
              <w:right w:val="single" w:sz="8" w:space="0" w:color="000000"/>
            </w:tcBorders>
            <w:shd w:val="clear" w:color="auto" w:fill="FFF2CC"/>
            <w:tcMar>
              <w:top w:w="15" w:type="dxa"/>
              <w:left w:w="15" w:type="dxa"/>
              <w:bottom w:w="0" w:type="dxa"/>
              <w:right w:w="15" w:type="dxa"/>
            </w:tcMar>
            <w:vAlign w:val="center"/>
            <w:hideMark/>
          </w:tcPr>
          <w:p w14:paraId="2406465E" w14:textId="77777777" w:rsidR="00FE0F4A" w:rsidRPr="00B96EEC" w:rsidRDefault="00FE0F4A" w:rsidP="0042484E">
            <w:pPr>
              <w:jc w:val="both"/>
              <w:rPr>
                <w:sz w:val="18"/>
                <w:szCs w:val="18"/>
                <w:lang w:val="en-US"/>
              </w:rPr>
            </w:pPr>
            <w:r w:rsidRPr="00B96EEC">
              <w:rPr>
                <w:sz w:val="18"/>
                <w:szCs w:val="18"/>
                <w:lang w:val="en-US"/>
              </w:rPr>
              <w:t>Compact (TRISO based)</w:t>
            </w:r>
          </w:p>
        </w:tc>
      </w:tr>
      <w:tr w:rsidR="001F5D87" w:rsidRPr="00B96EEC" w14:paraId="1F4D5C10" w14:textId="77777777" w:rsidTr="001F5D87">
        <w:trPr>
          <w:trHeight w:val="291"/>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15AF2001" w14:textId="77777777" w:rsidR="00FE0F4A" w:rsidRPr="00B96EEC" w:rsidRDefault="00FE0F4A" w:rsidP="0042484E">
            <w:pPr>
              <w:jc w:val="both"/>
              <w:rPr>
                <w:sz w:val="18"/>
                <w:szCs w:val="18"/>
                <w:lang w:val="en-US"/>
              </w:rPr>
            </w:pPr>
          </w:p>
        </w:tc>
        <w:tc>
          <w:tcPr>
            <w:tcW w:w="3202"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7A6B70B2" w14:textId="77777777" w:rsidR="00FE0F4A" w:rsidRPr="00B96EEC" w:rsidRDefault="00FE0F4A" w:rsidP="0042484E">
            <w:pPr>
              <w:jc w:val="both"/>
              <w:rPr>
                <w:sz w:val="18"/>
                <w:szCs w:val="18"/>
                <w:lang w:val="en-US"/>
              </w:rPr>
            </w:pPr>
            <w:r w:rsidRPr="00B96EEC">
              <w:rPr>
                <w:sz w:val="18"/>
                <w:szCs w:val="18"/>
                <w:lang w:val="en-US"/>
              </w:rPr>
              <w:t>BWXT Advanced Nuclear Reactor (BANR)</w:t>
            </w:r>
          </w:p>
        </w:tc>
        <w:tc>
          <w:tcPr>
            <w:tcW w:w="1761"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06CF4E8F" w14:textId="77777777" w:rsidR="00FE0F4A" w:rsidRPr="00B96EEC" w:rsidRDefault="00FE0F4A" w:rsidP="0042484E">
            <w:pPr>
              <w:jc w:val="both"/>
              <w:rPr>
                <w:sz w:val="18"/>
                <w:szCs w:val="18"/>
                <w:lang w:val="en-US"/>
              </w:rPr>
            </w:pPr>
            <w:r w:rsidRPr="00B96EEC">
              <w:rPr>
                <w:sz w:val="18"/>
                <w:szCs w:val="18"/>
                <w:lang w:val="en-US"/>
              </w:rPr>
              <w:t>BWXT</w:t>
            </w:r>
          </w:p>
        </w:tc>
        <w:tc>
          <w:tcPr>
            <w:tcW w:w="1937" w:type="dxa"/>
            <w:tcBorders>
              <w:top w:val="single" w:sz="4" w:space="0" w:color="000000"/>
              <w:left w:val="single" w:sz="4" w:space="0" w:color="000000"/>
              <w:bottom w:val="single" w:sz="4" w:space="0" w:color="000000"/>
              <w:right w:val="single" w:sz="8" w:space="0" w:color="000000"/>
            </w:tcBorders>
            <w:shd w:val="clear" w:color="auto" w:fill="FFF2CC"/>
            <w:tcMar>
              <w:top w:w="15" w:type="dxa"/>
              <w:left w:w="15" w:type="dxa"/>
              <w:bottom w:w="0" w:type="dxa"/>
              <w:right w:w="15" w:type="dxa"/>
            </w:tcMar>
            <w:vAlign w:val="center"/>
            <w:hideMark/>
          </w:tcPr>
          <w:p w14:paraId="5A057B05" w14:textId="77777777" w:rsidR="00FE0F4A" w:rsidRPr="00B96EEC" w:rsidRDefault="00FE0F4A" w:rsidP="0042484E">
            <w:pPr>
              <w:jc w:val="both"/>
              <w:rPr>
                <w:sz w:val="18"/>
                <w:szCs w:val="18"/>
                <w:lang w:val="en-US"/>
              </w:rPr>
            </w:pPr>
            <w:r w:rsidRPr="00B96EEC">
              <w:rPr>
                <w:sz w:val="18"/>
                <w:szCs w:val="18"/>
                <w:lang w:val="en-US"/>
              </w:rPr>
              <w:t>Compact (TRISO based)</w:t>
            </w:r>
          </w:p>
        </w:tc>
      </w:tr>
      <w:tr w:rsidR="001F5D87" w:rsidRPr="00B96EEC" w14:paraId="62E94974" w14:textId="77777777" w:rsidTr="001F5D87">
        <w:trPr>
          <w:trHeight w:val="162"/>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75D1A534" w14:textId="77777777" w:rsidR="00FE0F4A" w:rsidRPr="00B96EEC" w:rsidRDefault="00FE0F4A" w:rsidP="0042484E">
            <w:pPr>
              <w:jc w:val="both"/>
              <w:rPr>
                <w:sz w:val="18"/>
                <w:szCs w:val="18"/>
                <w:lang w:val="en-US"/>
              </w:rPr>
            </w:pPr>
          </w:p>
        </w:tc>
        <w:tc>
          <w:tcPr>
            <w:tcW w:w="3202"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06BBC277" w14:textId="77777777" w:rsidR="00FE0F4A" w:rsidRPr="00B96EEC" w:rsidRDefault="00FE0F4A" w:rsidP="0042484E">
            <w:pPr>
              <w:jc w:val="both"/>
              <w:rPr>
                <w:sz w:val="18"/>
                <w:szCs w:val="18"/>
                <w:lang w:val="en-US"/>
              </w:rPr>
            </w:pPr>
            <w:r w:rsidRPr="00B96EEC">
              <w:rPr>
                <w:sz w:val="18"/>
                <w:szCs w:val="18"/>
                <w:lang w:val="en-US"/>
              </w:rPr>
              <w:t>Holtec SMR-160 Reactor</w:t>
            </w:r>
          </w:p>
        </w:tc>
        <w:tc>
          <w:tcPr>
            <w:tcW w:w="1761"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6C200B65" w14:textId="77777777" w:rsidR="00FE0F4A" w:rsidRPr="00B96EEC" w:rsidRDefault="00FE0F4A" w:rsidP="0042484E">
            <w:pPr>
              <w:jc w:val="both"/>
              <w:rPr>
                <w:sz w:val="18"/>
                <w:szCs w:val="18"/>
                <w:lang w:val="en-US"/>
              </w:rPr>
            </w:pPr>
            <w:r w:rsidRPr="00B96EEC">
              <w:rPr>
                <w:sz w:val="18"/>
                <w:szCs w:val="18"/>
                <w:lang w:val="en-US"/>
              </w:rPr>
              <w:t>Holtec</w:t>
            </w:r>
          </w:p>
        </w:tc>
        <w:tc>
          <w:tcPr>
            <w:tcW w:w="1937" w:type="dxa"/>
            <w:tcBorders>
              <w:top w:val="single" w:sz="4" w:space="0" w:color="000000"/>
              <w:left w:val="single" w:sz="4" w:space="0" w:color="000000"/>
              <w:bottom w:val="single" w:sz="4" w:space="0" w:color="000000"/>
              <w:right w:val="single" w:sz="8" w:space="0" w:color="000000"/>
            </w:tcBorders>
            <w:shd w:val="clear" w:color="auto" w:fill="FFF2CC"/>
            <w:tcMar>
              <w:top w:w="15" w:type="dxa"/>
              <w:left w:w="15" w:type="dxa"/>
              <w:bottom w:w="0" w:type="dxa"/>
              <w:right w:w="15" w:type="dxa"/>
            </w:tcMar>
            <w:vAlign w:val="center"/>
            <w:hideMark/>
          </w:tcPr>
          <w:p w14:paraId="24621C6D" w14:textId="77777777" w:rsidR="00FE0F4A" w:rsidRPr="00B96EEC" w:rsidRDefault="00FE0F4A" w:rsidP="0042484E">
            <w:pPr>
              <w:jc w:val="both"/>
              <w:rPr>
                <w:sz w:val="18"/>
                <w:szCs w:val="18"/>
                <w:lang w:val="en-US"/>
              </w:rPr>
            </w:pPr>
            <w:r w:rsidRPr="00B96EEC">
              <w:rPr>
                <w:sz w:val="18"/>
                <w:szCs w:val="18"/>
                <w:lang w:val="en-US"/>
              </w:rPr>
              <w:t>UO</w:t>
            </w:r>
            <w:r w:rsidRPr="00B96EEC">
              <w:rPr>
                <w:sz w:val="18"/>
                <w:szCs w:val="18"/>
                <w:vertAlign w:val="subscript"/>
                <w:lang w:val="en-US"/>
              </w:rPr>
              <w:t>2</w:t>
            </w:r>
            <w:r w:rsidRPr="00B96EEC">
              <w:rPr>
                <w:sz w:val="18"/>
                <w:szCs w:val="18"/>
                <w:lang w:val="en-US"/>
              </w:rPr>
              <w:t xml:space="preserve"> (17 × 17)</w:t>
            </w:r>
          </w:p>
        </w:tc>
      </w:tr>
      <w:tr w:rsidR="001F5D87" w:rsidRPr="00B96EEC" w14:paraId="04CD2226" w14:textId="77777777" w:rsidTr="001F5D87">
        <w:trPr>
          <w:trHeight w:val="156"/>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2AB3C866" w14:textId="77777777" w:rsidR="00FE0F4A" w:rsidRPr="00B96EEC" w:rsidRDefault="00FE0F4A" w:rsidP="0042484E">
            <w:pPr>
              <w:jc w:val="both"/>
              <w:rPr>
                <w:sz w:val="18"/>
                <w:szCs w:val="18"/>
                <w:lang w:val="en-US"/>
              </w:rPr>
            </w:pPr>
          </w:p>
        </w:tc>
        <w:tc>
          <w:tcPr>
            <w:tcW w:w="3202"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4E1BC20D" w14:textId="77777777" w:rsidR="00FE0F4A" w:rsidRPr="00B96EEC" w:rsidRDefault="00FE0F4A" w:rsidP="0042484E">
            <w:pPr>
              <w:jc w:val="both"/>
              <w:rPr>
                <w:sz w:val="18"/>
                <w:szCs w:val="18"/>
                <w:lang w:val="en-US"/>
              </w:rPr>
            </w:pPr>
            <w:r w:rsidRPr="00B96EEC">
              <w:rPr>
                <w:sz w:val="18"/>
                <w:szCs w:val="18"/>
                <w:lang w:val="en-US"/>
              </w:rPr>
              <w:t>Molten Chloride Reactor Experiment </w:t>
            </w:r>
          </w:p>
        </w:tc>
        <w:tc>
          <w:tcPr>
            <w:tcW w:w="1761"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19F05420" w14:textId="77777777" w:rsidR="00FE0F4A" w:rsidRPr="00B96EEC" w:rsidRDefault="00FE0F4A" w:rsidP="0042484E">
            <w:pPr>
              <w:jc w:val="both"/>
              <w:rPr>
                <w:sz w:val="18"/>
                <w:szCs w:val="18"/>
                <w:lang w:val="en-US"/>
              </w:rPr>
            </w:pPr>
            <w:r w:rsidRPr="00B96EEC">
              <w:rPr>
                <w:sz w:val="18"/>
                <w:szCs w:val="18"/>
                <w:lang w:val="en-US"/>
              </w:rPr>
              <w:t>Southern Company</w:t>
            </w:r>
          </w:p>
        </w:tc>
        <w:tc>
          <w:tcPr>
            <w:tcW w:w="1937" w:type="dxa"/>
            <w:tcBorders>
              <w:top w:val="single" w:sz="4" w:space="0" w:color="000000"/>
              <w:left w:val="single" w:sz="4" w:space="0" w:color="000000"/>
              <w:bottom w:val="single" w:sz="4" w:space="0" w:color="000000"/>
              <w:right w:val="single" w:sz="8" w:space="0" w:color="000000"/>
            </w:tcBorders>
            <w:shd w:val="clear" w:color="auto" w:fill="FFF2CC"/>
            <w:tcMar>
              <w:top w:w="15" w:type="dxa"/>
              <w:left w:w="15" w:type="dxa"/>
              <w:bottom w:w="0" w:type="dxa"/>
              <w:right w:w="15" w:type="dxa"/>
            </w:tcMar>
            <w:vAlign w:val="center"/>
            <w:hideMark/>
          </w:tcPr>
          <w:p w14:paraId="33D81C94" w14:textId="77777777" w:rsidR="00FE0F4A" w:rsidRPr="00B96EEC" w:rsidRDefault="00FE0F4A" w:rsidP="0042484E">
            <w:pPr>
              <w:jc w:val="both"/>
              <w:rPr>
                <w:sz w:val="18"/>
                <w:szCs w:val="18"/>
                <w:lang w:val="en-US"/>
              </w:rPr>
            </w:pPr>
            <w:r w:rsidRPr="00B96EEC">
              <w:rPr>
                <w:sz w:val="18"/>
                <w:szCs w:val="18"/>
                <w:lang w:val="en-US"/>
              </w:rPr>
              <w:t>Molten salt</w:t>
            </w:r>
          </w:p>
        </w:tc>
      </w:tr>
      <w:tr w:rsidR="001F5D87" w:rsidRPr="00B96EEC" w14:paraId="0A81AA4E" w14:textId="77777777" w:rsidTr="001F5D87">
        <w:trPr>
          <w:trHeight w:val="249"/>
        </w:trPr>
        <w:tc>
          <w:tcPr>
            <w:tcW w:w="1808" w:type="dxa"/>
            <w:vMerge w:val="restart"/>
            <w:tcBorders>
              <w:top w:val="single" w:sz="4" w:space="0" w:color="000000"/>
              <w:left w:val="single" w:sz="8" w:space="0" w:color="000000"/>
              <w:bottom w:val="single" w:sz="8" w:space="0" w:color="000000"/>
              <w:right w:val="single" w:sz="4" w:space="0" w:color="000000"/>
            </w:tcBorders>
            <w:shd w:val="clear" w:color="auto" w:fill="D0CECE"/>
            <w:tcMar>
              <w:top w:w="70" w:type="dxa"/>
              <w:left w:w="139" w:type="dxa"/>
              <w:bottom w:w="70" w:type="dxa"/>
              <w:right w:w="139" w:type="dxa"/>
            </w:tcMar>
            <w:hideMark/>
          </w:tcPr>
          <w:p w14:paraId="4CA3D11D" w14:textId="77777777" w:rsidR="00FE0F4A" w:rsidRPr="00B96EEC" w:rsidRDefault="00FE0F4A" w:rsidP="0042484E">
            <w:pPr>
              <w:jc w:val="both"/>
              <w:rPr>
                <w:sz w:val="18"/>
                <w:szCs w:val="18"/>
                <w:lang w:val="en-US"/>
              </w:rPr>
            </w:pPr>
            <w:r w:rsidRPr="00B96EEC">
              <w:rPr>
                <w:sz w:val="18"/>
                <w:szCs w:val="18"/>
                <w:lang w:val="en-US"/>
              </w:rPr>
              <w:t>Advanced Reactor Concepts-20 Projects (ARC-20)</w:t>
            </w:r>
          </w:p>
        </w:tc>
        <w:tc>
          <w:tcPr>
            <w:tcW w:w="3202" w:type="dxa"/>
            <w:tcBorders>
              <w:top w:val="single" w:sz="4" w:space="0" w:color="000000"/>
              <w:left w:val="single" w:sz="4" w:space="0" w:color="000000"/>
              <w:bottom w:val="single" w:sz="4" w:space="0" w:color="000000"/>
              <w:right w:val="single" w:sz="4" w:space="0" w:color="000000"/>
            </w:tcBorders>
            <w:shd w:val="clear" w:color="auto" w:fill="D0CECE"/>
            <w:tcMar>
              <w:top w:w="15" w:type="dxa"/>
              <w:left w:w="15" w:type="dxa"/>
              <w:bottom w:w="0" w:type="dxa"/>
              <w:right w:w="15" w:type="dxa"/>
            </w:tcMar>
            <w:vAlign w:val="center"/>
            <w:hideMark/>
          </w:tcPr>
          <w:p w14:paraId="439A200C" w14:textId="77777777" w:rsidR="00FE0F4A" w:rsidRPr="00B96EEC" w:rsidRDefault="00FE0F4A" w:rsidP="0042484E">
            <w:pPr>
              <w:jc w:val="both"/>
              <w:rPr>
                <w:sz w:val="18"/>
                <w:szCs w:val="18"/>
                <w:lang w:val="en-US"/>
              </w:rPr>
            </w:pPr>
            <w:r w:rsidRPr="00B96EEC">
              <w:rPr>
                <w:sz w:val="18"/>
                <w:szCs w:val="18"/>
                <w:lang w:val="en-US"/>
              </w:rPr>
              <w:t>Inherently Safe Advanced SMR for American Nuclear Leadership</w:t>
            </w:r>
          </w:p>
        </w:tc>
        <w:tc>
          <w:tcPr>
            <w:tcW w:w="1761" w:type="dxa"/>
            <w:tcBorders>
              <w:top w:val="single" w:sz="4" w:space="0" w:color="000000"/>
              <w:left w:val="single" w:sz="4" w:space="0" w:color="000000"/>
              <w:bottom w:val="single" w:sz="4" w:space="0" w:color="000000"/>
              <w:right w:val="single" w:sz="4" w:space="0" w:color="000000"/>
            </w:tcBorders>
            <w:shd w:val="clear" w:color="auto" w:fill="D0CECE"/>
            <w:tcMar>
              <w:top w:w="15" w:type="dxa"/>
              <w:left w:w="15" w:type="dxa"/>
              <w:bottom w:w="0" w:type="dxa"/>
              <w:right w:w="15" w:type="dxa"/>
            </w:tcMar>
            <w:vAlign w:val="center"/>
            <w:hideMark/>
          </w:tcPr>
          <w:p w14:paraId="0ACC5663" w14:textId="77777777" w:rsidR="00FE0F4A" w:rsidRPr="00B96EEC" w:rsidRDefault="00FE0F4A" w:rsidP="0042484E">
            <w:pPr>
              <w:jc w:val="both"/>
              <w:rPr>
                <w:sz w:val="18"/>
                <w:szCs w:val="18"/>
                <w:lang w:val="en-US"/>
              </w:rPr>
            </w:pPr>
            <w:r w:rsidRPr="00B96EEC">
              <w:rPr>
                <w:sz w:val="18"/>
                <w:szCs w:val="18"/>
                <w:lang w:val="en-US"/>
              </w:rPr>
              <w:t>Advanced Reactor Concepts, LLC</w:t>
            </w:r>
          </w:p>
        </w:tc>
        <w:tc>
          <w:tcPr>
            <w:tcW w:w="1937" w:type="dxa"/>
            <w:tcBorders>
              <w:top w:val="single" w:sz="4" w:space="0" w:color="000000"/>
              <w:left w:val="single" w:sz="4" w:space="0" w:color="000000"/>
              <w:bottom w:val="single" w:sz="4" w:space="0" w:color="000000"/>
              <w:right w:val="single" w:sz="8" w:space="0" w:color="000000"/>
            </w:tcBorders>
            <w:shd w:val="clear" w:color="auto" w:fill="D0CECE"/>
            <w:tcMar>
              <w:top w:w="15" w:type="dxa"/>
              <w:left w:w="15" w:type="dxa"/>
              <w:bottom w:w="0" w:type="dxa"/>
              <w:right w:w="15" w:type="dxa"/>
            </w:tcMar>
            <w:vAlign w:val="center"/>
            <w:hideMark/>
          </w:tcPr>
          <w:p w14:paraId="5C1AC843" w14:textId="77777777" w:rsidR="00FE0F4A" w:rsidRPr="00B96EEC" w:rsidRDefault="00FE0F4A" w:rsidP="0042484E">
            <w:pPr>
              <w:jc w:val="both"/>
              <w:rPr>
                <w:sz w:val="18"/>
                <w:szCs w:val="18"/>
                <w:lang w:val="en-US"/>
              </w:rPr>
            </w:pPr>
            <w:r w:rsidRPr="00B96EEC">
              <w:rPr>
                <w:sz w:val="18"/>
                <w:szCs w:val="18"/>
                <w:lang w:val="en-US"/>
              </w:rPr>
              <w:t>Metal fuel</w:t>
            </w:r>
          </w:p>
        </w:tc>
      </w:tr>
      <w:tr w:rsidR="001F5D87" w:rsidRPr="00B96EEC" w14:paraId="601593FA" w14:textId="77777777" w:rsidTr="001F5D87">
        <w:trPr>
          <w:trHeight w:val="191"/>
        </w:trPr>
        <w:tc>
          <w:tcPr>
            <w:tcW w:w="0" w:type="auto"/>
            <w:vMerge/>
            <w:tcBorders>
              <w:top w:val="single" w:sz="4" w:space="0" w:color="000000"/>
              <w:left w:val="single" w:sz="8" w:space="0" w:color="000000"/>
              <w:bottom w:val="single" w:sz="8" w:space="0" w:color="000000"/>
              <w:right w:val="single" w:sz="4" w:space="0" w:color="000000"/>
            </w:tcBorders>
            <w:vAlign w:val="center"/>
            <w:hideMark/>
          </w:tcPr>
          <w:p w14:paraId="2B6F1E65" w14:textId="77777777" w:rsidR="00FE0F4A" w:rsidRPr="00B96EEC" w:rsidRDefault="00FE0F4A" w:rsidP="0042484E">
            <w:pPr>
              <w:jc w:val="both"/>
              <w:rPr>
                <w:sz w:val="18"/>
                <w:szCs w:val="18"/>
                <w:lang w:val="en-US"/>
              </w:rPr>
            </w:pPr>
          </w:p>
        </w:tc>
        <w:tc>
          <w:tcPr>
            <w:tcW w:w="3202" w:type="dxa"/>
            <w:tcBorders>
              <w:top w:val="single" w:sz="4" w:space="0" w:color="000000"/>
              <w:left w:val="single" w:sz="4" w:space="0" w:color="000000"/>
              <w:bottom w:val="single" w:sz="4" w:space="0" w:color="000000"/>
              <w:right w:val="single" w:sz="4" w:space="0" w:color="000000"/>
            </w:tcBorders>
            <w:shd w:val="clear" w:color="auto" w:fill="D0CECE"/>
            <w:tcMar>
              <w:top w:w="15" w:type="dxa"/>
              <w:left w:w="15" w:type="dxa"/>
              <w:bottom w:w="0" w:type="dxa"/>
              <w:right w:w="15" w:type="dxa"/>
            </w:tcMar>
            <w:vAlign w:val="center"/>
            <w:hideMark/>
          </w:tcPr>
          <w:p w14:paraId="60EDDB09" w14:textId="77777777" w:rsidR="00FE0F4A" w:rsidRPr="00B96EEC" w:rsidRDefault="00FE0F4A" w:rsidP="0042484E">
            <w:pPr>
              <w:jc w:val="both"/>
              <w:rPr>
                <w:sz w:val="18"/>
                <w:szCs w:val="18"/>
                <w:lang w:val="en-US"/>
              </w:rPr>
            </w:pPr>
            <w:r w:rsidRPr="00B96EEC">
              <w:rPr>
                <w:sz w:val="18"/>
                <w:szCs w:val="18"/>
                <w:lang w:val="en-US"/>
              </w:rPr>
              <w:t>Fast Modular Reactor Conceptual Design</w:t>
            </w:r>
          </w:p>
        </w:tc>
        <w:tc>
          <w:tcPr>
            <w:tcW w:w="1761" w:type="dxa"/>
            <w:tcBorders>
              <w:top w:val="single" w:sz="4" w:space="0" w:color="000000"/>
              <w:left w:val="single" w:sz="4" w:space="0" w:color="000000"/>
              <w:bottom w:val="single" w:sz="4" w:space="0" w:color="000000"/>
              <w:right w:val="single" w:sz="4" w:space="0" w:color="000000"/>
            </w:tcBorders>
            <w:shd w:val="clear" w:color="auto" w:fill="D0CECE"/>
            <w:tcMar>
              <w:top w:w="15" w:type="dxa"/>
              <w:left w:w="15" w:type="dxa"/>
              <w:bottom w:w="0" w:type="dxa"/>
              <w:right w:w="15" w:type="dxa"/>
            </w:tcMar>
            <w:vAlign w:val="center"/>
            <w:hideMark/>
          </w:tcPr>
          <w:p w14:paraId="1FF8DA03" w14:textId="77777777" w:rsidR="00FE0F4A" w:rsidRPr="00B96EEC" w:rsidRDefault="00FE0F4A" w:rsidP="0042484E">
            <w:pPr>
              <w:jc w:val="both"/>
              <w:rPr>
                <w:sz w:val="18"/>
                <w:szCs w:val="18"/>
                <w:lang w:val="en-US"/>
              </w:rPr>
            </w:pPr>
            <w:r w:rsidRPr="00B96EEC">
              <w:rPr>
                <w:sz w:val="18"/>
                <w:szCs w:val="18"/>
                <w:lang w:val="en-US"/>
              </w:rPr>
              <w:t>General Atomics</w:t>
            </w:r>
          </w:p>
        </w:tc>
        <w:tc>
          <w:tcPr>
            <w:tcW w:w="1937" w:type="dxa"/>
            <w:tcBorders>
              <w:top w:val="single" w:sz="4" w:space="0" w:color="000000"/>
              <w:left w:val="single" w:sz="4" w:space="0" w:color="000000"/>
              <w:bottom w:val="single" w:sz="4" w:space="0" w:color="000000"/>
              <w:right w:val="single" w:sz="8" w:space="0" w:color="000000"/>
            </w:tcBorders>
            <w:shd w:val="clear" w:color="auto" w:fill="D0CECE"/>
            <w:tcMar>
              <w:top w:w="15" w:type="dxa"/>
              <w:left w:w="15" w:type="dxa"/>
              <w:bottom w:w="0" w:type="dxa"/>
              <w:right w:w="15" w:type="dxa"/>
            </w:tcMar>
            <w:vAlign w:val="center"/>
            <w:hideMark/>
          </w:tcPr>
          <w:p w14:paraId="28D07497" w14:textId="77777777" w:rsidR="00FE0F4A" w:rsidRPr="00B96EEC" w:rsidRDefault="00FE0F4A" w:rsidP="0042484E">
            <w:pPr>
              <w:jc w:val="both"/>
              <w:rPr>
                <w:sz w:val="18"/>
                <w:szCs w:val="18"/>
                <w:lang w:val="en-US"/>
              </w:rPr>
            </w:pPr>
            <w:r w:rsidRPr="00B96EEC">
              <w:rPr>
                <w:sz w:val="18"/>
                <w:szCs w:val="18"/>
                <w:lang w:val="en-US"/>
              </w:rPr>
              <w:t>UO</w:t>
            </w:r>
            <w:r w:rsidRPr="00B96EEC">
              <w:rPr>
                <w:sz w:val="18"/>
                <w:szCs w:val="18"/>
                <w:vertAlign w:val="subscript"/>
                <w:lang w:val="en-US"/>
              </w:rPr>
              <w:t>2</w:t>
            </w:r>
            <w:r w:rsidRPr="00B96EEC">
              <w:rPr>
                <w:sz w:val="18"/>
                <w:szCs w:val="18"/>
                <w:lang w:val="en-US"/>
              </w:rPr>
              <w:t xml:space="preserve"> in SiC cladding</w:t>
            </w:r>
          </w:p>
        </w:tc>
      </w:tr>
      <w:tr w:rsidR="001F5D87" w:rsidRPr="00B96EEC" w14:paraId="4FC7382C" w14:textId="77777777" w:rsidTr="001F5D87">
        <w:trPr>
          <w:trHeight w:val="181"/>
        </w:trPr>
        <w:tc>
          <w:tcPr>
            <w:tcW w:w="0" w:type="auto"/>
            <w:vMerge/>
            <w:tcBorders>
              <w:top w:val="single" w:sz="4" w:space="0" w:color="000000"/>
              <w:left w:val="single" w:sz="8" w:space="0" w:color="000000"/>
              <w:bottom w:val="single" w:sz="8" w:space="0" w:color="000000"/>
              <w:right w:val="single" w:sz="4" w:space="0" w:color="000000"/>
            </w:tcBorders>
            <w:vAlign w:val="center"/>
            <w:hideMark/>
          </w:tcPr>
          <w:p w14:paraId="36DAD6D5" w14:textId="77777777" w:rsidR="00FE0F4A" w:rsidRPr="00B96EEC" w:rsidRDefault="00FE0F4A" w:rsidP="0042484E">
            <w:pPr>
              <w:jc w:val="both"/>
              <w:rPr>
                <w:sz w:val="18"/>
                <w:szCs w:val="18"/>
                <w:lang w:val="en-US"/>
              </w:rPr>
            </w:pPr>
          </w:p>
        </w:tc>
        <w:tc>
          <w:tcPr>
            <w:tcW w:w="3202" w:type="dxa"/>
            <w:tcBorders>
              <w:top w:val="single" w:sz="4" w:space="0" w:color="000000"/>
              <w:left w:val="single" w:sz="4" w:space="0" w:color="000000"/>
              <w:bottom w:val="single" w:sz="8" w:space="0" w:color="000000"/>
              <w:right w:val="single" w:sz="4" w:space="0" w:color="000000"/>
            </w:tcBorders>
            <w:shd w:val="clear" w:color="auto" w:fill="D0CECE"/>
            <w:tcMar>
              <w:top w:w="15" w:type="dxa"/>
              <w:left w:w="15" w:type="dxa"/>
              <w:bottom w:w="0" w:type="dxa"/>
              <w:right w:w="15" w:type="dxa"/>
            </w:tcMar>
            <w:vAlign w:val="center"/>
            <w:hideMark/>
          </w:tcPr>
          <w:p w14:paraId="04706A45" w14:textId="77777777" w:rsidR="00FE0F4A" w:rsidRPr="00B96EEC" w:rsidRDefault="00FE0F4A" w:rsidP="0042484E">
            <w:pPr>
              <w:jc w:val="both"/>
              <w:rPr>
                <w:sz w:val="18"/>
                <w:szCs w:val="18"/>
                <w:lang w:val="en-US"/>
              </w:rPr>
            </w:pPr>
            <w:r w:rsidRPr="00B96EEC">
              <w:rPr>
                <w:sz w:val="18"/>
                <w:szCs w:val="18"/>
                <w:lang w:val="en-US"/>
              </w:rPr>
              <w:t>Horizontal Compact High Temperature Gas Reactor</w:t>
            </w:r>
          </w:p>
        </w:tc>
        <w:tc>
          <w:tcPr>
            <w:tcW w:w="1761" w:type="dxa"/>
            <w:tcBorders>
              <w:top w:val="single" w:sz="4" w:space="0" w:color="000000"/>
              <w:left w:val="single" w:sz="4" w:space="0" w:color="000000"/>
              <w:bottom w:val="single" w:sz="8" w:space="0" w:color="000000"/>
              <w:right w:val="single" w:sz="4" w:space="0" w:color="000000"/>
            </w:tcBorders>
            <w:shd w:val="clear" w:color="auto" w:fill="D0CECE"/>
            <w:tcMar>
              <w:top w:w="15" w:type="dxa"/>
              <w:left w:w="15" w:type="dxa"/>
              <w:bottom w:w="0" w:type="dxa"/>
              <w:right w:w="15" w:type="dxa"/>
            </w:tcMar>
            <w:vAlign w:val="center"/>
            <w:hideMark/>
          </w:tcPr>
          <w:p w14:paraId="67A99814" w14:textId="77777777" w:rsidR="00FE0F4A" w:rsidRPr="00B96EEC" w:rsidRDefault="00FE0F4A" w:rsidP="0042484E">
            <w:pPr>
              <w:jc w:val="both"/>
              <w:rPr>
                <w:sz w:val="18"/>
                <w:szCs w:val="18"/>
                <w:lang w:val="en-US"/>
              </w:rPr>
            </w:pPr>
            <w:r w:rsidRPr="00B96EEC">
              <w:rPr>
                <w:sz w:val="18"/>
                <w:szCs w:val="18"/>
                <w:lang w:val="en-US"/>
              </w:rPr>
              <w:t>MIT</w:t>
            </w:r>
          </w:p>
        </w:tc>
        <w:tc>
          <w:tcPr>
            <w:tcW w:w="1937" w:type="dxa"/>
            <w:tcBorders>
              <w:top w:val="single" w:sz="4" w:space="0" w:color="000000"/>
              <w:left w:val="single" w:sz="4" w:space="0" w:color="000000"/>
              <w:bottom w:val="single" w:sz="8" w:space="0" w:color="000000"/>
              <w:right w:val="single" w:sz="8" w:space="0" w:color="000000"/>
            </w:tcBorders>
            <w:shd w:val="clear" w:color="auto" w:fill="D0CECE"/>
            <w:tcMar>
              <w:top w:w="15" w:type="dxa"/>
              <w:left w:w="15" w:type="dxa"/>
              <w:bottom w:w="0" w:type="dxa"/>
              <w:right w:w="15" w:type="dxa"/>
            </w:tcMar>
            <w:vAlign w:val="center"/>
            <w:hideMark/>
          </w:tcPr>
          <w:p w14:paraId="703C2E40" w14:textId="77777777" w:rsidR="00FE0F4A" w:rsidRPr="00B96EEC" w:rsidRDefault="00FE0F4A" w:rsidP="0042484E">
            <w:pPr>
              <w:jc w:val="both"/>
              <w:rPr>
                <w:sz w:val="18"/>
                <w:szCs w:val="18"/>
                <w:lang w:val="en-US"/>
              </w:rPr>
            </w:pPr>
            <w:r w:rsidRPr="00B96EEC">
              <w:rPr>
                <w:sz w:val="18"/>
                <w:szCs w:val="18"/>
                <w:lang w:val="en-US"/>
              </w:rPr>
              <w:t>Compact (TRISO based)</w:t>
            </w:r>
          </w:p>
        </w:tc>
      </w:tr>
    </w:tbl>
    <w:p w14:paraId="28C2D19E" w14:textId="77777777" w:rsidR="00FE0F4A" w:rsidRDefault="00FE0F4A" w:rsidP="0042484E">
      <w:pPr>
        <w:jc w:val="both"/>
        <w:rPr>
          <w:sz w:val="20"/>
          <w:lang w:val="en-US"/>
        </w:rPr>
      </w:pPr>
    </w:p>
    <w:p w14:paraId="38281BD7" w14:textId="77777777" w:rsidR="00B669D5" w:rsidRDefault="00B669D5" w:rsidP="0042484E">
      <w:pPr>
        <w:pStyle w:val="Authornameandaffiliation"/>
        <w:jc w:val="both"/>
      </w:pPr>
      <w:bookmarkStart w:id="3" w:name="_Ref166792363"/>
      <w:bookmarkStart w:id="4" w:name="_Toc153125971"/>
    </w:p>
    <w:p w14:paraId="0063598B" w14:textId="3FB52C4C" w:rsidR="00B669D5" w:rsidRPr="00B96EEC" w:rsidRDefault="00B669D5" w:rsidP="00B669D5">
      <w:pPr>
        <w:pStyle w:val="Authornameandaffiliation"/>
        <w:jc w:val="center"/>
      </w:pPr>
      <w:r>
        <w:rPr>
          <w:noProof/>
        </w:rPr>
        <w:drawing>
          <wp:inline distT="0" distB="0" distL="0" distR="0" wp14:anchorId="24713FE5" wp14:editId="567DF0B1">
            <wp:extent cx="5436036" cy="3234266"/>
            <wp:effectExtent l="0" t="0" r="0" b="4445"/>
            <wp:docPr id="928056858"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56858" name="Picture 29"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l="19653" t="18504" r="23464" b="21780"/>
                    <a:stretch/>
                  </pic:blipFill>
                  <pic:spPr bwMode="auto">
                    <a:xfrm>
                      <a:off x="0" y="0"/>
                      <a:ext cx="5514348" cy="3280859"/>
                    </a:xfrm>
                    <a:prstGeom prst="rect">
                      <a:avLst/>
                    </a:prstGeom>
                    <a:ln>
                      <a:noFill/>
                    </a:ln>
                    <a:extLst>
                      <a:ext uri="{53640926-AAD7-44D8-BBD7-CCE9431645EC}">
                        <a14:shadowObscured xmlns:a14="http://schemas.microsoft.com/office/drawing/2010/main"/>
                      </a:ext>
                    </a:extLst>
                  </pic:spPr>
                </pic:pic>
              </a:graphicData>
            </a:graphic>
          </wp:inline>
        </w:drawing>
      </w:r>
    </w:p>
    <w:p w14:paraId="247D0C38" w14:textId="6D7457FE" w:rsidR="00FE0F4A" w:rsidRPr="00B96EEC" w:rsidRDefault="00F036DA" w:rsidP="0042484E">
      <w:pPr>
        <w:pStyle w:val="Authornameandaffiliation"/>
        <w:jc w:val="both"/>
      </w:pPr>
      <w:bookmarkStart w:id="5" w:name="_Ref166887428"/>
      <w:bookmarkEnd w:id="3"/>
      <w:r w:rsidRPr="00B96EEC">
        <w:t xml:space="preserve">Figure </w:t>
      </w:r>
      <w:r w:rsidRPr="00B96EEC">
        <w:rPr>
          <w:b/>
        </w:rPr>
        <w:fldChar w:fldCharType="begin"/>
      </w:r>
      <w:r w:rsidRPr="00B96EEC">
        <w:instrText xml:space="preserve"> SEQ Figure \* ARABIC </w:instrText>
      </w:r>
      <w:r w:rsidRPr="00B96EEC">
        <w:rPr>
          <w:b/>
        </w:rPr>
        <w:fldChar w:fldCharType="separate"/>
      </w:r>
      <w:r w:rsidR="00B90BAC" w:rsidRPr="00B96EEC">
        <w:t>1</w:t>
      </w:r>
      <w:r w:rsidRPr="00B96EEC">
        <w:rPr>
          <w:b/>
        </w:rPr>
        <w:fldChar w:fldCharType="end"/>
      </w:r>
      <w:bookmarkEnd w:id="5"/>
      <w:r w:rsidR="001F5D87" w:rsidRPr="00B96EEC">
        <w:t xml:space="preserve">. </w:t>
      </w:r>
      <w:r w:rsidR="00FE0F4A" w:rsidRPr="00B96EEC">
        <w:t xml:space="preserve">(Upper left) </w:t>
      </w:r>
      <w:r w:rsidR="003D227A" w:rsidRPr="00B96EEC">
        <w:t>A</w:t>
      </w:r>
      <w:r w:rsidR="00FE0F4A" w:rsidRPr="00B96EEC">
        <w:t xml:space="preserve"> mock-up model of an </w:t>
      </w:r>
      <w:r w:rsidR="00502193" w:rsidRPr="00B96EEC">
        <w:t>X-Energy (</w:t>
      </w:r>
      <w:r w:rsidR="00FE0F4A" w:rsidRPr="00B96EEC">
        <w:t>XE</w:t>
      </w:r>
      <w:r w:rsidR="00502193" w:rsidRPr="00B96EEC">
        <w:t>)</w:t>
      </w:r>
      <w:r w:rsidR="00FE0F4A" w:rsidRPr="00B96EEC">
        <w:t xml:space="preserve"> version of a pebble; (upper right) a mock-up model of a </w:t>
      </w:r>
      <w:r w:rsidR="00EF1D74" w:rsidRPr="00B96EEC">
        <w:t xml:space="preserve">Kairos Power </w:t>
      </w:r>
      <w:r w:rsidR="00502193" w:rsidRPr="00B96EEC">
        <w:t>(</w:t>
      </w:r>
      <w:r w:rsidR="00FE0F4A" w:rsidRPr="00B96EEC">
        <w:t>KP</w:t>
      </w:r>
      <w:r w:rsidR="00502193" w:rsidRPr="00B96EEC">
        <w:t>)</w:t>
      </w:r>
      <w:r w:rsidR="00FE0F4A" w:rsidRPr="00B96EEC">
        <w:t xml:space="preserve"> version of a pebble; (lower left) an </w:t>
      </w:r>
      <w:r w:rsidR="00C66606">
        <w:t>x</w:t>
      </w:r>
      <w:r w:rsidR="00FE0F4A" w:rsidRPr="00B96EEC">
        <w:t xml:space="preserve">-ray image of a </w:t>
      </w:r>
      <w:r w:rsidR="00502193" w:rsidRPr="00B96EEC">
        <w:t>BWXT Advanced Nuclear Reactor (</w:t>
      </w:r>
      <w:r w:rsidR="00FE0F4A" w:rsidRPr="00B96EEC">
        <w:t>BANR</w:t>
      </w:r>
      <w:r w:rsidR="00502193" w:rsidRPr="00B96EEC">
        <w:t>)</w:t>
      </w:r>
      <w:r w:rsidR="00FE0F4A" w:rsidRPr="00B96EEC">
        <w:t xml:space="preserve"> version of the compact; (lower right) a model of a USNC version of the compact.</w:t>
      </w:r>
      <w:bookmarkEnd w:id="4"/>
      <w:r w:rsidR="00FE0F4A" w:rsidRPr="00B96EEC">
        <w:t xml:space="preserve">       </w:t>
      </w:r>
    </w:p>
    <w:p w14:paraId="358CF758" w14:textId="45835710" w:rsidR="00B669D5" w:rsidRDefault="001C5130" w:rsidP="0042484E">
      <w:pPr>
        <w:overflowPunct/>
        <w:autoSpaceDE/>
        <w:autoSpaceDN/>
        <w:adjustRightInd/>
        <w:jc w:val="both"/>
        <w:textAlignment w:val="auto"/>
        <w:rPr>
          <w:lang w:val="en-US"/>
        </w:rPr>
      </w:pPr>
      <w:bookmarkStart w:id="6" w:name="_Toc152755225"/>
      <w:bookmarkStart w:id="7" w:name="_Toc153125940"/>
      <w:r w:rsidRPr="00B96EEC">
        <w:rPr>
          <w:lang w:val="en-US"/>
        </w:rPr>
        <w:br w:type="page"/>
      </w:r>
    </w:p>
    <w:p w14:paraId="6E36AA4F" w14:textId="5F514D65" w:rsidR="003E30AD" w:rsidRPr="00B96EEC" w:rsidRDefault="00FE0F4A" w:rsidP="0042484E">
      <w:pPr>
        <w:pStyle w:val="Heading2"/>
        <w:jc w:val="both"/>
        <w:rPr>
          <w:lang w:val="en-US"/>
        </w:rPr>
      </w:pPr>
      <w:r w:rsidRPr="00B96EEC">
        <w:rPr>
          <w:lang w:val="en-US"/>
        </w:rPr>
        <w:lastRenderedPageBreak/>
        <w:t xml:space="preserve">GAMMA DETECTOR MODELING OF FRESH </w:t>
      </w:r>
      <w:r w:rsidR="001F5D87" w:rsidRPr="00B96EEC">
        <w:rPr>
          <w:lang w:val="en-US"/>
        </w:rPr>
        <w:t>AR</w:t>
      </w:r>
      <w:r w:rsidRPr="00B96EEC">
        <w:rPr>
          <w:lang w:val="en-US"/>
        </w:rPr>
        <w:t xml:space="preserve"> FUEL </w:t>
      </w:r>
      <w:r w:rsidR="001F5D87" w:rsidRPr="00B96EEC">
        <w:rPr>
          <w:lang w:val="en-US"/>
        </w:rPr>
        <w:t>“</w:t>
      </w:r>
      <w:r w:rsidRPr="00B96EEC">
        <w:rPr>
          <w:lang w:val="en-US"/>
        </w:rPr>
        <w:t>PINS</w:t>
      </w:r>
      <w:bookmarkStart w:id="8" w:name="_Toc152755230"/>
      <w:bookmarkStart w:id="9" w:name="_Toc153125945"/>
      <w:bookmarkEnd w:id="6"/>
      <w:bookmarkEnd w:id="7"/>
      <w:r w:rsidR="001F5D87" w:rsidRPr="00B96EEC">
        <w:rPr>
          <w:lang w:val="en-US"/>
        </w:rPr>
        <w:t>”</w:t>
      </w:r>
    </w:p>
    <w:p w14:paraId="7502135F" w14:textId="0946C778" w:rsidR="000443C4" w:rsidRPr="00B96EEC" w:rsidRDefault="000443C4" w:rsidP="0042484E">
      <w:pPr>
        <w:pStyle w:val="BlockText"/>
        <w:ind w:firstLine="567"/>
        <w:jc w:val="both"/>
        <w:rPr>
          <w:sz w:val="20"/>
          <w:szCs w:val="20"/>
        </w:rPr>
      </w:pPr>
      <w:r w:rsidRPr="00B96EEC">
        <w:rPr>
          <w:sz w:val="20"/>
          <w:szCs w:val="20"/>
        </w:rPr>
        <w:t>HPGe gamma spectrometry measurements</w:t>
      </w:r>
      <w:r w:rsidR="00A91CF1" w:rsidRPr="00B96EEC">
        <w:rPr>
          <w:sz w:val="20"/>
          <w:szCs w:val="20"/>
        </w:rPr>
        <w:t xml:space="preserve"> </w:t>
      </w:r>
      <w:r w:rsidR="005911AD" w:rsidRPr="00B96EEC">
        <w:rPr>
          <w:sz w:val="20"/>
          <w:szCs w:val="20"/>
        </w:rPr>
        <w:t xml:space="preserve">were </w:t>
      </w:r>
      <w:r w:rsidR="00A91CF1" w:rsidRPr="00B96EEC">
        <w:rPr>
          <w:sz w:val="20"/>
          <w:szCs w:val="20"/>
        </w:rPr>
        <w:t>simulated for</w:t>
      </w:r>
      <w:r w:rsidRPr="00B96EEC">
        <w:rPr>
          <w:sz w:val="20"/>
          <w:szCs w:val="20"/>
        </w:rPr>
        <w:t xml:space="preserve"> several AR fuel elements that are equivalent to LWR fuel pins, including the BWXT Advanced Nuclear Reactor (BANR) TRISO compacts, USNC compacts, X-Energy (XE) pebbles, Kairos Power (KP) pebbles, and metal fuel pins. The sensitivity of the simulated gamma signals to fuel enrichments and fuel diversion were quantified to identify safeguards challenges. </w:t>
      </w:r>
      <w:r w:rsidRPr="00B96EEC">
        <w:rPr>
          <w:sz w:val="20"/>
          <w:szCs w:val="20"/>
        </w:rPr>
        <w:fldChar w:fldCharType="begin"/>
      </w:r>
      <w:r w:rsidRPr="00B96EEC">
        <w:rPr>
          <w:sz w:val="20"/>
          <w:szCs w:val="20"/>
        </w:rPr>
        <w:instrText xml:space="preserve"> REF _Ref152025922 \h  \* MERGEFORMAT </w:instrText>
      </w:r>
      <w:r w:rsidRPr="00B96EEC">
        <w:rPr>
          <w:sz w:val="20"/>
          <w:szCs w:val="20"/>
        </w:rPr>
      </w:r>
      <w:r w:rsidRPr="00B96EEC">
        <w:rPr>
          <w:sz w:val="20"/>
          <w:szCs w:val="20"/>
        </w:rPr>
        <w:fldChar w:fldCharType="separate"/>
      </w:r>
      <w:r w:rsidR="00B90BAC" w:rsidRPr="00B96EEC">
        <w:rPr>
          <w:sz w:val="20"/>
          <w:szCs w:val="20"/>
        </w:rPr>
        <w:t>Table 2</w:t>
      </w:r>
      <w:r w:rsidRPr="00B96EEC">
        <w:rPr>
          <w:sz w:val="20"/>
          <w:szCs w:val="20"/>
        </w:rPr>
        <w:fldChar w:fldCharType="end"/>
      </w:r>
      <w:r w:rsidRPr="00B96EEC">
        <w:rPr>
          <w:sz w:val="20"/>
          <w:szCs w:val="20"/>
        </w:rPr>
        <w:t xml:space="preserve"> summarizes the key characteristics of the</w:t>
      </w:r>
      <w:r w:rsidR="00A91CF1" w:rsidRPr="00B96EEC">
        <w:rPr>
          <w:sz w:val="20"/>
          <w:szCs w:val="20"/>
        </w:rPr>
        <w:t>se</w:t>
      </w:r>
      <w:r w:rsidRPr="00B96EEC">
        <w:rPr>
          <w:sz w:val="20"/>
          <w:szCs w:val="20"/>
        </w:rPr>
        <w:t xml:space="preserve"> AR fuel elements and a PWR fuel pin. For the TRISO-based AR fuel elements, the fuel matrix densities account for a mix of the TRISO particles (with coating layers) and the graphite or SiC matrix. Given that gamma rays are more heavily attenuated by material with higher density, the amounts of attenuation are expected to vary among these fuel elements because of their different fuel matrix densities. The differences in fuel radius among these fuel elements are also expected to impact the detected gamma signals because it is more difficult for gamma rays originating from “deeper” inside the fuel matrix to traverse the material before being detected. </w:t>
      </w:r>
    </w:p>
    <w:p w14:paraId="6BAE206A" w14:textId="1A227F63" w:rsidR="000443C4" w:rsidRPr="00B96EEC" w:rsidRDefault="000443C4" w:rsidP="00EF6FD9">
      <w:pPr>
        <w:pStyle w:val="TableCaption"/>
        <w:jc w:val="both"/>
        <w:rPr>
          <w:rFonts w:ascii="Times New Roman" w:hAnsi="Times New Roman"/>
          <w:b w:val="0"/>
        </w:rPr>
      </w:pPr>
      <w:bookmarkStart w:id="10" w:name="_Ref152025922"/>
      <w:bookmarkStart w:id="11" w:name="_Toc153126018"/>
      <w:r w:rsidRPr="00B96EEC">
        <w:rPr>
          <w:rFonts w:ascii="Times New Roman" w:hAnsi="Times New Roman"/>
          <w:b w:val="0"/>
        </w:rPr>
        <w:t>T</w:t>
      </w:r>
      <w:r w:rsidR="00EF6FD9">
        <w:rPr>
          <w:rFonts w:ascii="Times New Roman" w:hAnsi="Times New Roman"/>
          <w:b w:val="0"/>
        </w:rPr>
        <w:t>ABLE</w:t>
      </w:r>
      <w:r w:rsidRPr="00B96EEC">
        <w:rPr>
          <w:rFonts w:ascii="Times New Roman" w:hAnsi="Times New Roman"/>
          <w:b w:val="0"/>
        </w:rPr>
        <w:t xml:space="preserve"> </w:t>
      </w:r>
      <w:r w:rsidRPr="00B96EEC">
        <w:rPr>
          <w:rFonts w:ascii="Times New Roman" w:hAnsi="Times New Roman"/>
          <w:b w:val="0"/>
        </w:rPr>
        <w:fldChar w:fldCharType="begin"/>
      </w:r>
      <w:r w:rsidRPr="00B96EEC">
        <w:rPr>
          <w:rFonts w:ascii="Times New Roman" w:hAnsi="Times New Roman"/>
          <w:b w:val="0"/>
        </w:rPr>
        <w:instrText xml:space="preserve"> SEQ Table \* ARABIC </w:instrText>
      </w:r>
      <w:r w:rsidRPr="00B96EEC">
        <w:rPr>
          <w:rFonts w:ascii="Times New Roman" w:hAnsi="Times New Roman"/>
          <w:b w:val="0"/>
        </w:rPr>
        <w:fldChar w:fldCharType="separate"/>
      </w:r>
      <w:r w:rsidR="00B90BAC" w:rsidRPr="00B96EEC">
        <w:rPr>
          <w:rFonts w:ascii="Times New Roman" w:hAnsi="Times New Roman"/>
          <w:b w:val="0"/>
        </w:rPr>
        <w:t>2</w:t>
      </w:r>
      <w:r w:rsidRPr="00B96EEC">
        <w:rPr>
          <w:rFonts w:ascii="Times New Roman" w:hAnsi="Times New Roman"/>
          <w:b w:val="0"/>
        </w:rPr>
        <w:fldChar w:fldCharType="end"/>
      </w:r>
      <w:bookmarkEnd w:id="10"/>
      <w:r w:rsidRPr="00B96EEC">
        <w:rPr>
          <w:rFonts w:ascii="Times New Roman" w:hAnsi="Times New Roman"/>
          <w:b w:val="0"/>
        </w:rPr>
        <w:t>.</w:t>
      </w:r>
      <w:bookmarkStart w:id="12" w:name="OLE_LINK4"/>
      <w:bookmarkEnd w:id="11"/>
      <w:r w:rsidR="00EF6FD9">
        <w:rPr>
          <w:rFonts w:ascii="Times New Roman" w:hAnsi="Times New Roman"/>
          <w:b w:val="0"/>
        </w:rPr>
        <w:tab/>
      </w:r>
      <w:r w:rsidR="00EF6FD9" w:rsidRPr="00EF6FD9">
        <w:rPr>
          <w:rFonts w:ascii="Times New Roman" w:hAnsi="Times New Roman"/>
          <w:b w:val="0"/>
        </w:rPr>
        <w:t>SUMMARY OF KEY CHARACTERISTICS OF THE AR FUEL ELEMENTS THAT WERE SIMULATED FOR GAMMA MEASUREMENTS.</w:t>
      </w:r>
      <w:bookmarkEnd w:id="12"/>
    </w:p>
    <w:tbl>
      <w:tblPr>
        <w:tblW w:w="10072" w:type="dxa"/>
        <w:jc w:val="center"/>
        <w:tblCellMar>
          <w:left w:w="0" w:type="dxa"/>
          <w:right w:w="0" w:type="dxa"/>
        </w:tblCellMar>
        <w:tblLook w:val="0420" w:firstRow="1" w:lastRow="0" w:firstColumn="0" w:lastColumn="0" w:noHBand="0" w:noVBand="1"/>
      </w:tblPr>
      <w:tblGrid>
        <w:gridCol w:w="1748"/>
        <w:gridCol w:w="977"/>
        <w:gridCol w:w="1368"/>
        <w:gridCol w:w="1368"/>
        <w:gridCol w:w="1466"/>
        <w:gridCol w:w="1563"/>
        <w:gridCol w:w="1582"/>
      </w:tblGrid>
      <w:tr w:rsidR="007E3447" w:rsidRPr="00B96EEC" w14:paraId="3E7D907D" w14:textId="77777777" w:rsidTr="001D0251">
        <w:trPr>
          <w:trHeight w:val="452"/>
          <w:jc w:val="center"/>
        </w:trPr>
        <w:tc>
          <w:tcPr>
            <w:tcW w:w="1748" w:type="dxa"/>
            <w:tcBorders>
              <w:top w:val="single" w:sz="8" w:space="0" w:color="FFFFFF"/>
              <w:left w:val="single" w:sz="8" w:space="0" w:color="FFFFFF"/>
              <w:bottom w:val="single" w:sz="24" w:space="0" w:color="FFFFFF"/>
              <w:right w:val="single" w:sz="8" w:space="0" w:color="FFFFFF"/>
            </w:tcBorders>
            <w:shd w:val="clear" w:color="auto" w:fill="33A3AF"/>
            <w:tcMar>
              <w:top w:w="14" w:type="dxa"/>
              <w:left w:w="14" w:type="dxa"/>
              <w:bottom w:w="0" w:type="dxa"/>
              <w:right w:w="14" w:type="dxa"/>
            </w:tcMar>
            <w:vAlign w:val="center"/>
            <w:hideMark/>
          </w:tcPr>
          <w:p w14:paraId="121E7AEC" w14:textId="77777777" w:rsidR="000443C4" w:rsidRPr="00B96EEC" w:rsidRDefault="000443C4" w:rsidP="0042484E">
            <w:pPr>
              <w:jc w:val="both"/>
              <w:rPr>
                <w:sz w:val="18"/>
                <w:szCs w:val="18"/>
                <w:lang w:val="en-US"/>
              </w:rPr>
            </w:pPr>
            <w:r w:rsidRPr="00B96EEC">
              <w:rPr>
                <w:sz w:val="18"/>
                <w:szCs w:val="18"/>
                <w:lang w:val="en-US"/>
              </w:rPr>
              <w:t> </w:t>
            </w:r>
          </w:p>
        </w:tc>
        <w:tc>
          <w:tcPr>
            <w:tcW w:w="977" w:type="dxa"/>
            <w:tcBorders>
              <w:top w:val="single" w:sz="8" w:space="0" w:color="FFFFFF"/>
              <w:left w:val="single" w:sz="8" w:space="0" w:color="FFFFFF"/>
              <w:bottom w:val="single" w:sz="24" w:space="0" w:color="FFFFFF"/>
              <w:right w:val="single" w:sz="8" w:space="0" w:color="FFFFFF"/>
            </w:tcBorders>
            <w:shd w:val="clear" w:color="auto" w:fill="33A3AF"/>
            <w:tcMar>
              <w:top w:w="14" w:type="dxa"/>
              <w:left w:w="14" w:type="dxa"/>
              <w:bottom w:w="0" w:type="dxa"/>
              <w:right w:w="14" w:type="dxa"/>
            </w:tcMar>
            <w:vAlign w:val="center"/>
            <w:hideMark/>
          </w:tcPr>
          <w:p w14:paraId="365E5F51" w14:textId="77777777" w:rsidR="000443C4" w:rsidRPr="00B96EEC" w:rsidRDefault="000443C4" w:rsidP="0042484E">
            <w:pPr>
              <w:jc w:val="both"/>
              <w:rPr>
                <w:sz w:val="18"/>
                <w:szCs w:val="18"/>
                <w:lang w:val="en-US"/>
              </w:rPr>
            </w:pPr>
            <w:r w:rsidRPr="00B96EEC">
              <w:rPr>
                <w:sz w:val="18"/>
                <w:szCs w:val="18"/>
                <w:lang w:val="en-US"/>
              </w:rPr>
              <w:t>Metal Fuel Pin</w:t>
            </w:r>
          </w:p>
        </w:tc>
        <w:tc>
          <w:tcPr>
            <w:tcW w:w="1368" w:type="dxa"/>
            <w:tcBorders>
              <w:top w:val="single" w:sz="8" w:space="0" w:color="FFFFFF"/>
              <w:left w:val="single" w:sz="8" w:space="0" w:color="FFFFFF"/>
              <w:bottom w:val="single" w:sz="24" w:space="0" w:color="FFFFFF"/>
              <w:right w:val="single" w:sz="8" w:space="0" w:color="FFFFFF"/>
            </w:tcBorders>
            <w:shd w:val="clear" w:color="auto" w:fill="33A3AF"/>
            <w:tcMar>
              <w:top w:w="14" w:type="dxa"/>
              <w:left w:w="14" w:type="dxa"/>
              <w:bottom w:w="0" w:type="dxa"/>
              <w:right w:w="14" w:type="dxa"/>
            </w:tcMar>
            <w:vAlign w:val="center"/>
            <w:hideMark/>
          </w:tcPr>
          <w:p w14:paraId="5D7B6703" w14:textId="77777777" w:rsidR="000443C4" w:rsidRPr="00B96EEC" w:rsidRDefault="000443C4" w:rsidP="0042484E">
            <w:pPr>
              <w:jc w:val="both"/>
              <w:rPr>
                <w:sz w:val="18"/>
                <w:szCs w:val="18"/>
                <w:lang w:val="en-US"/>
              </w:rPr>
            </w:pPr>
            <w:r w:rsidRPr="00B96EEC">
              <w:rPr>
                <w:sz w:val="18"/>
                <w:szCs w:val="18"/>
                <w:lang w:val="en-US"/>
              </w:rPr>
              <w:t>BANR Compact</w:t>
            </w:r>
          </w:p>
        </w:tc>
        <w:tc>
          <w:tcPr>
            <w:tcW w:w="1368" w:type="dxa"/>
            <w:tcBorders>
              <w:top w:val="single" w:sz="8" w:space="0" w:color="FFFFFF"/>
              <w:left w:val="single" w:sz="8" w:space="0" w:color="FFFFFF"/>
              <w:bottom w:val="single" w:sz="24" w:space="0" w:color="FFFFFF"/>
              <w:right w:val="single" w:sz="8" w:space="0" w:color="FFFFFF"/>
            </w:tcBorders>
            <w:shd w:val="clear" w:color="auto" w:fill="33A3AF"/>
            <w:tcMar>
              <w:top w:w="14" w:type="dxa"/>
              <w:left w:w="14" w:type="dxa"/>
              <w:bottom w:w="0" w:type="dxa"/>
              <w:right w:w="14" w:type="dxa"/>
            </w:tcMar>
            <w:vAlign w:val="center"/>
            <w:hideMark/>
          </w:tcPr>
          <w:p w14:paraId="622BCDF5" w14:textId="77777777" w:rsidR="000443C4" w:rsidRPr="00B96EEC" w:rsidRDefault="000443C4" w:rsidP="0042484E">
            <w:pPr>
              <w:jc w:val="both"/>
              <w:rPr>
                <w:sz w:val="18"/>
                <w:szCs w:val="18"/>
                <w:lang w:val="en-US"/>
              </w:rPr>
            </w:pPr>
            <w:r w:rsidRPr="00B96EEC">
              <w:rPr>
                <w:sz w:val="18"/>
                <w:szCs w:val="18"/>
                <w:lang w:val="en-US"/>
              </w:rPr>
              <w:t>USNC Compact</w:t>
            </w:r>
          </w:p>
        </w:tc>
        <w:tc>
          <w:tcPr>
            <w:tcW w:w="1466" w:type="dxa"/>
            <w:tcBorders>
              <w:top w:val="single" w:sz="8" w:space="0" w:color="FFFFFF"/>
              <w:left w:val="single" w:sz="8" w:space="0" w:color="FFFFFF"/>
              <w:bottom w:val="single" w:sz="24" w:space="0" w:color="FFFFFF"/>
              <w:right w:val="single" w:sz="8" w:space="0" w:color="FFFFFF"/>
            </w:tcBorders>
            <w:shd w:val="clear" w:color="auto" w:fill="33A3AF"/>
            <w:tcMar>
              <w:top w:w="14" w:type="dxa"/>
              <w:left w:w="14" w:type="dxa"/>
              <w:bottom w:w="0" w:type="dxa"/>
              <w:right w:w="14" w:type="dxa"/>
            </w:tcMar>
            <w:vAlign w:val="center"/>
            <w:hideMark/>
          </w:tcPr>
          <w:p w14:paraId="4589111C" w14:textId="77777777" w:rsidR="000443C4" w:rsidRPr="00B96EEC" w:rsidRDefault="000443C4" w:rsidP="0042484E">
            <w:pPr>
              <w:jc w:val="both"/>
              <w:rPr>
                <w:sz w:val="18"/>
                <w:szCs w:val="18"/>
                <w:lang w:val="en-US"/>
              </w:rPr>
            </w:pPr>
            <w:r w:rsidRPr="00B96EEC">
              <w:rPr>
                <w:sz w:val="18"/>
                <w:szCs w:val="18"/>
                <w:lang w:val="en-US"/>
              </w:rPr>
              <w:t>XE Pebble</w:t>
            </w:r>
          </w:p>
        </w:tc>
        <w:tc>
          <w:tcPr>
            <w:tcW w:w="1563" w:type="dxa"/>
            <w:tcBorders>
              <w:top w:val="single" w:sz="8" w:space="0" w:color="FFFFFF"/>
              <w:left w:val="single" w:sz="8" w:space="0" w:color="FFFFFF"/>
              <w:bottom w:val="single" w:sz="24" w:space="0" w:color="FFFFFF"/>
              <w:right w:val="single" w:sz="8" w:space="0" w:color="FFFFFF"/>
            </w:tcBorders>
            <w:shd w:val="clear" w:color="auto" w:fill="33A3AF"/>
            <w:tcMar>
              <w:top w:w="14" w:type="dxa"/>
              <w:left w:w="14" w:type="dxa"/>
              <w:bottom w:w="0" w:type="dxa"/>
              <w:right w:w="14" w:type="dxa"/>
            </w:tcMar>
            <w:vAlign w:val="center"/>
            <w:hideMark/>
          </w:tcPr>
          <w:p w14:paraId="36624899" w14:textId="77777777" w:rsidR="000443C4" w:rsidRPr="00B96EEC" w:rsidRDefault="000443C4" w:rsidP="0042484E">
            <w:pPr>
              <w:jc w:val="both"/>
              <w:rPr>
                <w:sz w:val="18"/>
                <w:szCs w:val="18"/>
                <w:lang w:val="en-US"/>
              </w:rPr>
            </w:pPr>
            <w:r w:rsidRPr="00B96EEC">
              <w:rPr>
                <w:sz w:val="18"/>
                <w:szCs w:val="18"/>
                <w:lang w:val="en-US"/>
              </w:rPr>
              <w:t>KP Pebble</w:t>
            </w:r>
          </w:p>
        </w:tc>
        <w:tc>
          <w:tcPr>
            <w:tcW w:w="1582" w:type="dxa"/>
            <w:tcBorders>
              <w:top w:val="single" w:sz="8" w:space="0" w:color="FFFFFF"/>
              <w:left w:val="single" w:sz="8" w:space="0" w:color="FFFFFF"/>
              <w:bottom w:val="single" w:sz="24" w:space="0" w:color="FFFFFF"/>
              <w:right w:val="single" w:sz="8" w:space="0" w:color="FFFFFF"/>
            </w:tcBorders>
            <w:shd w:val="clear" w:color="auto" w:fill="33A3AF"/>
            <w:tcMar>
              <w:top w:w="14" w:type="dxa"/>
              <w:left w:w="14" w:type="dxa"/>
              <w:bottom w:w="0" w:type="dxa"/>
              <w:right w:w="14" w:type="dxa"/>
            </w:tcMar>
            <w:vAlign w:val="center"/>
            <w:hideMark/>
          </w:tcPr>
          <w:p w14:paraId="7387DEDC" w14:textId="77777777" w:rsidR="000443C4" w:rsidRPr="00B96EEC" w:rsidRDefault="000443C4" w:rsidP="0042484E">
            <w:pPr>
              <w:jc w:val="both"/>
              <w:rPr>
                <w:sz w:val="18"/>
                <w:szCs w:val="18"/>
                <w:lang w:val="en-US"/>
              </w:rPr>
            </w:pPr>
            <w:r w:rsidRPr="00B96EEC">
              <w:rPr>
                <w:sz w:val="18"/>
                <w:szCs w:val="18"/>
                <w:lang w:val="en-US"/>
              </w:rPr>
              <w:t>PWR Fuel Pin</w:t>
            </w:r>
          </w:p>
        </w:tc>
      </w:tr>
      <w:tr w:rsidR="007E3447" w:rsidRPr="00B96EEC" w14:paraId="0A9A8445" w14:textId="77777777" w:rsidTr="001D0251">
        <w:trPr>
          <w:trHeight w:val="646"/>
          <w:jc w:val="center"/>
        </w:trPr>
        <w:tc>
          <w:tcPr>
            <w:tcW w:w="1748" w:type="dxa"/>
            <w:tcBorders>
              <w:top w:val="single" w:sz="24"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721CDAE8" w14:textId="77777777" w:rsidR="000443C4" w:rsidRPr="00B96EEC" w:rsidRDefault="000443C4" w:rsidP="0042484E">
            <w:pPr>
              <w:jc w:val="both"/>
              <w:rPr>
                <w:sz w:val="18"/>
                <w:szCs w:val="18"/>
                <w:lang w:val="en-US"/>
              </w:rPr>
            </w:pPr>
            <w:r w:rsidRPr="00B96EEC">
              <w:rPr>
                <w:sz w:val="18"/>
                <w:szCs w:val="18"/>
                <w:lang w:val="en-US"/>
              </w:rPr>
              <w:t>Fuel form</w:t>
            </w:r>
          </w:p>
        </w:tc>
        <w:tc>
          <w:tcPr>
            <w:tcW w:w="977" w:type="dxa"/>
            <w:tcBorders>
              <w:top w:val="single" w:sz="24"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5806EBC5" w14:textId="77777777" w:rsidR="000443C4" w:rsidRPr="00B96EEC" w:rsidRDefault="000443C4" w:rsidP="0042484E">
            <w:pPr>
              <w:jc w:val="both"/>
              <w:rPr>
                <w:sz w:val="18"/>
                <w:szCs w:val="18"/>
                <w:lang w:val="en-US"/>
              </w:rPr>
            </w:pPr>
            <w:r w:rsidRPr="00B96EEC">
              <w:rPr>
                <w:sz w:val="18"/>
                <w:szCs w:val="18"/>
                <w:lang w:val="en-US"/>
              </w:rPr>
              <w:t>U-10Zr alloy</w:t>
            </w:r>
          </w:p>
        </w:tc>
        <w:tc>
          <w:tcPr>
            <w:tcW w:w="1368" w:type="dxa"/>
            <w:tcBorders>
              <w:top w:val="single" w:sz="24"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1C8FB737" w14:textId="77777777" w:rsidR="000443C4" w:rsidRPr="00B96EEC" w:rsidRDefault="000443C4" w:rsidP="0042484E">
            <w:pPr>
              <w:jc w:val="both"/>
              <w:rPr>
                <w:sz w:val="18"/>
                <w:szCs w:val="18"/>
                <w:lang w:val="en-US"/>
              </w:rPr>
            </w:pPr>
            <w:r w:rsidRPr="00B96EEC">
              <w:rPr>
                <w:sz w:val="18"/>
                <w:szCs w:val="18"/>
                <w:lang w:val="en-US"/>
              </w:rPr>
              <w:t>TRISO particles in graphite matrix with graphite shell</w:t>
            </w:r>
          </w:p>
        </w:tc>
        <w:tc>
          <w:tcPr>
            <w:tcW w:w="1368" w:type="dxa"/>
            <w:tcBorders>
              <w:top w:val="single" w:sz="24"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507479DE" w14:textId="77777777" w:rsidR="000443C4" w:rsidRPr="00B96EEC" w:rsidRDefault="000443C4" w:rsidP="0042484E">
            <w:pPr>
              <w:jc w:val="both"/>
              <w:rPr>
                <w:sz w:val="18"/>
                <w:szCs w:val="18"/>
                <w:lang w:val="en-US"/>
              </w:rPr>
            </w:pPr>
            <w:r w:rsidRPr="00B96EEC">
              <w:rPr>
                <w:sz w:val="18"/>
                <w:szCs w:val="18"/>
                <w:lang w:val="en-US"/>
              </w:rPr>
              <w:t>TRISO particles in SiC matrix with SiC shell</w:t>
            </w:r>
          </w:p>
        </w:tc>
        <w:tc>
          <w:tcPr>
            <w:tcW w:w="1466" w:type="dxa"/>
            <w:tcBorders>
              <w:top w:val="single" w:sz="24"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1F741F07" w14:textId="77777777" w:rsidR="000443C4" w:rsidRPr="00B96EEC" w:rsidRDefault="000443C4" w:rsidP="0042484E">
            <w:pPr>
              <w:jc w:val="both"/>
              <w:rPr>
                <w:sz w:val="18"/>
                <w:szCs w:val="18"/>
                <w:lang w:val="en-US"/>
              </w:rPr>
            </w:pPr>
            <w:r w:rsidRPr="00B96EEC">
              <w:rPr>
                <w:sz w:val="18"/>
                <w:szCs w:val="18"/>
                <w:lang w:val="en-US"/>
              </w:rPr>
              <w:t>TRISO particles in graphite matrix with graphite shell</w:t>
            </w:r>
          </w:p>
        </w:tc>
        <w:tc>
          <w:tcPr>
            <w:tcW w:w="1563" w:type="dxa"/>
            <w:tcBorders>
              <w:top w:val="single" w:sz="24"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44D7202A" w14:textId="544CCC2D" w:rsidR="000443C4" w:rsidRPr="00B96EEC" w:rsidRDefault="000443C4" w:rsidP="0042484E">
            <w:pPr>
              <w:jc w:val="both"/>
              <w:rPr>
                <w:sz w:val="18"/>
                <w:szCs w:val="18"/>
                <w:lang w:val="en-US"/>
              </w:rPr>
            </w:pPr>
            <w:r w:rsidRPr="00B96EEC">
              <w:rPr>
                <w:sz w:val="18"/>
                <w:szCs w:val="18"/>
                <w:lang w:val="en-US"/>
              </w:rPr>
              <w:t>Similar as XE pebble but has an inner graphite core</w:t>
            </w:r>
          </w:p>
        </w:tc>
        <w:tc>
          <w:tcPr>
            <w:tcW w:w="1582" w:type="dxa"/>
            <w:tcBorders>
              <w:top w:val="single" w:sz="24"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0BF9D62F" w14:textId="77777777" w:rsidR="000443C4" w:rsidRPr="00B96EEC" w:rsidRDefault="000443C4" w:rsidP="0042484E">
            <w:pPr>
              <w:jc w:val="both"/>
              <w:rPr>
                <w:sz w:val="18"/>
                <w:szCs w:val="18"/>
                <w:lang w:val="en-US"/>
              </w:rPr>
            </w:pPr>
            <w:r w:rsidRPr="00B96EEC">
              <w:rPr>
                <w:sz w:val="18"/>
                <w:szCs w:val="18"/>
                <w:lang w:val="en-US"/>
              </w:rPr>
              <w:t>UO</w:t>
            </w:r>
            <w:r w:rsidRPr="00B96EEC">
              <w:rPr>
                <w:sz w:val="18"/>
                <w:szCs w:val="18"/>
                <w:vertAlign w:val="subscript"/>
                <w:lang w:val="en-US"/>
              </w:rPr>
              <w:t>2</w:t>
            </w:r>
            <w:r w:rsidRPr="00B96EEC">
              <w:rPr>
                <w:sz w:val="18"/>
                <w:szCs w:val="18"/>
                <w:lang w:val="en-US"/>
              </w:rPr>
              <w:t xml:space="preserve"> ceramic</w:t>
            </w:r>
          </w:p>
        </w:tc>
      </w:tr>
      <w:tr w:rsidR="007E3447" w:rsidRPr="00B96EEC" w14:paraId="1FAF8647" w14:textId="77777777" w:rsidTr="001D0251">
        <w:trPr>
          <w:trHeight w:val="497"/>
          <w:jc w:val="center"/>
        </w:trPr>
        <w:tc>
          <w:tcPr>
            <w:tcW w:w="1748"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64D11192" w14:textId="77777777" w:rsidR="000443C4" w:rsidRPr="00B96EEC" w:rsidRDefault="000443C4" w:rsidP="0042484E">
            <w:pPr>
              <w:jc w:val="both"/>
              <w:rPr>
                <w:sz w:val="18"/>
                <w:szCs w:val="18"/>
                <w:lang w:val="en-US"/>
              </w:rPr>
            </w:pPr>
            <w:r w:rsidRPr="00B96EEC">
              <w:rPr>
                <w:sz w:val="18"/>
                <w:szCs w:val="18"/>
                <w:lang w:val="en-US"/>
              </w:rPr>
              <w:t>Fuel matrix density (g/cc)</w:t>
            </w:r>
          </w:p>
        </w:tc>
        <w:tc>
          <w:tcPr>
            <w:tcW w:w="977"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439C0B52" w14:textId="77777777" w:rsidR="000443C4" w:rsidRPr="00B96EEC" w:rsidRDefault="000443C4" w:rsidP="0042484E">
            <w:pPr>
              <w:jc w:val="both"/>
              <w:rPr>
                <w:sz w:val="18"/>
                <w:szCs w:val="18"/>
                <w:lang w:val="en-US"/>
              </w:rPr>
            </w:pPr>
            <w:r w:rsidRPr="00B96EEC">
              <w:rPr>
                <w:sz w:val="18"/>
                <w:szCs w:val="18"/>
                <w:lang w:val="en-US"/>
              </w:rPr>
              <w:t>15.8</w:t>
            </w:r>
          </w:p>
        </w:tc>
        <w:tc>
          <w:tcPr>
            <w:tcW w:w="1368"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546B173D" w14:textId="77777777" w:rsidR="000443C4" w:rsidRPr="00B96EEC" w:rsidRDefault="000443C4" w:rsidP="0042484E">
            <w:pPr>
              <w:jc w:val="both"/>
              <w:rPr>
                <w:sz w:val="18"/>
                <w:szCs w:val="18"/>
                <w:lang w:val="en-US"/>
              </w:rPr>
            </w:pPr>
            <w:r w:rsidRPr="00B96EEC">
              <w:rPr>
                <w:sz w:val="18"/>
                <w:szCs w:val="18"/>
                <w:lang w:val="en-US"/>
              </w:rPr>
              <w:t>2.23 (40%PF)</w:t>
            </w:r>
          </w:p>
        </w:tc>
        <w:tc>
          <w:tcPr>
            <w:tcW w:w="1368"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2B675FD2" w14:textId="77777777" w:rsidR="000443C4" w:rsidRPr="00B96EEC" w:rsidRDefault="000443C4" w:rsidP="0042484E">
            <w:pPr>
              <w:jc w:val="both"/>
              <w:rPr>
                <w:sz w:val="18"/>
                <w:szCs w:val="18"/>
                <w:lang w:val="en-US"/>
              </w:rPr>
            </w:pPr>
            <w:r w:rsidRPr="00B96EEC">
              <w:rPr>
                <w:sz w:val="18"/>
                <w:szCs w:val="18"/>
                <w:lang w:val="en-US"/>
              </w:rPr>
              <w:t>3.05 (60%PF)</w:t>
            </w:r>
          </w:p>
        </w:tc>
        <w:tc>
          <w:tcPr>
            <w:tcW w:w="1466"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37D3BAE7" w14:textId="77777777" w:rsidR="000443C4" w:rsidRPr="00B96EEC" w:rsidRDefault="000443C4" w:rsidP="0042484E">
            <w:pPr>
              <w:jc w:val="both"/>
              <w:rPr>
                <w:sz w:val="18"/>
                <w:szCs w:val="18"/>
                <w:lang w:val="en-US"/>
              </w:rPr>
            </w:pPr>
            <w:r w:rsidRPr="00B96EEC">
              <w:rPr>
                <w:sz w:val="18"/>
                <w:szCs w:val="18"/>
                <w:lang w:val="en-US"/>
              </w:rPr>
              <w:t>1.86</w:t>
            </w:r>
          </w:p>
        </w:tc>
        <w:tc>
          <w:tcPr>
            <w:tcW w:w="1563"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50B611EC" w14:textId="77777777" w:rsidR="000443C4" w:rsidRPr="00B96EEC" w:rsidRDefault="000443C4" w:rsidP="0042484E">
            <w:pPr>
              <w:jc w:val="both"/>
              <w:rPr>
                <w:sz w:val="18"/>
                <w:szCs w:val="18"/>
                <w:lang w:val="en-US"/>
              </w:rPr>
            </w:pPr>
            <w:r w:rsidRPr="00B96EEC">
              <w:rPr>
                <w:sz w:val="18"/>
                <w:szCs w:val="18"/>
                <w:lang w:val="en-US"/>
              </w:rPr>
              <w:t>2.2</w:t>
            </w:r>
          </w:p>
        </w:tc>
        <w:tc>
          <w:tcPr>
            <w:tcW w:w="1582"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73DA7B0D" w14:textId="77777777" w:rsidR="000443C4" w:rsidRPr="00B96EEC" w:rsidRDefault="000443C4" w:rsidP="0042484E">
            <w:pPr>
              <w:jc w:val="both"/>
              <w:rPr>
                <w:sz w:val="18"/>
                <w:szCs w:val="18"/>
                <w:lang w:val="en-US"/>
              </w:rPr>
            </w:pPr>
            <w:r w:rsidRPr="00B96EEC">
              <w:rPr>
                <w:sz w:val="18"/>
                <w:szCs w:val="18"/>
                <w:lang w:val="en-US"/>
              </w:rPr>
              <w:t>10.4</w:t>
            </w:r>
          </w:p>
        </w:tc>
      </w:tr>
      <w:tr w:rsidR="007E3447" w:rsidRPr="00B96EEC" w14:paraId="02BCB0ED" w14:textId="77777777" w:rsidTr="001D0251">
        <w:trPr>
          <w:trHeight w:val="317"/>
          <w:jc w:val="center"/>
        </w:trPr>
        <w:tc>
          <w:tcPr>
            <w:tcW w:w="174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2BBF22A4" w14:textId="77777777" w:rsidR="000443C4" w:rsidRPr="00B96EEC" w:rsidRDefault="000443C4" w:rsidP="0042484E">
            <w:pPr>
              <w:jc w:val="both"/>
              <w:rPr>
                <w:sz w:val="18"/>
                <w:szCs w:val="18"/>
                <w:lang w:val="en-US"/>
              </w:rPr>
            </w:pPr>
            <w:r w:rsidRPr="00B96EEC">
              <w:rPr>
                <w:sz w:val="18"/>
                <w:szCs w:val="18"/>
                <w:lang w:val="en-US"/>
              </w:rPr>
              <w:t>Fuel radius (cm)</w:t>
            </w:r>
          </w:p>
        </w:tc>
        <w:tc>
          <w:tcPr>
            <w:tcW w:w="977"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5EA0C70A" w14:textId="77777777" w:rsidR="000443C4" w:rsidRPr="00B96EEC" w:rsidRDefault="000443C4" w:rsidP="0042484E">
            <w:pPr>
              <w:jc w:val="both"/>
              <w:rPr>
                <w:sz w:val="18"/>
                <w:szCs w:val="18"/>
                <w:lang w:val="en-US"/>
              </w:rPr>
            </w:pPr>
            <w:r w:rsidRPr="00B96EEC">
              <w:rPr>
                <w:sz w:val="18"/>
                <w:szCs w:val="18"/>
                <w:lang w:val="en-US"/>
              </w:rPr>
              <w:t>0.23</w:t>
            </w:r>
          </w:p>
        </w:tc>
        <w:tc>
          <w:tcPr>
            <w:tcW w:w="136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5900C630" w14:textId="77777777" w:rsidR="000443C4" w:rsidRPr="00B96EEC" w:rsidRDefault="000443C4" w:rsidP="0042484E">
            <w:pPr>
              <w:jc w:val="both"/>
              <w:rPr>
                <w:sz w:val="18"/>
                <w:szCs w:val="18"/>
                <w:lang w:val="en-US"/>
              </w:rPr>
            </w:pPr>
            <w:r w:rsidRPr="00B96EEC">
              <w:rPr>
                <w:sz w:val="18"/>
                <w:szCs w:val="18"/>
                <w:lang w:val="en-US"/>
              </w:rPr>
              <w:t>0.52</w:t>
            </w:r>
          </w:p>
        </w:tc>
        <w:tc>
          <w:tcPr>
            <w:tcW w:w="136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0DC00D70" w14:textId="77777777" w:rsidR="000443C4" w:rsidRPr="00B96EEC" w:rsidRDefault="000443C4" w:rsidP="0042484E">
            <w:pPr>
              <w:jc w:val="both"/>
              <w:rPr>
                <w:sz w:val="18"/>
                <w:szCs w:val="18"/>
                <w:lang w:val="en-US"/>
              </w:rPr>
            </w:pPr>
            <w:r w:rsidRPr="00B96EEC">
              <w:rPr>
                <w:sz w:val="18"/>
                <w:szCs w:val="18"/>
                <w:lang w:val="en-US"/>
              </w:rPr>
              <w:t>0.92</w:t>
            </w:r>
          </w:p>
        </w:tc>
        <w:tc>
          <w:tcPr>
            <w:tcW w:w="1466"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1BD027AE" w14:textId="77777777" w:rsidR="000443C4" w:rsidRPr="00B96EEC" w:rsidRDefault="000443C4" w:rsidP="0042484E">
            <w:pPr>
              <w:jc w:val="both"/>
              <w:rPr>
                <w:sz w:val="18"/>
                <w:szCs w:val="18"/>
                <w:lang w:val="en-US"/>
              </w:rPr>
            </w:pPr>
            <w:r w:rsidRPr="00B96EEC">
              <w:rPr>
                <w:sz w:val="18"/>
                <w:szCs w:val="18"/>
                <w:lang w:val="en-US"/>
              </w:rPr>
              <w:t>2.5</w:t>
            </w:r>
          </w:p>
        </w:tc>
        <w:tc>
          <w:tcPr>
            <w:tcW w:w="1563"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1B8EF536" w14:textId="77777777" w:rsidR="000443C4" w:rsidRPr="00B96EEC" w:rsidRDefault="000443C4" w:rsidP="0042484E">
            <w:pPr>
              <w:jc w:val="both"/>
              <w:rPr>
                <w:sz w:val="18"/>
                <w:szCs w:val="18"/>
                <w:lang w:val="en-US"/>
              </w:rPr>
            </w:pPr>
            <w:r w:rsidRPr="00B96EEC">
              <w:rPr>
                <w:sz w:val="18"/>
                <w:szCs w:val="18"/>
                <w:lang w:val="en-US"/>
              </w:rPr>
              <w:t>[1.52, 1.9]</w:t>
            </w:r>
          </w:p>
        </w:tc>
        <w:tc>
          <w:tcPr>
            <w:tcW w:w="1582"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5661D888" w14:textId="77777777" w:rsidR="000443C4" w:rsidRPr="00B96EEC" w:rsidRDefault="000443C4" w:rsidP="0042484E">
            <w:pPr>
              <w:jc w:val="both"/>
              <w:rPr>
                <w:sz w:val="18"/>
                <w:szCs w:val="18"/>
                <w:lang w:val="en-US"/>
              </w:rPr>
            </w:pPr>
            <w:r w:rsidRPr="00B96EEC">
              <w:rPr>
                <w:sz w:val="18"/>
                <w:szCs w:val="18"/>
                <w:lang w:val="en-US"/>
              </w:rPr>
              <w:t>0.41</w:t>
            </w:r>
          </w:p>
        </w:tc>
      </w:tr>
      <w:tr w:rsidR="007E3447" w:rsidRPr="00B96EEC" w14:paraId="0BCAE360" w14:textId="77777777" w:rsidTr="001D0251">
        <w:trPr>
          <w:trHeight w:val="335"/>
          <w:jc w:val="center"/>
        </w:trPr>
        <w:tc>
          <w:tcPr>
            <w:tcW w:w="1748"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1BDC2D92" w14:textId="77777777" w:rsidR="000443C4" w:rsidRPr="00B96EEC" w:rsidRDefault="000443C4" w:rsidP="0042484E">
            <w:pPr>
              <w:jc w:val="both"/>
              <w:rPr>
                <w:sz w:val="18"/>
                <w:szCs w:val="18"/>
                <w:lang w:val="en-US"/>
              </w:rPr>
            </w:pPr>
            <w:r w:rsidRPr="00B96EEC">
              <w:rPr>
                <w:sz w:val="18"/>
                <w:szCs w:val="18"/>
                <w:lang w:val="en-US"/>
              </w:rPr>
              <w:t>“Cladding” radius (cm)</w:t>
            </w:r>
          </w:p>
        </w:tc>
        <w:tc>
          <w:tcPr>
            <w:tcW w:w="977"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68CCF9BA" w14:textId="77777777" w:rsidR="000443C4" w:rsidRPr="00B96EEC" w:rsidRDefault="000443C4" w:rsidP="0042484E">
            <w:pPr>
              <w:jc w:val="both"/>
              <w:rPr>
                <w:sz w:val="18"/>
                <w:szCs w:val="18"/>
                <w:lang w:val="en-US"/>
              </w:rPr>
            </w:pPr>
            <w:r w:rsidRPr="00B96EEC">
              <w:rPr>
                <w:sz w:val="18"/>
                <w:szCs w:val="18"/>
                <w:lang w:val="en-US"/>
              </w:rPr>
              <w:t>0.315</w:t>
            </w:r>
          </w:p>
        </w:tc>
        <w:tc>
          <w:tcPr>
            <w:tcW w:w="1368"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1A95548D" w14:textId="77777777" w:rsidR="000443C4" w:rsidRPr="00B96EEC" w:rsidRDefault="000443C4" w:rsidP="0042484E">
            <w:pPr>
              <w:jc w:val="both"/>
              <w:rPr>
                <w:sz w:val="18"/>
                <w:szCs w:val="18"/>
                <w:lang w:val="en-US"/>
              </w:rPr>
            </w:pPr>
            <w:r w:rsidRPr="00B96EEC">
              <w:rPr>
                <w:sz w:val="18"/>
                <w:szCs w:val="18"/>
                <w:lang w:val="en-US"/>
              </w:rPr>
              <w:t>0.617</w:t>
            </w:r>
          </w:p>
        </w:tc>
        <w:tc>
          <w:tcPr>
            <w:tcW w:w="1368"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6DD961FD" w14:textId="77777777" w:rsidR="000443C4" w:rsidRPr="00B96EEC" w:rsidRDefault="000443C4" w:rsidP="0042484E">
            <w:pPr>
              <w:jc w:val="both"/>
              <w:rPr>
                <w:sz w:val="18"/>
                <w:szCs w:val="18"/>
                <w:lang w:val="en-US"/>
              </w:rPr>
            </w:pPr>
            <w:r w:rsidRPr="00B96EEC">
              <w:rPr>
                <w:sz w:val="18"/>
                <w:szCs w:val="18"/>
                <w:lang w:val="en-US"/>
              </w:rPr>
              <w:t>1.15</w:t>
            </w:r>
          </w:p>
        </w:tc>
        <w:tc>
          <w:tcPr>
            <w:tcW w:w="1466"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47910CAA" w14:textId="77777777" w:rsidR="000443C4" w:rsidRPr="00B96EEC" w:rsidRDefault="000443C4" w:rsidP="0042484E">
            <w:pPr>
              <w:jc w:val="both"/>
              <w:rPr>
                <w:sz w:val="18"/>
                <w:szCs w:val="18"/>
                <w:lang w:val="en-US"/>
              </w:rPr>
            </w:pPr>
            <w:r w:rsidRPr="00B96EEC">
              <w:rPr>
                <w:sz w:val="18"/>
                <w:szCs w:val="18"/>
                <w:lang w:val="en-US"/>
              </w:rPr>
              <w:t>3</w:t>
            </w:r>
          </w:p>
        </w:tc>
        <w:tc>
          <w:tcPr>
            <w:tcW w:w="1563"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229FA303" w14:textId="77777777" w:rsidR="000443C4" w:rsidRPr="00B96EEC" w:rsidRDefault="000443C4" w:rsidP="0042484E">
            <w:pPr>
              <w:jc w:val="both"/>
              <w:rPr>
                <w:sz w:val="18"/>
                <w:szCs w:val="18"/>
                <w:lang w:val="en-US"/>
              </w:rPr>
            </w:pPr>
            <w:r w:rsidRPr="00B96EEC">
              <w:rPr>
                <w:sz w:val="18"/>
                <w:szCs w:val="18"/>
                <w:lang w:val="en-US"/>
              </w:rPr>
              <w:t>2</w:t>
            </w:r>
          </w:p>
        </w:tc>
        <w:tc>
          <w:tcPr>
            <w:tcW w:w="1582" w:type="dxa"/>
            <w:tcBorders>
              <w:top w:val="single" w:sz="8" w:space="0" w:color="FFFFFF"/>
              <w:left w:val="single" w:sz="8" w:space="0" w:color="FFFFFF"/>
              <w:bottom w:val="single" w:sz="8" w:space="0" w:color="FFFFFF"/>
              <w:right w:val="single" w:sz="8" w:space="0" w:color="FFFFFF"/>
            </w:tcBorders>
            <w:shd w:val="clear" w:color="auto" w:fill="E8F0F2"/>
            <w:tcMar>
              <w:top w:w="14" w:type="dxa"/>
              <w:left w:w="14" w:type="dxa"/>
              <w:bottom w:w="0" w:type="dxa"/>
              <w:right w:w="14" w:type="dxa"/>
            </w:tcMar>
            <w:vAlign w:val="center"/>
            <w:hideMark/>
          </w:tcPr>
          <w:p w14:paraId="613D67FB" w14:textId="77777777" w:rsidR="000443C4" w:rsidRPr="00B96EEC" w:rsidRDefault="000443C4" w:rsidP="0042484E">
            <w:pPr>
              <w:jc w:val="both"/>
              <w:rPr>
                <w:sz w:val="18"/>
                <w:szCs w:val="18"/>
                <w:lang w:val="en-US"/>
              </w:rPr>
            </w:pPr>
            <w:r w:rsidRPr="00B96EEC">
              <w:rPr>
                <w:sz w:val="18"/>
                <w:szCs w:val="18"/>
                <w:lang w:val="en-US"/>
              </w:rPr>
              <w:t>0.475</w:t>
            </w:r>
          </w:p>
        </w:tc>
      </w:tr>
      <w:tr w:rsidR="007E3447" w:rsidRPr="00B96EEC" w14:paraId="0216DA18" w14:textId="77777777" w:rsidTr="001D0251">
        <w:trPr>
          <w:trHeight w:val="317"/>
          <w:jc w:val="center"/>
        </w:trPr>
        <w:tc>
          <w:tcPr>
            <w:tcW w:w="174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01818F87" w14:textId="77777777" w:rsidR="000443C4" w:rsidRPr="00B96EEC" w:rsidRDefault="000443C4" w:rsidP="0042484E">
            <w:pPr>
              <w:jc w:val="both"/>
              <w:rPr>
                <w:sz w:val="18"/>
                <w:szCs w:val="18"/>
                <w:lang w:val="en-US"/>
              </w:rPr>
            </w:pPr>
            <w:r w:rsidRPr="00B96EEC">
              <w:rPr>
                <w:sz w:val="18"/>
                <w:szCs w:val="18"/>
                <w:lang w:val="en-US"/>
              </w:rPr>
              <w:t>Fuel length (cm)</w:t>
            </w:r>
          </w:p>
        </w:tc>
        <w:tc>
          <w:tcPr>
            <w:tcW w:w="977"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626BE39D" w14:textId="77777777" w:rsidR="000443C4" w:rsidRPr="00B96EEC" w:rsidRDefault="000443C4" w:rsidP="0042484E">
            <w:pPr>
              <w:jc w:val="both"/>
              <w:rPr>
                <w:sz w:val="18"/>
                <w:szCs w:val="18"/>
                <w:lang w:val="en-US"/>
              </w:rPr>
            </w:pPr>
            <w:r w:rsidRPr="00B96EEC">
              <w:rPr>
                <w:sz w:val="18"/>
                <w:szCs w:val="18"/>
                <w:lang w:val="en-US"/>
              </w:rPr>
              <w:t>200</w:t>
            </w:r>
          </w:p>
        </w:tc>
        <w:tc>
          <w:tcPr>
            <w:tcW w:w="136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6007F95E" w14:textId="77777777" w:rsidR="000443C4" w:rsidRPr="00B96EEC" w:rsidRDefault="000443C4" w:rsidP="0042484E">
            <w:pPr>
              <w:jc w:val="both"/>
              <w:rPr>
                <w:sz w:val="18"/>
                <w:szCs w:val="18"/>
                <w:lang w:val="en-US"/>
              </w:rPr>
            </w:pPr>
            <w:r w:rsidRPr="00B96EEC">
              <w:rPr>
                <w:sz w:val="18"/>
                <w:szCs w:val="18"/>
                <w:lang w:val="en-US"/>
              </w:rPr>
              <w:t>2.5</w:t>
            </w:r>
          </w:p>
        </w:tc>
        <w:tc>
          <w:tcPr>
            <w:tcW w:w="136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2CF66FB4" w14:textId="77777777" w:rsidR="000443C4" w:rsidRPr="00B96EEC" w:rsidRDefault="000443C4" w:rsidP="0042484E">
            <w:pPr>
              <w:jc w:val="both"/>
              <w:rPr>
                <w:sz w:val="18"/>
                <w:szCs w:val="18"/>
                <w:lang w:val="en-US"/>
              </w:rPr>
            </w:pPr>
            <w:r w:rsidRPr="00B96EEC">
              <w:rPr>
                <w:sz w:val="18"/>
                <w:szCs w:val="18"/>
                <w:lang w:val="en-US"/>
              </w:rPr>
              <w:t>3</w:t>
            </w:r>
          </w:p>
        </w:tc>
        <w:tc>
          <w:tcPr>
            <w:tcW w:w="1466"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05281D18" w14:textId="77777777" w:rsidR="000443C4" w:rsidRPr="00B96EEC" w:rsidRDefault="000443C4" w:rsidP="0042484E">
            <w:pPr>
              <w:jc w:val="both"/>
              <w:rPr>
                <w:sz w:val="18"/>
                <w:szCs w:val="18"/>
                <w:lang w:val="en-US"/>
              </w:rPr>
            </w:pPr>
            <w:r w:rsidRPr="00B96EEC">
              <w:rPr>
                <w:sz w:val="18"/>
                <w:szCs w:val="18"/>
                <w:lang w:val="en-US"/>
              </w:rPr>
              <w:t>3</w:t>
            </w:r>
          </w:p>
        </w:tc>
        <w:tc>
          <w:tcPr>
            <w:tcW w:w="1563"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6EF0C6E1" w14:textId="77777777" w:rsidR="000443C4" w:rsidRPr="00B96EEC" w:rsidRDefault="000443C4" w:rsidP="0042484E">
            <w:pPr>
              <w:jc w:val="both"/>
              <w:rPr>
                <w:sz w:val="18"/>
                <w:szCs w:val="18"/>
                <w:lang w:val="en-US"/>
              </w:rPr>
            </w:pPr>
            <w:r w:rsidRPr="00B96EEC">
              <w:rPr>
                <w:sz w:val="18"/>
                <w:szCs w:val="18"/>
                <w:lang w:val="en-US"/>
              </w:rPr>
              <w:t>2</w:t>
            </w:r>
          </w:p>
        </w:tc>
        <w:tc>
          <w:tcPr>
            <w:tcW w:w="1582"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hideMark/>
          </w:tcPr>
          <w:p w14:paraId="260AA98A" w14:textId="77777777" w:rsidR="000443C4" w:rsidRPr="00B96EEC" w:rsidRDefault="000443C4" w:rsidP="0042484E">
            <w:pPr>
              <w:jc w:val="both"/>
              <w:rPr>
                <w:sz w:val="18"/>
                <w:szCs w:val="18"/>
                <w:lang w:val="en-US"/>
              </w:rPr>
            </w:pPr>
            <w:r w:rsidRPr="00B96EEC">
              <w:rPr>
                <w:sz w:val="18"/>
                <w:szCs w:val="18"/>
                <w:lang w:val="en-US"/>
              </w:rPr>
              <w:t>366</w:t>
            </w:r>
          </w:p>
        </w:tc>
      </w:tr>
      <w:tr w:rsidR="007E3447" w:rsidRPr="00B96EEC" w14:paraId="656F5623" w14:textId="77777777" w:rsidTr="001D0251">
        <w:trPr>
          <w:trHeight w:val="326"/>
          <w:jc w:val="center"/>
        </w:trPr>
        <w:tc>
          <w:tcPr>
            <w:tcW w:w="174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tcPr>
          <w:p w14:paraId="41B97EB8" w14:textId="77777777" w:rsidR="000443C4" w:rsidRPr="00B96EEC" w:rsidRDefault="000443C4" w:rsidP="0042484E">
            <w:pPr>
              <w:jc w:val="both"/>
              <w:rPr>
                <w:sz w:val="18"/>
                <w:szCs w:val="18"/>
                <w:lang w:val="en-US"/>
              </w:rPr>
            </w:pPr>
            <w:r w:rsidRPr="00B96EEC">
              <w:rPr>
                <w:sz w:val="18"/>
                <w:szCs w:val="18"/>
                <w:lang w:val="en-US"/>
              </w:rPr>
              <w:t>Areal fuel density (g/cm</w:t>
            </w:r>
            <w:r w:rsidRPr="00B96EEC">
              <w:rPr>
                <w:sz w:val="18"/>
                <w:szCs w:val="18"/>
                <w:vertAlign w:val="superscript"/>
                <w:lang w:val="en-US"/>
              </w:rPr>
              <w:t>2</w:t>
            </w:r>
            <w:r w:rsidRPr="00B96EEC">
              <w:rPr>
                <w:sz w:val="18"/>
                <w:szCs w:val="18"/>
                <w:lang w:val="en-US"/>
              </w:rPr>
              <w:t>)</w:t>
            </w:r>
          </w:p>
        </w:tc>
        <w:tc>
          <w:tcPr>
            <w:tcW w:w="977"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tcPr>
          <w:p w14:paraId="043F34F0" w14:textId="77777777" w:rsidR="000443C4" w:rsidRPr="00B96EEC" w:rsidRDefault="000443C4" w:rsidP="0042484E">
            <w:pPr>
              <w:jc w:val="both"/>
              <w:rPr>
                <w:sz w:val="18"/>
                <w:szCs w:val="18"/>
                <w:lang w:val="en-US"/>
              </w:rPr>
            </w:pPr>
            <w:r w:rsidRPr="00B96EEC">
              <w:rPr>
                <w:sz w:val="18"/>
                <w:szCs w:val="18"/>
                <w:lang w:val="en-US"/>
              </w:rPr>
              <w:t>3.63</w:t>
            </w:r>
          </w:p>
        </w:tc>
        <w:tc>
          <w:tcPr>
            <w:tcW w:w="136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tcPr>
          <w:p w14:paraId="07DE885F" w14:textId="77777777" w:rsidR="000443C4" w:rsidRPr="00B96EEC" w:rsidRDefault="000443C4" w:rsidP="0042484E">
            <w:pPr>
              <w:jc w:val="both"/>
              <w:rPr>
                <w:sz w:val="18"/>
                <w:szCs w:val="18"/>
                <w:lang w:val="en-US"/>
              </w:rPr>
            </w:pPr>
            <w:r w:rsidRPr="00B96EEC">
              <w:rPr>
                <w:sz w:val="18"/>
                <w:szCs w:val="18"/>
                <w:lang w:val="en-US"/>
              </w:rPr>
              <w:t>1.16</w:t>
            </w:r>
          </w:p>
        </w:tc>
        <w:tc>
          <w:tcPr>
            <w:tcW w:w="1368"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tcPr>
          <w:p w14:paraId="7F226C4A" w14:textId="77777777" w:rsidR="000443C4" w:rsidRPr="00B96EEC" w:rsidRDefault="000443C4" w:rsidP="0042484E">
            <w:pPr>
              <w:jc w:val="both"/>
              <w:rPr>
                <w:sz w:val="18"/>
                <w:szCs w:val="18"/>
                <w:lang w:val="en-US"/>
              </w:rPr>
            </w:pPr>
            <w:r w:rsidRPr="00B96EEC">
              <w:rPr>
                <w:sz w:val="18"/>
                <w:szCs w:val="18"/>
                <w:lang w:val="en-US"/>
              </w:rPr>
              <w:t>2.81</w:t>
            </w:r>
          </w:p>
        </w:tc>
        <w:tc>
          <w:tcPr>
            <w:tcW w:w="1466"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tcPr>
          <w:p w14:paraId="66A15388" w14:textId="77777777" w:rsidR="000443C4" w:rsidRPr="00B96EEC" w:rsidRDefault="000443C4" w:rsidP="0042484E">
            <w:pPr>
              <w:jc w:val="both"/>
              <w:rPr>
                <w:sz w:val="18"/>
                <w:szCs w:val="18"/>
                <w:lang w:val="en-US"/>
              </w:rPr>
            </w:pPr>
            <w:r w:rsidRPr="00B96EEC">
              <w:rPr>
                <w:sz w:val="18"/>
                <w:szCs w:val="18"/>
                <w:lang w:val="en-US"/>
              </w:rPr>
              <w:t>4.65</w:t>
            </w:r>
          </w:p>
        </w:tc>
        <w:tc>
          <w:tcPr>
            <w:tcW w:w="1563"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tcPr>
          <w:p w14:paraId="560E83F6" w14:textId="77777777" w:rsidR="000443C4" w:rsidRPr="00B96EEC" w:rsidRDefault="000443C4" w:rsidP="0042484E">
            <w:pPr>
              <w:jc w:val="both"/>
              <w:rPr>
                <w:sz w:val="18"/>
                <w:szCs w:val="18"/>
                <w:lang w:val="en-US"/>
              </w:rPr>
            </w:pPr>
            <w:r w:rsidRPr="00B96EEC">
              <w:rPr>
                <w:sz w:val="18"/>
                <w:szCs w:val="18"/>
                <w:lang w:val="en-US"/>
              </w:rPr>
              <w:t>0.84</w:t>
            </w:r>
          </w:p>
        </w:tc>
        <w:tc>
          <w:tcPr>
            <w:tcW w:w="1582" w:type="dxa"/>
            <w:tcBorders>
              <w:top w:val="single" w:sz="8" w:space="0" w:color="FFFFFF"/>
              <w:left w:val="single" w:sz="8" w:space="0" w:color="FFFFFF"/>
              <w:bottom w:val="single" w:sz="8" w:space="0" w:color="FFFFFF"/>
              <w:right w:val="single" w:sz="8" w:space="0" w:color="FFFFFF"/>
            </w:tcBorders>
            <w:shd w:val="clear" w:color="auto" w:fill="CDE0E3"/>
            <w:tcMar>
              <w:top w:w="14" w:type="dxa"/>
              <w:left w:w="14" w:type="dxa"/>
              <w:bottom w:w="0" w:type="dxa"/>
              <w:right w:w="14" w:type="dxa"/>
            </w:tcMar>
            <w:vAlign w:val="center"/>
          </w:tcPr>
          <w:p w14:paraId="05E9625E" w14:textId="77777777" w:rsidR="000443C4" w:rsidRPr="00B96EEC" w:rsidRDefault="000443C4" w:rsidP="0042484E">
            <w:pPr>
              <w:jc w:val="both"/>
              <w:rPr>
                <w:sz w:val="18"/>
                <w:szCs w:val="18"/>
                <w:lang w:val="en-US"/>
              </w:rPr>
            </w:pPr>
            <w:r w:rsidRPr="00B96EEC">
              <w:rPr>
                <w:sz w:val="18"/>
                <w:szCs w:val="18"/>
                <w:lang w:val="en-US"/>
              </w:rPr>
              <w:t>4.26</w:t>
            </w:r>
          </w:p>
        </w:tc>
      </w:tr>
    </w:tbl>
    <w:p w14:paraId="7B485A12" w14:textId="77777777" w:rsidR="000443C4" w:rsidRPr="00B96EEC" w:rsidRDefault="000443C4" w:rsidP="0042484E">
      <w:pPr>
        <w:jc w:val="both"/>
        <w:rPr>
          <w:sz w:val="18"/>
          <w:szCs w:val="18"/>
          <w:lang w:val="en-US"/>
        </w:rPr>
      </w:pPr>
      <w:r w:rsidRPr="00B96EEC">
        <w:rPr>
          <w:sz w:val="18"/>
          <w:szCs w:val="18"/>
          <w:lang w:val="en-US"/>
        </w:rPr>
        <w:t>Notes: PF = packing fraction of TRISO particles in the matrix.</w:t>
      </w:r>
    </w:p>
    <w:p w14:paraId="7041E052" w14:textId="77777777" w:rsidR="007E3447" w:rsidRPr="00B96EEC" w:rsidRDefault="007E3447" w:rsidP="0042484E">
      <w:pPr>
        <w:jc w:val="both"/>
        <w:rPr>
          <w:lang w:val="en-US"/>
        </w:rPr>
      </w:pPr>
    </w:p>
    <w:p w14:paraId="2CC97357" w14:textId="28D23E78" w:rsidR="007E3447" w:rsidRPr="00B96EEC" w:rsidRDefault="007E3447" w:rsidP="0042484E">
      <w:pPr>
        <w:jc w:val="both"/>
        <w:rPr>
          <w:b/>
          <w:sz w:val="20"/>
          <w:lang w:val="en-US"/>
        </w:rPr>
      </w:pPr>
      <w:r w:rsidRPr="00B96EEC">
        <w:rPr>
          <w:b/>
          <w:sz w:val="20"/>
          <w:lang w:val="en-US"/>
        </w:rPr>
        <w:t xml:space="preserve">2.1 GADRAS Modelling of </w:t>
      </w:r>
      <w:r w:rsidR="00F9446C" w:rsidRPr="00B96EEC">
        <w:rPr>
          <w:b/>
          <w:sz w:val="20"/>
          <w:lang w:val="en-US"/>
        </w:rPr>
        <w:t>G</w:t>
      </w:r>
      <w:r w:rsidRPr="00B96EEC">
        <w:rPr>
          <w:b/>
          <w:sz w:val="20"/>
          <w:lang w:val="en-US"/>
        </w:rPr>
        <w:t xml:space="preserve">amma </w:t>
      </w:r>
      <w:r w:rsidR="00F9446C" w:rsidRPr="00B96EEC">
        <w:rPr>
          <w:b/>
          <w:sz w:val="20"/>
          <w:lang w:val="en-US"/>
        </w:rPr>
        <w:t>M</w:t>
      </w:r>
      <w:r w:rsidRPr="00B96EEC">
        <w:rPr>
          <w:b/>
          <w:sz w:val="20"/>
          <w:lang w:val="en-US"/>
        </w:rPr>
        <w:t>easurements</w:t>
      </w:r>
    </w:p>
    <w:p w14:paraId="098BBB67" w14:textId="77777777" w:rsidR="00C30436" w:rsidRPr="00B96EEC" w:rsidRDefault="00C30436" w:rsidP="0042484E">
      <w:pPr>
        <w:jc w:val="both"/>
        <w:rPr>
          <w:b/>
          <w:sz w:val="20"/>
          <w:lang w:val="en-US"/>
        </w:rPr>
      </w:pPr>
    </w:p>
    <w:p w14:paraId="5C4575C6" w14:textId="14462FCF" w:rsidR="000443C4" w:rsidRPr="00B96EEC" w:rsidRDefault="000443C4" w:rsidP="0042484E">
      <w:pPr>
        <w:ind w:firstLine="567"/>
        <w:jc w:val="both"/>
        <w:rPr>
          <w:sz w:val="20"/>
          <w:lang w:val="en-US"/>
        </w:rPr>
      </w:pPr>
      <w:r w:rsidRPr="00B96EEC">
        <w:rPr>
          <w:sz w:val="20"/>
          <w:lang w:val="en-US"/>
        </w:rPr>
        <w:t xml:space="preserve">A series of models for the </w:t>
      </w:r>
      <w:r w:rsidRPr="00B96EEC">
        <w:rPr>
          <w:rFonts w:eastAsia="YMZVES+NimbusRomNo9L-Regu"/>
          <w:color w:val="000000"/>
          <w:sz w:val="20"/>
          <w:lang w:val="en-US"/>
        </w:rPr>
        <w:t>Gamma Detector Response and Analysis Software (</w:t>
      </w:r>
      <w:r w:rsidRPr="00B96EEC">
        <w:rPr>
          <w:sz w:val="20"/>
          <w:lang w:val="en-US"/>
        </w:rPr>
        <w:t xml:space="preserve">GADRAS) were developed to simulate the expected gamma spectra from the HPGe measurements of the 5 AR fuel elements and the PWR fuel pin shown in </w:t>
      </w:r>
      <w:r w:rsidRPr="00B96EEC">
        <w:rPr>
          <w:sz w:val="20"/>
          <w:lang w:val="en-US"/>
        </w:rPr>
        <w:fldChar w:fldCharType="begin"/>
      </w:r>
      <w:r w:rsidRPr="00B96EEC">
        <w:rPr>
          <w:sz w:val="20"/>
          <w:lang w:val="en-US"/>
        </w:rPr>
        <w:instrText xml:space="preserve"> REF _Ref152025922 \h  \* MERGEFORMAT </w:instrText>
      </w:r>
      <w:r w:rsidRPr="00B96EEC">
        <w:rPr>
          <w:sz w:val="20"/>
          <w:lang w:val="en-US"/>
        </w:rPr>
      </w:r>
      <w:r w:rsidRPr="00B96EEC">
        <w:rPr>
          <w:sz w:val="20"/>
          <w:lang w:val="en-US"/>
        </w:rPr>
        <w:fldChar w:fldCharType="separate"/>
      </w:r>
      <w:r w:rsidR="00B90BAC" w:rsidRPr="00B96EEC">
        <w:rPr>
          <w:sz w:val="20"/>
          <w:lang w:val="en-US"/>
        </w:rPr>
        <w:t>Table 2</w:t>
      </w:r>
      <w:r w:rsidRPr="00B96EEC">
        <w:rPr>
          <w:sz w:val="20"/>
          <w:lang w:val="en-US"/>
        </w:rPr>
        <w:fldChar w:fldCharType="end"/>
      </w:r>
      <w:r w:rsidRPr="00B96EEC">
        <w:rPr>
          <w:sz w:val="20"/>
          <w:lang w:val="en-US"/>
        </w:rPr>
        <w:t xml:space="preserve">, as such verification measurements are routinely performed for safeguards inspections. GADRAS version 19.3.3 was used in this work, and the built-in response function for a coaxial HPGe detector with 60% efficiency was used. For modeling of the TRISO-based fuel elements, the TRISO particles and the matrix were artificially blended to form a homogenous material because GADRAS lacks the capability to account for individual TRISO particles. The accuracy in the simulation results is not expected to be significantly impacted by this assumption because these TRISO particles are small and randomly dispersed in the matrix. For each of the fuel elements, several enrichment cases were </w:t>
      </w:r>
      <w:r w:rsidR="00A91CF1" w:rsidRPr="00B96EEC">
        <w:rPr>
          <w:sz w:val="20"/>
          <w:lang w:val="en-US"/>
        </w:rPr>
        <w:t>modeled</w:t>
      </w:r>
      <w:r w:rsidRPr="00B96EEC">
        <w:rPr>
          <w:sz w:val="20"/>
          <w:lang w:val="en-US"/>
        </w:rPr>
        <w:t xml:space="preserve"> to assess the detector’s sensitivity to the fuel enrichments. In addition, three fuel diversion scenarios, each accounting for 10%, 25%, and 50% of the fuel mass, were also simulated to assess the detector’s sensitivity to fuel diversions</w:t>
      </w:r>
      <w:r w:rsidR="005F0139" w:rsidRPr="00B96EEC">
        <w:rPr>
          <w:sz w:val="20"/>
          <w:lang w:val="en-US"/>
        </w:rPr>
        <w:t>;</w:t>
      </w:r>
      <w:r w:rsidRPr="00B96EEC">
        <w:rPr>
          <w:sz w:val="20"/>
          <w:lang w:val="en-US"/>
        </w:rPr>
        <w:t xml:space="preserve"> in </w:t>
      </w:r>
      <w:r w:rsidR="005F0139" w:rsidRPr="00B96EEC">
        <w:rPr>
          <w:sz w:val="20"/>
          <w:lang w:val="en-US"/>
        </w:rPr>
        <w:t xml:space="preserve">these scenarios, </w:t>
      </w:r>
      <w:r w:rsidRPr="00B96EEC">
        <w:rPr>
          <w:sz w:val="20"/>
          <w:lang w:val="en-US"/>
        </w:rPr>
        <w:t>the enriched uranium in the inner part of the fuel was substituted with depleted uranium (DU). For all fuel elements, the diversion cases were performed using the nominal enrichment cases. For the TRISO compacts, an additional diversion case was simulated by using a lower-than-nominal packing fraction (PF) of the TRISO particles.</w:t>
      </w:r>
    </w:p>
    <w:p w14:paraId="2E050026" w14:textId="09BF4E39" w:rsidR="000443C4" w:rsidRPr="00B96EEC" w:rsidRDefault="000443C4" w:rsidP="0042484E">
      <w:pPr>
        <w:pStyle w:val="BlockText"/>
        <w:spacing w:after="0"/>
        <w:ind w:firstLine="562"/>
        <w:jc w:val="both"/>
        <w:rPr>
          <w:sz w:val="20"/>
          <w:szCs w:val="20"/>
        </w:rPr>
      </w:pPr>
      <w:r w:rsidRPr="00B96EEC">
        <w:rPr>
          <w:sz w:val="20"/>
          <w:szCs w:val="20"/>
        </w:rPr>
        <w:t>For the TRISO-based fuel elements, care must be taken to properly account for the large number of TRISO particles with their respective coating layers and the matrix to calculate the density and isotopic composition for the blended material to be used in the GADRAS models.</w:t>
      </w:r>
      <w:r w:rsidR="00A91CF1" w:rsidRPr="00B96EEC">
        <w:rPr>
          <w:sz w:val="20"/>
          <w:szCs w:val="20"/>
        </w:rPr>
        <w:t xml:space="preserve"> As an example,</w:t>
      </w:r>
      <w:r w:rsidR="00F9446C" w:rsidRPr="00B96EEC">
        <w:rPr>
          <w:sz w:val="20"/>
          <w:szCs w:val="20"/>
        </w:rPr>
        <w:t xml:space="preserve"> </w:t>
      </w:r>
      <w:r w:rsidR="00F9446C" w:rsidRPr="00B96EEC">
        <w:rPr>
          <w:sz w:val="20"/>
          <w:szCs w:val="20"/>
        </w:rPr>
        <w:fldChar w:fldCharType="begin"/>
      </w:r>
      <w:r w:rsidR="00F9446C" w:rsidRPr="00B96EEC">
        <w:rPr>
          <w:sz w:val="20"/>
          <w:szCs w:val="20"/>
        </w:rPr>
        <w:instrText xml:space="preserve"> REF _Ref152859058 \h  \* MERGEFORMAT </w:instrText>
      </w:r>
      <w:r w:rsidR="00F9446C" w:rsidRPr="00B96EEC">
        <w:rPr>
          <w:sz w:val="20"/>
          <w:szCs w:val="20"/>
        </w:rPr>
      </w:r>
      <w:r w:rsidR="00F9446C" w:rsidRPr="00B96EEC">
        <w:rPr>
          <w:sz w:val="20"/>
          <w:szCs w:val="20"/>
        </w:rPr>
        <w:fldChar w:fldCharType="separate"/>
      </w:r>
      <w:r w:rsidR="00B90BAC" w:rsidRPr="00B96EEC">
        <w:rPr>
          <w:sz w:val="20"/>
          <w:szCs w:val="20"/>
        </w:rPr>
        <w:t>Figure 2</w:t>
      </w:r>
      <w:r w:rsidR="00F9446C" w:rsidRPr="00B96EEC">
        <w:rPr>
          <w:sz w:val="20"/>
          <w:szCs w:val="20"/>
        </w:rPr>
        <w:fldChar w:fldCharType="end"/>
      </w:r>
      <w:r w:rsidR="00F9446C" w:rsidRPr="00B96EEC">
        <w:rPr>
          <w:sz w:val="20"/>
          <w:szCs w:val="20"/>
        </w:rPr>
        <w:t xml:space="preserve"> </w:t>
      </w:r>
      <w:r w:rsidRPr="00B96EEC">
        <w:rPr>
          <w:sz w:val="20"/>
          <w:szCs w:val="20"/>
        </w:rPr>
        <w:t xml:space="preserve">shows the GADRAS model for </w:t>
      </w:r>
      <w:r w:rsidR="001F5D87" w:rsidRPr="00B96EEC">
        <w:rPr>
          <w:sz w:val="20"/>
          <w:szCs w:val="20"/>
        </w:rPr>
        <w:t>a</w:t>
      </w:r>
      <w:r w:rsidRPr="00B96EEC">
        <w:rPr>
          <w:sz w:val="20"/>
          <w:szCs w:val="20"/>
        </w:rPr>
        <w:t xml:space="preserve"> BANR compact. This model has only two material regions: (1) the blend of TRISO particles and graphite matrix and (2) the graphite shell. The detector is pointing to the side of the compact. </w:t>
      </w:r>
      <w:r w:rsidRPr="00B96EEC">
        <w:rPr>
          <w:sz w:val="20"/>
          <w:szCs w:val="20"/>
        </w:rPr>
        <w:fldChar w:fldCharType="begin"/>
      </w:r>
      <w:r w:rsidRPr="00B96EEC">
        <w:rPr>
          <w:sz w:val="20"/>
          <w:szCs w:val="20"/>
        </w:rPr>
        <w:instrText xml:space="preserve"> REF _Ref152859058 \h  \* MERGEFORMAT </w:instrText>
      </w:r>
      <w:r w:rsidRPr="00B96EEC">
        <w:rPr>
          <w:sz w:val="20"/>
          <w:szCs w:val="20"/>
        </w:rPr>
      </w:r>
      <w:r w:rsidRPr="00B96EEC">
        <w:rPr>
          <w:sz w:val="20"/>
          <w:szCs w:val="20"/>
        </w:rPr>
        <w:fldChar w:fldCharType="separate"/>
      </w:r>
      <w:r w:rsidR="00B90BAC" w:rsidRPr="00B96EEC">
        <w:rPr>
          <w:sz w:val="20"/>
          <w:szCs w:val="20"/>
        </w:rPr>
        <w:t>Figure 2</w:t>
      </w:r>
      <w:r w:rsidRPr="00B96EEC">
        <w:rPr>
          <w:sz w:val="20"/>
          <w:szCs w:val="20"/>
        </w:rPr>
        <w:fldChar w:fldCharType="end"/>
      </w:r>
      <w:r w:rsidRPr="00B96EEC">
        <w:rPr>
          <w:sz w:val="20"/>
          <w:szCs w:val="20"/>
        </w:rPr>
        <w:t xml:space="preserve"> shows the model to mimic a 10% fuel diversion, in which the uranium with 19.75% enrichment (i.e., the nominal design value for this fuel element) inside the pink-lined region was replaced with DU (i.e., the UCO kernels of the TRISO particles in that region were formed with DU instead of enriched uranium). Although they are not shown here, the two other diversion cases (25% and 50%) would have affected a larger inner part of the fuel than what is shown in </w:t>
      </w:r>
      <w:r w:rsidRPr="00B96EEC">
        <w:rPr>
          <w:sz w:val="20"/>
          <w:szCs w:val="20"/>
        </w:rPr>
        <w:fldChar w:fldCharType="begin"/>
      </w:r>
      <w:r w:rsidRPr="00B96EEC">
        <w:rPr>
          <w:sz w:val="20"/>
          <w:szCs w:val="20"/>
        </w:rPr>
        <w:instrText xml:space="preserve"> REF _Ref152859058 \h  \* MERGEFORMAT </w:instrText>
      </w:r>
      <w:r w:rsidRPr="00B96EEC">
        <w:rPr>
          <w:sz w:val="20"/>
          <w:szCs w:val="20"/>
        </w:rPr>
      </w:r>
      <w:r w:rsidRPr="00B96EEC">
        <w:rPr>
          <w:sz w:val="20"/>
          <w:szCs w:val="20"/>
        </w:rPr>
        <w:fldChar w:fldCharType="separate"/>
      </w:r>
      <w:r w:rsidR="00B90BAC" w:rsidRPr="00B96EEC">
        <w:rPr>
          <w:sz w:val="20"/>
          <w:szCs w:val="20"/>
        </w:rPr>
        <w:t>Figure 2</w:t>
      </w:r>
      <w:r w:rsidRPr="00B96EEC">
        <w:rPr>
          <w:sz w:val="20"/>
          <w:szCs w:val="20"/>
        </w:rPr>
        <w:fldChar w:fldCharType="end"/>
      </w:r>
      <w:r w:rsidRPr="00B96EEC">
        <w:rPr>
          <w:sz w:val="20"/>
          <w:szCs w:val="20"/>
        </w:rPr>
        <w:t xml:space="preserve">.   </w:t>
      </w:r>
    </w:p>
    <w:p w14:paraId="76F1BA22" w14:textId="77777777" w:rsidR="00F9446C" w:rsidRPr="00B96EEC" w:rsidRDefault="00F9446C" w:rsidP="0042484E">
      <w:pPr>
        <w:pStyle w:val="BlockText"/>
        <w:spacing w:after="0"/>
        <w:ind w:firstLine="562"/>
        <w:jc w:val="both"/>
        <w:rPr>
          <w:sz w:val="20"/>
          <w:szCs w:val="20"/>
        </w:rPr>
      </w:pPr>
    </w:p>
    <w:p w14:paraId="21AFDB69" w14:textId="1C1937F5" w:rsidR="000443C4" w:rsidRPr="00B96EEC" w:rsidRDefault="000443C4" w:rsidP="00B27F18">
      <w:pPr>
        <w:jc w:val="center"/>
        <w:rPr>
          <w:sz w:val="20"/>
          <w:lang w:val="en-US"/>
        </w:rPr>
      </w:pPr>
      <w:r w:rsidRPr="00B96EEC">
        <w:rPr>
          <w:noProof/>
          <w:sz w:val="20"/>
          <w:lang w:val="en-US"/>
        </w:rPr>
        <w:lastRenderedPageBreak/>
        <w:drawing>
          <wp:inline distT="0" distB="0" distL="0" distR="0" wp14:anchorId="59297299" wp14:editId="25FD1854">
            <wp:extent cx="2561098" cy="1271737"/>
            <wp:effectExtent l="0" t="0" r="4445" b="0"/>
            <wp:docPr id="2078690836" name="Picture 20786908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90836" name="Picture 2078690836" descr="Graphical user interface, text, application&#10;&#10;Description automatically generated"/>
                    <pic:cNvPicPr/>
                  </pic:nvPicPr>
                  <pic:blipFill>
                    <a:blip r:embed="rId13"/>
                    <a:stretch>
                      <a:fillRect/>
                    </a:stretch>
                  </pic:blipFill>
                  <pic:spPr>
                    <a:xfrm>
                      <a:off x="0" y="0"/>
                      <a:ext cx="2699380" cy="1340402"/>
                    </a:xfrm>
                    <a:prstGeom prst="rect">
                      <a:avLst/>
                    </a:prstGeom>
                  </pic:spPr>
                </pic:pic>
              </a:graphicData>
            </a:graphic>
          </wp:inline>
        </w:drawing>
      </w:r>
      <w:r w:rsidRPr="00B96EEC">
        <w:rPr>
          <w:noProof/>
          <w:sz w:val="20"/>
          <w:lang w:val="en-US"/>
        </w:rPr>
        <w:drawing>
          <wp:inline distT="0" distB="0" distL="0" distR="0" wp14:anchorId="73F558E1" wp14:editId="7D75799A">
            <wp:extent cx="1328624" cy="1270150"/>
            <wp:effectExtent l="0" t="0" r="5080" b="0"/>
            <wp:docPr id="18754663" name="Picture 187546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663" name="Picture 18754663" descr="Diagram&#10;&#10;Description automatically generated"/>
                    <pic:cNvPicPr/>
                  </pic:nvPicPr>
                  <pic:blipFill rotWithShape="1">
                    <a:blip r:embed="rId14"/>
                    <a:srcRect l="35937" t="8356" r="3174" b="6339"/>
                    <a:stretch/>
                  </pic:blipFill>
                  <pic:spPr bwMode="auto">
                    <a:xfrm>
                      <a:off x="0" y="0"/>
                      <a:ext cx="1406432" cy="1344534"/>
                    </a:xfrm>
                    <a:prstGeom prst="rect">
                      <a:avLst/>
                    </a:prstGeom>
                    <a:ln>
                      <a:noFill/>
                    </a:ln>
                    <a:extLst>
                      <a:ext uri="{53640926-AAD7-44D8-BBD7-CCE9431645EC}">
                        <a14:shadowObscured xmlns:a14="http://schemas.microsoft.com/office/drawing/2010/main"/>
                      </a:ext>
                    </a:extLst>
                  </pic:spPr>
                </pic:pic>
              </a:graphicData>
            </a:graphic>
          </wp:inline>
        </w:drawing>
      </w:r>
    </w:p>
    <w:p w14:paraId="5C7AEB7D" w14:textId="674135BA" w:rsidR="000443C4" w:rsidRPr="00B96EEC" w:rsidRDefault="000443C4" w:rsidP="0042484E">
      <w:pPr>
        <w:pStyle w:val="FIGCAP1line"/>
        <w:jc w:val="both"/>
        <w:rPr>
          <w:b w:val="0"/>
          <w:szCs w:val="20"/>
        </w:rPr>
      </w:pPr>
      <w:bookmarkStart w:id="13" w:name="_Ref152859058"/>
      <w:bookmarkStart w:id="14" w:name="_Toc153125974"/>
      <w:r w:rsidRPr="00B96EEC">
        <w:rPr>
          <w:b w:val="0"/>
          <w:szCs w:val="20"/>
        </w:rPr>
        <w:t xml:space="preserve">Figure </w:t>
      </w:r>
      <w:r w:rsidRPr="00B96EEC">
        <w:rPr>
          <w:b w:val="0"/>
          <w:szCs w:val="20"/>
        </w:rPr>
        <w:fldChar w:fldCharType="begin"/>
      </w:r>
      <w:r w:rsidRPr="00B96EEC">
        <w:rPr>
          <w:b w:val="0"/>
          <w:szCs w:val="20"/>
        </w:rPr>
        <w:instrText xml:space="preserve"> SEQ Figure \* ARABIC </w:instrText>
      </w:r>
      <w:r w:rsidRPr="00B96EEC">
        <w:rPr>
          <w:b w:val="0"/>
          <w:szCs w:val="20"/>
        </w:rPr>
        <w:fldChar w:fldCharType="separate"/>
      </w:r>
      <w:r w:rsidR="00B90BAC" w:rsidRPr="00B96EEC">
        <w:rPr>
          <w:b w:val="0"/>
          <w:szCs w:val="20"/>
        </w:rPr>
        <w:t>2</w:t>
      </w:r>
      <w:r w:rsidRPr="00B96EEC">
        <w:rPr>
          <w:b w:val="0"/>
          <w:szCs w:val="20"/>
        </w:rPr>
        <w:fldChar w:fldCharType="end"/>
      </w:r>
      <w:bookmarkEnd w:id="13"/>
      <w:r w:rsidRPr="00B96EEC">
        <w:rPr>
          <w:b w:val="0"/>
          <w:szCs w:val="20"/>
        </w:rPr>
        <w:t xml:space="preserve">. (Left) </w:t>
      </w:r>
      <w:r w:rsidR="004C72B3" w:rsidRPr="00B96EEC">
        <w:rPr>
          <w:b w:val="0"/>
          <w:szCs w:val="20"/>
        </w:rPr>
        <w:t>A</w:t>
      </w:r>
      <w:r w:rsidRPr="00B96EEC">
        <w:rPr>
          <w:b w:val="0"/>
          <w:szCs w:val="20"/>
        </w:rPr>
        <w:t xml:space="preserve"> top view of the GADRAS model for the BANR compact, where the inner 10% fuel was substituted with DU; (right) a side view of the model.</w:t>
      </w:r>
      <w:bookmarkEnd w:id="14"/>
      <w:r w:rsidRPr="00B96EEC">
        <w:rPr>
          <w:b w:val="0"/>
          <w:szCs w:val="20"/>
        </w:rPr>
        <w:t xml:space="preserve">   </w:t>
      </w:r>
    </w:p>
    <w:p w14:paraId="0D7A4099" w14:textId="77777777" w:rsidR="00F9446C" w:rsidRPr="00B96EEC" w:rsidRDefault="00F9446C" w:rsidP="0042484E">
      <w:pPr>
        <w:pStyle w:val="BodyText"/>
        <w:ind w:firstLine="0"/>
        <w:rPr>
          <w:b/>
          <w:lang w:val="en-US"/>
        </w:rPr>
      </w:pPr>
      <w:bookmarkStart w:id="15" w:name="_Toc152755227"/>
      <w:bookmarkStart w:id="16" w:name="_Ref152856222"/>
      <w:bookmarkStart w:id="17" w:name="_Toc153125942"/>
      <w:r w:rsidRPr="00B96EEC">
        <w:rPr>
          <w:b/>
          <w:lang w:val="en-US"/>
        </w:rPr>
        <w:t>2.2 Simulated Gamma Measurement Results</w:t>
      </w:r>
      <w:bookmarkEnd w:id="15"/>
      <w:bookmarkEnd w:id="16"/>
      <w:bookmarkEnd w:id="17"/>
    </w:p>
    <w:p w14:paraId="72A905C8" w14:textId="1BBBC4D1" w:rsidR="000443C4" w:rsidRPr="00B96EEC" w:rsidRDefault="00F9446C" w:rsidP="0042484E">
      <w:pPr>
        <w:pStyle w:val="BodyText"/>
        <w:ind w:firstLine="0"/>
        <w:rPr>
          <w:caps/>
          <w:lang w:val="en-US"/>
        </w:rPr>
      </w:pPr>
      <w:r w:rsidRPr="00B96EEC">
        <w:rPr>
          <w:caps/>
          <w:lang w:val="en-US"/>
        </w:rPr>
        <w:t xml:space="preserve"> </w:t>
      </w:r>
    </w:p>
    <w:p w14:paraId="18C62FB8" w14:textId="44C7B49B" w:rsidR="000B61C0" w:rsidRPr="00B96EEC" w:rsidRDefault="00A64626" w:rsidP="0042484E">
      <w:pPr>
        <w:pStyle w:val="FIGCAP1line"/>
        <w:ind w:firstLine="567"/>
        <w:jc w:val="both"/>
        <w:rPr>
          <w:b w:val="0"/>
          <w:vanish/>
          <w:kern w:val="2"/>
          <w:szCs w:val="20"/>
        </w:rPr>
      </w:pPr>
      <w:r w:rsidRPr="00B96EEC">
        <w:rPr>
          <w:b w:val="0"/>
          <w:szCs w:val="20"/>
        </w:rPr>
        <w:fldChar w:fldCharType="begin"/>
      </w:r>
      <w:r w:rsidRPr="00B96EEC">
        <w:rPr>
          <w:b w:val="0"/>
          <w:szCs w:val="20"/>
        </w:rPr>
        <w:instrText xml:space="preserve"> REF _Ref166887617 \h  \* MERGEFORMAT </w:instrText>
      </w:r>
      <w:r w:rsidRPr="00B96EEC">
        <w:rPr>
          <w:b w:val="0"/>
          <w:szCs w:val="20"/>
        </w:rPr>
      </w:r>
      <w:r w:rsidRPr="00B96EEC">
        <w:rPr>
          <w:b w:val="0"/>
          <w:szCs w:val="20"/>
        </w:rPr>
        <w:fldChar w:fldCharType="separate"/>
      </w:r>
      <w:r w:rsidR="00B90BAC" w:rsidRPr="00B96EEC">
        <w:rPr>
          <w:b w:val="0"/>
          <w:szCs w:val="20"/>
        </w:rPr>
        <w:t xml:space="preserve">Figure </w:t>
      </w:r>
      <w:r w:rsidR="00B90BAC" w:rsidRPr="00B96EEC">
        <w:rPr>
          <w:b w:val="0"/>
        </w:rPr>
        <w:t>3</w:t>
      </w:r>
      <w:r w:rsidRPr="00B96EEC">
        <w:rPr>
          <w:b w:val="0"/>
          <w:szCs w:val="20"/>
        </w:rPr>
        <w:fldChar w:fldCharType="end"/>
      </w:r>
      <w:r w:rsidRPr="00B96EEC">
        <w:rPr>
          <w:b w:val="0"/>
          <w:szCs w:val="20"/>
        </w:rPr>
        <w:t xml:space="preserve"> </w:t>
      </w:r>
      <w:r w:rsidR="00E315F0" w:rsidRPr="00B96EEC">
        <w:rPr>
          <w:b w:val="0"/>
          <w:szCs w:val="20"/>
        </w:rPr>
        <w:t>(</w:t>
      </w:r>
      <w:r w:rsidR="00A91CF1" w:rsidRPr="00B96EEC">
        <w:rPr>
          <w:b w:val="0"/>
          <w:szCs w:val="20"/>
        </w:rPr>
        <w:t>L</w:t>
      </w:r>
      <w:r w:rsidR="00E315F0" w:rsidRPr="00B96EEC">
        <w:rPr>
          <w:b w:val="0"/>
          <w:szCs w:val="20"/>
        </w:rPr>
        <w:t xml:space="preserve">eft) </w:t>
      </w:r>
      <w:r w:rsidR="000443C4" w:rsidRPr="00B96EEC">
        <w:rPr>
          <w:b w:val="0"/>
          <w:szCs w:val="20"/>
        </w:rPr>
        <w:t xml:space="preserve">shows the simulated HPGe gamma spectra from a metal fuel pin with </w:t>
      </w:r>
      <w:r w:rsidR="00717FD8" w:rsidRPr="00B96EEC">
        <w:rPr>
          <w:b w:val="0"/>
          <w:szCs w:val="20"/>
        </w:rPr>
        <w:t>four</w:t>
      </w:r>
      <w:r w:rsidR="000443C4" w:rsidRPr="00B96EEC">
        <w:rPr>
          <w:b w:val="0"/>
          <w:szCs w:val="20"/>
        </w:rPr>
        <w:t xml:space="preserve"> different enrichments and with a partial defect </w:t>
      </w:r>
      <w:r w:rsidR="008122F2" w:rsidRPr="00B96EEC">
        <w:rPr>
          <w:b w:val="0"/>
          <w:szCs w:val="20"/>
        </w:rPr>
        <w:t xml:space="preserve">(PD) </w:t>
      </w:r>
      <w:r w:rsidR="000443C4" w:rsidRPr="00B96EEC">
        <w:rPr>
          <w:b w:val="0"/>
          <w:szCs w:val="20"/>
        </w:rPr>
        <w:t>case</w:t>
      </w:r>
      <w:r w:rsidR="00E315F0" w:rsidRPr="00B96EEC">
        <w:rPr>
          <w:b w:val="0"/>
          <w:szCs w:val="20"/>
        </w:rPr>
        <w:t xml:space="preserve"> with a live time of 600 s.</w:t>
      </w:r>
      <w:r w:rsidR="000443C4" w:rsidRPr="00B96EEC">
        <w:rPr>
          <w:b w:val="0"/>
          <w:szCs w:val="20"/>
        </w:rPr>
        <w:t xml:space="preserve"> Only the energy range below 1100 keV is shown </w:t>
      </w:r>
      <w:r w:rsidR="00E315F0" w:rsidRPr="00B96EEC">
        <w:rPr>
          <w:b w:val="0"/>
          <w:szCs w:val="20"/>
        </w:rPr>
        <w:t>here</w:t>
      </w:r>
      <w:r w:rsidR="000443C4" w:rsidRPr="00B96EEC">
        <w:rPr>
          <w:b w:val="0"/>
          <w:szCs w:val="20"/>
        </w:rPr>
        <w:t xml:space="preserve"> because all the major (i.e., </w:t>
      </w:r>
      <w:proofErr w:type="gramStart"/>
      <w:r w:rsidR="000443C4" w:rsidRPr="00B96EEC">
        <w:rPr>
          <w:b w:val="0"/>
          <w:szCs w:val="20"/>
        </w:rPr>
        <w:t>high</w:t>
      </w:r>
      <w:r w:rsidR="00B200E2" w:rsidRPr="00B96EEC">
        <w:rPr>
          <w:b w:val="0"/>
          <w:szCs w:val="20"/>
        </w:rPr>
        <w:t>-</w:t>
      </w:r>
      <w:r w:rsidR="000443C4" w:rsidRPr="00B96EEC">
        <w:rPr>
          <w:b w:val="0"/>
          <w:szCs w:val="20"/>
        </w:rPr>
        <w:t>intensity</w:t>
      </w:r>
      <w:proofErr w:type="gramEnd"/>
      <w:r w:rsidR="000443C4" w:rsidRPr="00B96EEC">
        <w:rPr>
          <w:b w:val="0"/>
          <w:szCs w:val="20"/>
        </w:rPr>
        <w:t xml:space="preserve">) gamma lines from both </w:t>
      </w:r>
      <w:r w:rsidR="000443C4" w:rsidRPr="00B96EEC">
        <w:rPr>
          <w:b w:val="0"/>
          <w:szCs w:val="20"/>
          <w:vertAlign w:val="superscript"/>
        </w:rPr>
        <w:t>235</w:t>
      </w:r>
      <w:r w:rsidR="000443C4" w:rsidRPr="00B96EEC">
        <w:rPr>
          <w:b w:val="0"/>
          <w:szCs w:val="20"/>
        </w:rPr>
        <w:t xml:space="preserve">U and </w:t>
      </w:r>
      <w:r w:rsidR="000443C4" w:rsidRPr="00B96EEC">
        <w:rPr>
          <w:b w:val="0"/>
          <w:szCs w:val="20"/>
          <w:vertAlign w:val="superscript"/>
        </w:rPr>
        <w:t>238</w:t>
      </w:r>
      <w:r w:rsidR="000443C4" w:rsidRPr="00B96EEC">
        <w:rPr>
          <w:b w:val="0"/>
          <w:szCs w:val="20"/>
        </w:rPr>
        <w:t xml:space="preserve">U of interest are within this range. As shown, the major uranium x-rays (e.g., 94.7 and 98.4 keV), the </w:t>
      </w:r>
      <w:r w:rsidR="000443C4" w:rsidRPr="00B96EEC">
        <w:rPr>
          <w:b w:val="0"/>
          <w:szCs w:val="20"/>
          <w:vertAlign w:val="superscript"/>
        </w:rPr>
        <w:t>235</w:t>
      </w:r>
      <w:r w:rsidR="000443C4" w:rsidRPr="00B96EEC">
        <w:rPr>
          <w:b w:val="0"/>
          <w:szCs w:val="20"/>
        </w:rPr>
        <w:t xml:space="preserve">U gamma lines (e.g., 144, 163, 186, and 205 keV), and the </w:t>
      </w:r>
      <w:r w:rsidR="000443C4" w:rsidRPr="00B96EEC">
        <w:rPr>
          <w:b w:val="0"/>
          <w:szCs w:val="20"/>
          <w:vertAlign w:val="superscript"/>
        </w:rPr>
        <w:t>238</w:t>
      </w:r>
      <w:r w:rsidR="000443C4" w:rsidRPr="00B96EEC">
        <w:rPr>
          <w:b w:val="0"/>
          <w:szCs w:val="20"/>
        </w:rPr>
        <w:t xml:space="preserve">U gamma lines (e.g., 766, 1001 keV) are visible in these spectra. The spectrum of the </w:t>
      </w:r>
      <w:r w:rsidR="00A91CF1" w:rsidRPr="00B96EEC">
        <w:rPr>
          <w:b w:val="0"/>
          <w:szCs w:val="20"/>
        </w:rPr>
        <w:t>PD</w:t>
      </w:r>
      <w:r w:rsidR="000443C4" w:rsidRPr="00B96EEC">
        <w:rPr>
          <w:b w:val="0"/>
          <w:szCs w:val="20"/>
        </w:rPr>
        <w:t xml:space="preserve"> case overlaps with the base case with the same enrichment (19.75%), indicating that the spectrum was not affected by the fuel diversion for this fuel element. Higher gamma peaks and continuum at energies lower than 200 keV can be seen in the spectra for higher enrichments.</w:t>
      </w:r>
      <w:r w:rsidR="004150AC" w:rsidRPr="00B96EEC">
        <w:rPr>
          <w:b w:val="0"/>
          <w:szCs w:val="20"/>
        </w:rPr>
        <w:t xml:space="preserve"> At energies above 200 keV,</w:t>
      </w:r>
      <w:r w:rsidR="000443C4" w:rsidRPr="00B96EEC">
        <w:rPr>
          <w:b w:val="0"/>
          <w:szCs w:val="20"/>
        </w:rPr>
        <w:t xml:space="preserve"> </w:t>
      </w:r>
      <w:r w:rsidR="004150AC" w:rsidRPr="00B96EEC">
        <w:rPr>
          <w:b w:val="0"/>
          <w:szCs w:val="20"/>
        </w:rPr>
        <w:t>s</w:t>
      </w:r>
      <w:r w:rsidR="000443C4" w:rsidRPr="00B96EEC">
        <w:rPr>
          <w:b w:val="0"/>
          <w:szCs w:val="20"/>
        </w:rPr>
        <w:t xml:space="preserve">maller differences were observed between different enrichments than those at energies below that level. Smaller count rate fluctuations were observed at energies lower than 200 keV for the rest of the spectra, which </w:t>
      </w:r>
      <w:r w:rsidR="00762F8E" w:rsidRPr="00B96EEC">
        <w:rPr>
          <w:b w:val="0"/>
          <w:szCs w:val="20"/>
        </w:rPr>
        <w:t xml:space="preserve">led </w:t>
      </w:r>
      <w:r w:rsidR="000443C4" w:rsidRPr="00B96EEC">
        <w:rPr>
          <w:b w:val="0"/>
          <w:szCs w:val="20"/>
        </w:rPr>
        <w:t xml:space="preserve">to higher counting precisions at lower gamma energies. This result can be attributed to </w:t>
      </w:r>
      <w:r w:rsidR="009C6D9D" w:rsidRPr="00B96EEC">
        <w:rPr>
          <w:b w:val="0"/>
          <w:szCs w:val="20"/>
        </w:rPr>
        <w:t xml:space="preserve">a </w:t>
      </w:r>
      <w:r w:rsidR="000443C4" w:rsidRPr="00B96EEC">
        <w:rPr>
          <w:b w:val="0"/>
          <w:szCs w:val="20"/>
        </w:rPr>
        <w:t>higher detection efficiency for low-energy photons than that for photons with higher energies for these un-shielded fuel elements.</w:t>
      </w:r>
      <w:r w:rsidR="00E315F0" w:rsidRPr="00B96EEC">
        <w:rPr>
          <w:b w:val="0"/>
          <w:szCs w:val="20"/>
        </w:rPr>
        <w:t xml:space="preserve"> </w:t>
      </w:r>
      <w:r w:rsidRPr="00B96EEC">
        <w:rPr>
          <w:b w:val="0"/>
          <w:szCs w:val="20"/>
        </w:rPr>
        <w:fldChar w:fldCharType="begin"/>
      </w:r>
      <w:r w:rsidRPr="00B96EEC">
        <w:rPr>
          <w:b w:val="0"/>
          <w:szCs w:val="20"/>
        </w:rPr>
        <w:instrText xml:space="preserve"> REF _Ref166887617 \h  \* MERGEFORMAT </w:instrText>
      </w:r>
      <w:r w:rsidRPr="00B96EEC">
        <w:rPr>
          <w:b w:val="0"/>
          <w:szCs w:val="20"/>
        </w:rPr>
      </w:r>
      <w:r w:rsidRPr="00B96EEC">
        <w:rPr>
          <w:b w:val="0"/>
          <w:szCs w:val="20"/>
        </w:rPr>
        <w:fldChar w:fldCharType="separate"/>
      </w:r>
      <w:r w:rsidR="00B90BAC" w:rsidRPr="00B96EEC">
        <w:rPr>
          <w:b w:val="0"/>
          <w:szCs w:val="20"/>
        </w:rPr>
        <w:t xml:space="preserve">Figure </w:t>
      </w:r>
      <w:r w:rsidR="00B90BAC" w:rsidRPr="00B96EEC">
        <w:rPr>
          <w:b w:val="0"/>
        </w:rPr>
        <w:t>3</w:t>
      </w:r>
      <w:r w:rsidRPr="00B96EEC">
        <w:rPr>
          <w:b w:val="0"/>
          <w:szCs w:val="20"/>
        </w:rPr>
        <w:fldChar w:fldCharType="end"/>
      </w:r>
      <w:r w:rsidRPr="00B96EEC">
        <w:rPr>
          <w:b w:val="0"/>
          <w:szCs w:val="20"/>
        </w:rPr>
        <w:t xml:space="preserve"> </w:t>
      </w:r>
      <w:r w:rsidR="00E315F0" w:rsidRPr="00B96EEC">
        <w:rPr>
          <w:b w:val="0"/>
          <w:szCs w:val="20"/>
        </w:rPr>
        <w:t>(</w:t>
      </w:r>
      <w:r w:rsidR="00A91CF1" w:rsidRPr="00B96EEC">
        <w:rPr>
          <w:b w:val="0"/>
          <w:szCs w:val="20"/>
        </w:rPr>
        <w:t>R</w:t>
      </w:r>
      <w:r w:rsidR="00E315F0" w:rsidRPr="00B96EEC">
        <w:rPr>
          <w:b w:val="0"/>
          <w:szCs w:val="20"/>
        </w:rPr>
        <w:t xml:space="preserve">ight) shows </w:t>
      </w:r>
      <w:r w:rsidR="000B61C0" w:rsidRPr="00B96EEC">
        <w:rPr>
          <w:b w:val="0"/>
          <w:szCs w:val="20"/>
        </w:rPr>
        <w:t xml:space="preserve">the simulated HPGe gamma spectra from a BANR compact with four different enrichments, a partial defect case, and a lower packing fraction case, also with a live time of 600 s. </w:t>
      </w:r>
    </w:p>
    <w:p w14:paraId="6BF6016F" w14:textId="63AB8095" w:rsidR="0024221A" w:rsidRPr="00B96EEC" w:rsidRDefault="000B61C0" w:rsidP="0042484E">
      <w:pPr>
        <w:pStyle w:val="FIGCAP1lineSeparator"/>
        <w:jc w:val="both"/>
        <w:rPr>
          <w:szCs w:val="20"/>
        </w:rPr>
      </w:pPr>
      <w:r w:rsidRPr="00B96EEC">
        <w:rPr>
          <w:szCs w:val="20"/>
        </w:rPr>
        <w:t xml:space="preserve">Note that “25%PF” stands for a packing faction of 25% (instead of the 40% nominal value) for the TRISO particles used in this case. Compared with the spectra of the metal pin, </w:t>
      </w:r>
      <w:r w:rsidR="00E315F0" w:rsidRPr="00B96EEC">
        <w:rPr>
          <w:szCs w:val="20"/>
        </w:rPr>
        <w:t xml:space="preserve">the gamma counts for the compact are ~10 times lower, </w:t>
      </w:r>
      <w:r w:rsidR="0024221A" w:rsidRPr="00B96EEC">
        <w:rPr>
          <w:szCs w:val="20"/>
        </w:rPr>
        <w:t xml:space="preserve">which is </w:t>
      </w:r>
      <w:r w:rsidRPr="00B96EEC">
        <w:rPr>
          <w:szCs w:val="20"/>
        </w:rPr>
        <w:t>unsurprising</w:t>
      </w:r>
      <w:r w:rsidR="0024221A" w:rsidRPr="00B96EEC">
        <w:rPr>
          <w:szCs w:val="20"/>
        </w:rPr>
        <w:t xml:space="preserve"> because of the lower uranium loading per unit length in the compact than </w:t>
      </w:r>
      <w:r w:rsidR="00A91CF1" w:rsidRPr="00B96EEC">
        <w:rPr>
          <w:szCs w:val="20"/>
        </w:rPr>
        <w:t xml:space="preserve">in </w:t>
      </w:r>
      <w:r w:rsidR="0024221A" w:rsidRPr="00B96EEC">
        <w:rPr>
          <w:szCs w:val="20"/>
        </w:rPr>
        <w:t xml:space="preserve">the metal fuel pin. </w:t>
      </w:r>
      <w:r w:rsidR="00CF1616" w:rsidRPr="00B96EEC">
        <w:rPr>
          <w:szCs w:val="20"/>
        </w:rPr>
        <w:t xml:space="preserve">In </w:t>
      </w:r>
      <w:r w:rsidR="00CF1616" w:rsidRPr="00B96EEC">
        <w:rPr>
          <w:szCs w:val="20"/>
        </w:rPr>
        <w:fldChar w:fldCharType="begin"/>
      </w:r>
      <w:r w:rsidR="00CF1616" w:rsidRPr="00B96EEC">
        <w:rPr>
          <w:szCs w:val="20"/>
        </w:rPr>
        <w:instrText xml:space="preserve"> REF _Ref166887617 \h  \* MERGEFORMAT </w:instrText>
      </w:r>
      <w:r w:rsidR="00CF1616" w:rsidRPr="00B96EEC">
        <w:rPr>
          <w:szCs w:val="20"/>
        </w:rPr>
      </w:r>
      <w:r w:rsidR="00CF1616" w:rsidRPr="00B96EEC">
        <w:rPr>
          <w:szCs w:val="20"/>
        </w:rPr>
        <w:fldChar w:fldCharType="separate"/>
      </w:r>
      <w:r w:rsidR="00CF1616" w:rsidRPr="00B96EEC">
        <w:rPr>
          <w:szCs w:val="20"/>
        </w:rPr>
        <w:t xml:space="preserve">Figure </w:t>
      </w:r>
      <w:r w:rsidR="00CF1616" w:rsidRPr="00B96EEC">
        <w:t>3</w:t>
      </w:r>
      <w:r w:rsidR="00CF1616" w:rsidRPr="00B96EEC">
        <w:rPr>
          <w:szCs w:val="20"/>
        </w:rPr>
        <w:fldChar w:fldCharType="end"/>
      </w:r>
      <w:r w:rsidR="00CF1616" w:rsidRPr="00B96EEC">
        <w:rPr>
          <w:szCs w:val="20"/>
        </w:rPr>
        <w:t>, s</w:t>
      </w:r>
      <w:r w:rsidR="0024221A" w:rsidRPr="00B96EEC">
        <w:rPr>
          <w:szCs w:val="20"/>
        </w:rPr>
        <w:t xml:space="preserve">everal peaks between 300 keV and 700 keV from </w:t>
      </w:r>
      <w:r w:rsidR="0024221A" w:rsidRPr="00B96EEC">
        <w:rPr>
          <w:szCs w:val="20"/>
          <w:vertAlign w:val="superscript"/>
        </w:rPr>
        <w:t>238</w:t>
      </w:r>
      <w:r w:rsidR="0024221A" w:rsidRPr="00B96EEC">
        <w:rPr>
          <w:szCs w:val="20"/>
        </w:rPr>
        <w:t xml:space="preserve">U and its decay daughters are more pronounced in the right spectra than in the left spectra, which can be attributed to the much lower fuel density of the compact than that of the metal pin.  </w:t>
      </w:r>
    </w:p>
    <w:p w14:paraId="5BE1539B" w14:textId="5393AF9C" w:rsidR="00655E4A" w:rsidRPr="00B96EEC" w:rsidRDefault="000443C4" w:rsidP="0042484E">
      <w:pPr>
        <w:jc w:val="both"/>
        <w:rPr>
          <w:sz w:val="20"/>
          <w:lang w:val="en-US"/>
        </w:rPr>
      </w:pPr>
      <w:r w:rsidRPr="00B96EEC">
        <w:rPr>
          <w:noProof/>
          <w:sz w:val="20"/>
          <w:lang w:val="en-US"/>
        </w:rPr>
        <w:drawing>
          <wp:inline distT="0" distB="0" distL="0" distR="0" wp14:anchorId="3F9D05EB" wp14:editId="1A8A4955">
            <wp:extent cx="2842266" cy="1892615"/>
            <wp:effectExtent l="0" t="0" r="2540" b="0"/>
            <wp:docPr id="306952375"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52375" name="Picture 1" descr="Chart, line chart&#10;&#10;Description automatically generated"/>
                    <pic:cNvPicPr/>
                  </pic:nvPicPr>
                  <pic:blipFill>
                    <a:blip r:embed="rId15"/>
                    <a:stretch>
                      <a:fillRect/>
                    </a:stretch>
                  </pic:blipFill>
                  <pic:spPr>
                    <a:xfrm>
                      <a:off x="0" y="0"/>
                      <a:ext cx="2889458" cy="1924039"/>
                    </a:xfrm>
                    <a:prstGeom prst="rect">
                      <a:avLst/>
                    </a:prstGeom>
                  </pic:spPr>
                </pic:pic>
              </a:graphicData>
            </a:graphic>
          </wp:inline>
        </w:drawing>
      </w:r>
      <w:r w:rsidR="00655E4A" w:rsidRPr="00B96EEC">
        <w:rPr>
          <w:sz w:val="20"/>
          <w:lang w:val="en-US"/>
        </w:rPr>
        <w:t xml:space="preserve"> </w:t>
      </w:r>
      <w:r w:rsidR="00655E4A" w:rsidRPr="00B96EEC">
        <w:rPr>
          <w:noProof/>
          <w:sz w:val="20"/>
          <w:lang w:val="en-US"/>
        </w:rPr>
        <w:drawing>
          <wp:inline distT="0" distB="0" distL="0" distR="0" wp14:anchorId="6E851694" wp14:editId="4AFFE55D">
            <wp:extent cx="2666561" cy="1784829"/>
            <wp:effectExtent l="0" t="0" r="635" b="6350"/>
            <wp:docPr id="1656377000"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47565" name="Picture 1" descr="Chart, histogram&#10;&#10;Description automatically generated"/>
                    <pic:cNvPicPr/>
                  </pic:nvPicPr>
                  <pic:blipFill>
                    <a:blip r:embed="rId16"/>
                    <a:stretch>
                      <a:fillRect/>
                    </a:stretch>
                  </pic:blipFill>
                  <pic:spPr>
                    <a:xfrm>
                      <a:off x="0" y="0"/>
                      <a:ext cx="2734890" cy="1830564"/>
                    </a:xfrm>
                    <a:prstGeom prst="rect">
                      <a:avLst/>
                    </a:prstGeom>
                  </pic:spPr>
                </pic:pic>
              </a:graphicData>
            </a:graphic>
          </wp:inline>
        </w:drawing>
      </w:r>
      <w:bookmarkStart w:id="18" w:name="_Toc153125975"/>
      <w:r w:rsidR="00150FA9" w:rsidRPr="00B96EEC">
        <w:rPr>
          <w:sz w:val="20"/>
          <w:lang w:val="en-US"/>
        </w:rPr>
        <w:t xml:space="preserve"> </w:t>
      </w:r>
    </w:p>
    <w:p w14:paraId="4F1C81C3" w14:textId="745D9EF3" w:rsidR="00A64626" w:rsidRPr="00B96EEC" w:rsidRDefault="00A64626" w:rsidP="0042484E">
      <w:pPr>
        <w:jc w:val="both"/>
        <w:rPr>
          <w:sz w:val="20"/>
          <w:lang w:val="en-US"/>
        </w:rPr>
      </w:pPr>
      <w:bookmarkStart w:id="19" w:name="_Ref166887617"/>
      <w:r w:rsidRPr="00AA7C4E">
        <w:rPr>
          <w:sz w:val="20"/>
          <w:lang w:val="en-US"/>
        </w:rPr>
        <w:t xml:space="preserve">Figure </w:t>
      </w:r>
      <w:r w:rsidRPr="00AA7C4E">
        <w:rPr>
          <w:sz w:val="20"/>
          <w:lang w:val="en-US"/>
        </w:rPr>
        <w:fldChar w:fldCharType="begin"/>
      </w:r>
      <w:r w:rsidRPr="00AA7C4E">
        <w:rPr>
          <w:sz w:val="20"/>
          <w:lang w:val="en-US"/>
        </w:rPr>
        <w:instrText xml:space="preserve"> SEQ Figure \* ARABIC </w:instrText>
      </w:r>
      <w:r w:rsidRPr="00AA7C4E">
        <w:rPr>
          <w:sz w:val="20"/>
          <w:lang w:val="en-US"/>
        </w:rPr>
        <w:fldChar w:fldCharType="separate"/>
      </w:r>
      <w:r w:rsidR="00B90BAC" w:rsidRPr="00AA7C4E">
        <w:rPr>
          <w:sz w:val="20"/>
          <w:lang w:val="en-US"/>
        </w:rPr>
        <w:t>3</w:t>
      </w:r>
      <w:r w:rsidRPr="00AA7C4E">
        <w:rPr>
          <w:sz w:val="20"/>
          <w:lang w:val="en-US"/>
        </w:rPr>
        <w:fldChar w:fldCharType="end"/>
      </w:r>
      <w:bookmarkEnd w:id="19"/>
      <w:r w:rsidRPr="00AA7C4E">
        <w:rPr>
          <w:sz w:val="20"/>
          <w:lang w:val="en-US"/>
        </w:rPr>
        <w:t>.</w:t>
      </w:r>
      <w:r w:rsidRPr="00B96EEC">
        <w:rPr>
          <w:lang w:val="en-US"/>
        </w:rPr>
        <w:t xml:space="preserve"> </w:t>
      </w:r>
      <w:r w:rsidRPr="00B96EEC">
        <w:rPr>
          <w:sz w:val="20"/>
          <w:lang w:val="en-US"/>
        </w:rPr>
        <w:t>Simulated HPGe gamma spectra for (Left) a metal fuel pin; (Right) a BANR compact.</w:t>
      </w:r>
    </w:p>
    <w:p w14:paraId="078C6D5F" w14:textId="22041FDE" w:rsidR="000443C4" w:rsidRPr="00B96EEC" w:rsidRDefault="000443C4" w:rsidP="0042484E">
      <w:pPr>
        <w:jc w:val="both"/>
        <w:rPr>
          <w:sz w:val="20"/>
          <w:lang w:val="en-US"/>
        </w:rPr>
      </w:pPr>
      <w:r w:rsidRPr="00B96EEC">
        <w:rPr>
          <w:sz w:val="20"/>
          <w:lang w:val="en-US"/>
        </w:rPr>
        <w:t xml:space="preserve"> </w:t>
      </w:r>
      <w:bookmarkEnd w:id="18"/>
      <w:r w:rsidR="00655E4A" w:rsidRPr="00B96EEC">
        <w:rPr>
          <w:sz w:val="20"/>
          <w:lang w:val="en-US"/>
        </w:rPr>
        <w:t xml:space="preserve"> </w:t>
      </w:r>
      <w:r w:rsidR="008B0DB1" w:rsidRPr="00B96EEC">
        <w:rPr>
          <w:lang w:val="en-US"/>
        </w:rPr>
        <w:t xml:space="preserve"> </w:t>
      </w:r>
    </w:p>
    <w:p w14:paraId="744A1B06" w14:textId="713A3001" w:rsidR="008B0DB1" w:rsidRPr="00B96EEC" w:rsidRDefault="008B0DB1" w:rsidP="0042484E">
      <w:pPr>
        <w:pStyle w:val="BlockText"/>
        <w:spacing w:after="0"/>
        <w:ind w:firstLine="562"/>
        <w:jc w:val="both"/>
        <w:rPr>
          <w:sz w:val="20"/>
          <w:szCs w:val="20"/>
        </w:rPr>
      </w:pPr>
      <w:r w:rsidRPr="00B96EEC">
        <w:rPr>
          <w:sz w:val="20"/>
          <w:szCs w:val="20"/>
        </w:rPr>
        <w:t xml:space="preserve">The 186 keV gamma peak has been the primary gamma signature used by the safeguards inspector to verify enrichments in fresh fuel because its 57.2% yield (per decay disintegration) is higher than that of </w:t>
      </w:r>
      <w:r w:rsidRPr="00B96EEC">
        <w:rPr>
          <w:sz w:val="20"/>
          <w:szCs w:val="20"/>
          <w:vertAlign w:val="superscript"/>
        </w:rPr>
        <w:t>235</w:t>
      </w:r>
      <w:r w:rsidRPr="00B96EEC">
        <w:rPr>
          <w:sz w:val="20"/>
          <w:szCs w:val="20"/>
        </w:rPr>
        <w:t xml:space="preserve">U’s second abundant gamma line, which is the 144 keV peak with a yield of 10.93%. The 1001 keV gamma peak from </w:t>
      </w:r>
      <w:r w:rsidRPr="00B96EEC">
        <w:rPr>
          <w:sz w:val="20"/>
          <w:szCs w:val="20"/>
          <w:vertAlign w:val="superscript"/>
        </w:rPr>
        <w:t>238</w:t>
      </w:r>
      <w:r w:rsidRPr="00B96EEC">
        <w:rPr>
          <w:sz w:val="20"/>
          <w:szCs w:val="20"/>
        </w:rPr>
        <w:t xml:space="preserve">U (through its short-lived decay product of </w:t>
      </w:r>
      <w:r w:rsidRPr="00B96EEC">
        <w:rPr>
          <w:sz w:val="20"/>
          <w:szCs w:val="20"/>
          <w:vertAlign w:val="superscript"/>
        </w:rPr>
        <w:t>234m</w:t>
      </w:r>
      <w:r w:rsidRPr="00B96EEC">
        <w:rPr>
          <w:sz w:val="20"/>
          <w:szCs w:val="20"/>
        </w:rPr>
        <w:t xml:space="preserve">Pa) has also been used occasionally in safeguards verification, but it is less useful than the 186 keV peak because of the lower detection efficiency and lower yield (e.g., 0.84% vs. 57.2% for the 186 keV peak) of the 1001 keV peak. Therefore, the 186 keV peak is the primary peak used for analysis in this work. </w:t>
      </w:r>
      <w:r w:rsidRPr="00B96EEC">
        <w:rPr>
          <w:sz w:val="20"/>
          <w:szCs w:val="20"/>
        </w:rPr>
        <w:fldChar w:fldCharType="begin"/>
      </w:r>
      <w:r w:rsidRPr="00B96EEC">
        <w:rPr>
          <w:sz w:val="20"/>
          <w:szCs w:val="20"/>
        </w:rPr>
        <w:instrText xml:space="preserve"> REF _Ref166793119 \h </w:instrText>
      </w:r>
      <w:r w:rsidR="00BF0A9F" w:rsidRPr="00B96EEC">
        <w:rPr>
          <w:sz w:val="20"/>
          <w:szCs w:val="20"/>
        </w:rPr>
        <w:instrText xml:space="preserve"> \* MERGEFORMAT </w:instrText>
      </w:r>
      <w:r w:rsidRPr="00B96EEC">
        <w:rPr>
          <w:sz w:val="20"/>
          <w:szCs w:val="20"/>
        </w:rPr>
      </w:r>
      <w:r w:rsidRPr="00B96EEC">
        <w:rPr>
          <w:sz w:val="20"/>
          <w:szCs w:val="20"/>
        </w:rPr>
        <w:fldChar w:fldCharType="separate"/>
      </w:r>
      <w:r w:rsidR="00B90BAC" w:rsidRPr="00B96EEC">
        <w:rPr>
          <w:sz w:val="20"/>
          <w:szCs w:val="20"/>
        </w:rPr>
        <w:t>Figure 4</w:t>
      </w:r>
      <w:r w:rsidRPr="00B96EEC">
        <w:rPr>
          <w:sz w:val="20"/>
          <w:szCs w:val="20"/>
        </w:rPr>
        <w:fldChar w:fldCharType="end"/>
      </w:r>
      <w:r w:rsidRPr="00B96EEC">
        <w:rPr>
          <w:sz w:val="20"/>
          <w:szCs w:val="20"/>
        </w:rPr>
        <w:t xml:space="preserve"> (</w:t>
      </w:r>
      <w:r w:rsidR="00BF0A9F" w:rsidRPr="00B96EEC">
        <w:rPr>
          <w:sz w:val="20"/>
          <w:szCs w:val="20"/>
        </w:rPr>
        <w:t>L</w:t>
      </w:r>
      <w:r w:rsidRPr="00B96EEC">
        <w:rPr>
          <w:sz w:val="20"/>
          <w:szCs w:val="20"/>
        </w:rPr>
        <w:t>eft) shows the 186 keV peak for the metal pin</w:t>
      </w:r>
      <w:r w:rsidR="00203915" w:rsidRPr="00B96EEC">
        <w:rPr>
          <w:sz w:val="20"/>
          <w:szCs w:val="20"/>
        </w:rPr>
        <w:t>,</w:t>
      </w:r>
      <w:r w:rsidRPr="00B96EEC">
        <w:rPr>
          <w:sz w:val="20"/>
          <w:szCs w:val="20"/>
        </w:rPr>
        <w:t xml:space="preserve"> and </w:t>
      </w:r>
      <w:r w:rsidRPr="00B96EEC">
        <w:rPr>
          <w:sz w:val="20"/>
          <w:szCs w:val="20"/>
        </w:rPr>
        <w:fldChar w:fldCharType="begin"/>
      </w:r>
      <w:r w:rsidRPr="00B96EEC">
        <w:rPr>
          <w:sz w:val="20"/>
          <w:szCs w:val="20"/>
        </w:rPr>
        <w:instrText xml:space="preserve"> REF _Ref166793119 \h </w:instrText>
      </w:r>
      <w:r w:rsidR="00BF0A9F" w:rsidRPr="00B96EEC">
        <w:rPr>
          <w:sz w:val="20"/>
          <w:szCs w:val="20"/>
        </w:rPr>
        <w:instrText xml:space="preserve"> \* MERGEFORMAT </w:instrText>
      </w:r>
      <w:r w:rsidRPr="00B96EEC">
        <w:rPr>
          <w:sz w:val="20"/>
          <w:szCs w:val="20"/>
        </w:rPr>
      </w:r>
      <w:r w:rsidRPr="00B96EEC">
        <w:rPr>
          <w:sz w:val="20"/>
          <w:szCs w:val="20"/>
        </w:rPr>
        <w:fldChar w:fldCharType="separate"/>
      </w:r>
      <w:r w:rsidR="00B90BAC" w:rsidRPr="00B96EEC">
        <w:rPr>
          <w:sz w:val="20"/>
          <w:szCs w:val="20"/>
        </w:rPr>
        <w:t>Figure 4</w:t>
      </w:r>
      <w:r w:rsidRPr="00B96EEC">
        <w:rPr>
          <w:sz w:val="20"/>
          <w:szCs w:val="20"/>
        </w:rPr>
        <w:fldChar w:fldCharType="end"/>
      </w:r>
      <w:r w:rsidRPr="00B96EEC">
        <w:rPr>
          <w:sz w:val="20"/>
          <w:szCs w:val="20"/>
        </w:rPr>
        <w:t xml:space="preserve"> (</w:t>
      </w:r>
      <w:r w:rsidR="00BF0A9F" w:rsidRPr="00B96EEC">
        <w:rPr>
          <w:sz w:val="20"/>
          <w:szCs w:val="20"/>
        </w:rPr>
        <w:t>R</w:t>
      </w:r>
      <w:r w:rsidRPr="00B96EEC">
        <w:rPr>
          <w:sz w:val="20"/>
          <w:szCs w:val="20"/>
        </w:rPr>
        <w:t xml:space="preserve">ight) shows that for the compact. </w:t>
      </w:r>
    </w:p>
    <w:p w14:paraId="1CBFBAEA" w14:textId="3FD5F8C5" w:rsidR="000443C4" w:rsidRPr="00B96EEC" w:rsidRDefault="000443C4" w:rsidP="0042484E">
      <w:pPr>
        <w:pStyle w:val="BlockText"/>
        <w:ind w:firstLine="562"/>
        <w:jc w:val="both"/>
        <w:rPr>
          <w:sz w:val="20"/>
          <w:szCs w:val="20"/>
        </w:rPr>
      </w:pPr>
      <w:r w:rsidRPr="00B96EEC">
        <w:rPr>
          <w:sz w:val="20"/>
          <w:szCs w:val="20"/>
        </w:rPr>
        <w:t xml:space="preserve">Different responses to fuel diversion can also be seen for different fuel types. For example, the peak of the “25%PD” case almost entirely overlaps with the corresponding base case for the metal fuel, which indicates that </w:t>
      </w:r>
      <w:r w:rsidRPr="00B96EEC">
        <w:rPr>
          <w:sz w:val="20"/>
          <w:szCs w:val="20"/>
        </w:rPr>
        <w:lastRenderedPageBreak/>
        <w:t xml:space="preserve">the gamma signal is “blind” to the fuel diversion of 25% or less from the inner part of </w:t>
      </w:r>
      <w:r w:rsidR="00BF0A9F" w:rsidRPr="00B96EEC">
        <w:rPr>
          <w:sz w:val="20"/>
          <w:szCs w:val="20"/>
        </w:rPr>
        <w:t>this</w:t>
      </w:r>
      <w:r w:rsidRPr="00B96EEC">
        <w:rPr>
          <w:sz w:val="20"/>
          <w:szCs w:val="20"/>
        </w:rPr>
        <w:t xml:space="preserve"> fuel type. However, the “25%PD” is clearly separated from the base case for the BANR compact</w:t>
      </w:r>
      <w:r w:rsidR="000B61C0" w:rsidRPr="00B96EEC">
        <w:rPr>
          <w:sz w:val="20"/>
          <w:szCs w:val="20"/>
        </w:rPr>
        <w:t>.</w:t>
      </w:r>
      <w:r w:rsidRPr="00B96EEC">
        <w:rPr>
          <w:sz w:val="20"/>
          <w:szCs w:val="20"/>
        </w:rPr>
        <w:t xml:space="preserve"> The differences in response to fuel diversion can be attributed to the differences in fuel density, geometry, and dimension (</w:t>
      </w:r>
      <w:r w:rsidRPr="00B96EEC">
        <w:rPr>
          <w:sz w:val="20"/>
          <w:szCs w:val="20"/>
        </w:rPr>
        <w:fldChar w:fldCharType="begin"/>
      </w:r>
      <w:r w:rsidRPr="00B96EEC">
        <w:rPr>
          <w:sz w:val="20"/>
          <w:szCs w:val="20"/>
        </w:rPr>
        <w:instrText xml:space="preserve"> REF _Ref152025922 \h  \* MERGEFORMAT </w:instrText>
      </w:r>
      <w:r w:rsidRPr="00B96EEC">
        <w:rPr>
          <w:sz w:val="20"/>
          <w:szCs w:val="20"/>
        </w:rPr>
      </w:r>
      <w:r w:rsidRPr="00B96EEC">
        <w:rPr>
          <w:sz w:val="20"/>
          <w:szCs w:val="20"/>
        </w:rPr>
        <w:fldChar w:fldCharType="separate"/>
      </w:r>
      <w:r w:rsidR="00B90BAC" w:rsidRPr="00B96EEC">
        <w:rPr>
          <w:sz w:val="20"/>
          <w:szCs w:val="20"/>
        </w:rPr>
        <w:t>Table</w:t>
      </w:r>
      <w:r w:rsidR="00FA589D" w:rsidRPr="00B96EEC">
        <w:rPr>
          <w:sz w:val="20"/>
          <w:szCs w:val="20"/>
        </w:rPr>
        <w:t> </w:t>
      </w:r>
      <w:r w:rsidR="00B90BAC" w:rsidRPr="00B96EEC">
        <w:rPr>
          <w:sz w:val="20"/>
          <w:szCs w:val="20"/>
        </w:rPr>
        <w:t>2</w:t>
      </w:r>
      <w:r w:rsidRPr="00B96EEC">
        <w:rPr>
          <w:sz w:val="20"/>
          <w:szCs w:val="20"/>
        </w:rPr>
        <w:fldChar w:fldCharType="end"/>
      </w:r>
      <w:r w:rsidRPr="00B96EEC">
        <w:rPr>
          <w:sz w:val="20"/>
          <w:szCs w:val="20"/>
        </w:rPr>
        <w:t xml:space="preserve">). For example, in the case of the metal fuel pin, it is unlikely for a photon with a 186 keV energy to travel through several millimeters of the high-density fuel material in it and reach the detector. Therefore, the detector would be somewhat blind to fuel diversions several millimeters beneath the fuel pin’s outer surface. However, </w:t>
      </w:r>
      <w:r w:rsidR="002833E1" w:rsidRPr="00B96EEC">
        <w:rPr>
          <w:sz w:val="20"/>
          <w:szCs w:val="20"/>
        </w:rPr>
        <w:t xml:space="preserve">in </w:t>
      </w:r>
      <w:r w:rsidRPr="00B96EEC">
        <w:rPr>
          <w:sz w:val="20"/>
          <w:szCs w:val="20"/>
        </w:rPr>
        <w:t>the case of the BANR compact, the same photon can travel a greater distance through the fuel material because the compact’s fuel density is lower than that of the metal fuel pin. Another challenge to diversion detection is that even if the 186 keV peak of the diversion case is clearly separated from the base case, the diversion can be masked by falsely declared lower enrichment; this phenomenon is evident in</w:t>
      </w:r>
      <w:r w:rsidR="008B0DB1" w:rsidRPr="00B96EEC">
        <w:rPr>
          <w:sz w:val="20"/>
          <w:szCs w:val="20"/>
        </w:rPr>
        <w:t xml:space="preserve"> </w:t>
      </w:r>
      <w:r w:rsidR="008B0DB1" w:rsidRPr="00B96EEC">
        <w:rPr>
          <w:sz w:val="20"/>
          <w:szCs w:val="20"/>
        </w:rPr>
        <w:fldChar w:fldCharType="begin"/>
      </w:r>
      <w:r w:rsidR="008B0DB1" w:rsidRPr="00B96EEC">
        <w:rPr>
          <w:sz w:val="20"/>
          <w:szCs w:val="20"/>
        </w:rPr>
        <w:instrText xml:space="preserve"> REF _Ref166793119 \h </w:instrText>
      </w:r>
      <w:r w:rsidR="00BF0A9F" w:rsidRPr="00B96EEC">
        <w:rPr>
          <w:sz w:val="20"/>
          <w:szCs w:val="20"/>
        </w:rPr>
        <w:instrText xml:space="preserve"> \* MERGEFORMAT </w:instrText>
      </w:r>
      <w:r w:rsidR="008B0DB1" w:rsidRPr="00B96EEC">
        <w:rPr>
          <w:sz w:val="20"/>
          <w:szCs w:val="20"/>
        </w:rPr>
      </w:r>
      <w:r w:rsidR="008B0DB1" w:rsidRPr="00B96EEC">
        <w:rPr>
          <w:sz w:val="20"/>
          <w:szCs w:val="20"/>
        </w:rPr>
        <w:fldChar w:fldCharType="separate"/>
      </w:r>
      <w:r w:rsidR="00B90BAC" w:rsidRPr="00B96EEC">
        <w:rPr>
          <w:sz w:val="20"/>
          <w:szCs w:val="20"/>
        </w:rPr>
        <w:t xml:space="preserve">Figure </w:t>
      </w:r>
      <w:r w:rsidR="00B90BAC" w:rsidRPr="00B96EEC">
        <w:rPr>
          <w:szCs w:val="20"/>
        </w:rPr>
        <w:t>4</w:t>
      </w:r>
      <w:r w:rsidR="008B0DB1" w:rsidRPr="00B96EEC">
        <w:rPr>
          <w:sz w:val="20"/>
          <w:szCs w:val="20"/>
        </w:rPr>
        <w:fldChar w:fldCharType="end"/>
      </w:r>
      <w:r w:rsidR="008B0DB1" w:rsidRPr="00B96EEC">
        <w:rPr>
          <w:sz w:val="20"/>
          <w:szCs w:val="20"/>
        </w:rPr>
        <w:t>,</w:t>
      </w:r>
      <w:r w:rsidRPr="00B96EEC">
        <w:rPr>
          <w:sz w:val="20"/>
          <w:szCs w:val="20"/>
        </w:rPr>
        <w:t xml:space="preserve"> which shows that the “15.5%” case </w:t>
      </w:r>
      <w:r w:rsidR="00C15739" w:rsidRPr="00B96EEC">
        <w:rPr>
          <w:sz w:val="20"/>
          <w:szCs w:val="20"/>
        </w:rPr>
        <w:t xml:space="preserve">exhibited </w:t>
      </w:r>
      <w:r w:rsidRPr="00B96EEC">
        <w:rPr>
          <w:sz w:val="20"/>
          <w:szCs w:val="20"/>
        </w:rPr>
        <w:t xml:space="preserve">a similar peak </w:t>
      </w:r>
      <w:r w:rsidR="001A10C1" w:rsidRPr="00B96EEC">
        <w:rPr>
          <w:sz w:val="20"/>
          <w:szCs w:val="20"/>
        </w:rPr>
        <w:t xml:space="preserve">to that of </w:t>
      </w:r>
      <w:r w:rsidRPr="00B96EEC">
        <w:rPr>
          <w:sz w:val="20"/>
          <w:szCs w:val="20"/>
        </w:rPr>
        <w:t xml:space="preserve">the “19.75%_25%PD” case.    </w:t>
      </w:r>
    </w:p>
    <w:p w14:paraId="0272567D" w14:textId="627AAE1B" w:rsidR="000443C4" w:rsidRPr="00B96EEC" w:rsidRDefault="000443C4" w:rsidP="0042484E">
      <w:pPr>
        <w:jc w:val="both"/>
        <w:rPr>
          <w:sz w:val="20"/>
          <w:lang w:val="en-US"/>
        </w:rPr>
      </w:pPr>
      <w:r w:rsidRPr="00B96EEC">
        <w:rPr>
          <w:noProof/>
          <w:sz w:val="20"/>
          <w:lang w:val="en-US"/>
        </w:rPr>
        <w:drawing>
          <wp:inline distT="0" distB="0" distL="0" distR="0" wp14:anchorId="0B66591C" wp14:editId="6A7B125F">
            <wp:extent cx="2832606" cy="1877208"/>
            <wp:effectExtent l="0" t="0" r="0" b="2540"/>
            <wp:docPr id="785844891"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44891" name="Picture 1" descr="Chart, line chart, histogram&#10;&#10;Description automatically generated"/>
                    <pic:cNvPicPr/>
                  </pic:nvPicPr>
                  <pic:blipFill>
                    <a:blip r:embed="rId17"/>
                    <a:stretch>
                      <a:fillRect/>
                    </a:stretch>
                  </pic:blipFill>
                  <pic:spPr>
                    <a:xfrm>
                      <a:off x="0" y="0"/>
                      <a:ext cx="2882537" cy="1910298"/>
                    </a:xfrm>
                    <a:prstGeom prst="rect">
                      <a:avLst/>
                    </a:prstGeom>
                  </pic:spPr>
                </pic:pic>
              </a:graphicData>
            </a:graphic>
          </wp:inline>
        </w:drawing>
      </w:r>
      <w:r w:rsidR="000E0EF9" w:rsidRPr="00B96EEC">
        <w:rPr>
          <w:sz w:val="20"/>
          <w:lang w:val="en-US"/>
        </w:rPr>
        <w:t xml:space="preserve"> </w:t>
      </w:r>
      <w:r w:rsidR="000E0EF9" w:rsidRPr="00B96EEC">
        <w:rPr>
          <w:noProof/>
          <w:sz w:val="20"/>
          <w:lang w:val="en-US"/>
        </w:rPr>
        <w:drawing>
          <wp:inline distT="0" distB="0" distL="0" distR="0" wp14:anchorId="1776302E" wp14:editId="59AE59B9">
            <wp:extent cx="2830286" cy="1844525"/>
            <wp:effectExtent l="0" t="0" r="1905" b="0"/>
            <wp:docPr id="1697636201"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03764" name="Picture 1" descr="Chart, line chart, histogram&#10;&#10;Description automatically generated"/>
                    <pic:cNvPicPr/>
                  </pic:nvPicPr>
                  <pic:blipFill>
                    <a:blip r:embed="rId18"/>
                    <a:stretch>
                      <a:fillRect/>
                    </a:stretch>
                  </pic:blipFill>
                  <pic:spPr>
                    <a:xfrm>
                      <a:off x="0" y="0"/>
                      <a:ext cx="2906229" cy="1894018"/>
                    </a:xfrm>
                    <a:prstGeom prst="rect">
                      <a:avLst/>
                    </a:prstGeom>
                  </pic:spPr>
                </pic:pic>
              </a:graphicData>
            </a:graphic>
          </wp:inline>
        </w:drawing>
      </w:r>
    </w:p>
    <w:p w14:paraId="1DF8003D" w14:textId="6C342A0C" w:rsidR="000443C4" w:rsidRPr="00B96EEC" w:rsidRDefault="000443C4" w:rsidP="0042484E">
      <w:pPr>
        <w:pStyle w:val="FIGCAP1line"/>
        <w:jc w:val="both"/>
        <w:rPr>
          <w:b w:val="0"/>
          <w:szCs w:val="20"/>
        </w:rPr>
      </w:pPr>
      <w:bookmarkStart w:id="20" w:name="_Ref166793119"/>
      <w:bookmarkStart w:id="21" w:name="_Ref152280872"/>
      <w:bookmarkStart w:id="22" w:name="_Toc153125977"/>
      <w:r w:rsidRPr="00B96EEC">
        <w:rPr>
          <w:b w:val="0"/>
          <w:szCs w:val="20"/>
        </w:rPr>
        <w:t xml:space="preserve">Figure </w:t>
      </w:r>
      <w:r w:rsidRPr="00B96EEC">
        <w:rPr>
          <w:b w:val="0"/>
          <w:szCs w:val="20"/>
        </w:rPr>
        <w:fldChar w:fldCharType="begin"/>
      </w:r>
      <w:r w:rsidRPr="00B96EEC">
        <w:rPr>
          <w:b w:val="0"/>
          <w:szCs w:val="20"/>
        </w:rPr>
        <w:instrText xml:space="preserve"> SEQ Figure \* ARABIC </w:instrText>
      </w:r>
      <w:r w:rsidRPr="00B96EEC">
        <w:rPr>
          <w:b w:val="0"/>
          <w:szCs w:val="20"/>
        </w:rPr>
        <w:fldChar w:fldCharType="separate"/>
      </w:r>
      <w:r w:rsidR="00B90BAC" w:rsidRPr="00B96EEC">
        <w:rPr>
          <w:b w:val="0"/>
          <w:szCs w:val="20"/>
        </w:rPr>
        <w:t>4</w:t>
      </w:r>
      <w:r w:rsidRPr="00B96EEC">
        <w:rPr>
          <w:b w:val="0"/>
          <w:szCs w:val="20"/>
        </w:rPr>
        <w:fldChar w:fldCharType="end"/>
      </w:r>
      <w:bookmarkEnd w:id="20"/>
      <w:r w:rsidRPr="00B96EEC">
        <w:rPr>
          <w:b w:val="0"/>
          <w:szCs w:val="20"/>
        </w:rPr>
        <w:t xml:space="preserve">. </w:t>
      </w:r>
      <w:bookmarkEnd w:id="21"/>
      <w:r w:rsidRPr="00B96EEC">
        <w:rPr>
          <w:b w:val="0"/>
          <w:szCs w:val="20"/>
        </w:rPr>
        <w:t>The simulated HPGe gamma peaks around the 186 keV gamma line from</w:t>
      </w:r>
      <w:r w:rsidR="000E0EF9" w:rsidRPr="00B96EEC">
        <w:rPr>
          <w:b w:val="0"/>
          <w:szCs w:val="20"/>
        </w:rPr>
        <w:t xml:space="preserve"> (</w:t>
      </w:r>
      <w:r w:rsidR="00BF0A9F" w:rsidRPr="00B96EEC">
        <w:rPr>
          <w:b w:val="0"/>
          <w:szCs w:val="20"/>
        </w:rPr>
        <w:t>L</w:t>
      </w:r>
      <w:r w:rsidR="000E0EF9" w:rsidRPr="00B96EEC">
        <w:rPr>
          <w:b w:val="0"/>
          <w:szCs w:val="20"/>
        </w:rPr>
        <w:t>eft)</w:t>
      </w:r>
      <w:r w:rsidRPr="00B96EEC">
        <w:rPr>
          <w:b w:val="0"/>
          <w:szCs w:val="20"/>
        </w:rPr>
        <w:t xml:space="preserve"> a metal fuel pin</w:t>
      </w:r>
      <w:r w:rsidR="000E0EF9" w:rsidRPr="00B96EEC">
        <w:rPr>
          <w:b w:val="0"/>
          <w:szCs w:val="20"/>
        </w:rPr>
        <w:t>; (</w:t>
      </w:r>
      <w:r w:rsidR="00BF0A9F" w:rsidRPr="00B96EEC">
        <w:rPr>
          <w:b w:val="0"/>
          <w:szCs w:val="20"/>
        </w:rPr>
        <w:t>R</w:t>
      </w:r>
      <w:r w:rsidR="000E0EF9" w:rsidRPr="00B96EEC">
        <w:rPr>
          <w:b w:val="0"/>
          <w:szCs w:val="20"/>
        </w:rPr>
        <w:t xml:space="preserve">ight) a BANR compact. </w:t>
      </w:r>
      <w:r w:rsidRPr="00B96EEC">
        <w:rPr>
          <w:b w:val="0"/>
          <w:szCs w:val="20"/>
        </w:rPr>
        <w:t xml:space="preserve"> </w:t>
      </w:r>
      <w:bookmarkEnd w:id="22"/>
      <w:r w:rsidRPr="00B96EEC">
        <w:rPr>
          <w:b w:val="0"/>
          <w:szCs w:val="20"/>
        </w:rPr>
        <w:t xml:space="preserve">    </w:t>
      </w:r>
    </w:p>
    <w:p w14:paraId="1BC9CCEA" w14:textId="255C0C38" w:rsidR="000443C4" w:rsidRPr="00B96EEC" w:rsidRDefault="000443C4" w:rsidP="0042484E">
      <w:pPr>
        <w:pStyle w:val="BlockText"/>
        <w:spacing w:after="0"/>
        <w:ind w:firstLine="562"/>
        <w:jc w:val="both"/>
        <w:rPr>
          <w:sz w:val="20"/>
          <w:szCs w:val="20"/>
        </w:rPr>
      </w:pPr>
      <w:r w:rsidRPr="00B96EEC">
        <w:rPr>
          <w:sz w:val="20"/>
          <w:szCs w:val="20"/>
        </w:rPr>
        <w:fldChar w:fldCharType="begin"/>
      </w:r>
      <w:r w:rsidRPr="00B96EEC">
        <w:rPr>
          <w:sz w:val="20"/>
          <w:szCs w:val="20"/>
        </w:rPr>
        <w:instrText xml:space="preserve"> REF _Ref152579524 \h  \* MERGEFORMAT </w:instrText>
      </w:r>
      <w:r w:rsidRPr="00B96EEC">
        <w:rPr>
          <w:sz w:val="20"/>
          <w:szCs w:val="20"/>
        </w:rPr>
      </w:r>
      <w:r w:rsidRPr="00B96EEC">
        <w:rPr>
          <w:sz w:val="20"/>
          <w:szCs w:val="20"/>
        </w:rPr>
        <w:fldChar w:fldCharType="separate"/>
      </w:r>
      <w:r w:rsidR="00B90BAC" w:rsidRPr="00B96EEC">
        <w:rPr>
          <w:sz w:val="20"/>
          <w:szCs w:val="20"/>
        </w:rPr>
        <w:t>Figure 5</w:t>
      </w:r>
      <w:r w:rsidRPr="00B96EEC">
        <w:rPr>
          <w:sz w:val="20"/>
          <w:szCs w:val="20"/>
        </w:rPr>
        <w:fldChar w:fldCharType="end"/>
      </w:r>
      <w:r w:rsidR="000B61C0" w:rsidRPr="00B96EEC">
        <w:rPr>
          <w:sz w:val="20"/>
          <w:szCs w:val="20"/>
        </w:rPr>
        <w:t xml:space="preserve"> (left)</w:t>
      </w:r>
      <w:r w:rsidRPr="00B96EEC">
        <w:rPr>
          <w:sz w:val="20"/>
          <w:szCs w:val="20"/>
        </w:rPr>
        <w:t xml:space="preserve"> shows the simulated 186 keV peak area rate as a function of the fuel enrichment for the six different fuel elements. </w:t>
      </w:r>
      <w:r w:rsidR="000B61C0" w:rsidRPr="00B96EEC">
        <w:rPr>
          <w:sz w:val="20"/>
          <w:szCs w:val="20"/>
        </w:rPr>
        <w:t>H</w:t>
      </w:r>
      <w:r w:rsidRPr="00B96EEC">
        <w:rPr>
          <w:sz w:val="20"/>
          <w:szCs w:val="20"/>
        </w:rPr>
        <w:t xml:space="preserve">igher 186 keV peak areas </w:t>
      </w:r>
      <w:r w:rsidR="000B61C0" w:rsidRPr="00B96EEC">
        <w:rPr>
          <w:sz w:val="20"/>
          <w:szCs w:val="20"/>
        </w:rPr>
        <w:t>are shown for</w:t>
      </w:r>
      <w:r w:rsidRPr="00B96EEC">
        <w:rPr>
          <w:sz w:val="20"/>
          <w:szCs w:val="20"/>
        </w:rPr>
        <w:t xml:space="preserve"> higher enrichments</w:t>
      </w:r>
      <w:r w:rsidR="000B61C0" w:rsidRPr="00B96EEC">
        <w:rPr>
          <w:sz w:val="20"/>
          <w:szCs w:val="20"/>
        </w:rPr>
        <w:t>.</w:t>
      </w:r>
      <w:r w:rsidRPr="00B96EEC">
        <w:rPr>
          <w:sz w:val="20"/>
          <w:szCs w:val="20"/>
        </w:rPr>
        <w:t xml:space="preserve"> Lower sensitivity (i.e., smaller slope) of the 186 keV peak area to the enrichment was observed in all the five AR fuel elements compared with the PWR pin, especially for the BANR and USNC compacts; this result is primarily due to their lower overall </w:t>
      </w:r>
      <w:r w:rsidRPr="00B96EEC">
        <w:rPr>
          <w:sz w:val="20"/>
          <w:szCs w:val="20"/>
          <w:vertAlign w:val="superscript"/>
        </w:rPr>
        <w:t>235</w:t>
      </w:r>
      <w:r w:rsidRPr="00B96EEC">
        <w:rPr>
          <w:sz w:val="20"/>
          <w:szCs w:val="20"/>
        </w:rPr>
        <w:t xml:space="preserve">U loadings than those of the other </w:t>
      </w:r>
      <w:r w:rsidR="000A4DB2" w:rsidRPr="00B96EEC">
        <w:rPr>
          <w:sz w:val="20"/>
          <w:szCs w:val="20"/>
        </w:rPr>
        <w:t>four</w:t>
      </w:r>
      <w:r w:rsidRPr="00B96EEC">
        <w:rPr>
          <w:sz w:val="20"/>
          <w:szCs w:val="20"/>
        </w:rPr>
        <w:t xml:space="preserve"> fuel elements. The lower sensitivity can make it more challenging to use the 186 peak area to discern enrichments for these AR fuel elements than for the PWR pin</w:t>
      </w:r>
      <w:r w:rsidR="00C03C37" w:rsidRPr="00B96EEC">
        <w:rPr>
          <w:sz w:val="20"/>
          <w:szCs w:val="20"/>
        </w:rPr>
        <w:t>—</w:t>
      </w:r>
      <w:r w:rsidRPr="00B96EEC">
        <w:rPr>
          <w:sz w:val="20"/>
          <w:szCs w:val="20"/>
        </w:rPr>
        <w:t>especially for the BANR compact, which has significantly lower sensitivity than the other fuel elements.</w:t>
      </w:r>
      <w:r w:rsidR="00506264" w:rsidRPr="00B96EEC">
        <w:rPr>
          <w:sz w:val="20"/>
          <w:szCs w:val="20"/>
        </w:rPr>
        <w:t xml:space="preserve"> </w:t>
      </w:r>
    </w:p>
    <w:p w14:paraId="157071C5" w14:textId="1BE31832" w:rsidR="000443C4" w:rsidRPr="00B96EEC" w:rsidRDefault="00506264" w:rsidP="0042484E">
      <w:pPr>
        <w:pStyle w:val="BlockText"/>
        <w:ind w:firstLine="562"/>
        <w:jc w:val="both"/>
        <w:rPr>
          <w:sz w:val="20"/>
          <w:szCs w:val="20"/>
        </w:rPr>
      </w:pPr>
      <w:r w:rsidRPr="00B96EEC">
        <w:rPr>
          <w:sz w:val="20"/>
          <w:szCs w:val="20"/>
        </w:rPr>
        <w:fldChar w:fldCharType="begin"/>
      </w:r>
      <w:r w:rsidRPr="00B96EEC">
        <w:rPr>
          <w:sz w:val="20"/>
          <w:szCs w:val="20"/>
        </w:rPr>
        <w:instrText xml:space="preserve"> REF _Ref152579524 \h  \* MERGEFORMAT </w:instrText>
      </w:r>
      <w:r w:rsidRPr="00B96EEC">
        <w:rPr>
          <w:sz w:val="20"/>
          <w:szCs w:val="20"/>
        </w:rPr>
      </w:r>
      <w:r w:rsidRPr="00B96EEC">
        <w:rPr>
          <w:sz w:val="20"/>
          <w:szCs w:val="20"/>
        </w:rPr>
        <w:fldChar w:fldCharType="separate"/>
      </w:r>
      <w:r w:rsidR="00B90BAC" w:rsidRPr="00B96EEC">
        <w:rPr>
          <w:sz w:val="20"/>
          <w:szCs w:val="20"/>
        </w:rPr>
        <w:t>Figure 5</w:t>
      </w:r>
      <w:r w:rsidRPr="00B96EEC">
        <w:rPr>
          <w:sz w:val="20"/>
          <w:szCs w:val="20"/>
        </w:rPr>
        <w:fldChar w:fldCharType="end"/>
      </w:r>
      <w:r w:rsidRPr="00B96EEC">
        <w:rPr>
          <w:sz w:val="20"/>
          <w:szCs w:val="20"/>
        </w:rPr>
        <w:t xml:space="preserve"> (right) </w:t>
      </w:r>
      <w:r w:rsidR="000443C4" w:rsidRPr="00B96EEC">
        <w:rPr>
          <w:sz w:val="20"/>
          <w:szCs w:val="20"/>
        </w:rPr>
        <w:t xml:space="preserve">shows the reduction in the 186 keV peak area rate as a function of the amount of fuel mass diverted for </w:t>
      </w:r>
      <w:r w:rsidR="000A4DB2" w:rsidRPr="00B96EEC">
        <w:rPr>
          <w:sz w:val="20"/>
          <w:szCs w:val="20"/>
        </w:rPr>
        <w:t xml:space="preserve">the </w:t>
      </w:r>
      <w:r w:rsidR="000443C4" w:rsidRPr="00B96EEC">
        <w:rPr>
          <w:sz w:val="20"/>
          <w:szCs w:val="20"/>
        </w:rPr>
        <w:t>six different fuel elements. The figure shows significant reductions in the peak areas for the KP pebble and the BANR compact in all diversion cases; however, no meaningful reductions in the peak areas were observed for the other four fuel elements for less than 25% fuel diversion, indicating that this technology alone cannot detect diversion at that level for these four fuel elements. The different peak area rate reductions to diversions can be attributed to the differences in both</w:t>
      </w:r>
      <w:r w:rsidR="00FB5AA9">
        <w:rPr>
          <w:sz w:val="20"/>
          <w:szCs w:val="20"/>
        </w:rPr>
        <w:t xml:space="preserve"> bulk</w:t>
      </w:r>
      <w:r w:rsidR="000443C4" w:rsidRPr="00B96EEC">
        <w:rPr>
          <w:sz w:val="20"/>
          <w:szCs w:val="20"/>
        </w:rPr>
        <w:t xml:space="preserve"> density and areal density among the fuel elements (</w:t>
      </w:r>
      <w:r w:rsidR="000443C4" w:rsidRPr="00B96EEC">
        <w:rPr>
          <w:sz w:val="20"/>
          <w:szCs w:val="20"/>
        </w:rPr>
        <w:fldChar w:fldCharType="begin"/>
      </w:r>
      <w:r w:rsidR="000443C4" w:rsidRPr="00B96EEC">
        <w:rPr>
          <w:sz w:val="20"/>
          <w:szCs w:val="20"/>
        </w:rPr>
        <w:instrText xml:space="preserve"> REF _Ref152025922 \h  \* MERGEFORMAT </w:instrText>
      </w:r>
      <w:r w:rsidR="000443C4" w:rsidRPr="00B96EEC">
        <w:rPr>
          <w:sz w:val="20"/>
          <w:szCs w:val="20"/>
        </w:rPr>
      </w:r>
      <w:r w:rsidR="000443C4" w:rsidRPr="00B96EEC">
        <w:rPr>
          <w:sz w:val="20"/>
          <w:szCs w:val="20"/>
        </w:rPr>
        <w:fldChar w:fldCharType="separate"/>
      </w:r>
      <w:r w:rsidR="00B90BAC" w:rsidRPr="00B96EEC">
        <w:rPr>
          <w:sz w:val="20"/>
          <w:szCs w:val="20"/>
        </w:rPr>
        <w:t>Table 2</w:t>
      </w:r>
      <w:r w:rsidR="000443C4" w:rsidRPr="00B96EEC">
        <w:rPr>
          <w:sz w:val="20"/>
          <w:szCs w:val="20"/>
        </w:rPr>
        <w:fldChar w:fldCharType="end"/>
      </w:r>
      <w:r w:rsidR="000443C4" w:rsidRPr="00B96EEC">
        <w:rPr>
          <w:sz w:val="20"/>
          <w:szCs w:val="20"/>
        </w:rPr>
        <w:t>). For example, the KP pebble and the BANR compact had the largest reductions to diversions</w:t>
      </w:r>
      <w:r w:rsidR="00FB5AA9">
        <w:rPr>
          <w:sz w:val="20"/>
          <w:szCs w:val="20"/>
        </w:rPr>
        <w:t xml:space="preserve"> while also having</w:t>
      </w:r>
      <w:r w:rsidR="000443C4" w:rsidRPr="00B96EEC">
        <w:rPr>
          <w:sz w:val="20"/>
          <w:szCs w:val="20"/>
        </w:rPr>
        <w:t xml:space="preserve"> lowest areal densities</w:t>
      </w:r>
      <w:r w:rsidR="00FB5AA9">
        <w:rPr>
          <w:sz w:val="20"/>
          <w:szCs w:val="20"/>
        </w:rPr>
        <w:t>,</w:t>
      </w:r>
      <w:r w:rsidR="000443C4" w:rsidRPr="00B96EEC">
        <w:rPr>
          <w:sz w:val="20"/>
          <w:szCs w:val="20"/>
        </w:rPr>
        <w:t xml:space="preserve"> </w:t>
      </w:r>
      <w:r w:rsidR="00FB5AA9">
        <w:rPr>
          <w:sz w:val="20"/>
          <w:szCs w:val="20"/>
        </w:rPr>
        <w:t>w</w:t>
      </w:r>
      <w:r w:rsidR="000443C4" w:rsidRPr="00B96EEC">
        <w:rPr>
          <w:sz w:val="20"/>
          <w:szCs w:val="20"/>
        </w:rPr>
        <w:t>hereas the PWR and metal fuel pins had the lowest reductions</w:t>
      </w:r>
      <w:r w:rsidR="00FB5AA9">
        <w:rPr>
          <w:sz w:val="20"/>
          <w:szCs w:val="20"/>
        </w:rPr>
        <w:t xml:space="preserve"> in peak areas to diversions and</w:t>
      </w:r>
      <w:r w:rsidR="00B16FD7" w:rsidRPr="00B96EEC">
        <w:rPr>
          <w:sz w:val="20"/>
          <w:szCs w:val="20"/>
        </w:rPr>
        <w:t xml:space="preserve"> </w:t>
      </w:r>
      <w:r w:rsidR="000443C4" w:rsidRPr="00B96EEC">
        <w:rPr>
          <w:sz w:val="20"/>
          <w:szCs w:val="20"/>
        </w:rPr>
        <w:t>they had the highest densities and relatively high areal densities. Although all five AR fuel elements have higher sensitivity to fuel diversion than the PWR fuel pin according to this figure, the sensitivity for some of these AR fuel elements (e.g., the metal fuel pin, the XE pebble, and the USNC compact) to diversions are likely insufficient because the AR fuel elements are expected to be subject to more stringent safeguards requirements</w:t>
      </w:r>
      <w:r w:rsidR="006654FF" w:rsidRPr="00B96EEC">
        <w:rPr>
          <w:sz w:val="20"/>
          <w:szCs w:val="20"/>
        </w:rPr>
        <w:t>,</w:t>
      </w:r>
      <w:r w:rsidR="000443C4" w:rsidRPr="00B96EEC">
        <w:rPr>
          <w:sz w:val="20"/>
          <w:szCs w:val="20"/>
        </w:rPr>
        <w:t xml:space="preserve"> mainly due to their higher enrichments than the PWR fuel pin.    </w:t>
      </w:r>
    </w:p>
    <w:p w14:paraId="15C95C86" w14:textId="59DAB9C3" w:rsidR="000443C4" w:rsidRPr="00B96EEC" w:rsidRDefault="000443C4" w:rsidP="0042484E">
      <w:pPr>
        <w:jc w:val="both"/>
        <w:rPr>
          <w:sz w:val="20"/>
          <w:lang w:val="en-US"/>
        </w:rPr>
      </w:pPr>
      <w:r w:rsidRPr="00B96EEC">
        <w:rPr>
          <w:noProof/>
          <w:sz w:val="20"/>
          <w:lang w:val="en-US"/>
        </w:rPr>
        <w:lastRenderedPageBreak/>
        <w:drawing>
          <wp:inline distT="0" distB="0" distL="0" distR="0" wp14:anchorId="268D7568" wp14:editId="2BE646AB">
            <wp:extent cx="2837180" cy="1937588"/>
            <wp:effectExtent l="0" t="0" r="0" b="5715"/>
            <wp:docPr id="425945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45527" name="Picture 425945527"/>
                    <pic:cNvPicPr/>
                  </pic:nvPicPr>
                  <pic:blipFill rotWithShape="1">
                    <a:blip r:embed="rId19" cstate="print">
                      <a:extLst>
                        <a:ext uri="{28A0092B-C50C-407E-A947-70E740481C1C}">
                          <a14:useLocalDpi xmlns:a14="http://schemas.microsoft.com/office/drawing/2010/main" val="0"/>
                        </a:ext>
                      </a:extLst>
                    </a:blip>
                    <a:srcRect l="4304" t="10471" r="3052" b="5170"/>
                    <a:stretch/>
                  </pic:blipFill>
                  <pic:spPr bwMode="auto">
                    <a:xfrm>
                      <a:off x="0" y="0"/>
                      <a:ext cx="2899145" cy="1979905"/>
                    </a:xfrm>
                    <a:prstGeom prst="rect">
                      <a:avLst/>
                    </a:prstGeom>
                    <a:ln>
                      <a:noFill/>
                    </a:ln>
                    <a:extLst>
                      <a:ext uri="{53640926-AAD7-44D8-BBD7-CCE9431645EC}">
                        <a14:shadowObscured xmlns:a14="http://schemas.microsoft.com/office/drawing/2010/main"/>
                      </a:ext>
                    </a:extLst>
                  </pic:spPr>
                </pic:pic>
              </a:graphicData>
            </a:graphic>
          </wp:inline>
        </w:drawing>
      </w:r>
      <w:r w:rsidR="000E0EF9" w:rsidRPr="00B96EEC">
        <w:rPr>
          <w:sz w:val="20"/>
          <w:lang w:val="en-US"/>
        </w:rPr>
        <w:t xml:space="preserve">   </w:t>
      </w:r>
      <w:r w:rsidR="000E0EF9" w:rsidRPr="00B96EEC">
        <w:rPr>
          <w:noProof/>
          <w:sz w:val="20"/>
          <w:lang w:val="en-US"/>
        </w:rPr>
        <w:drawing>
          <wp:inline distT="0" distB="0" distL="0" distR="0" wp14:anchorId="371546DB" wp14:editId="0C09254B">
            <wp:extent cx="2768081" cy="1966124"/>
            <wp:effectExtent l="0" t="0" r="635" b="2540"/>
            <wp:docPr id="854532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57688" name="Picture 896057688"/>
                    <pic:cNvPicPr/>
                  </pic:nvPicPr>
                  <pic:blipFill rotWithShape="1">
                    <a:blip r:embed="rId20" cstate="print">
                      <a:extLst>
                        <a:ext uri="{28A0092B-C50C-407E-A947-70E740481C1C}">
                          <a14:useLocalDpi xmlns:a14="http://schemas.microsoft.com/office/drawing/2010/main" val="0"/>
                        </a:ext>
                      </a:extLst>
                    </a:blip>
                    <a:srcRect l="6564" t="10616" r="3604" b="4310"/>
                    <a:stretch/>
                  </pic:blipFill>
                  <pic:spPr bwMode="auto">
                    <a:xfrm>
                      <a:off x="0" y="0"/>
                      <a:ext cx="2812275" cy="1997515"/>
                    </a:xfrm>
                    <a:prstGeom prst="rect">
                      <a:avLst/>
                    </a:prstGeom>
                    <a:ln>
                      <a:noFill/>
                    </a:ln>
                    <a:extLst>
                      <a:ext uri="{53640926-AAD7-44D8-BBD7-CCE9431645EC}">
                        <a14:shadowObscured xmlns:a14="http://schemas.microsoft.com/office/drawing/2010/main"/>
                      </a:ext>
                    </a:extLst>
                  </pic:spPr>
                </pic:pic>
              </a:graphicData>
            </a:graphic>
          </wp:inline>
        </w:drawing>
      </w:r>
    </w:p>
    <w:p w14:paraId="16724920" w14:textId="06B8A92F" w:rsidR="000443C4" w:rsidRPr="00B96EEC" w:rsidRDefault="000443C4" w:rsidP="0042484E">
      <w:pPr>
        <w:pStyle w:val="FIGCAP1line"/>
        <w:jc w:val="both"/>
        <w:rPr>
          <w:b w:val="0"/>
          <w:szCs w:val="20"/>
        </w:rPr>
      </w:pPr>
      <w:bookmarkStart w:id="23" w:name="_Ref152579524"/>
      <w:bookmarkStart w:id="24" w:name="_Toc153125983"/>
      <w:r w:rsidRPr="00B96EEC">
        <w:rPr>
          <w:b w:val="0"/>
          <w:szCs w:val="20"/>
        </w:rPr>
        <w:t xml:space="preserve">Figure </w:t>
      </w:r>
      <w:r w:rsidRPr="00B96EEC">
        <w:rPr>
          <w:b w:val="0"/>
          <w:szCs w:val="20"/>
        </w:rPr>
        <w:fldChar w:fldCharType="begin"/>
      </w:r>
      <w:r w:rsidRPr="00B96EEC">
        <w:rPr>
          <w:b w:val="0"/>
          <w:szCs w:val="20"/>
        </w:rPr>
        <w:instrText xml:space="preserve"> SEQ Figure \* ARABIC </w:instrText>
      </w:r>
      <w:r w:rsidRPr="00B96EEC">
        <w:rPr>
          <w:b w:val="0"/>
          <w:szCs w:val="20"/>
        </w:rPr>
        <w:fldChar w:fldCharType="separate"/>
      </w:r>
      <w:r w:rsidR="00B90BAC" w:rsidRPr="00B96EEC">
        <w:rPr>
          <w:b w:val="0"/>
          <w:szCs w:val="20"/>
        </w:rPr>
        <w:t>5</w:t>
      </w:r>
      <w:r w:rsidRPr="00B96EEC">
        <w:rPr>
          <w:b w:val="0"/>
          <w:szCs w:val="20"/>
        </w:rPr>
        <w:fldChar w:fldCharType="end"/>
      </w:r>
      <w:bookmarkEnd w:id="23"/>
      <w:r w:rsidRPr="00B96EEC">
        <w:rPr>
          <w:b w:val="0"/>
          <w:szCs w:val="20"/>
        </w:rPr>
        <w:t xml:space="preserve">. </w:t>
      </w:r>
      <w:r w:rsidR="000E0EF9" w:rsidRPr="00B96EEC">
        <w:rPr>
          <w:b w:val="0"/>
          <w:szCs w:val="20"/>
        </w:rPr>
        <w:t xml:space="preserve">(Left) </w:t>
      </w:r>
      <w:r w:rsidRPr="00B96EEC">
        <w:rPr>
          <w:b w:val="0"/>
          <w:szCs w:val="20"/>
        </w:rPr>
        <w:t>The simulated 186 keV peak area rate as a function of the fuel enrichment for six different fuel elements</w:t>
      </w:r>
      <w:bookmarkEnd w:id="24"/>
      <w:r w:rsidR="000E0EF9" w:rsidRPr="00B96EEC">
        <w:rPr>
          <w:b w:val="0"/>
          <w:szCs w:val="20"/>
        </w:rPr>
        <w:t xml:space="preserve">; (Right) The reduction in the 186 keV peak area rate as a function of the amount of fuel mass diverted for six different fuel elements.   </w:t>
      </w:r>
    </w:p>
    <w:p w14:paraId="22B1B3C2" w14:textId="2AF0AD57" w:rsidR="003E30AD" w:rsidRPr="00B96EEC" w:rsidRDefault="003E30AD" w:rsidP="0042484E">
      <w:pPr>
        <w:pStyle w:val="Heading2"/>
        <w:jc w:val="both"/>
        <w:rPr>
          <w:lang w:val="en-US"/>
        </w:rPr>
      </w:pPr>
      <w:r w:rsidRPr="00B96EEC">
        <w:rPr>
          <w:lang w:val="en-US"/>
        </w:rPr>
        <w:t>NEUTRON DETECTOR MODELING OF FRESH ADVANCED REACTOR FUEL “ASSEMBLIES”</w:t>
      </w:r>
      <w:bookmarkEnd w:id="8"/>
      <w:bookmarkEnd w:id="9"/>
      <w:r w:rsidRPr="00B96EEC">
        <w:rPr>
          <w:lang w:val="en-US"/>
        </w:rPr>
        <w:t xml:space="preserve"> </w:t>
      </w:r>
    </w:p>
    <w:p w14:paraId="1649CE01" w14:textId="3E603729" w:rsidR="003E30AD" w:rsidRPr="00B96EEC" w:rsidRDefault="003E30AD" w:rsidP="0042484E">
      <w:pPr>
        <w:pStyle w:val="BlockText"/>
        <w:ind w:firstLine="360"/>
        <w:jc w:val="both"/>
        <w:rPr>
          <w:rFonts w:eastAsia="YMZVES+NimbusRomNo9L-Regu"/>
          <w:color w:val="000000"/>
          <w:sz w:val="20"/>
          <w:szCs w:val="20"/>
        </w:rPr>
      </w:pPr>
      <w:r w:rsidRPr="00B96EEC">
        <w:rPr>
          <w:sz w:val="20"/>
          <w:szCs w:val="20"/>
        </w:rPr>
        <w:t xml:space="preserve">This section documents the work performed to simulate the UNCL-II and FNCL measurements of several AR fuel elements that are equivalent to LWR assemblies, including the BANR graphite fuel blocks, USNC graphite fuel blocks, and metal fuel bundles. Both </w:t>
      </w:r>
      <w:r w:rsidR="00C62B19" w:rsidRPr="00B96EEC">
        <w:rPr>
          <w:sz w:val="20"/>
          <w:szCs w:val="20"/>
        </w:rPr>
        <w:t xml:space="preserve">an </w:t>
      </w:r>
      <w:proofErr w:type="spellStart"/>
      <w:r w:rsidRPr="00B96EEC">
        <w:rPr>
          <w:sz w:val="20"/>
          <w:szCs w:val="20"/>
        </w:rPr>
        <w:t>AmLi</w:t>
      </w:r>
      <w:proofErr w:type="spellEnd"/>
      <w:r w:rsidRPr="00B96EEC">
        <w:rPr>
          <w:sz w:val="20"/>
          <w:szCs w:val="20"/>
        </w:rPr>
        <w:t xml:space="preserve"> isotopic neutron source and </w:t>
      </w:r>
      <w:r w:rsidR="00C62B19" w:rsidRPr="00B96EEC">
        <w:rPr>
          <w:sz w:val="20"/>
          <w:szCs w:val="20"/>
        </w:rPr>
        <w:t>a </w:t>
      </w:r>
      <w:r w:rsidR="0031443F" w:rsidRPr="00B96EEC">
        <w:rPr>
          <w:sz w:val="20"/>
          <w:szCs w:val="20"/>
        </w:rPr>
        <w:br/>
      </w:r>
      <w:r w:rsidRPr="00B96EEC">
        <w:rPr>
          <w:sz w:val="20"/>
          <w:szCs w:val="20"/>
        </w:rPr>
        <w:t xml:space="preserve">deuterium–deuterium (D–D) neutron generator </w:t>
      </w:r>
      <w:proofErr w:type="gramStart"/>
      <w:r w:rsidRPr="00B96EEC">
        <w:rPr>
          <w:sz w:val="20"/>
          <w:szCs w:val="20"/>
        </w:rPr>
        <w:t>were</w:t>
      </w:r>
      <w:proofErr w:type="gramEnd"/>
      <w:r w:rsidRPr="00B96EEC">
        <w:rPr>
          <w:sz w:val="20"/>
          <w:szCs w:val="20"/>
        </w:rPr>
        <w:t xml:space="preserve"> used in these simulations because the IAEA has been routinely using </w:t>
      </w:r>
      <w:proofErr w:type="spellStart"/>
      <w:r w:rsidRPr="00B96EEC">
        <w:rPr>
          <w:sz w:val="20"/>
          <w:szCs w:val="20"/>
        </w:rPr>
        <w:t>AmLi</w:t>
      </w:r>
      <w:proofErr w:type="spellEnd"/>
      <w:r w:rsidRPr="00B96EEC">
        <w:rPr>
          <w:sz w:val="20"/>
          <w:szCs w:val="20"/>
        </w:rPr>
        <w:t xml:space="preserve"> sources for these neutron measurements, and the IAEA has also been exploring the use of D–D neutron generators to mitigate the short-supply of AmLi sources. </w:t>
      </w:r>
      <w:r w:rsidR="00150FA9" w:rsidRPr="00B96EEC">
        <w:rPr>
          <w:rFonts w:eastAsia="YMZVES+NimbusRomNo9L-Regu"/>
          <w:color w:val="000000"/>
          <w:sz w:val="20"/>
          <w:szCs w:val="20"/>
        </w:rPr>
        <w:t xml:space="preserve"> </w:t>
      </w:r>
    </w:p>
    <w:p w14:paraId="6EE13DE1" w14:textId="0422008B" w:rsidR="004E1181" w:rsidRPr="00B96EEC" w:rsidRDefault="004E1181" w:rsidP="0042484E">
      <w:pPr>
        <w:pStyle w:val="Heading3"/>
        <w:numPr>
          <w:ilvl w:val="1"/>
          <w:numId w:val="15"/>
        </w:numPr>
        <w:jc w:val="both"/>
        <w:rPr>
          <w:lang w:val="en-US"/>
        </w:rPr>
      </w:pPr>
      <w:bookmarkStart w:id="25" w:name="_Toc152755231"/>
      <w:bookmarkStart w:id="26" w:name="_Toc153125946"/>
      <w:r w:rsidRPr="00B96EEC">
        <w:rPr>
          <w:lang w:val="en-US"/>
        </w:rPr>
        <w:t xml:space="preserve">Summary of Fuel “Assembly” Characteristics </w:t>
      </w:r>
    </w:p>
    <w:bookmarkEnd w:id="25"/>
    <w:bookmarkEnd w:id="26"/>
    <w:p w14:paraId="2DCDA6BB" w14:textId="3C5AF760" w:rsidR="00A804B1" w:rsidRPr="00B96EEC" w:rsidRDefault="009412EF" w:rsidP="0042484E">
      <w:pPr>
        <w:pStyle w:val="BlockText"/>
        <w:ind w:firstLine="360"/>
        <w:jc w:val="both"/>
        <w:rPr>
          <w:sz w:val="20"/>
          <w:szCs w:val="20"/>
        </w:rPr>
      </w:pPr>
      <w:r w:rsidRPr="00B96EEC">
        <w:rPr>
          <w:sz w:val="20"/>
          <w:szCs w:val="20"/>
        </w:rPr>
        <w:fldChar w:fldCharType="begin"/>
      </w:r>
      <w:r w:rsidRPr="00B96EEC">
        <w:rPr>
          <w:sz w:val="20"/>
          <w:szCs w:val="20"/>
        </w:rPr>
        <w:instrText xml:space="preserve"> REF _Ref166887800 \h </w:instrText>
      </w:r>
      <w:r w:rsidR="0042484E">
        <w:rPr>
          <w:sz w:val="20"/>
          <w:szCs w:val="20"/>
        </w:rPr>
        <w:instrText xml:space="preserve"> \* MERGEFORMAT </w:instrText>
      </w:r>
      <w:r w:rsidRPr="00B96EEC">
        <w:rPr>
          <w:sz w:val="20"/>
          <w:szCs w:val="20"/>
        </w:rPr>
      </w:r>
      <w:r w:rsidRPr="00B96EEC">
        <w:rPr>
          <w:sz w:val="20"/>
          <w:szCs w:val="20"/>
        </w:rPr>
        <w:fldChar w:fldCharType="separate"/>
      </w:r>
      <w:r w:rsidR="00B90BAC" w:rsidRPr="00B96EEC">
        <w:rPr>
          <w:sz w:val="20"/>
          <w:szCs w:val="20"/>
        </w:rPr>
        <w:t>Table 3</w:t>
      </w:r>
      <w:r w:rsidRPr="00B96EEC">
        <w:rPr>
          <w:sz w:val="20"/>
          <w:szCs w:val="20"/>
        </w:rPr>
        <w:fldChar w:fldCharType="end"/>
      </w:r>
      <w:r w:rsidRPr="00B96EEC">
        <w:rPr>
          <w:sz w:val="20"/>
          <w:szCs w:val="20"/>
        </w:rPr>
        <w:t xml:space="preserve"> </w:t>
      </w:r>
      <w:r w:rsidR="003E30AD" w:rsidRPr="00B96EEC">
        <w:rPr>
          <w:sz w:val="20"/>
          <w:szCs w:val="20"/>
        </w:rPr>
        <w:t>summarizes the main characteristics of the three AR fuel elements modeled in this</w:t>
      </w:r>
      <w:r w:rsidR="00150FA9" w:rsidRPr="00B96EEC">
        <w:rPr>
          <w:sz w:val="20"/>
          <w:szCs w:val="20"/>
        </w:rPr>
        <w:t xml:space="preserve"> part of</w:t>
      </w:r>
      <w:r w:rsidR="003E30AD" w:rsidRPr="00B96EEC">
        <w:rPr>
          <w:sz w:val="20"/>
          <w:szCs w:val="20"/>
        </w:rPr>
        <w:t xml:space="preserve"> </w:t>
      </w:r>
      <w:r w:rsidR="00165A42" w:rsidRPr="00B96EEC">
        <w:rPr>
          <w:sz w:val="20"/>
          <w:szCs w:val="20"/>
        </w:rPr>
        <w:t xml:space="preserve">the </w:t>
      </w:r>
      <w:r w:rsidR="003E30AD" w:rsidRPr="00B96EEC">
        <w:rPr>
          <w:sz w:val="20"/>
          <w:szCs w:val="20"/>
        </w:rPr>
        <w:t xml:space="preserve">work and </w:t>
      </w:r>
      <w:r w:rsidR="00A67D4A" w:rsidRPr="00B96EEC">
        <w:rPr>
          <w:sz w:val="20"/>
          <w:szCs w:val="20"/>
        </w:rPr>
        <w:t xml:space="preserve">those of </w:t>
      </w:r>
      <w:r w:rsidR="003E30AD" w:rsidRPr="00B96EEC">
        <w:rPr>
          <w:sz w:val="20"/>
          <w:szCs w:val="20"/>
        </w:rPr>
        <w:t xml:space="preserve">a PWR 17 × 17 assembly. As shown, some characteristics—such as overall dimensions, pellet dimensions, and uranium loading—can vary significantly among these fuel elements. </w:t>
      </w:r>
      <w:r w:rsidR="00150FA9" w:rsidRPr="00B96EEC">
        <w:rPr>
          <w:sz w:val="20"/>
          <w:szCs w:val="20"/>
        </w:rPr>
        <w:fldChar w:fldCharType="begin"/>
      </w:r>
      <w:r w:rsidR="00150FA9" w:rsidRPr="00B96EEC">
        <w:rPr>
          <w:sz w:val="20"/>
          <w:szCs w:val="20"/>
        </w:rPr>
        <w:instrText xml:space="preserve"> REF _Ref166887139 \h  \* MERGEFORMAT </w:instrText>
      </w:r>
      <w:r w:rsidR="00150FA9" w:rsidRPr="00B96EEC">
        <w:rPr>
          <w:sz w:val="20"/>
          <w:szCs w:val="20"/>
        </w:rPr>
      </w:r>
      <w:r w:rsidR="00150FA9" w:rsidRPr="00B96EEC">
        <w:rPr>
          <w:sz w:val="20"/>
          <w:szCs w:val="20"/>
        </w:rPr>
        <w:fldChar w:fldCharType="separate"/>
      </w:r>
      <w:r w:rsidR="00B90BAC" w:rsidRPr="00B96EEC">
        <w:rPr>
          <w:sz w:val="20"/>
          <w:szCs w:val="20"/>
        </w:rPr>
        <w:t xml:space="preserve">Figure </w:t>
      </w:r>
      <w:r w:rsidR="00B90BAC" w:rsidRPr="00B96EEC">
        <w:rPr>
          <w:sz w:val="20"/>
        </w:rPr>
        <w:t>6</w:t>
      </w:r>
      <w:r w:rsidR="00150FA9" w:rsidRPr="00B96EEC">
        <w:rPr>
          <w:sz w:val="20"/>
          <w:szCs w:val="20"/>
        </w:rPr>
        <w:fldChar w:fldCharType="end"/>
      </w:r>
      <w:r w:rsidR="00150FA9" w:rsidRPr="00B96EEC">
        <w:rPr>
          <w:sz w:val="20"/>
          <w:szCs w:val="20"/>
        </w:rPr>
        <w:t xml:space="preserve"> </w:t>
      </w:r>
      <w:r w:rsidR="003E30AD" w:rsidRPr="00B96EEC">
        <w:rPr>
          <w:sz w:val="20"/>
          <w:szCs w:val="20"/>
        </w:rPr>
        <w:t xml:space="preserve">(left) shows the </w:t>
      </w:r>
      <w:r w:rsidR="003E30AD" w:rsidRPr="00B96EEC">
        <w:rPr>
          <w:sz w:val="20"/>
          <w:szCs w:val="20"/>
          <w:vertAlign w:val="superscript"/>
        </w:rPr>
        <w:t>235</w:t>
      </w:r>
      <w:r w:rsidR="003E30AD" w:rsidRPr="00B96EEC">
        <w:rPr>
          <w:sz w:val="20"/>
          <w:szCs w:val="20"/>
        </w:rPr>
        <w:t xml:space="preserve">U loading per unit length (i.e., linear density) as a function of enrichment of these four fuel elements. At a given enrichment, the PWR assembly has higher </w:t>
      </w:r>
      <w:r w:rsidR="003E30AD" w:rsidRPr="00B96EEC">
        <w:rPr>
          <w:sz w:val="20"/>
          <w:szCs w:val="20"/>
          <w:vertAlign w:val="superscript"/>
        </w:rPr>
        <w:t>235</w:t>
      </w:r>
      <w:r w:rsidR="003E30AD" w:rsidRPr="00B96EEC">
        <w:rPr>
          <w:sz w:val="20"/>
          <w:szCs w:val="20"/>
        </w:rPr>
        <w:t>U</w:t>
      </w:r>
      <w:r w:rsidR="003E30AD" w:rsidRPr="00B96EEC" w:rsidDel="000859DA">
        <w:rPr>
          <w:sz w:val="20"/>
          <w:szCs w:val="20"/>
        </w:rPr>
        <w:t xml:space="preserve"> </w:t>
      </w:r>
      <w:r w:rsidR="003E30AD" w:rsidRPr="00B96EEC">
        <w:rPr>
          <w:sz w:val="20"/>
          <w:szCs w:val="20"/>
        </w:rPr>
        <w:t xml:space="preserve">loading than all the three AR elements. Both the USNC and BANR graphite fuel blocks have lower loading than the other two fuel elements. The differences in </w:t>
      </w:r>
      <w:r w:rsidR="003E30AD" w:rsidRPr="00B96EEC">
        <w:rPr>
          <w:sz w:val="20"/>
          <w:szCs w:val="20"/>
          <w:vertAlign w:val="superscript"/>
        </w:rPr>
        <w:t>235</w:t>
      </w:r>
      <w:r w:rsidR="003E30AD" w:rsidRPr="00B96EEC">
        <w:rPr>
          <w:sz w:val="20"/>
          <w:szCs w:val="20"/>
        </w:rPr>
        <w:t>U</w:t>
      </w:r>
      <w:r w:rsidR="003E30AD" w:rsidRPr="00B96EEC" w:rsidDel="00F323DB">
        <w:rPr>
          <w:sz w:val="20"/>
          <w:szCs w:val="20"/>
        </w:rPr>
        <w:t xml:space="preserve"> </w:t>
      </w:r>
      <w:r w:rsidR="003E30AD" w:rsidRPr="00B96EEC">
        <w:rPr>
          <w:sz w:val="20"/>
          <w:szCs w:val="20"/>
        </w:rPr>
        <w:t>will cause different responses in the neutron detectors. The middle and right diagrams shown in</w:t>
      </w:r>
      <w:r w:rsidR="00150FA9" w:rsidRPr="00B96EEC">
        <w:rPr>
          <w:sz w:val="20"/>
          <w:szCs w:val="20"/>
        </w:rPr>
        <w:t xml:space="preserve"> </w:t>
      </w:r>
      <w:r w:rsidR="00150FA9" w:rsidRPr="00B96EEC">
        <w:rPr>
          <w:sz w:val="20"/>
          <w:szCs w:val="20"/>
        </w:rPr>
        <w:fldChar w:fldCharType="begin"/>
      </w:r>
      <w:r w:rsidR="00150FA9" w:rsidRPr="00B96EEC">
        <w:rPr>
          <w:sz w:val="20"/>
          <w:szCs w:val="20"/>
        </w:rPr>
        <w:instrText xml:space="preserve"> REF _Ref166887139 \h  \* MERGEFORMAT </w:instrText>
      </w:r>
      <w:r w:rsidR="00150FA9" w:rsidRPr="00B96EEC">
        <w:rPr>
          <w:sz w:val="20"/>
          <w:szCs w:val="20"/>
        </w:rPr>
      </w:r>
      <w:r w:rsidR="00150FA9" w:rsidRPr="00B96EEC">
        <w:rPr>
          <w:sz w:val="20"/>
          <w:szCs w:val="20"/>
        </w:rPr>
        <w:fldChar w:fldCharType="separate"/>
      </w:r>
      <w:r w:rsidR="00B90BAC" w:rsidRPr="00B96EEC">
        <w:rPr>
          <w:sz w:val="20"/>
          <w:szCs w:val="20"/>
        </w:rPr>
        <w:t xml:space="preserve">Figure </w:t>
      </w:r>
      <w:r w:rsidR="00B90BAC" w:rsidRPr="00B96EEC">
        <w:rPr>
          <w:sz w:val="20"/>
        </w:rPr>
        <w:t>6</w:t>
      </w:r>
      <w:r w:rsidR="00150FA9" w:rsidRPr="00B96EEC">
        <w:rPr>
          <w:sz w:val="20"/>
          <w:szCs w:val="20"/>
        </w:rPr>
        <w:fldChar w:fldCharType="end"/>
      </w:r>
      <w:r w:rsidR="003E30AD" w:rsidRPr="00B96EEC">
        <w:rPr>
          <w:sz w:val="20"/>
          <w:szCs w:val="20"/>
        </w:rPr>
        <w:t xml:space="preserve"> </w:t>
      </w:r>
      <w:r w:rsidR="00150FA9" w:rsidRPr="00B96EEC">
        <w:rPr>
          <w:sz w:val="20"/>
          <w:szCs w:val="20"/>
        </w:rPr>
        <w:t>c</w:t>
      </w:r>
      <w:r w:rsidR="003E30AD" w:rsidRPr="00B96EEC">
        <w:rPr>
          <w:sz w:val="20"/>
          <w:szCs w:val="20"/>
        </w:rPr>
        <w:t xml:space="preserve">ompare the cross-sectional dimension of a metal fuel bundle and a BANR graphite fuel block with the PWR </w:t>
      </w:r>
      <w:r w:rsidR="00DA7A7E" w:rsidRPr="00B96EEC">
        <w:rPr>
          <w:sz w:val="20"/>
          <w:szCs w:val="20"/>
        </w:rPr>
        <w:br/>
      </w:r>
      <w:r w:rsidR="003E30AD" w:rsidRPr="00B96EEC">
        <w:rPr>
          <w:sz w:val="20"/>
          <w:szCs w:val="20"/>
        </w:rPr>
        <w:t xml:space="preserve">17 × 17 assembly, respectively. As shown, the metal bundle is significantly smaller than the PWR assembly, whereas the graphite block is significantly larger than the PWR assembly, which can cause compatibility issues if these AR elements are measured with existing neutron detectors. </w:t>
      </w:r>
      <w:bookmarkStart w:id="27" w:name="_Ref143855620"/>
      <w:bookmarkStart w:id="28" w:name="_Toc153126019"/>
    </w:p>
    <w:p w14:paraId="0DD6F3CC" w14:textId="4BFC79FE" w:rsidR="009412EF" w:rsidRPr="00B96EEC" w:rsidRDefault="009412EF" w:rsidP="007F7F5B">
      <w:pPr>
        <w:pStyle w:val="BlockText"/>
        <w:ind w:firstLine="360"/>
        <w:rPr>
          <w:sz w:val="20"/>
          <w:szCs w:val="20"/>
        </w:rPr>
      </w:pPr>
      <w:bookmarkStart w:id="29" w:name="_Ref166887800"/>
      <w:bookmarkEnd w:id="27"/>
      <w:bookmarkEnd w:id="28"/>
      <w:r w:rsidRPr="00B96EEC">
        <w:rPr>
          <w:sz w:val="20"/>
          <w:szCs w:val="20"/>
        </w:rPr>
        <w:t>T</w:t>
      </w:r>
      <w:r w:rsidR="007F7F5B">
        <w:rPr>
          <w:sz w:val="20"/>
          <w:szCs w:val="20"/>
        </w:rPr>
        <w:t>ABLE</w:t>
      </w:r>
      <w:r w:rsidRPr="00B96EEC">
        <w:rPr>
          <w:sz w:val="20"/>
          <w:szCs w:val="20"/>
        </w:rPr>
        <w:t xml:space="preserve"> </w:t>
      </w:r>
      <w:r w:rsidRPr="00B96EEC">
        <w:rPr>
          <w:sz w:val="20"/>
          <w:szCs w:val="20"/>
        </w:rPr>
        <w:fldChar w:fldCharType="begin"/>
      </w:r>
      <w:r w:rsidRPr="00B96EEC">
        <w:rPr>
          <w:sz w:val="20"/>
          <w:szCs w:val="20"/>
        </w:rPr>
        <w:instrText xml:space="preserve"> SEQ Table \* ARABIC </w:instrText>
      </w:r>
      <w:r w:rsidRPr="00B96EEC">
        <w:rPr>
          <w:sz w:val="20"/>
          <w:szCs w:val="20"/>
        </w:rPr>
        <w:fldChar w:fldCharType="separate"/>
      </w:r>
      <w:r w:rsidR="00B90BAC" w:rsidRPr="00B96EEC">
        <w:rPr>
          <w:sz w:val="20"/>
          <w:szCs w:val="20"/>
        </w:rPr>
        <w:t>3</w:t>
      </w:r>
      <w:r w:rsidRPr="00B96EEC">
        <w:rPr>
          <w:sz w:val="20"/>
          <w:szCs w:val="20"/>
        </w:rPr>
        <w:fldChar w:fldCharType="end"/>
      </w:r>
      <w:bookmarkEnd w:id="29"/>
      <w:r w:rsidRPr="00B96EEC">
        <w:rPr>
          <w:sz w:val="20"/>
          <w:szCs w:val="20"/>
        </w:rPr>
        <w:t>.</w:t>
      </w:r>
      <w:r w:rsidR="007F7F5B">
        <w:rPr>
          <w:sz w:val="20"/>
          <w:szCs w:val="20"/>
        </w:rPr>
        <w:tab/>
      </w:r>
      <w:r w:rsidR="007F7F5B" w:rsidRPr="007F7F5B">
        <w:rPr>
          <w:sz w:val="20"/>
          <w:szCs w:val="20"/>
        </w:rPr>
        <w:t>COMPARISON OF MAIN CHARACTERISTICS BETWEEN THREE AR FUEL ELEMENTS AND A TYPICAL PWR ASSEMBLY</w:t>
      </w:r>
      <w:r w:rsidR="007F7F5B">
        <w:rPr>
          <w:sz w:val="20"/>
          <w:szCs w:val="20"/>
        </w:rPr>
        <w:t>.</w:t>
      </w: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114"/>
        <w:gridCol w:w="2036"/>
        <w:gridCol w:w="2061"/>
        <w:gridCol w:w="1582"/>
      </w:tblGrid>
      <w:tr w:rsidR="004E1181" w:rsidRPr="00B96EEC" w14:paraId="61B3516A" w14:textId="77777777" w:rsidTr="004E1181">
        <w:trPr>
          <w:trHeight w:val="188"/>
          <w:jc w:val="center"/>
        </w:trPr>
        <w:tc>
          <w:tcPr>
            <w:tcW w:w="2605" w:type="dxa"/>
            <w:shd w:val="clear" w:color="auto" w:fill="auto"/>
            <w:noWrap/>
            <w:vAlign w:val="center"/>
            <w:hideMark/>
          </w:tcPr>
          <w:p w14:paraId="7577AE1B" w14:textId="77777777" w:rsidR="003E30AD" w:rsidRPr="00B96EEC" w:rsidRDefault="003E30AD" w:rsidP="0042484E">
            <w:pPr>
              <w:jc w:val="both"/>
              <w:rPr>
                <w:color w:val="000000"/>
                <w:sz w:val="17"/>
                <w:szCs w:val="17"/>
                <w:lang w:val="en-US"/>
              </w:rPr>
            </w:pPr>
            <w:r w:rsidRPr="00B96EEC">
              <w:rPr>
                <w:color w:val="000000"/>
                <w:sz w:val="17"/>
                <w:szCs w:val="17"/>
                <w:lang w:val="en-US"/>
              </w:rPr>
              <w:t> </w:t>
            </w:r>
          </w:p>
        </w:tc>
        <w:tc>
          <w:tcPr>
            <w:tcW w:w="1114" w:type="dxa"/>
            <w:shd w:val="clear" w:color="auto" w:fill="auto"/>
            <w:noWrap/>
            <w:vAlign w:val="center"/>
            <w:hideMark/>
          </w:tcPr>
          <w:p w14:paraId="0B5F283D" w14:textId="77777777" w:rsidR="003E30AD" w:rsidRPr="00B96EEC" w:rsidRDefault="003E30AD" w:rsidP="0042484E">
            <w:pPr>
              <w:jc w:val="both"/>
              <w:rPr>
                <w:color w:val="000000"/>
                <w:sz w:val="17"/>
                <w:szCs w:val="17"/>
                <w:vertAlign w:val="superscript"/>
                <w:lang w:val="en-US"/>
              </w:rPr>
            </w:pPr>
            <w:r w:rsidRPr="00B96EEC">
              <w:rPr>
                <w:color w:val="000000"/>
                <w:sz w:val="17"/>
                <w:szCs w:val="17"/>
                <w:lang w:val="en-US"/>
              </w:rPr>
              <w:t>Metal Fuel Bundle</w:t>
            </w:r>
            <w:r w:rsidRPr="00B96EEC">
              <w:rPr>
                <w:color w:val="000000"/>
                <w:sz w:val="17"/>
                <w:szCs w:val="17"/>
                <w:vertAlign w:val="superscript"/>
                <w:lang w:val="en-US"/>
              </w:rPr>
              <w:t>a</w:t>
            </w:r>
          </w:p>
        </w:tc>
        <w:tc>
          <w:tcPr>
            <w:tcW w:w="2036" w:type="dxa"/>
          </w:tcPr>
          <w:p w14:paraId="5C976B53" w14:textId="77777777" w:rsidR="003E30AD" w:rsidRPr="00B96EEC" w:rsidRDefault="003E30AD" w:rsidP="0042484E">
            <w:pPr>
              <w:jc w:val="both"/>
              <w:rPr>
                <w:color w:val="000000"/>
                <w:sz w:val="17"/>
                <w:szCs w:val="17"/>
                <w:lang w:val="en-US"/>
              </w:rPr>
            </w:pPr>
            <w:r w:rsidRPr="00B96EEC">
              <w:rPr>
                <w:color w:val="000000"/>
                <w:sz w:val="17"/>
                <w:szCs w:val="17"/>
                <w:lang w:val="en-US"/>
              </w:rPr>
              <w:t>BANR Graphite Fuel Block</w:t>
            </w:r>
          </w:p>
        </w:tc>
        <w:tc>
          <w:tcPr>
            <w:tcW w:w="2061" w:type="dxa"/>
          </w:tcPr>
          <w:p w14:paraId="37FD2DB6" w14:textId="77777777" w:rsidR="003E30AD" w:rsidRPr="00B96EEC" w:rsidRDefault="003E30AD" w:rsidP="0042484E">
            <w:pPr>
              <w:jc w:val="both"/>
              <w:rPr>
                <w:color w:val="000000"/>
                <w:sz w:val="17"/>
                <w:szCs w:val="17"/>
                <w:lang w:val="en-US"/>
              </w:rPr>
            </w:pPr>
            <w:r w:rsidRPr="00B96EEC">
              <w:rPr>
                <w:color w:val="000000"/>
                <w:sz w:val="17"/>
                <w:szCs w:val="17"/>
                <w:lang w:val="en-US"/>
              </w:rPr>
              <w:t>USNC Graphite Fuel Block</w:t>
            </w:r>
          </w:p>
        </w:tc>
        <w:tc>
          <w:tcPr>
            <w:tcW w:w="1582" w:type="dxa"/>
            <w:shd w:val="clear" w:color="auto" w:fill="auto"/>
            <w:noWrap/>
            <w:vAlign w:val="center"/>
            <w:hideMark/>
          </w:tcPr>
          <w:p w14:paraId="06CF81CD" w14:textId="77777777" w:rsidR="003E30AD" w:rsidRPr="00B96EEC" w:rsidRDefault="003E30AD" w:rsidP="0042484E">
            <w:pPr>
              <w:jc w:val="both"/>
              <w:rPr>
                <w:color w:val="000000"/>
                <w:sz w:val="17"/>
                <w:szCs w:val="17"/>
                <w:lang w:val="en-US"/>
              </w:rPr>
            </w:pPr>
            <w:r w:rsidRPr="00B96EEC">
              <w:rPr>
                <w:color w:val="000000"/>
                <w:sz w:val="17"/>
                <w:szCs w:val="17"/>
                <w:lang w:val="en-US"/>
              </w:rPr>
              <w:t xml:space="preserve">PWR 17 </w:t>
            </w:r>
            <w:r w:rsidRPr="00B96EEC">
              <w:rPr>
                <w:sz w:val="17"/>
                <w:szCs w:val="17"/>
                <w:lang w:val="en-US"/>
              </w:rPr>
              <w:t xml:space="preserve">× </w:t>
            </w:r>
            <w:r w:rsidRPr="00B96EEC">
              <w:rPr>
                <w:color w:val="000000"/>
                <w:sz w:val="17"/>
                <w:szCs w:val="17"/>
                <w:lang w:val="en-US"/>
              </w:rPr>
              <w:t>17 Assembly</w:t>
            </w:r>
          </w:p>
        </w:tc>
      </w:tr>
      <w:tr w:rsidR="004E1181" w:rsidRPr="00B96EEC" w14:paraId="4002696E" w14:textId="77777777" w:rsidTr="004E1181">
        <w:trPr>
          <w:trHeight w:val="188"/>
          <w:jc w:val="center"/>
        </w:trPr>
        <w:tc>
          <w:tcPr>
            <w:tcW w:w="2605" w:type="dxa"/>
            <w:shd w:val="clear" w:color="auto" w:fill="auto"/>
            <w:noWrap/>
            <w:vAlign w:val="center"/>
            <w:hideMark/>
          </w:tcPr>
          <w:p w14:paraId="37473556" w14:textId="77777777" w:rsidR="003E30AD" w:rsidRPr="00B96EEC" w:rsidRDefault="003E30AD" w:rsidP="0042484E">
            <w:pPr>
              <w:jc w:val="both"/>
              <w:rPr>
                <w:color w:val="000000"/>
                <w:sz w:val="17"/>
                <w:szCs w:val="17"/>
                <w:lang w:val="en-US"/>
              </w:rPr>
            </w:pPr>
            <w:r w:rsidRPr="00B96EEC">
              <w:rPr>
                <w:color w:val="000000"/>
                <w:sz w:val="17"/>
                <w:szCs w:val="17"/>
                <w:lang w:val="en-US"/>
              </w:rPr>
              <w:t>Fuel form</w:t>
            </w:r>
          </w:p>
        </w:tc>
        <w:tc>
          <w:tcPr>
            <w:tcW w:w="1114" w:type="dxa"/>
            <w:shd w:val="clear" w:color="auto" w:fill="auto"/>
            <w:noWrap/>
            <w:vAlign w:val="center"/>
            <w:hideMark/>
          </w:tcPr>
          <w:p w14:paraId="41D5F850" w14:textId="77777777" w:rsidR="003E30AD" w:rsidRPr="00B96EEC" w:rsidRDefault="003E30AD" w:rsidP="0042484E">
            <w:pPr>
              <w:jc w:val="both"/>
              <w:rPr>
                <w:color w:val="000000"/>
                <w:sz w:val="17"/>
                <w:szCs w:val="17"/>
                <w:lang w:val="en-US"/>
              </w:rPr>
            </w:pPr>
            <w:r w:rsidRPr="00B96EEC">
              <w:rPr>
                <w:color w:val="000000"/>
                <w:sz w:val="17"/>
                <w:szCs w:val="17"/>
                <w:lang w:val="en-US"/>
              </w:rPr>
              <w:t>U-10Zr alloy</w:t>
            </w:r>
          </w:p>
        </w:tc>
        <w:tc>
          <w:tcPr>
            <w:tcW w:w="2036" w:type="dxa"/>
            <w:vAlign w:val="center"/>
          </w:tcPr>
          <w:p w14:paraId="48A3E742" w14:textId="77777777" w:rsidR="003E30AD" w:rsidRPr="00B96EEC" w:rsidRDefault="003E30AD" w:rsidP="0042484E">
            <w:pPr>
              <w:jc w:val="both"/>
              <w:rPr>
                <w:color w:val="000000"/>
                <w:sz w:val="17"/>
                <w:szCs w:val="17"/>
                <w:lang w:val="en-US"/>
              </w:rPr>
            </w:pPr>
            <w:r w:rsidRPr="00B96EEC">
              <w:rPr>
                <w:color w:val="000000"/>
                <w:sz w:val="17"/>
                <w:szCs w:val="17"/>
                <w:lang w:val="en-US"/>
              </w:rPr>
              <w:t>UCO kernels in carbon coatings embedded in graphite matrix and then in graphite holes.</w:t>
            </w:r>
          </w:p>
        </w:tc>
        <w:tc>
          <w:tcPr>
            <w:tcW w:w="2061" w:type="dxa"/>
            <w:vAlign w:val="center"/>
          </w:tcPr>
          <w:p w14:paraId="52EBB2C8" w14:textId="77777777" w:rsidR="003E30AD" w:rsidRPr="00B96EEC" w:rsidRDefault="003E30AD" w:rsidP="0042484E">
            <w:pPr>
              <w:jc w:val="both"/>
              <w:rPr>
                <w:color w:val="000000"/>
                <w:sz w:val="17"/>
                <w:szCs w:val="17"/>
                <w:lang w:val="en-US"/>
              </w:rPr>
            </w:pPr>
            <w:r w:rsidRPr="00B96EEC">
              <w:rPr>
                <w:color w:val="000000"/>
                <w:sz w:val="17"/>
                <w:szCs w:val="17"/>
                <w:lang w:val="en-US"/>
              </w:rPr>
              <w:t>UCO kernels in carbon coatings embedded in SiC matrix and then in graphite holes.</w:t>
            </w:r>
          </w:p>
        </w:tc>
        <w:tc>
          <w:tcPr>
            <w:tcW w:w="1582" w:type="dxa"/>
            <w:shd w:val="clear" w:color="auto" w:fill="auto"/>
            <w:noWrap/>
            <w:vAlign w:val="center"/>
            <w:hideMark/>
          </w:tcPr>
          <w:p w14:paraId="37367A66" w14:textId="77777777" w:rsidR="003E30AD" w:rsidRPr="00B96EEC" w:rsidRDefault="003E30AD" w:rsidP="0042484E">
            <w:pPr>
              <w:jc w:val="both"/>
              <w:rPr>
                <w:color w:val="000000"/>
                <w:sz w:val="17"/>
                <w:szCs w:val="17"/>
                <w:lang w:val="en-US"/>
              </w:rPr>
            </w:pPr>
            <w:r w:rsidRPr="00B96EEC">
              <w:rPr>
                <w:color w:val="000000"/>
                <w:sz w:val="17"/>
                <w:szCs w:val="17"/>
                <w:lang w:val="en-US"/>
              </w:rPr>
              <w:t>UO</w:t>
            </w:r>
            <w:r w:rsidRPr="00B96EEC">
              <w:rPr>
                <w:color w:val="000000"/>
                <w:sz w:val="17"/>
                <w:szCs w:val="17"/>
                <w:vertAlign w:val="subscript"/>
                <w:lang w:val="en-US"/>
              </w:rPr>
              <w:t>2</w:t>
            </w:r>
            <w:r w:rsidRPr="00B96EEC">
              <w:rPr>
                <w:color w:val="000000"/>
                <w:sz w:val="17"/>
                <w:szCs w:val="17"/>
                <w:lang w:val="en-US"/>
              </w:rPr>
              <w:t xml:space="preserve"> ceramic</w:t>
            </w:r>
          </w:p>
        </w:tc>
      </w:tr>
      <w:tr w:rsidR="004E1181" w:rsidRPr="00B96EEC" w14:paraId="129CAB0E" w14:textId="77777777" w:rsidTr="004E1181">
        <w:trPr>
          <w:trHeight w:val="291"/>
          <w:jc w:val="center"/>
        </w:trPr>
        <w:tc>
          <w:tcPr>
            <w:tcW w:w="2605" w:type="dxa"/>
            <w:shd w:val="clear" w:color="auto" w:fill="auto"/>
            <w:noWrap/>
            <w:vAlign w:val="center"/>
            <w:hideMark/>
          </w:tcPr>
          <w:p w14:paraId="37937AA7" w14:textId="77777777" w:rsidR="003E30AD" w:rsidRPr="00B96EEC" w:rsidRDefault="003E30AD" w:rsidP="0042484E">
            <w:pPr>
              <w:jc w:val="both"/>
              <w:rPr>
                <w:color w:val="000000"/>
                <w:sz w:val="17"/>
                <w:szCs w:val="17"/>
                <w:lang w:val="en-US"/>
              </w:rPr>
            </w:pPr>
            <w:r w:rsidRPr="00B96EEC">
              <w:rPr>
                <w:color w:val="000000"/>
                <w:sz w:val="17"/>
                <w:szCs w:val="17"/>
                <w:lang w:val="en-US"/>
              </w:rPr>
              <w:t>Fuel density (g/cc)</w:t>
            </w:r>
          </w:p>
        </w:tc>
        <w:tc>
          <w:tcPr>
            <w:tcW w:w="1114" w:type="dxa"/>
            <w:shd w:val="clear" w:color="auto" w:fill="auto"/>
            <w:noWrap/>
            <w:vAlign w:val="center"/>
            <w:hideMark/>
          </w:tcPr>
          <w:p w14:paraId="2FD51C68" w14:textId="77777777" w:rsidR="003E30AD" w:rsidRPr="00B96EEC" w:rsidRDefault="003E30AD" w:rsidP="0042484E">
            <w:pPr>
              <w:jc w:val="both"/>
              <w:rPr>
                <w:color w:val="000000"/>
                <w:sz w:val="17"/>
                <w:szCs w:val="17"/>
                <w:lang w:val="en-US"/>
              </w:rPr>
            </w:pPr>
            <w:r w:rsidRPr="00B96EEC">
              <w:rPr>
                <w:color w:val="000000"/>
                <w:sz w:val="17"/>
                <w:szCs w:val="17"/>
                <w:lang w:val="en-US"/>
              </w:rPr>
              <w:t>15.8</w:t>
            </w:r>
          </w:p>
        </w:tc>
        <w:tc>
          <w:tcPr>
            <w:tcW w:w="2036" w:type="dxa"/>
            <w:vAlign w:val="center"/>
          </w:tcPr>
          <w:p w14:paraId="1DAF7D0D" w14:textId="77777777" w:rsidR="003E30AD" w:rsidRPr="00B96EEC" w:rsidRDefault="003E30AD" w:rsidP="0042484E">
            <w:pPr>
              <w:jc w:val="both"/>
              <w:rPr>
                <w:color w:val="000000"/>
                <w:sz w:val="17"/>
                <w:szCs w:val="17"/>
                <w:lang w:val="en-US"/>
              </w:rPr>
            </w:pPr>
            <w:r w:rsidRPr="00B96EEC">
              <w:rPr>
                <w:color w:val="000000"/>
                <w:sz w:val="17"/>
                <w:szCs w:val="17"/>
                <w:lang w:val="en-US"/>
              </w:rPr>
              <w:t>10.4</w:t>
            </w:r>
          </w:p>
        </w:tc>
        <w:tc>
          <w:tcPr>
            <w:tcW w:w="2061" w:type="dxa"/>
            <w:vAlign w:val="center"/>
          </w:tcPr>
          <w:p w14:paraId="705D2932" w14:textId="77777777" w:rsidR="003E30AD" w:rsidRPr="00B96EEC" w:rsidRDefault="003E30AD" w:rsidP="0042484E">
            <w:pPr>
              <w:jc w:val="both"/>
              <w:rPr>
                <w:color w:val="000000"/>
                <w:sz w:val="17"/>
                <w:szCs w:val="17"/>
                <w:lang w:val="en-US"/>
              </w:rPr>
            </w:pPr>
            <w:r w:rsidRPr="00B96EEC">
              <w:rPr>
                <w:color w:val="000000"/>
                <w:sz w:val="17"/>
                <w:szCs w:val="17"/>
                <w:lang w:val="en-US"/>
              </w:rPr>
              <w:t>10.4</w:t>
            </w:r>
          </w:p>
        </w:tc>
        <w:tc>
          <w:tcPr>
            <w:tcW w:w="1582" w:type="dxa"/>
            <w:shd w:val="clear" w:color="auto" w:fill="auto"/>
            <w:noWrap/>
            <w:vAlign w:val="center"/>
            <w:hideMark/>
          </w:tcPr>
          <w:p w14:paraId="41025C53" w14:textId="77777777" w:rsidR="003E30AD" w:rsidRPr="00B96EEC" w:rsidRDefault="003E30AD" w:rsidP="0042484E">
            <w:pPr>
              <w:jc w:val="both"/>
              <w:rPr>
                <w:color w:val="000000"/>
                <w:sz w:val="17"/>
                <w:szCs w:val="17"/>
                <w:lang w:val="en-US"/>
              </w:rPr>
            </w:pPr>
            <w:r w:rsidRPr="00B96EEC">
              <w:rPr>
                <w:color w:val="000000"/>
                <w:sz w:val="17"/>
                <w:szCs w:val="17"/>
                <w:lang w:val="en-US"/>
              </w:rPr>
              <w:t>10.4</w:t>
            </w:r>
          </w:p>
        </w:tc>
      </w:tr>
      <w:tr w:rsidR="004E1181" w:rsidRPr="00B96EEC" w14:paraId="4C8DEA1A" w14:textId="77777777" w:rsidTr="004E1181">
        <w:trPr>
          <w:trHeight w:val="188"/>
          <w:jc w:val="center"/>
        </w:trPr>
        <w:tc>
          <w:tcPr>
            <w:tcW w:w="2605" w:type="dxa"/>
            <w:shd w:val="clear" w:color="auto" w:fill="auto"/>
            <w:noWrap/>
            <w:vAlign w:val="center"/>
            <w:hideMark/>
          </w:tcPr>
          <w:p w14:paraId="1F5AF5D4" w14:textId="77777777" w:rsidR="003E30AD" w:rsidRPr="00B96EEC" w:rsidRDefault="003E30AD" w:rsidP="0042484E">
            <w:pPr>
              <w:jc w:val="both"/>
              <w:rPr>
                <w:color w:val="000000"/>
                <w:sz w:val="17"/>
                <w:szCs w:val="17"/>
                <w:lang w:val="en-US"/>
              </w:rPr>
            </w:pPr>
            <w:r w:rsidRPr="00B96EEC">
              <w:rPr>
                <w:color w:val="000000"/>
                <w:sz w:val="17"/>
                <w:szCs w:val="17"/>
                <w:lang w:val="en-US"/>
              </w:rPr>
              <w:t>Overall width (cm)</w:t>
            </w:r>
          </w:p>
        </w:tc>
        <w:tc>
          <w:tcPr>
            <w:tcW w:w="1114" w:type="dxa"/>
            <w:shd w:val="clear" w:color="auto" w:fill="auto"/>
            <w:noWrap/>
            <w:vAlign w:val="center"/>
            <w:hideMark/>
          </w:tcPr>
          <w:p w14:paraId="7F959343" w14:textId="77777777" w:rsidR="003E30AD" w:rsidRPr="00B96EEC" w:rsidRDefault="003E30AD" w:rsidP="0042484E">
            <w:pPr>
              <w:jc w:val="both"/>
              <w:rPr>
                <w:color w:val="000000"/>
                <w:sz w:val="17"/>
                <w:szCs w:val="17"/>
                <w:lang w:val="en-US"/>
              </w:rPr>
            </w:pPr>
            <w:r w:rsidRPr="00B96EEC">
              <w:rPr>
                <w:color w:val="000000"/>
                <w:sz w:val="17"/>
                <w:szCs w:val="17"/>
                <w:lang w:val="en-US"/>
              </w:rPr>
              <w:t>11.2</w:t>
            </w:r>
          </w:p>
          <w:p w14:paraId="283F7BF5" w14:textId="77777777" w:rsidR="003E30AD" w:rsidRPr="00B96EEC" w:rsidRDefault="003E30AD" w:rsidP="0042484E">
            <w:pPr>
              <w:jc w:val="both"/>
              <w:rPr>
                <w:color w:val="000000"/>
                <w:sz w:val="17"/>
                <w:szCs w:val="17"/>
                <w:lang w:val="en-US"/>
              </w:rPr>
            </w:pPr>
            <w:r w:rsidRPr="00B96EEC">
              <w:rPr>
                <w:color w:val="000000"/>
                <w:sz w:val="17"/>
                <w:szCs w:val="17"/>
                <w:lang w:val="en-US"/>
              </w:rPr>
              <w:t>(flat-to-flat)</w:t>
            </w:r>
          </w:p>
        </w:tc>
        <w:tc>
          <w:tcPr>
            <w:tcW w:w="2036" w:type="dxa"/>
            <w:vAlign w:val="center"/>
          </w:tcPr>
          <w:p w14:paraId="26834158" w14:textId="77777777" w:rsidR="003E30AD" w:rsidRPr="00B96EEC" w:rsidRDefault="003E30AD" w:rsidP="0042484E">
            <w:pPr>
              <w:jc w:val="both"/>
              <w:rPr>
                <w:color w:val="000000"/>
                <w:sz w:val="17"/>
                <w:szCs w:val="17"/>
                <w:lang w:val="en-US"/>
              </w:rPr>
            </w:pPr>
            <w:r w:rsidRPr="00B96EEC">
              <w:rPr>
                <w:color w:val="000000"/>
                <w:sz w:val="17"/>
                <w:szCs w:val="17"/>
                <w:lang w:val="en-US"/>
              </w:rPr>
              <w:t>36</w:t>
            </w:r>
          </w:p>
          <w:p w14:paraId="146E908F" w14:textId="77777777" w:rsidR="003E30AD" w:rsidRPr="00B96EEC" w:rsidRDefault="003E30AD" w:rsidP="0042484E">
            <w:pPr>
              <w:jc w:val="both"/>
              <w:rPr>
                <w:color w:val="000000"/>
                <w:sz w:val="17"/>
                <w:szCs w:val="17"/>
                <w:lang w:val="en-US"/>
              </w:rPr>
            </w:pPr>
            <w:r w:rsidRPr="00B96EEC">
              <w:rPr>
                <w:color w:val="000000"/>
                <w:sz w:val="17"/>
                <w:szCs w:val="17"/>
                <w:lang w:val="en-US"/>
              </w:rPr>
              <w:t>(flat-to-flat)</w:t>
            </w:r>
          </w:p>
        </w:tc>
        <w:tc>
          <w:tcPr>
            <w:tcW w:w="2061" w:type="dxa"/>
            <w:vAlign w:val="center"/>
          </w:tcPr>
          <w:p w14:paraId="70AC6B47" w14:textId="77777777" w:rsidR="003E30AD" w:rsidRPr="00B96EEC" w:rsidRDefault="003E30AD" w:rsidP="0042484E">
            <w:pPr>
              <w:jc w:val="both"/>
              <w:rPr>
                <w:color w:val="000000"/>
                <w:sz w:val="17"/>
                <w:szCs w:val="17"/>
                <w:lang w:val="en-US"/>
              </w:rPr>
            </w:pPr>
            <w:r w:rsidRPr="00B96EEC">
              <w:rPr>
                <w:color w:val="000000"/>
                <w:sz w:val="17"/>
                <w:szCs w:val="17"/>
                <w:lang w:val="en-US"/>
              </w:rPr>
              <w:t>36</w:t>
            </w:r>
          </w:p>
          <w:p w14:paraId="219C7EE0" w14:textId="77777777" w:rsidR="003E30AD" w:rsidRPr="00B96EEC" w:rsidRDefault="003E30AD" w:rsidP="0042484E">
            <w:pPr>
              <w:jc w:val="both"/>
              <w:rPr>
                <w:color w:val="000000"/>
                <w:sz w:val="17"/>
                <w:szCs w:val="17"/>
                <w:lang w:val="en-US"/>
              </w:rPr>
            </w:pPr>
            <w:r w:rsidRPr="00B96EEC">
              <w:rPr>
                <w:color w:val="000000"/>
                <w:sz w:val="17"/>
                <w:szCs w:val="17"/>
                <w:lang w:val="en-US"/>
              </w:rPr>
              <w:t>(flat-to-flat)</w:t>
            </w:r>
          </w:p>
        </w:tc>
        <w:tc>
          <w:tcPr>
            <w:tcW w:w="1582" w:type="dxa"/>
            <w:shd w:val="clear" w:color="auto" w:fill="auto"/>
            <w:noWrap/>
            <w:vAlign w:val="center"/>
            <w:hideMark/>
          </w:tcPr>
          <w:p w14:paraId="0BBC296D" w14:textId="77777777" w:rsidR="003E30AD" w:rsidRPr="00B96EEC" w:rsidRDefault="003E30AD" w:rsidP="0042484E">
            <w:pPr>
              <w:jc w:val="both"/>
              <w:rPr>
                <w:color w:val="000000"/>
                <w:sz w:val="17"/>
                <w:szCs w:val="17"/>
                <w:lang w:val="en-US"/>
              </w:rPr>
            </w:pPr>
            <w:r w:rsidRPr="00B96EEC">
              <w:rPr>
                <w:color w:val="000000"/>
                <w:sz w:val="17"/>
                <w:szCs w:val="17"/>
                <w:lang w:val="en-US"/>
              </w:rPr>
              <w:t>21.4</w:t>
            </w:r>
          </w:p>
        </w:tc>
      </w:tr>
      <w:tr w:rsidR="004E1181" w:rsidRPr="00B96EEC" w14:paraId="4FB1EFFD" w14:textId="77777777" w:rsidTr="004E1181">
        <w:trPr>
          <w:trHeight w:val="188"/>
          <w:jc w:val="center"/>
        </w:trPr>
        <w:tc>
          <w:tcPr>
            <w:tcW w:w="2605" w:type="dxa"/>
            <w:shd w:val="clear" w:color="auto" w:fill="auto"/>
            <w:noWrap/>
            <w:vAlign w:val="center"/>
            <w:hideMark/>
          </w:tcPr>
          <w:p w14:paraId="7B5AC76D" w14:textId="77777777" w:rsidR="003E30AD" w:rsidRPr="00B96EEC" w:rsidRDefault="003E30AD" w:rsidP="0042484E">
            <w:pPr>
              <w:jc w:val="both"/>
              <w:rPr>
                <w:color w:val="000000"/>
                <w:sz w:val="17"/>
                <w:szCs w:val="17"/>
                <w:lang w:val="en-US"/>
              </w:rPr>
            </w:pPr>
            <w:r w:rsidRPr="00B96EEC">
              <w:rPr>
                <w:color w:val="000000"/>
                <w:sz w:val="17"/>
                <w:szCs w:val="17"/>
                <w:lang w:val="en-US"/>
              </w:rPr>
              <w:t>No. of rods</w:t>
            </w:r>
          </w:p>
        </w:tc>
        <w:tc>
          <w:tcPr>
            <w:tcW w:w="1114" w:type="dxa"/>
            <w:shd w:val="clear" w:color="auto" w:fill="auto"/>
            <w:noWrap/>
            <w:vAlign w:val="center"/>
            <w:hideMark/>
          </w:tcPr>
          <w:p w14:paraId="64A19496" w14:textId="77777777" w:rsidR="003E30AD" w:rsidRPr="00B96EEC" w:rsidRDefault="003E30AD" w:rsidP="0042484E">
            <w:pPr>
              <w:jc w:val="both"/>
              <w:rPr>
                <w:color w:val="000000"/>
                <w:sz w:val="17"/>
                <w:szCs w:val="17"/>
                <w:lang w:val="en-US"/>
              </w:rPr>
            </w:pPr>
            <w:r w:rsidRPr="00B96EEC">
              <w:rPr>
                <w:color w:val="000000"/>
                <w:sz w:val="17"/>
                <w:szCs w:val="17"/>
                <w:lang w:val="en-US"/>
              </w:rPr>
              <w:t>217</w:t>
            </w:r>
          </w:p>
        </w:tc>
        <w:tc>
          <w:tcPr>
            <w:tcW w:w="2036" w:type="dxa"/>
            <w:vAlign w:val="center"/>
          </w:tcPr>
          <w:p w14:paraId="25CE1F3A" w14:textId="77777777" w:rsidR="003E30AD" w:rsidRPr="00B96EEC" w:rsidRDefault="003E30AD" w:rsidP="0042484E">
            <w:pPr>
              <w:jc w:val="both"/>
              <w:rPr>
                <w:color w:val="000000"/>
                <w:sz w:val="17"/>
                <w:szCs w:val="17"/>
                <w:lang w:val="en-US"/>
              </w:rPr>
            </w:pPr>
            <w:r w:rsidRPr="00B96EEC">
              <w:rPr>
                <w:color w:val="000000"/>
                <w:sz w:val="17"/>
                <w:szCs w:val="17"/>
                <w:lang w:val="en-US"/>
              </w:rPr>
              <w:t>216</w:t>
            </w:r>
          </w:p>
        </w:tc>
        <w:tc>
          <w:tcPr>
            <w:tcW w:w="2061" w:type="dxa"/>
            <w:vAlign w:val="center"/>
          </w:tcPr>
          <w:p w14:paraId="6F90BAA6" w14:textId="77777777" w:rsidR="003E30AD" w:rsidRPr="00B96EEC" w:rsidRDefault="003E30AD" w:rsidP="0042484E">
            <w:pPr>
              <w:jc w:val="both"/>
              <w:rPr>
                <w:color w:val="000000"/>
                <w:sz w:val="17"/>
                <w:szCs w:val="17"/>
                <w:lang w:val="en-US"/>
              </w:rPr>
            </w:pPr>
            <w:r w:rsidRPr="00B96EEC">
              <w:rPr>
                <w:color w:val="000000"/>
                <w:sz w:val="17"/>
                <w:szCs w:val="17"/>
                <w:lang w:val="en-US"/>
              </w:rPr>
              <w:t>54</w:t>
            </w:r>
          </w:p>
        </w:tc>
        <w:tc>
          <w:tcPr>
            <w:tcW w:w="1582" w:type="dxa"/>
            <w:shd w:val="clear" w:color="auto" w:fill="auto"/>
            <w:noWrap/>
            <w:vAlign w:val="center"/>
            <w:hideMark/>
          </w:tcPr>
          <w:p w14:paraId="1E55768E" w14:textId="77777777" w:rsidR="003E30AD" w:rsidRPr="00B96EEC" w:rsidRDefault="003E30AD" w:rsidP="0042484E">
            <w:pPr>
              <w:jc w:val="both"/>
              <w:rPr>
                <w:color w:val="000000"/>
                <w:sz w:val="17"/>
                <w:szCs w:val="17"/>
                <w:lang w:val="en-US"/>
              </w:rPr>
            </w:pPr>
            <w:r w:rsidRPr="00B96EEC">
              <w:rPr>
                <w:color w:val="000000"/>
                <w:sz w:val="17"/>
                <w:szCs w:val="17"/>
                <w:lang w:val="en-US"/>
              </w:rPr>
              <w:t>264</w:t>
            </w:r>
          </w:p>
        </w:tc>
      </w:tr>
      <w:tr w:rsidR="004E1181" w:rsidRPr="00B96EEC" w14:paraId="1BFDFA05" w14:textId="77777777" w:rsidTr="004E1181">
        <w:trPr>
          <w:trHeight w:val="188"/>
          <w:jc w:val="center"/>
        </w:trPr>
        <w:tc>
          <w:tcPr>
            <w:tcW w:w="2605" w:type="dxa"/>
            <w:shd w:val="clear" w:color="auto" w:fill="auto"/>
            <w:noWrap/>
            <w:vAlign w:val="center"/>
            <w:hideMark/>
          </w:tcPr>
          <w:p w14:paraId="7850A4E8" w14:textId="77777777" w:rsidR="003E30AD" w:rsidRPr="00B96EEC" w:rsidRDefault="003E30AD" w:rsidP="0042484E">
            <w:pPr>
              <w:jc w:val="both"/>
              <w:rPr>
                <w:color w:val="000000"/>
                <w:sz w:val="17"/>
                <w:szCs w:val="17"/>
                <w:lang w:val="en-US"/>
              </w:rPr>
            </w:pPr>
            <w:r w:rsidRPr="00B96EEC">
              <w:rPr>
                <w:color w:val="000000"/>
                <w:sz w:val="17"/>
                <w:szCs w:val="17"/>
                <w:lang w:val="en-US"/>
              </w:rPr>
              <w:t>Pellet radius (cm)</w:t>
            </w:r>
          </w:p>
        </w:tc>
        <w:tc>
          <w:tcPr>
            <w:tcW w:w="1114" w:type="dxa"/>
            <w:shd w:val="clear" w:color="auto" w:fill="auto"/>
            <w:noWrap/>
            <w:vAlign w:val="center"/>
            <w:hideMark/>
          </w:tcPr>
          <w:p w14:paraId="48D35CFB" w14:textId="77777777" w:rsidR="003E30AD" w:rsidRPr="00B96EEC" w:rsidRDefault="003E30AD" w:rsidP="0042484E">
            <w:pPr>
              <w:jc w:val="both"/>
              <w:rPr>
                <w:color w:val="000000"/>
                <w:sz w:val="17"/>
                <w:szCs w:val="17"/>
                <w:lang w:val="en-US"/>
              </w:rPr>
            </w:pPr>
            <w:r w:rsidRPr="00B96EEC">
              <w:rPr>
                <w:color w:val="000000"/>
                <w:sz w:val="17"/>
                <w:szCs w:val="17"/>
                <w:lang w:val="en-US"/>
              </w:rPr>
              <w:t>0.23</w:t>
            </w:r>
          </w:p>
        </w:tc>
        <w:tc>
          <w:tcPr>
            <w:tcW w:w="2036" w:type="dxa"/>
            <w:vAlign w:val="center"/>
          </w:tcPr>
          <w:p w14:paraId="6FA2D708" w14:textId="77777777" w:rsidR="003E30AD" w:rsidRPr="00B96EEC" w:rsidRDefault="003E30AD" w:rsidP="0042484E">
            <w:pPr>
              <w:jc w:val="both"/>
              <w:rPr>
                <w:color w:val="000000"/>
                <w:sz w:val="17"/>
                <w:szCs w:val="17"/>
                <w:lang w:val="en-US"/>
              </w:rPr>
            </w:pPr>
            <w:r w:rsidRPr="00B96EEC">
              <w:rPr>
                <w:color w:val="000000"/>
                <w:sz w:val="17"/>
                <w:szCs w:val="17"/>
                <w:lang w:val="en-US"/>
              </w:rPr>
              <w:t>0.615</w:t>
            </w:r>
          </w:p>
        </w:tc>
        <w:tc>
          <w:tcPr>
            <w:tcW w:w="2061" w:type="dxa"/>
            <w:vAlign w:val="center"/>
          </w:tcPr>
          <w:p w14:paraId="5520438B" w14:textId="77777777" w:rsidR="003E30AD" w:rsidRPr="00B96EEC" w:rsidRDefault="003E30AD" w:rsidP="0042484E">
            <w:pPr>
              <w:jc w:val="both"/>
              <w:rPr>
                <w:color w:val="000000"/>
                <w:sz w:val="17"/>
                <w:szCs w:val="17"/>
                <w:lang w:val="en-US"/>
              </w:rPr>
            </w:pPr>
            <w:r w:rsidRPr="00B96EEC">
              <w:rPr>
                <w:color w:val="000000"/>
                <w:sz w:val="17"/>
                <w:szCs w:val="17"/>
                <w:lang w:val="en-US"/>
              </w:rPr>
              <w:t>0.92</w:t>
            </w:r>
          </w:p>
        </w:tc>
        <w:tc>
          <w:tcPr>
            <w:tcW w:w="1582" w:type="dxa"/>
            <w:shd w:val="clear" w:color="auto" w:fill="auto"/>
            <w:noWrap/>
            <w:vAlign w:val="center"/>
            <w:hideMark/>
          </w:tcPr>
          <w:p w14:paraId="51CC0C3A" w14:textId="77777777" w:rsidR="003E30AD" w:rsidRPr="00B96EEC" w:rsidRDefault="003E30AD" w:rsidP="0042484E">
            <w:pPr>
              <w:jc w:val="both"/>
              <w:rPr>
                <w:color w:val="000000"/>
                <w:sz w:val="17"/>
                <w:szCs w:val="17"/>
                <w:lang w:val="en-US"/>
              </w:rPr>
            </w:pPr>
            <w:r w:rsidRPr="00B96EEC">
              <w:rPr>
                <w:color w:val="000000"/>
                <w:sz w:val="17"/>
                <w:szCs w:val="17"/>
                <w:lang w:val="en-US"/>
              </w:rPr>
              <w:t>0.41</w:t>
            </w:r>
          </w:p>
        </w:tc>
      </w:tr>
      <w:tr w:rsidR="004E1181" w:rsidRPr="00B96EEC" w14:paraId="5E3AB646" w14:textId="77777777" w:rsidTr="004E1181">
        <w:trPr>
          <w:trHeight w:val="188"/>
          <w:jc w:val="center"/>
        </w:trPr>
        <w:tc>
          <w:tcPr>
            <w:tcW w:w="2605" w:type="dxa"/>
            <w:shd w:val="clear" w:color="auto" w:fill="auto"/>
            <w:noWrap/>
            <w:vAlign w:val="center"/>
            <w:hideMark/>
          </w:tcPr>
          <w:p w14:paraId="796D4956" w14:textId="77777777" w:rsidR="003E30AD" w:rsidRPr="00B96EEC" w:rsidRDefault="003E30AD" w:rsidP="0042484E">
            <w:pPr>
              <w:jc w:val="both"/>
              <w:rPr>
                <w:color w:val="000000"/>
                <w:sz w:val="17"/>
                <w:szCs w:val="17"/>
                <w:lang w:val="en-US"/>
              </w:rPr>
            </w:pPr>
            <w:r w:rsidRPr="00B96EEC">
              <w:rPr>
                <w:color w:val="000000"/>
                <w:sz w:val="17"/>
                <w:szCs w:val="17"/>
                <w:lang w:val="en-US"/>
              </w:rPr>
              <w:t>Rod pitch (cm)</w:t>
            </w:r>
          </w:p>
        </w:tc>
        <w:tc>
          <w:tcPr>
            <w:tcW w:w="1114" w:type="dxa"/>
            <w:shd w:val="clear" w:color="auto" w:fill="auto"/>
            <w:noWrap/>
            <w:vAlign w:val="center"/>
            <w:hideMark/>
          </w:tcPr>
          <w:p w14:paraId="70A358EF" w14:textId="77777777" w:rsidR="003E30AD" w:rsidRPr="00B96EEC" w:rsidRDefault="003E30AD" w:rsidP="0042484E">
            <w:pPr>
              <w:jc w:val="both"/>
              <w:rPr>
                <w:color w:val="000000"/>
                <w:sz w:val="17"/>
                <w:szCs w:val="17"/>
                <w:lang w:val="en-US"/>
              </w:rPr>
            </w:pPr>
            <w:r w:rsidRPr="00B96EEC">
              <w:rPr>
                <w:color w:val="000000"/>
                <w:sz w:val="17"/>
                <w:szCs w:val="17"/>
                <w:lang w:val="en-US"/>
              </w:rPr>
              <w:t>0.74</w:t>
            </w:r>
          </w:p>
        </w:tc>
        <w:tc>
          <w:tcPr>
            <w:tcW w:w="2036" w:type="dxa"/>
            <w:vAlign w:val="center"/>
          </w:tcPr>
          <w:p w14:paraId="4597A9DB" w14:textId="77777777" w:rsidR="003E30AD" w:rsidRPr="00B96EEC" w:rsidRDefault="003E30AD" w:rsidP="0042484E">
            <w:pPr>
              <w:jc w:val="both"/>
              <w:rPr>
                <w:color w:val="000000"/>
                <w:sz w:val="17"/>
                <w:szCs w:val="17"/>
                <w:lang w:val="en-US"/>
              </w:rPr>
            </w:pPr>
            <w:r w:rsidRPr="00B96EEC">
              <w:rPr>
                <w:color w:val="000000"/>
                <w:sz w:val="17"/>
                <w:szCs w:val="17"/>
                <w:lang w:val="en-US"/>
              </w:rPr>
              <w:t>1.88</w:t>
            </w:r>
          </w:p>
        </w:tc>
        <w:tc>
          <w:tcPr>
            <w:tcW w:w="2061" w:type="dxa"/>
            <w:vAlign w:val="center"/>
          </w:tcPr>
          <w:p w14:paraId="665C1916" w14:textId="77777777" w:rsidR="003E30AD" w:rsidRPr="00B96EEC" w:rsidRDefault="003E30AD" w:rsidP="0042484E">
            <w:pPr>
              <w:jc w:val="both"/>
              <w:rPr>
                <w:color w:val="000000"/>
                <w:sz w:val="17"/>
                <w:szCs w:val="17"/>
                <w:lang w:val="en-US"/>
              </w:rPr>
            </w:pPr>
            <w:r w:rsidRPr="00B96EEC">
              <w:rPr>
                <w:color w:val="000000"/>
                <w:sz w:val="17"/>
                <w:szCs w:val="17"/>
                <w:lang w:val="en-US"/>
              </w:rPr>
              <w:t>3.84</w:t>
            </w:r>
          </w:p>
        </w:tc>
        <w:tc>
          <w:tcPr>
            <w:tcW w:w="1582" w:type="dxa"/>
            <w:shd w:val="clear" w:color="auto" w:fill="auto"/>
            <w:noWrap/>
            <w:vAlign w:val="center"/>
            <w:hideMark/>
          </w:tcPr>
          <w:p w14:paraId="763B5BB9" w14:textId="77777777" w:rsidR="003E30AD" w:rsidRPr="00B96EEC" w:rsidRDefault="003E30AD" w:rsidP="0042484E">
            <w:pPr>
              <w:jc w:val="both"/>
              <w:rPr>
                <w:color w:val="000000"/>
                <w:sz w:val="17"/>
                <w:szCs w:val="17"/>
                <w:lang w:val="en-US"/>
              </w:rPr>
            </w:pPr>
            <w:r w:rsidRPr="00B96EEC">
              <w:rPr>
                <w:color w:val="000000"/>
                <w:sz w:val="17"/>
                <w:szCs w:val="17"/>
                <w:lang w:val="en-US"/>
              </w:rPr>
              <w:t>1.26</w:t>
            </w:r>
          </w:p>
        </w:tc>
      </w:tr>
      <w:tr w:rsidR="004E1181" w:rsidRPr="00B96EEC" w14:paraId="70DAD84E" w14:textId="77777777" w:rsidTr="004E1181">
        <w:trPr>
          <w:trHeight w:val="188"/>
          <w:jc w:val="center"/>
        </w:trPr>
        <w:tc>
          <w:tcPr>
            <w:tcW w:w="2605" w:type="dxa"/>
            <w:shd w:val="clear" w:color="auto" w:fill="auto"/>
            <w:noWrap/>
            <w:vAlign w:val="center"/>
            <w:hideMark/>
          </w:tcPr>
          <w:p w14:paraId="0D6F9531" w14:textId="77777777" w:rsidR="003E30AD" w:rsidRPr="00B96EEC" w:rsidRDefault="003E30AD" w:rsidP="0042484E">
            <w:pPr>
              <w:jc w:val="both"/>
              <w:rPr>
                <w:color w:val="000000"/>
                <w:sz w:val="17"/>
                <w:szCs w:val="17"/>
                <w:lang w:val="en-US"/>
              </w:rPr>
            </w:pPr>
            <w:r w:rsidRPr="00B96EEC">
              <w:rPr>
                <w:color w:val="000000"/>
                <w:sz w:val="17"/>
                <w:szCs w:val="17"/>
                <w:lang w:val="en-US"/>
              </w:rPr>
              <w:t>U loading (g/cm)</w:t>
            </w:r>
          </w:p>
        </w:tc>
        <w:tc>
          <w:tcPr>
            <w:tcW w:w="1114" w:type="dxa"/>
            <w:shd w:val="clear" w:color="auto" w:fill="auto"/>
            <w:noWrap/>
            <w:vAlign w:val="center"/>
            <w:hideMark/>
          </w:tcPr>
          <w:p w14:paraId="0CBB32A6" w14:textId="77777777" w:rsidR="003E30AD" w:rsidRPr="00B96EEC" w:rsidRDefault="003E30AD" w:rsidP="0042484E">
            <w:pPr>
              <w:jc w:val="both"/>
              <w:rPr>
                <w:color w:val="000000"/>
                <w:sz w:val="17"/>
                <w:szCs w:val="17"/>
                <w:lang w:val="en-US"/>
              </w:rPr>
            </w:pPr>
            <w:r w:rsidRPr="00B96EEC">
              <w:rPr>
                <w:color w:val="000000"/>
                <w:sz w:val="17"/>
                <w:szCs w:val="17"/>
                <w:lang w:val="en-US"/>
              </w:rPr>
              <w:t>510</w:t>
            </w:r>
          </w:p>
        </w:tc>
        <w:tc>
          <w:tcPr>
            <w:tcW w:w="2036" w:type="dxa"/>
            <w:vAlign w:val="center"/>
          </w:tcPr>
          <w:p w14:paraId="0492C67A" w14:textId="77777777" w:rsidR="003E30AD" w:rsidRPr="00B96EEC" w:rsidRDefault="003E30AD" w:rsidP="0042484E">
            <w:pPr>
              <w:jc w:val="both"/>
              <w:rPr>
                <w:color w:val="000000"/>
                <w:sz w:val="17"/>
                <w:szCs w:val="17"/>
                <w:lang w:val="en-US"/>
              </w:rPr>
            </w:pPr>
            <w:r w:rsidRPr="00B96EEC">
              <w:rPr>
                <w:color w:val="000000"/>
                <w:sz w:val="17"/>
                <w:szCs w:val="17"/>
                <w:lang w:val="en-US"/>
              </w:rPr>
              <w:t>114.3</w:t>
            </w:r>
          </w:p>
          <w:p w14:paraId="0DD4E454" w14:textId="77777777" w:rsidR="003E30AD" w:rsidRPr="00B96EEC" w:rsidRDefault="003E30AD" w:rsidP="0042484E">
            <w:pPr>
              <w:jc w:val="both"/>
              <w:rPr>
                <w:color w:val="000000"/>
                <w:sz w:val="17"/>
                <w:szCs w:val="17"/>
                <w:lang w:val="en-US"/>
              </w:rPr>
            </w:pPr>
            <w:r w:rsidRPr="00B96EEC">
              <w:rPr>
                <w:color w:val="000000"/>
                <w:sz w:val="17"/>
                <w:szCs w:val="17"/>
                <w:lang w:val="en-US"/>
              </w:rPr>
              <w:t>(40% PF)</w:t>
            </w:r>
          </w:p>
        </w:tc>
        <w:tc>
          <w:tcPr>
            <w:tcW w:w="2061" w:type="dxa"/>
            <w:vAlign w:val="center"/>
          </w:tcPr>
          <w:p w14:paraId="3B483239" w14:textId="77777777" w:rsidR="003E30AD" w:rsidRPr="00B96EEC" w:rsidRDefault="003E30AD" w:rsidP="0042484E">
            <w:pPr>
              <w:jc w:val="both"/>
              <w:rPr>
                <w:color w:val="000000"/>
                <w:sz w:val="17"/>
                <w:szCs w:val="17"/>
                <w:lang w:val="en-US"/>
              </w:rPr>
            </w:pPr>
            <w:r w:rsidRPr="00B96EEC">
              <w:rPr>
                <w:color w:val="000000"/>
                <w:sz w:val="17"/>
                <w:szCs w:val="17"/>
                <w:lang w:val="en-US"/>
              </w:rPr>
              <w:t>78.4</w:t>
            </w:r>
          </w:p>
          <w:p w14:paraId="5BBB8807" w14:textId="77777777" w:rsidR="003E30AD" w:rsidRPr="00B96EEC" w:rsidRDefault="003E30AD" w:rsidP="0042484E">
            <w:pPr>
              <w:jc w:val="both"/>
              <w:rPr>
                <w:color w:val="000000"/>
                <w:sz w:val="17"/>
                <w:szCs w:val="17"/>
                <w:lang w:val="en-US"/>
              </w:rPr>
            </w:pPr>
            <w:r w:rsidRPr="00B96EEC">
              <w:rPr>
                <w:color w:val="000000"/>
                <w:sz w:val="17"/>
                <w:szCs w:val="17"/>
                <w:lang w:val="en-US"/>
              </w:rPr>
              <w:t>(60% PF)</w:t>
            </w:r>
          </w:p>
        </w:tc>
        <w:tc>
          <w:tcPr>
            <w:tcW w:w="1582" w:type="dxa"/>
            <w:shd w:val="clear" w:color="auto" w:fill="auto"/>
            <w:noWrap/>
            <w:vAlign w:val="center"/>
            <w:hideMark/>
          </w:tcPr>
          <w:p w14:paraId="445E4DC8" w14:textId="77777777" w:rsidR="003E30AD" w:rsidRPr="00B96EEC" w:rsidRDefault="003E30AD" w:rsidP="0042484E">
            <w:pPr>
              <w:jc w:val="both"/>
              <w:rPr>
                <w:color w:val="000000"/>
                <w:sz w:val="17"/>
                <w:szCs w:val="17"/>
                <w:lang w:val="en-US"/>
              </w:rPr>
            </w:pPr>
            <w:r w:rsidRPr="00B96EEC">
              <w:rPr>
                <w:color w:val="000000"/>
                <w:sz w:val="17"/>
                <w:szCs w:val="17"/>
                <w:lang w:val="en-US"/>
              </w:rPr>
              <w:t>1295</w:t>
            </w:r>
          </w:p>
        </w:tc>
      </w:tr>
      <w:tr w:rsidR="004E1181" w:rsidRPr="00B96EEC" w14:paraId="2100496E" w14:textId="77777777" w:rsidTr="004E1181">
        <w:trPr>
          <w:trHeight w:val="188"/>
          <w:jc w:val="center"/>
        </w:trPr>
        <w:tc>
          <w:tcPr>
            <w:tcW w:w="2605" w:type="dxa"/>
            <w:shd w:val="clear" w:color="auto" w:fill="auto"/>
            <w:noWrap/>
            <w:vAlign w:val="center"/>
            <w:hideMark/>
          </w:tcPr>
          <w:p w14:paraId="16A922B2" w14:textId="77777777" w:rsidR="003E30AD" w:rsidRPr="00B96EEC" w:rsidRDefault="003E30AD" w:rsidP="0042484E">
            <w:pPr>
              <w:jc w:val="both"/>
              <w:rPr>
                <w:color w:val="000000"/>
                <w:sz w:val="17"/>
                <w:szCs w:val="17"/>
                <w:lang w:val="en-US"/>
              </w:rPr>
            </w:pPr>
            <w:r w:rsidRPr="00B96EEC">
              <w:rPr>
                <w:color w:val="000000"/>
                <w:sz w:val="17"/>
                <w:szCs w:val="17"/>
                <w:lang w:val="en-US"/>
              </w:rPr>
              <w:t xml:space="preserve">Nominal enrichment (wt% </w:t>
            </w:r>
            <w:r w:rsidRPr="00B96EEC">
              <w:rPr>
                <w:sz w:val="17"/>
                <w:szCs w:val="17"/>
                <w:vertAlign w:val="superscript"/>
                <w:lang w:val="en-US"/>
              </w:rPr>
              <w:t>235</w:t>
            </w:r>
            <w:r w:rsidRPr="00B96EEC">
              <w:rPr>
                <w:sz w:val="17"/>
                <w:szCs w:val="17"/>
                <w:lang w:val="en-US"/>
              </w:rPr>
              <w:t>U</w:t>
            </w:r>
            <w:r w:rsidRPr="00B96EEC">
              <w:rPr>
                <w:color w:val="000000"/>
                <w:sz w:val="17"/>
                <w:szCs w:val="17"/>
                <w:lang w:val="en-US"/>
              </w:rPr>
              <w:t>)</w:t>
            </w:r>
          </w:p>
        </w:tc>
        <w:tc>
          <w:tcPr>
            <w:tcW w:w="1114" w:type="dxa"/>
            <w:shd w:val="clear" w:color="auto" w:fill="auto"/>
            <w:noWrap/>
            <w:vAlign w:val="center"/>
            <w:hideMark/>
          </w:tcPr>
          <w:p w14:paraId="71A4D1F7" w14:textId="77777777" w:rsidR="003E30AD" w:rsidRPr="00B96EEC" w:rsidRDefault="003E30AD" w:rsidP="0042484E">
            <w:pPr>
              <w:jc w:val="both"/>
              <w:rPr>
                <w:color w:val="000000" w:themeColor="text1"/>
                <w:sz w:val="17"/>
                <w:szCs w:val="17"/>
                <w:lang w:val="en-US"/>
              </w:rPr>
            </w:pPr>
            <w:r w:rsidRPr="00B96EEC">
              <w:rPr>
                <w:color w:val="000000" w:themeColor="text1"/>
                <w:kern w:val="24"/>
                <w:sz w:val="17"/>
                <w:szCs w:val="17"/>
                <w:lang w:val="en-US"/>
              </w:rPr>
              <w:t>19.75</w:t>
            </w:r>
          </w:p>
        </w:tc>
        <w:tc>
          <w:tcPr>
            <w:tcW w:w="2036" w:type="dxa"/>
            <w:vAlign w:val="center"/>
          </w:tcPr>
          <w:p w14:paraId="5B17DF9F" w14:textId="77777777" w:rsidR="003E30AD" w:rsidRPr="00B96EEC" w:rsidRDefault="003E30AD" w:rsidP="0042484E">
            <w:pPr>
              <w:jc w:val="both"/>
              <w:rPr>
                <w:color w:val="000000" w:themeColor="text1"/>
                <w:sz w:val="17"/>
                <w:szCs w:val="17"/>
                <w:lang w:val="en-US"/>
              </w:rPr>
            </w:pPr>
            <w:r w:rsidRPr="00B96EEC">
              <w:rPr>
                <w:color w:val="000000" w:themeColor="text1"/>
                <w:kern w:val="24"/>
                <w:sz w:val="17"/>
                <w:szCs w:val="17"/>
                <w:lang w:val="en-US"/>
              </w:rPr>
              <w:t>19.75</w:t>
            </w:r>
          </w:p>
        </w:tc>
        <w:tc>
          <w:tcPr>
            <w:tcW w:w="2061" w:type="dxa"/>
            <w:vAlign w:val="center"/>
          </w:tcPr>
          <w:p w14:paraId="3DEAD05F" w14:textId="77777777" w:rsidR="003E30AD" w:rsidRPr="00B96EEC" w:rsidRDefault="003E30AD" w:rsidP="0042484E">
            <w:pPr>
              <w:jc w:val="both"/>
              <w:rPr>
                <w:color w:val="000000" w:themeColor="text1"/>
                <w:sz w:val="17"/>
                <w:szCs w:val="17"/>
                <w:lang w:val="en-US"/>
              </w:rPr>
            </w:pPr>
            <w:r w:rsidRPr="00B96EEC">
              <w:rPr>
                <w:color w:val="000000" w:themeColor="text1"/>
                <w:kern w:val="24"/>
                <w:sz w:val="17"/>
                <w:szCs w:val="17"/>
                <w:lang w:val="en-US"/>
              </w:rPr>
              <w:t>19.75</w:t>
            </w:r>
          </w:p>
        </w:tc>
        <w:tc>
          <w:tcPr>
            <w:tcW w:w="1582" w:type="dxa"/>
            <w:shd w:val="clear" w:color="auto" w:fill="auto"/>
            <w:noWrap/>
            <w:vAlign w:val="center"/>
            <w:hideMark/>
          </w:tcPr>
          <w:p w14:paraId="74489EC8" w14:textId="77777777" w:rsidR="003E30AD" w:rsidRPr="00B96EEC" w:rsidRDefault="003E30AD" w:rsidP="0042484E">
            <w:pPr>
              <w:jc w:val="both"/>
              <w:rPr>
                <w:color w:val="000000" w:themeColor="text1"/>
                <w:sz w:val="17"/>
                <w:szCs w:val="17"/>
                <w:lang w:val="en-US"/>
              </w:rPr>
            </w:pPr>
            <w:r w:rsidRPr="00B96EEC">
              <w:rPr>
                <w:color w:val="000000" w:themeColor="text1"/>
                <w:kern w:val="24"/>
                <w:sz w:val="17"/>
                <w:szCs w:val="17"/>
                <w:lang w:val="en-US"/>
              </w:rPr>
              <w:t>3 to 4.95</w:t>
            </w:r>
          </w:p>
        </w:tc>
      </w:tr>
      <w:tr w:rsidR="004E1181" w:rsidRPr="00B96EEC" w14:paraId="1172A277" w14:textId="77777777" w:rsidTr="004E1181">
        <w:trPr>
          <w:trHeight w:val="285"/>
          <w:jc w:val="center"/>
        </w:trPr>
        <w:tc>
          <w:tcPr>
            <w:tcW w:w="2605" w:type="dxa"/>
            <w:shd w:val="clear" w:color="auto" w:fill="auto"/>
            <w:noWrap/>
            <w:vAlign w:val="center"/>
          </w:tcPr>
          <w:p w14:paraId="230DD4A8" w14:textId="77777777" w:rsidR="003E30AD" w:rsidRPr="00B96EEC" w:rsidRDefault="003E30AD" w:rsidP="0042484E">
            <w:pPr>
              <w:jc w:val="both"/>
              <w:rPr>
                <w:color w:val="000000" w:themeColor="text1"/>
                <w:sz w:val="17"/>
                <w:szCs w:val="17"/>
                <w:lang w:val="en-US"/>
              </w:rPr>
            </w:pPr>
            <w:r w:rsidRPr="00B96EEC">
              <w:rPr>
                <w:color w:val="000000" w:themeColor="text1"/>
                <w:kern w:val="24"/>
                <w:sz w:val="17"/>
                <w:szCs w:val="17"/>
                <w:lang w:val="en-US"/>
              </w:rPr>
              <w:t xml:space="preserve"> </w:t>
            </w:r>
            <w:r w:rsidRPr="00B96EEC">
              <w:rPr>
                <w:sz w:val="17"/>
                <w:szCs w:val="17"/>
                <w:vertAlign w:val="superscript"/>
                <w:lang w:val="en-US"/>
              </w:rPr>
              <w:t>235</w:t>
            </w:r>
            <w:r w:rsidRPr="00B96EEC">
              <w:rPr>
                <w:sz w:val="17"/>
                <w:szCs w:val="17"/>
                <w:lang w:val="en-US"/>
              </w:rPr>
              <w:t>U</w:t>
            </w:r>
            <w:r w:rsidRPr="00B96EEC" w:rsidDel="00F323DB">
              <w:rPr>
                <w:sz w:val="17"/>
                <w:szCs w:val="17"/>
                <w:lang w:val="en-US"/>
              </w:rPr>
              <w:t xml:space="preserve"> </w:t>
            </w:r>
            <w:r w:rsidRPr="00B96EEC">
              <w:rPr>
                <w:color w:val="000000" w:themeColor="text1"/>
                <w:kern w:val="24"/>
                <w:sz w:val="17"/>
                <w:szCs w:val="17"/>
                <w:lang w:val="en-US"/>
              </w:rPr>
              <w:t>(g/cm)</w:t>
            </w:r>
          </w:p>
        </w:tc>
        <w:tc>
          <w:tcPr>
            <w:tcW w:w="1114" w:type="dxa"/>
            <w:shd w:val="clear" w:color="auto" w:fill="auto"/>
            <w:noWrap/>
            <w:vAlign w:val="center"/>
          </w:tcPr>
          <w:p w14:paraId="64A406BF" w14:textId="77777777" w:rsidR="003E30AD" w:rsidRPr="00B96EEC" w:rsidRDefault="003E30AD" w:rsidP="0042484E">
            <w:pPr>
              <w:jc w:val="both"/>
              <w:rPr>
                <w:color w:val="000000" w:themeColor="text1"/>
                <w:kern w:val="24"/>
                <w:sz w:val="17"/>
                <w:szCs w:val="17"/>
                <w:lang w:val="en-US"/>
              </w:rPr>
            </w:pPr>
            <w:r w:rsidRPr="00B96EEC">
              <w:rPr>
                <w:color w:val="000000" w:themeColor="text1"/>
                <w:kern w:val="24"/>
                <w:sz w:val="17"/>
                <w:szCs w:val="17"/>
                <w:lang w:val="en-US"/>
              </w:rPr>
              <w:t>101</w:t>
            </w:r>
          </w:p>
        </w:tc>
        <w:tc>
          <w:tcPr>
            <w:tcW w:w="2036" w:type="dxa"/>
            <w:vAlign w:val="center"/>
          </w:tcPr>
          <w:p w14:paraId="03A3C5CD" w14:textId="77777777" w:rsidR="003E30AD" w:rsidRPr="00B96EEC" w:rsidRDefault="003E30AD" w:rsidP="0042484E">
            <w:pPr>
              <w:jc w:val="both"/>
              <w:rPr>
                <w:color w:val="000000" w:themeColor="text1"/>
                <w:kern w:val="24"/>
                <w:sz w:val="17"/>
                <w:szCs w:val="17"/>
                <w:lang w:val="en-US"/>
              </w:rPr>
            </w:pPr>
            <w:r w:rsidRPr="00B96EEC">
              <w:rPr>
                <w:color w:val="000000" w:themeColor="text1"/>
                <w:kern w:val="24"/>
                <w:sz w:val="17"/>
                <w:szCs w:val="17"/>
                <w:lang w:val="en-US"/>
              </w:rPr>
              <w:t>23</w:t>
            </w:r>
          </w:p>
        </w:tc>
        <w:tc>
          <w:tcPr>
            <w:tcW w:w="2061" w:type="dxa"/>
            <w:vAlign w:val="center"/>
          </w:tcPr>
          <w:p w14:paraId="3CE7F8FA" w14:textId="77777777" w:rsidR="003E30AD" w:rsidRPr="00B96EEC" w:rsidRDefault="003E30AD" w:rsidP="0042484E">
            <w:pPr>
              <w:jc w:val="both"/>
              <w:rPr>
                <w:color w:val="000000" w:themeColor="text1"/>
                <w:kern w:val="24"/>
                <w:sz w:val="17"/>
                <w:szCs w:val="17"/>
                <w:lang w:val="en-US"/>
              </w:rPr>
            </w:pPr>
            <w:r w:rsidRPr="00B96EEC">
              <w:rPr>
                <w:color w:val="000000" w:themeColor="text1"/>
                <w:kern w:val="24"/>
                <w:sz w:val="17"/>
                <w:szCs w:val="17"/>
                <w:lang w:val="en-US"/>
              </w:rPr>
              <w:t>15</w:t>
            </w:r>
          </w:p>
        </w:tc>
        <w:tc>
          <w:tcPr>
            <w:tcW w:w="1582" w:type="dxa"/>
            <w:shd w:val="clear" w:color="auto" w:fill="auto"/>
            <w:noWrap/>
            <w:vAlign w:val="center"/>
          </w:tcPr>
          <w:p w14:paraId="2A476ECE" w14:textId="77777777" w:rsidR="003E30AD" w:rsidRPr="00B96EEC" w:rsidRDefault="003E30AD" w:rsidP="0042484E">
            <w:pPr>
              <w:jc w:val="both"/>
              <w:rPr>
                <w:color w:val="000000" w:themeColor="text1"/>
                <w:kern w:val="24"/>
                <w:sz w:val="17"/>
                <w:szCs w:val="17"/>
                <w:lang w:val="en-US"/>
              </w:rPr>
            </w:pPr>
            <w:r w:rsidRPr="00B96EEC">
              <w:rPr>
                <w:color w:val="000000" w:themeColor="text1"/>
                <w:kern w:val="24"/>
                <w:sz w:val="17"/>
                <w:szCs w:val="17"/>
                <w:lang w:val="en-US"/>
              </w:rPr>
              <w:t>39 to 64</w:t>
            </w:r>
          </w:p>
        </w:tc>
      </w:tr>
    </w:tbl>
    <w:p w14:paraId="75CF6999" w14:textId="78DC23FB" w:rsidR="003E30AD" w:rsidRPr="00B96EEC" w:rsidRDefault="003E30AD" w:rsidP="0042484E">
      <w:pPr>
        <w:jc w:val="both"/>
        <w:rPr>
          <w:sz w:val="18"/>
          <w:szCs w:val="18"/>
          <w:lang w:val="en-US"/>
        </w:rPr>
      </w:pPr>
      <w:r w:rsidRPr="00B96EEC">
        <w:rPr>
          <w:sz w:val="18"/>
          <w:szCs w:val="18"/>
          <w:vertAlign w:val="superscript"/>
          <w:lang w:val="en-US"/>
        </w:rPr>
        <w:lastRenderedPageBreak/>
        <w:t>a</w:t>
      </w:r>
      <w:r w:rsidRPr="00B96EEC">
        <w:rPr>
          <w:sz w:val="18"/>
          <w:szCs w:val="18"/>
          <w:lang w:val="en-US"/>
        </w:rPr>
        <w:t xml:space="preserve">Note: A generic metal fuel bundle </w:t>
      </w:r>
      <w:r w:rsidR="000B32F0" w:rsidRPr="00B96EEC">
        <w:rPr>
          <w:sz w:val="18"/>
          <w:szCs w:val="18"/>
          <w:lang w:val="en-US"/>
        </w:rPr>
        <w:t xml:space="preserve">was </w:t>
      </w:r>
      <w:r w:rsidRPr="00B96EEC">
        <w:rPr>
          <w:sz w:val="18"/>
          <w:szCs w:val="18"/>
          <w:lang w:val="en-US"/>
        </w:rPr>
        <w:t>modeled in this work because specific fuel design information for fast reactors being developed by Terra Power or Oklo Inc. is not publicly available.</w:t>
      </w:r>
    </w:p>
    <w:p w14:paraId="40E1BC14" w14:textId="77777777" w:rsidR="003E30AD" w:rsidRPr="00B96EEC" w:rsidRDefault="003E30AD" w:rsidP="0042484E">
      <w:pPr>
        <w:keepNext/>
        <w:jc w:val="both"/>
        <w:rPr>
          <w:sz w:val="20"/>
          <w:lang w:val="en-US"/>
        </w:rPr>
      </w:pPr>
      <w:r w:rsidRPr="00B96EEC">
        <w:rPr>
          <w:noProof/>
          <w:sz w:val="20"/>
          <w:lang w:val="en-US"/>
        </w:rPr>
        <w:drawing>
          <wp:inline distT="0" distB="0" distL="0" distR="0" wp14:anchorId="4DB3C09C" wp14:editId="5554782E">
            <wp:extent cx="2617966" cy="1884783"/>
            <wp:effectExtent l="0" t="0" r="0" b="0"/>
            <wp:docPr id="200680890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08901" name="Picture 1" descr="Chart, line chart&#10;&#10;Description automatically generated"/>
                    <pic:cNvPicPr/>
                  </pic:nvPicPr>
                  <pic:blipFill>
                    <a:blip r:embed="rId21"/>
                    <a:stretch>
                      <a:fillRect/>
                    </a:stretch>
                  </pic:blipFill>
                  <pic:spPr>
                    <a:xfrm>
                      <a:off x="0" y="0"/>
                      <a:ext cx="2720939" cy="1958917"/>
                    </a:xfrm>
                    <a:prstGeom prst="rect">
                      <a:avLst/>
                    </a:prstGeom>
                  </pic:spPr>
                </pic:pic>
              </a:graphicData>
            </a:graphic>
          </wp:inline>
        </w:drawing>
      </w:r>
      <w:r w:rsidRPr="00B96EEC">
        <w:rPr>
          <w:sz w:val="20"/>
          <w:lang w:val="en-US"/>
        </w:rPr>
        <w:t xml:space="preserve">    </w:t>
      </w:r>
      <w:r w:rsidRPr="00B96EEC">
        <w:rPr>
          <w:noProof/>
          <w:sz w:val="20"/>
          <w:lang w:val="en-US"/>
        </w:rPr>
        <w:drawing>
          <wp:inline distT="0" distB="0" distL="0" distR="0" wp14:anchorId="4CD8DB81" wp14:editId="3669CF89">
            <wp:extent cx="1152250" cy="1746819"/>
            <wp:effectExtent l="0" t="0" r="3810" b="6350"/>
            <wp:docPr id="1101245063" name="Picture 110124506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rotWithShape="1">
                    <a:blip r:embed="rId22" cstate="print">
                      <a:extLst>
                        <a:ext uri="{28A0092B-C50C-407E-A947-70E740481C1C}">
                          <a14:useLocalDpi xmlns:a14="http://schemas.microsoft.com/office/drawing/2010/main" val="0"/>
                        </a:ext>
                      </a:extLst>
                    </a:blip>
                    <a:srcRect l="16573" t="16733" r="57697" b="16967"/>
                    <a:stretch/>
                  </pic:blipFill>
                  <pic:spPr bwMode="auto">
                    <a:xfrm>
                      <a:off x="0" y="0"/>
                      <a:ext cx="1244543" cy="1886737"/>
                    </a:xfrm>
                    <a:prstGeom prst="rect">
                      <a:avLst/>
                    </a:prstGeom>
                    <a:ln>
                      <a:noFill/>
                    </a:ln>
                    <a:extLst>
                      <a:ext uri="{53640926-AAD7-44D8-BBD7-CCE9431645EC}">
                        <a14:shadowObscured xmlns:a14="http://schemas.microsoft.com/office/drawing/2010/main"/>
                      </a:ext>
                    </a:extLst>
                  </pic:spPr>
                </pic:pic>
              </a:graphicData>
            </a:graphic>
          </wp:inline>
        </w:drawing>
      </w:r>
      <w:r w:rsidRPr="00B96EEC">
        <w:rPr>
          <w:sz w:val="20"/>
          <w:lang w:val="en-US"/>
        </w:rPr>
        <w:t xml:space="preserve">   </w:t>
      </w:r>
      <w:r w:rsidRPr="00B96EEC">
        <w:rPr>
          <w:noProof/>
          <w:sz w:val="20"/>
          <w:lang w:val="en-US"/>
        </w:rPr>
        <w:drawing>
          <wp:inline distT="0" distB="0" distL="0" distR="0" wp14:anchorId="144B9549" wp14:editId="32AAD52E">
            <wp:extent cx="1728375" cy="2114757"/>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rotWithShape="1">
                    <a:blip r:embed="rId23" cstate="print">
                      <a:extLst>
                        <a:ext uri="{28A0092B-C50C-407E-A947-70E740481C1C}">
                          <a14:useLocalDpi xmlns:a14="http://schemas.microsoft.com/office/drawing/2010/main" val="0"/>
                        </a:ext>
                      </a:extLst>
                    </a:blip>
                    <a:srcRect l="14367" t="15283" r="56158" b="23411"/>
                    <a:stretch/>
                  </pic:blipFill>
                  <pic:spPr bwMode="auto">
                    <a:xfrm>
                      <a:off x="0" y="0"/>
                      <a:ext cx="1745249" cy="2135404"/>
                    </a:xfrm>
                    <a:prstGeom prst="rect">
                      <a:avLst/>
                    </a:prstGeom>
                    <a:ln>
                      <a:noFill/>
                    </a:ln>
                    <a:extLst>
                      <a:ext uri="{53640926-AAD7-44D8-BBD7-CCE9431645EC}">
                        <a14:shadowObscured xmlns:a14="http://schemas.microsoft.com/office/drawing/2010/main"/>
                      </a:ext>
                    </a:extLst>
                  </pic:spPr>
                </pic:pic>
              </a:graphicData>
            </a:graphic>
          </wp:inline>
        </w:drawing>
      </w:r>
    </w:p>
    <w:p w14:paraId="390574A0" w14:textId="346550EF" w:rsidR="00150FA9" w:rsidRPr="00B96EEC" w:rsidRDefault="00150FA9" w:rsidP="0042484E">
      <w:pPr>
        <w:jc w:val="both"/>
        <w:rPr>
          <w:sz w:val="20"/>
          <w:lang w:val="en-US"/>
        </w:rPr>
      </w:pPr>
      <w:bookmarkStart w:id="30" w:name="_Ref166887139"/>
      <w:r w:rsidRPr="00B96EEC">
        <w:rPr>
          <w:sz w:val="20"/>
          <w:lang w:val="en-US"/>
        </w:rPr>
        <w:t xml:space="preserve">Figure </w:t>
      </w:r>
      <w:r w:rsidRPr="00B96EEC">
        <w:rPr>
          <w:b/>
          <w:sz w:val="20"/>
          <w:lang w:val="en-US"/>
        </w:rPr>
        <w:fldChar w:fldCharType="begin"/>
      </w:r>
      <w:r w:rsidRPr="00B96EEC">
        <w:rPr>
          <w:sz w:val="20"/>
          <w:lang w:val="en-US"/>
        </w:rPr>
        <w:instrText xml:space="preserve"> SEQ Figure \* ARABIC </w:instrText>
      </w:r>
      <w:r w:rsidRPr="00B96EEC">
        <w:rPr>
          <w:b/>
          <w:sz w:val="20"/>
          <w:lang w:val="en-US"/>
        </w:rPr>
        <w:fldChar w:fldCharType="separate"/>
      </w:r>
      <w:r w:rsidR="00B90BAC" w:rsidRPr="00B96EEC">
        <w:rPr>
          <w:sz w:val="20"/>
          <w:lang w:val="en-US"/>
        </w:rPr>
        <w:t>6</w:t>
      </w:r>
      <w:r w:rsidRPr="00B96EEC">
        <w:rPr>
          <w:b/>
          <w:sz w:val="20"/>
          <w:lang w:val="en-US"/>
        </w:rPr>
        <w:fldChar w:fldCharType="end"/>
      </w:r>
      <w:bookmarkEnd w:id="30"/>
      <w:r w:rsidRPr="00B96EEC">
        <w:rPr>
          <w:sz w:val="20"/>
          <w:lang w:val="en-US"/>
        </w:rPr>
        <w:t xml:space="preserve">. (Left) </w:t>
      </w:r>
      <w:r w:rsidR="007546D7" w:rsidRPr="00B96EEC">
        <w:rPr>
          <w:sz w:val="20"/>
          <w:lang w:val="en-US"/>
        </w:rPr>
        <w:t>T</w:t>
      </w:r>
      <w:r w:rsidRPr="00B96EEC">
        <w:rPr>
          <w:sz w:val="20"/>
          <w:lang w:val="en-US"/>
        </w:rPr>
        <w:t xml:space="preserve">he </w:t>
      </w:r>
      <w:r w:rsidRPr="00B96EEC">
        <w:rPr>
          <w:sz w:val="20"/>
          <w:vertAlign w:val="superscript"/>
          <w:lang w:val="en-US"/>
        </w:rPr>
        <w:t>235</w:t>
      </w:r>
      <w:r w:rsidRPr="00B96EEC">
        <w:rPr>
          <w:sz w:val="20"/>
          <w:lang w:val="en-US"/>
        </w:rPr>
        <w:t xml:space="preserve">U loading per unit length in the AR fuel elements compared to that of a PWR assembly; comparison of the overall dimensions: (middle) between a metal fuel bundle and a PWR assembly, (right) between a BANR graphite fuel block and a PWR assembly.  </w:t>
      </w:r>
    </w:p>
    <w:p w14:paraId="4D6F4C66" w14:textId="4875CB60" w:rsidR="004E1181" w:rsidRPr="00B96EEC" w:rsidRDefault="00E73874" w:rsidP="0042484E">
      <w:pPr>
        <w:pStyle w:val="Heading3"/>
        <w:numPr>
          <w:ilvl w:val="1"/>
          <w:numId w:val="15"/>
        </w:numPr>
        <w:jc w:val="both"/>
        <w:rPr>
          <w:lang w:val="en-US"/>
        </w:rPr>
      </w:pPr>
      <w:r w:rsidRPr="00B96EEC">
        <w:rPr>
          <w:lang w:val="en-US"/>
        </w:rPr>
        <w:t xml:space="preserve">Modeling Results of </w:t>
      </w:r>
      <w:r w:rsidR="004E1181" w:rsidRPr="00B96EEC">
        <w:rPr>
          <w:lang w:val="en-US"/>
        </w:rPr>
        <w:t xml:space="preserve">UNCL and FNCL </w:t>
      </w:r>
    </w:p>
    <w:p w14:paraId="221CDC10" w14:textId="08D0ED3A" w:rsidR="00B90BAC" w:rsidRPr="00B96EEC" w:rsidRDefault="006860DF" w:rsidP="0042484E">
      <w:pPr>
        <w:pStyle w:val="BlockText"/>
        <w:spacing w:after="0"/>
        <w:ind w:firstLine="360"/>
        <w:jc w:val="both"/>
        <w:rPr>
          <w:sz w:val="20"/>
          <w:szCs w:val="20"/>
        </w:rPr>
      </w:pPr>
      <w:r>
        <w:rPr>
          <w:sz w:val="20"/>
          <w:szCs w:val="20"/>
        </w:rPr>
        <w:t xml:space="preserve">The </w:t>
      </w:r>
      <w:r w:rsidR="00F15AFD" w:rsidRPr="00B96EEC">
        <w:rPr>
          <w:sz w:val="20"/>
          <w:szCs w:val="20"/>
        </w:rPr>
        <w:t xml:space="preserve">UNCL has been </w:t>
      </w:r>
      <w:r w:rsidR="004E4C48">
        <w:rPr>
          <w:sz w:val="20"/>
          <w:szCs w:val="20"/>
        </w:rPr>
        <w:t xml:space="preserve">the </w:t>
      </w:r>
      <w:r w:rsidR="00F15AFD" w:rsidRPr="00B96EEC">
        <w:rPr>
          <w:sz w:val="20"/>
          <w:szCs w:val="20"/>
        </w:rPr>
        <w:t xml:space="preserve">IAEA’s main instrument to verify the fissile content (i.e., amount of </w:t>
      </w:r>
      <w:r w:rsidR="00F15AFD" w:rsidRPr="00B96EEC">
        <w:rPr>
          <w:sz w:val="20"/>
          <w:szCs w:val="20"/>
          <w:vertAlign w:val="superscript"/>
        </w:rPr>
        <w:t>235</w:t>
      </w:r>
      <w:r w:rsidR="00F15AFD" w:rsidRPr="00B96EEC">
        <w:rPr>
          <w:sz w:val="20"/>
          <w:szCs w:val="20"/>
        </w:rPr>
        <w:t xml:space="preserve">U) in a fresh LWR </w:t>
      </w:r>
      <w:r w:rsidR="004E4C48">
        <w:rPr>
          <w:sz w:val="20"/>
          <w:szCs w:val="20"/>
        </w:rPr>
        <w:t xml:space="preserve">fuel </w:t>
      </w:r>
      <w:r w:rsidR="00F15AFD" w:rsidRPr="00B96EEC">
        <w:rPr>
          <w:sz w:val="20"/>
          <w:szCs w:val="20"/>
        </w:rPr>
        <w:t xml:space="preserve">assembly for safeguards verifications. </w:t>
      </w:r>
      <w:r w:rsidR="003548D3">
        <w:rPr>
          <w:sz w:val="20"/>
          <w:szCs w:val="20"/>
        </w:rPr>
        <w:t xml:space="preserve">An </w:t>
      </w:r>
      <w:proofErr w:type="spellStart"/>
      <w:r w:rsidR="00F15AFD" w:rsidRPr="00B96EEC">
        <w:rPr>
          <w:color w:val="000000" w:themeColor="text1"/>
          <w:sz w:val="20"/>
          <w:szCs w:val="20"/>
        </w:rPr>
        <w:t>AmLi</w:t>
      </w:r>
      <w:proofErr w:type="spellEnd"/>
      <w:r w:rsidR="00F15AFD" w:rsidRPr="00B96EEC">
        <w:rPr>
          <w:color w:val="000000" w:themeColor="text1"/>
          <w:sz w:val="20"/>
          <w:szCs w:val="20"/>
        </w:rPr>
        <w:t xml:space="preserve"> neutron source is typically used in an UNCL to induce fissions in the assembly</w:t>
      </w:r>
      <w:r w:rsidR="00ED1F1A" w:rsidRPr="00B96EEC">
        <w:rPr>
          <w:color w:val="000000" w:themeColor="text1"/>
          <w:sz w:val="20"/>
          <w:szCs w:val="20"/>
        </w:rPr>
        <w:t>,</w:t>
      </w:r>
      <w:r w:rsidR="00F15AFD" w:rsidRPr="00B96EEC">
        <w:rPr>
          <w:color w:val="000000" w:themeColor="text1"/>
          <w:sz w:val="20"/>
          <w:szCs w:val="20"/>
        </w:rPr>
        <w:t xml:space="preserve"> and the coincident neutrons from the fissions are detected by the </w:t>
      </w:r>
      <w:r w:rsidR="00B4087D" w:rsidRPr="0087118A">
        <w:rPr>
          <w:sz w:val="20"/>
          <w:szCs w:val="20"/>
          <w:vertAlign w:val="superscript"/>
        </w:rPr>
        <w:t>3</w:t>
      </w:r>
      <w:r w:rsidR="00F15AFD" w:rsidRPr="00B96EEC">
        <w:rPr>
          <w:sz w:val="20"/>
          <w:szCs w:val="20"/>
        </w:rPr>
        <w:t xml:space="preserve">He tubes in the instrument. To reduce the impact of burnable poisons (e.g., Gd) in the assembly on the coincident neutron counts, the IAEA has </w:t>
      </w:r>
      <w:r w:rsidR="001454E4" w:rsidRPr="00B96EEC">
        <w:rPr>
          <w:sz w:val="20"/>
          <w:szCs w:val="20"/>
        </w:rPr>
        <w:t xml:space="preserve">recently </w:t>
      </w:r>
      <w:r w:rsidR="00F15AFD" w:rsidRPr="00B96EEC">
        <w:rPr>
          <w:sz w:val="20"/>
          <w:szCs w:val="20"/>
        </w:rPr>
        <w:t xml:space="preserve">tested and approved the use of </w:t>
      </w:r>
      <w:r w:rsidR="00B8039F">
        <w:rPr>
          <w:sz w:val="20"/>
          <w:szCs w:val="20"/>
        </w:rPr>
        <w:t xml:space="preserve">the </w:t>
      </w:r>
      <w:r w:rsidR="00F15AFD" w:rsidRPr="00B96EEC">
        <w:rPr>
          <w:sz w:val="20"/>
          <w:szCs w:val="20"/>
        </w:rPr>
        <w:t xml:space="preserve">FNCL to verify fresh LWR assemblies. </w:t>
      </w:r>
      <w:r w:rsidR="00B8039F">
        <w:rPr>
          <w:sz w:val="20"/>
          <w:szCs w:val="20"/>
        </w:rPr>
        <w:t xml:space="preserve">The </w:t>
      </w:r>
      <w:r w:rsidR="00F15AFD" w:rsidRPr="00B96EEC">
        <w:rPr>
          <w:sz w:val="20"/>
          <w:szCs w:val="20"/>
        </w:rPr>
        <w:t xml:space="preserve">FNCL uses 12 panels of liquid scintillators to detect fast neutrons from the induced fissions in the assembly </w:t>
      </w:r>
      <w:r w:rsidR="00BF5D22" w:rsidRPr="00B96EEC">
        <w:rPr>
          <w:sz w:val="20"/>
          <w:szCs w:val="20"/>
        </w:rPr>
        <w:t xml:space="preserve">generated </w:t>
      </w:r>
      <w:r w:rsidR="00F15AFD" w:rsidRPr="00B96EEC">
        <w:rPr>
          <w:sz w:val="20"/>
          <w:szCs w:val="20"/>
        </w:rPr>
        <w:t xml:space="preserve">by two </w:t>
      </w:r>
      <w:proofErr w:type="spellStart"/>
      <w:r w:rsidR="00F15AFD" w:rsidRPr="00B96EEC">
        <w:rPr>
          <w:sz w:val="20"/>
          <w:szCs w:val="20"/>
        </w:rPr>
        <w:t>AmLi</w:t>
      </w:r>
      <w:proofErr w:type="spellEnd"/>
      <w:r w:rsidR="00F15AFD" w:rsidRPr="00B96EEC">
        <w:rPr>
          <w:sz w:val="20"/>
          <w:szCs w:val="20"/>
        </w:rPr>
        <w:t xml:space="preserve"> sources or a D</w:t>
      </w:r>
      <w:r w:rsidR="00C452EF" w:rsidRPr="00B96EEC">
        <w:rPr>
          <w:sz w:val="20"/>
          <w:szCs w:val="20"/>
        </w:rPr>
        <w:t>–</w:t>
      </w:r>
      <w:r w:rsidR="00F15AFD" w:rsidRPr="00B96EEC">
        <w:rPr>
          <w:sz w:val="20"/>
          <w:szCs w:val="20"/>
        </w:rPr>
        <w:t xml:space="preserve">D neutron generator. </w:t>
      </w:r>
      <w:r w:rsidR="000936C3" w:rsidRPr="00B96EEC">
        <w:rPr>
          <w:sz w:val="20"/>
          <w:szCs w:val="20"/>
        </w:rPr>
        <w:t xml:space="preserve">The UNCL employed in this study was based on UNCL-II </w:t>
      </w:r>
      <w:sdt>
        <w:sdtPr>
          <w:rPr>
            <w:color w:val="000000" w:themeColor="text1"/>
            <w:sz w:val="20"/>
            <w:szCs w:val="20"/>
          </w:rPr>
          <w:id w:val="-686297018"/>
          <w:citation/>
        </w:sdtPr>
        <w:sdtEndPr/>
        <w:sdtContent>
          <w:r w:rsidR="000936C3" w:rsidRPr="00B96EEC">
            <w:rPr>
              <w:color w:val="000000" w:themeColor="text1"/>
              <w:sz w:val="20"/>
              <w:szCs w:val="20"/>
            </w:rPr>
            <w:fldChar w:fldCharType="begin"/>
          </w:r>
          <w:r w:rsidR="000936C3" w:rsidRPr="00B96EEC">
            <w:rPr>
              <w:color w:val="000000" w:themeColor="text1"/>
              <w:sz w:val="20"/>
              <w:szCs w:val="20"/>
            </w:rPr>
            <w:instrText xml:space="preserve">CITATION Men90 \l 1033 </w:instrText>
          </w:r>
          <w:r w:rsidR="000936C3" w:rsidRPr="00B96EEC">
            <w:rPr>
              <w:color w:val="000000" w:themeColor="text1"/>
              <w:sz w:val="20"/>
              <w:szCs w:val="20"/>
            </w:rPr>
            <w:fldChar w:fldCharType="separate"/>
          </w:r>
          <w:r w:rsidR="00B90BAC" w:rsidRPr="00B96EEC">
            <w:rPr>
              <w:color w:val="000000" w:themeColor="text1"/>
              <w:sz w:val="20"/>
              <w:szCs w:val="20"/>
            </w:rPr>
            <w:t>[2]</w:t>
          </w:r>
          <w:r w:rsidR="000936C3" w:rsidRPr="00B96EEC">
            <w:rPr>
              <w:color w:val="000000" w:themeColor="text1"/>
              <w:sz w:val="20"/>
              <w:szCs w:val="20"/>
            </w:rPr>
            <w:fldChar w:fldCharType="end"/>
          </w:r>
        </w:sdtContent>
      </w:sdt>
      <w:r w:rsidR="000936C3" w:rsidRPr="00B96EEC">
        <w:rPr>
          <w:sz w:val="20"/>
          <w:szCs w:val="20"/>
        </w:rPr>
        <w:t xml:space="preserve">. Both UNCL and FNCL were simulated with two </w:t>
      </w:r>
      <w:proofErr w:type="spellStart"/>
      <w:r w:rsidR="000936C3" w:rsidRPr="00B96EEC">
        <w:rPr>
          <w:color w:val="000000" w:themeColor="text1"/>
          <w:sz w:val="20"/>
          <w:szCs w:val="20"/>
        </w:rPr>
        <w:t>AmLi</w:t>
      </w:r>
      <w:proofErr w:type="spellEnd"/>
      <w:r w:rsidR="007063E2">
        <w:rPr>
          <w:color w:val="000000" w:themeColor="text1"/>
          <w:sz w:val="20"/>
          <w:szCs w:val="20"/>
        </w:rPr>
        <w:t xml:space="preserve"> sources</w:t>
      </w:r>
      <w:r w:rsidR="000936C3" w:rsidRPr="00B96EEC">
        <w:rPr>
          <w:color w:val="000000" w:themeColor="text1"/>
          <w:sz w:val="20"/>
          <w:szCs w:val="20"/>
        </w:rPr>
        <w:t xml:space="preserve"> (total strength of 1 × 10</w:t>
      </w:r>
      <w:r w:rsidR="000936C3" w:rsidRPr="00B96EEC">
        <w:rPr>
          <w:color w:val="000000" w:themeColor="text1"/>
          <w:sz w:val="20"/>
          <w:szCs w:val="20"/>
          <w:vertAlign w:val="superscript"/>
        </w:rPr>
        <w:t>5</w:t>
      </w:r>
      <w:r w:rsidR="000936C3" w:rsidRPr="00B96EEC">
        <w:rPr>
          <w:color w:val="000000" w:themeColor="text1"/>
          <w:sz w:val="20"/>
          <w:szCs w:val="20"/>
        </w:rPr>
        <w:t xml:space="preserve"> n/s) </w:t>
      </w:r>
      <w:sdt>
        <w:sdtPr>
          <w:rPr>
            <w:color w:val="000000" w:themeColor="text1"/>
            <w:sz w:val="20"/>
            <w:szCs w:val="20"/>
          </w:rPr>
          <w:id w:val="-1644875277"/>
          <w:citation/>
        </w:sdtPr>
        <w:sdtEndPr/>
        <w:sdtContent>
          <w:r w:rsidR="000936C3" w:rsidRPr="00B96EEC">
            <w:rPr>
              <w:color w:val="000000" w:themeColor="text1"/>
              <w:sz w:val="20"/>
              <w:szCs w:val="20"/>
            </w:rPr>
            <w:fldChar w:fldCharType="begin"/>
          </w:r>
          <w:r w:rsidR="000936C3" w:rsidRPr="00B96EEC">
            <w:rPr>
              <w:color w:val="000000" w:themeColor="text1"/>
              <w:sz w:val="20"/>
              <w:szCs w:val="20"/>
            </w:rPr>
            <w:instrText xml:space="preserve">CITATION Men90 \l 1033 </w:instrText>
          </w:r>
          <w:r w:rsidR="000936C3" w:rsidRPr="00B96EEC">
            <w:rPr>
              <w:color w:val="000000" w:themeColor="text1"/>
              <w:sz w:val="20"/>
              <w:szCs w:val="20"/>
            </w:rPr>
            <w:fldChar w:fldCharType="separate"/>
          </w:r>
          <w:r w:rsidR="00B90BAC" w:rsidRPr="00B96EEC">
            <w:rPr>
              <w:color w:val="000000" w:themeColor="text1"/>
              <w:sz w:val="20"/>
              <w:szCs w:val="20"/>
            </w:rPr>
            <w:t>[2]</w:t>
          </w:r>
          <w:r w:rsidR="000936C3" w:rsidRPr="00B96EEC">
            <w:rPr>
              <w:color w:val="000000" w:themeColor="text1"/>
              <w:sz w:val="20"/>
              <w:szCs w:val="20"/>
            </w:rPr>
            <w:fldChar w:fldCharType="end"/>
          </w:r>
        </w:sdtContent>
      </w:sdt>
      <w:r w:rsidR="000936C3" w:rsidRPr="00B96EEC">
        <w:rPr>
          <w:color w:val="000000" w:themeColor="text1"/>
          <w:sz w:val="20"/>
          <w:szCs w:val="20"/>
        </w:rPr>
        <w:t xml:space="preserve"> or a D–D neutron generator (total strength of 2 × 10</w:t>
      </w:r>
      <w:r w:rsidR="000936C3" w:rsidRPr="00B96EEC">
        <w:rPr>
          <w:color w:val="000000" w:themeColor="text1"/>
          <w:sz w:val="20"/>
          <w:szCs w:val="20"/>
          <w:vertAlign w:val="superscript"/>
        </w:rPr>
        <w:t>6</w:t>
      </w:r>
      <w:r w:rsidR="000936C3" w:rsidRPr="00B96EEC">
        <w:rPr>
          <w:color w:val="000000" w:themeColor="text1"/>
          <w:sz w:val="20"/>
          <w:szCs w:val="20"/>
        </w:rPr>
        <w:t xml:space="preserve"> n/s) [5, 6] in this work for all fuel “assembly” types listed in</w:t>
      </w:r>
      <w:r w:rsidR="00A804B1" w:rsidRPr="00B96EEC">
        <w:rPr>
          <w:sz w:val="20"/>
          <w:szCs w:val="20"/>
        </w:rPr>
        <w:t xml:space="preserve"> </w:t>
      </w:r>
      <w:r w:rsidR="00B90BAC" w:rsidRPr="00B96EEC">
        <w:rPr>
          <w:sz w:val="20"/>
          <w:szCs w:val="20"/>
        </w:rPr>
        <w:fldChar w:fldCharType="begin"/>
      </w:r>
      <w:r w:rsidR="00B90BAC" w:rsidRPr="00B96EEC">
        <w:rPr>
          <w:sz w:val="20"/>
          <w:szCs w:val="20"/>
        </w:rPr>
        <w:instrText xml:space="preserve"> REF _Ref166887800 \h </w:instrText>
      </w:r>
      <w:r w:rsidR="0042484E">
        <w:rPr>
          <w:sz w:val="20"/>
          <w:szCs w:val="20"/>
        </w:rPr>
        <w:instrText xml:space="preserve"> \* MERGEFORMAT </w:instrText>
      </w:r>
      <w:r w:rsidR="00B90BAC" w:rsidRPr="00B96EEC">
        <w:rPr>
          <w:sz w:val="20"/>
          <w:szCs w:val="20"/>
        </w:rPr>
      </w:r>
      <w:r w:rsidR="00B90BAC" w:rsidRPr="00B96EEC">
        <w:rPr>
          <w:sz w:val="20"/>
          <w:szCs w:val="20"/>
        </w:rPr>
        <w:fldChar w:fldCharType="separate"/>
      </w:r>
      <w:r w:rsidR="00B90BAC" w:rsidRPr="00B96EEC">
        <w:rPr>
          <w:sz w:val="20"/>
          <w:szCs w:val="20"/>
        </w:rPr>
        <w:t>Table 3</w:t>
      </w:r>
      <w:r w:rsidR="00B90BAC" w:rsidRPr="00B96EEC">
        <w:rPr>
          <w:sz w:val="20"/>
          <w:szCs w:val="20"/>
        </w:rPr>
        <w:fldChar w:fldCharType="end"/>
      </w:r>
      <w:r w:rsidR="00B90BAC" w:rsidRPr="00B96EEC">
        <w:rPr>
          <w:sz w:val="20"/>
          <w:szCs w:val="20"/>
        </w:rPr>
        <w:t>.</w:t>
      </w:r>
    </w:p>
    <w:p w14:paraId="3C1037FD" w14:textId="0EA0DB0A" w:rsidR="000936C3" w:rsidRPr="00B96EEC" w:rsidRDefault="00283CC9" w:rsidP="0042484E">
      <w:pPr>
        <w:pStyle w:val="BlockText"/>
        <w:spacing w:after="0"/>
        <w:ind w:firstLine="360"/>
        <w:jc w:val="both"/>
        <w:rPr>
          <w:sz w:val="20"/>
          <w:szCs w:val="20"/>
        </w:rPr>
      </w:pPr>
      <w:r w:rsidRPr="00B96EEC">
        <w:rPr>
          <w:sz w:val="20"/>
          <w:szCs w:val="20"/>
        </w:rPr>
        <w:t xml:space="preserve">As an example, </w:t>
      </w:r>
      <w:r w:rsidRPr="00B96EEC">
        <w:rPr>
          <w:sz w:val="20"/>
          <w:szCs w:val="20"/>
        </w:rPr>
        <w:fldChar w:fldCharType="begin"/>
      </w:r>
      <w:r w:rsidRPr="006C386C">
        <w:rPr>
          <w:sz w:val="20"/>
          <w:szCs w:val="20"/>
        </w:rPr>
        <w:instrText xml:space="preserve"> REF _Ref166763614 \h </w:instrText>
      </w:r>
      <w:r w:rsidR="001C0ABA" w:rsidRPr="006C386C">
        <w:rPr>
          <w:sz w:val="20"/>
          <w:szCs w:val="20"/>
        </w:rPr>
        <w:instrText xml:space="preserve"> \* MERGEFORMAT </w:instrText>
      </w:r>
      <w:r w:rsidRPr="00B96EEC">
        <w:rPr>
          <w:sz w:val="20"/>
          <w:szCs w:val="20"/>
        </w:rPr>
      </w:r>
      <w:r w:rsidRPr="00B96EEC">
        <w:rPr>
          <w:sz w:val="20"/>
          <w:szCs w:val="20"/>
        </w:rPr>
        <w:fldChar w:fldCharType="separate"/>
      </w:r>
      <w:r w:rsidR="00B90BAC" w:rsidRPr="00FD3842">
        <w:rPr>
          <w:sz w:val="20"/>
          <w:szCs w:val="20"/>
        </w:rPr>
        <w:t>Figure</w:t>
      </w:r>
      <w:r w:rsidR="00B90BAC" w:rsidRPr="00B96EEC">
        <w:rPr>
          <w:sz w:val="18"/>
          <w:szCs w:val="18"/>
        </w:rPr>
        <w:t xml:space="preserve"> 7</w:t>
      </w:r>
      <w:r w:rsidRPr="00B96EEC">
        <w:rPr>
          <w:sz w:val="20"/>
          <w:szCs w:val="20"/>
        </w:rPr>
        <w:fldChar w:fldCharType="end"/>
      </w:r>
      <w:r w:rsidRPr="00B96EEC">
        <w:rPr>
          <w:sz w:val="20"/>
          <w:szCs w:val="20"/>
        </w:rPr>
        <w:t xml:space="preserve"> shows four MCNP models for a BANR graphite fuel block. Both UNCL-II and FNCL were enlarged to accommodate the larger overall dimension</w:t>
      </w:r>
      <w:r w:rsidR="0039221C" w:rsidRPr="00B96EEC">
        <w:rPr>
          <w:sz w:val="20"/>
          <w:szCs w:val="20"/>
        </w:rPr>
        <w:t>s</w:t>
      </w:r>
      <w:r w:rsidRPr="00B96EEC">
        <w:rPr>
          <w:sz w:val="20"/>
          <w:szCs w:val="20"/>
        </w:rPr>
        <w:t xml:space="preserve"> of the BANR block </w:t>
      </w:r>
      <w:r w:rsidR="0039221C" w:rsidRPr="00B96EEC">
        <w:rPr>
          <w:sz w:val="20"/>
          <w:szCs w:val="20"/>
        </w:rPr>
        <w:t xml:space="preserve">compared with </w:t>
      </w:r>
      <w:r w:rsidRPr="00B96EEC">
        <w:rPr>
          <w:sz w:val="20"/>
          <w:szCs w:val="20"/>
        </w:rPr>
        <w:t xml:space="preserve">those of a PWR assembly. Given that the AR fuel “assemblies” modeled in this work do not contain burnable poisons, </w:t>
      </w:r>
      <w:r w:rsidR="00B35743" w:rsidRPr="00B96EEC">
        <w:rPr>
          <w:sz w:val="20"/>
          <w:szCs w:val="20"/>
        </w:rPr>
        <w:t>the thermal mode</w:t>
      </w:r>
      <w:r w:rsidR="001767A0">
        <w:rPr>
          <w:sz w:val="20"/>
          <w:szCs w:val="20"/>
        </w:rPr>
        <w:t xml:space="preserve"> (</w:t>
      </w:r>
      <w:r w:rsidR="00564AE3">
        <w:rPr>
          <w:sz w:val="20"/>
          <w:szCs w:val="20"/>
        </w:rPr>
        <w:t>no Cadmium)</w:t>
      </w:r>
      <w:r w:rsidR="00B35743" w:rsidRPr="00B96EEC">
        <w:rPr>
          <w:sz w:val="20"/>
          <w:szCs w:val="20"/>
        </w:rPr>
        <w:t xml:space="preserve"> of UNCL-II was simulated in this work. The simulations were carried out using MCNP</w:t>
      </w:r>
      <w:r w:rsidR="00EB5E9E" w:rsidRPr="00B96EEC">
        <w:rPr>
          <w:sz w:val="20"/>
          <w:szCs w:val="20"/>
        </w:rPr>
        <w:t xml:space="preserve"> </w:t>
      </w:r>
      <w:r w:rsidR="00B35743" w:rsidRPr="00B96EEC">
        <w:rPr>
          <w:sz w:val="20"/>
          <w:szCs w:val="20"/>
        </w:rPr>
        <w:t>6.2</w:t>
      </w:r>
      <w:r w:rsidR="00EB5E9E" w:rsidRPr="00B96EEC">
        <w:rPr>
          <w:sz w:val="20"/>
          <w:szCs w:val="20"/>
        </w:rPr>
        <w:t xml:space="preserve"> </w:t>
      </w:r>
      <w:sdt>
        <w:sdtPr>
          <w:rPr>
            <w:color w:val="000000" w:themeColor="text1"/>
            <w:sz w:val="20"/>
            <w:szCs w:val="20"/>
          </w:rPr>
          <w:id w:val="-858351656"/>
          <w:citation/>
        </w:sdtPr>
        <w:sdtEndPr/>
        <w:sdtContent>
          <w:r w:rsidR="00B35743" w:rsidRPr="00B96EEC">
            <w:rPr>
              <w:color w:val="000000" w:themeColor="text1"/>
              <w:sz w:val="20"/>
              <w:szCs w:val="20"/>
            </w:rPr>
            <w:fldChar w:fldCharType="begin"/>
          </w:r>
          <w:r w:rsidR="00B35743" w:rsidRPr="00B96EEC">
            <w:rPr>
              <w:color w:val="000000" w:themeColor="text1"/>
              <w:sz w:val="20"/>
              <w:szCs w:val="20"/>
            </w:rPr>
            <w:instrText xml:space="preserve">CITATION Chr17 \l 1033 </w:instrText>
          </w:r>
          <w:r w:rsidR="00B35743" w:rsidRPr="00B96EEC">
            <w:rPr>
              <w:color w:val="000000" w:themeColor="text1"/>
              <w:sz w:val="20"/>
              <w:szCs w:val="20"/>
            </w:rPr>
            <w:fldChar w:fldCharType="separate"/>
          </w:r>
          <w:r w:rsidR="00B90BAC" w:rsidRPr="00B96EEC">
            <w:rPr>
              <w:color w:val="000000" w:themeColor="text1"/>
              <w:sz w:val="20"/>
              <w:szCs w:val="20"/>
            </w:rPr>
            <w:t>[8]</w:t>
          </w:r>
          <w:r w:rsidR="00B35743" w:rsidRPr="00B96EEC">
            <w:rPr>
              <w:color w:val="000000" w:themeColor="text1"/>
              <w:sz w:val="20"/>
              <w:szCs w:val="20"/>
            </w:rPr>
            <w:fldChar w:fldCharType="end"/>
          </w:r>
        </w:sdtContent>
      </w:sdt>
      <w:r w:rsidR="00B35743" w:rsidRPr="00B96EEC">
        <w:rPr>
          <w:color w:val="000000" w:themeColor="text1"/>
          <w:sz w:val="20"/>
          <w:szCs w:val="20"/>
        </w:rPr>
        <w:t xml:space="preserve">. </w:t>
      </w:r>
      <w:r w:rsidR="00C418BC" w:rsidRPr="00B96EEC">
        <w:rPr>
          <w:color w:val="000000" w:themeColor="text1"/>
          <w:sz w:val="20"/>
          <w:szCs w:val="20"/>
        </w:rPr>
        <w:t xml:space="preserve">UNCL uses </w:t>
      </w:r>
      <w:r w:rsidR="00F74A12" w:rsidRPr="00B96EEC">
        <w:rPr>
          <w:color w:val="000000" w:themeColor="text1"/>
          <w:sz w:val="20"/>
          <w:szCs w:val="20"/>
        </w:rPr>
        <w:t xml:space="preserve">a </w:t>
      </w:r>
      <w:r w:rsidR="00B35743" w:rsidRPr="00B96EEC">
        <w:rPr>
          <w:sz w:val="20"/>
          <w:szCs w:val="20"/>
        </w:rPr>
        <w:t xml:space="preserve">pre-delay of 4.5 </w:t>
      </w:r>
      <w:r w:rsidR="00B35743" w:rsidRPr="00B96EEC">
        <w:rPr>
          <w:rFonts w:eastAsia="Symbol"/>
          <w:sz w:val="20"/>
          <w:szCs w:val="20"/>
        </w:rPr>
        <w:sym w:font="Symbol" w:char="F06D"/>
      </w:r>
      <w:r w:rsidR="00B35743" w:rsidRPr="00B96EEC">
        <w:rPr>
          <w:sz w:val="20"/>
          <w:szCs w:val="20"/>
        </w:rPr>
        <w:t xml:space="preserve">s and a coincidence gate width of 64 </w:t>
      </w:r>
      <w:r w:rsidR="00B35743" w:rsidRPr="00B96EEC">
        <w:rPr>
          <w:rFonts w:eastAsia="Symbol"/>
          <w:sz w:val="20"/>
          <w:szCs w:val="20"/>
        </w:rPr>
        <w:sym w:font="Symbol" w:char="F06D"/>
      </w:r>
      <w:r w:rsidR="00B35743" w:rsidRPr="00B96EEC">
        <w:rPr>
          <w:sz w:val="20"/>
          <w:szCs w:val="20"/>
        </w:rPr>
        <w:t>s</w:t>
      </w:r>
      <w:r w:rsidR="00C418BC" w:rsidRPr="00B96EEC">
        <w:rPr>
          <w:sz w:val="20"/>
          <w:szCs w:val="20"/>
        </w:rPr>
        <w:t xml:space="preserve">. Unlike the </w:t>
      </w:r>
      <w:r w:rsidR="00C418BC" w:rsidRPr="00B96EEC">
        <w:rPr>
          <w:sz w:val="20"/>
          <w:szCs w:val="20"/>
          <w:vertAlign w:val="superscript"/>
        </w:rPr>
        <w:t>3</w:t>
      </w:r>
      <w:r w:rsidR="00C418BC" w:rsidRPr="00B96EEC">
        <w:rPr>
          <w:sz w:val="20"/>
          <w:szCs w:val="20"/>
        </w:rPr>
        <w:t xml:space="preserve">He tubes </w:t>
      </w:r>
      <w:r w:rsidR="00EF7391" w:rsidRPr="00B96EEC">
        <w:rPr>
          <w:sz w:val="20"/>
          <w:szCs w:val="20"/>
        </w:rPr>
        <w:t>of</w:t>
      </w:r>
      <w:r w:rsidR="00C418BC" w:rsidRPr="00B96EEC">
        <w:rPr>
          <w:sz w:val="20"/>
          <w:szCs w:val="20"/>
        </w:rPr>
        <w:t xml:space="preserve"> UNCL-II, the liquid scintillators </w:t>
      </w:r>
      <w:r w:rsidR="00EF7391" w:rsidRPr="00B96EEC">
        <w:rPr>
          <w:sz w:val="20"/>
          <w:szCs w:val="20"/>
        </w:rPr>
        <w:t>of</w:t>
      </w:r>
      <w:r w:rsidR="00C418BC" w:rsidRPr="00B96EEC">
        <w:rPr>
          <w:sz w:val="20"/>
          <w:szCs w:val="20"/>
        </w:rPr>
        <w:t xml:space="preserve"> FNCL are sensitive to fast neutrons, and the signal processing</w:t>
      </w:r>
      <w:r w:rsidR="00EF7391" w:rsidRPr="00B96EEC">
        <w:rPr>
          <w:sz w:val="20"/>
          <w:szCs w:val="20"/>
        </w:rPr>
        <w:t xml:space="preserve"> of liquid scintillators</w:t>
      </w:r>
      <w:r w:rsidR="00C418BC" w:rsidRPr="00B96EEC">
        <w:rPr>
          <w:sz w:val="20"/>
          <w:szCs w:val="20"/>
        </w:rPr>
        <w:t xml:space="preserve"> is three orders of magnitude </w:t>
      </w:r>
      <w:r w:rsidR="00C418BC" w:rsidRPr="00B96EEC">
        <w:rPr>
          <w:color w:val="000000" w:themeColor="text1"/>
          <w:sz w:val="20"/>
          <w:szCs w:val="20"/>
        </w:rPr>
        <w:t xml:space="preserve">faster </w:t>
      </w:r>
      <w:sdt>
        <w:sdtPr>
          <w:rPr>
            <w:color w:val="000000" w:themeColor="text1"/>
            <w:sz w:val="20"/>
            <w:szCs w:val="20"/>
          </w:rPr>
          <w:id w:val="1926066892"/>
          <w:citation/>
        </w:sdtPr>
        <w:sdtEndPr/>
        <w:sdtContent>
          <w:r w:rsidR="00C418BC" w:rsidRPr="00B96EEC">
            <w:rPr>
              <w:color w:val="000000" w:themeColor="text1"/>
              <w:sz w:val="20"/>
              <w:szCs w:val="20"/>
            </w:rPr>
            <w:fldChar w:fldCharType="begin"/>
          </w:r>
          <w:r w:rsidR="00C418BC" w:rsidRPr="00B96EEC">
            <w:rPr>
              <w:color w:val="000000" w:themeColor="text1"/>
              <w:sz w:val="20"/>
              <w:szCs w:val="20"/>
            </w:rPr>
            <w:instrText xml:space="preserve"> CITATION Lav12 \l 1033 </w:instrText>
          </w:r>
          <w:r w:rsidR="00C418BC" w:rsidRPr="00B96EEC">
            <w:rPr>
              <w:color w:val="000000" w:themeColor="text1"/>
              <w:sz w:val="20"/>
              <w:szCs w:val="20"/>
            </w:rPr>
            <w:fldChar w:fldCharType="separate"/>
          </w:r>
          <w:r w:rsidR="00B90BAC" w:rsidRPr="00B96EEC">
            <w:rPr>
              <w:color w:val="000000" w:themeColor="text1"/>
              <w:sz w:val="20"/>
              <w:szCs w:val="20"/>
            </w:rPr>
            <w:t>[5]</w:t>
          </w:r>
          <w:r w:rsidR="00C418BC" w:rsidRPr="00B96EEC">
            <w:rPr>
              <w:color w:val="000000" w:themeColor="text1"/>
              <w:sz w:val="20"/>
              <w:szCs w:val="20"/>
            </w:rPr>
            <w:fldChar w:fldCharType="end"/>
          </w:r>
        </w:sdtContent>
      </w:sdt>
      <w:r w:rsidR="00C418BC" w:rsidRPr="00B96EEC">
        <w:rPr>
          <w:color w:val="000000" w:themeColor="text1"/>
          <w:sz w:val="20"/>
          <w:szCs w:val="20"/>
        </w:rPr>
        <w:t xml:space="preserve">. </w:t>
      </w:r>
      <w:r w:rsidR="00C418BC" w:rsidRPr="00B96EEC">
        <w:rPr>
          <w:sz w:val="20"/>
          <w:szCs w:val="20"/>
        </w:rPr>
        <w:t xml:space="preserve">The liquid scintillators are positioned in the three banks surrounding the fuel assembly, and the </w:t>
      </w:r>
      <w:r w:rsidR="002B449A" w:rsidRPr="00B96EEC">
        <w:rPr>
          <w:sz w:val="20"/>
          <w:szCs w:val="20"/>
        </w:rPr>
        <w:t xml:space="preserve">fourth </w:t>
      </w:r>
      <w:r w:rsidR="00C418BC" w:rsidRPr="00B96EEC">
        <w:rPr>
          <w:sz w:val="20"/>
          <w:szCs w:val="20"/>
        </w:rPr>
        <w:t xml:space="preserve">bank contains the neutron source, as illustrated in </w:t>
      </w:r>
      <w:r w:rsidR="00C418BC" w:rsidRPr="00B96EEC">
        <w:rPr>
          <w:sz w:val="21"/>
          <w:szCs w:val="21"/>
        </w:rPr>
        <w:fldChar w:fldCharType="begin"/>
      </w:r>
      <w:r w:rsidR="00C418BC" w:rsidRPr="00B96EEC">
        <w:rPr>
          <w:sz w:val="21"/>
          <w:szCs w:val="21"/>
        </w:rPr>
        <w:instrText xml:space="preserve"> REF _Ref166763614 \h </w:instrText>
      </w:r>
      <w:r w:rsidR="00EC0007" w:rsidRPr="00B96EEC">
        <w:rPr>
          <w:sz w:val="21"/>
          <w:szCs w:val="21"/>
        </w:rPr>
        <w:instrText xml:space="preserve"> \* MERGEFORMAT </w:instrText>
      </w:r>
      <w:r w:rsidR="00C418BC" w:rsidRPr="00B96EEC">
        <w:rPr>
          <w:sz w:val="21"/>
          <w:szCs w:val="21"/>
        </w:rPr>
      </w:r>
      <w:r w:rsidR="00C418BC" w:rsidRPr="00B96EEC">
        <w:rPr>
          <w:sz w:val="21"/>
          <w:szCs w:val="21"/>
        </w:rPr>
        <w:fldChar w:fldCharType="separate"/>
      </w:r>
      <w:r w:rsidR="00B90BAC" w:rsidRPr="00B96EEC">
        <w:rPr>
          <w:sz w:val="20"/>
          <w:szCs w:val="20"/>
        </w:rPr>
        <w:t>Figure 7</w:t>
      </w:r>
      <w:r w:rsidR="00C418BC" w:rsidRPr="00B96EEC">
        <w:rPr>
          <w:sz w:val="21"/>
          <w:szCs w:val="21"/>
        </w:rPr>
        <w:fldChar w:fldCharType="end"/>
      </w:r>
      <w:r w:rsidR="00C418BC" w:rsidRPr="00B96EEC">
        <w:rPr>
          <w:sz w:val="20"/>
          <w:szCs w:val="20"/>
        </w:rPr>
        <w:t xml:space="preserve">. </w:t>
      </w:r>
      <w:r w:rsidR="00BB428C">
        <w:rPr>
          <w:sz w:val="20"/>
          <w:szCs w:val="20"/>
        </w:rPr>
        <w:t xml:space="preserve">The </w:t>
      </w:r>
      <w:r w:rsidR="00C418BC" w:rsidRPr="00B96EEC">
        <w:rPr>
          <w:sz w:val="20"/>
          <w:szCs w:val="20"/>
        </w:rPr>
        <w:t>FNCL has cadmium sheets built in with its scintillators</w:t>
      </w:r>
      <w:r w:rsidR="006A6A7D" w:rsidRPr="00B96EEC">
        <w:rPr>
          <w:sz w:val="20"/>
          <w:szCs w:val="20"/>
        </w:rPr>
        <w:t>,</w:t>
      </w:r>
      <w:r w:rsidR="00C418BC" w:rsidRPr="00B96EEC">
        <w:rPr>
          <w:sz w:val="20"/>
          <w:szCs w:val="20"/>
        </w:rPr>
        <w:t xml:space="preserve"> and they cannot be easily removed</w:t>
      </w:r>
      <w:r w:rsidR="00EF7391" w:rsidRPr="00B96EEC">
        <w:rPr>
          <w:sz w:val="20"/>
          <w:szCs w:val="20"/>
        </w:rPr>
        <w:t>;</w:t>
      </w:r>
      <w:r w:rsidR="00C418BC" w:rsidRPr="00B96EEC">
        <w:rPr>
          <w:sz w:val="20"/>
          <w:szCs w:val="20"/>
        </w:rPr>
        <w:t xml:space="preserve"> </w:t>
      </w:r>
      <w:r w:rsidR="006A6A7D" w:rsidRPr="00B96EEC">
        <w:rPr>
          <w:sz w:val="20"/>
          <w:szCs w:val="20"/>
        </w:rPr>
        <w:t>thus,</w:t>
      </w:r>
      <w:r w:rsidR="00C418BC" w:rsidRPr="00B96EEC">
        <w:rPr>
          <w:sz w:val="20"/>
          <w:szCs w:val="20"/>
        </w:rPr>
        <w:t xml:space="preserve"> FNCL is usually operated in a fast mode, which is also the case for this work. The FNCL measurements were simulated using MCNPX-POLIMI </w:t>
      </w:r>
      <w:sdt>
        <w:sdtPr>
          <w:rPr>
            <w:sz w:val="20"/>
            <w:szCs w:val="20"/>
          </w:rPr>
          <w:id w:val="1751926846"/>
          <w:citation/>
        </w:sdtPr>
        <w:sdtEndPr/>
        <w:sdtContent>
          <w:r w:rsidR="00C418BC" w:rsidRPr="00B96EEC">
            <w:rPr>
              <w:sz w:val="20"/>
              <w:szCs w:val="20"/>
            </w:rPr>
            <w:fldChar w:fldCharType="begin"/>
          </w:r>
          <w:r w:rsidR="00C418BC" w:rsidRPr="00B96EEC">
            <w:rPr>
              <w:sz w:val="20"/>
              <w:szCs w:val="20"/>
            </w:rPr>
            <w:instrText xml:space="preserve"> CITATION SAP12 \l 1033 </w:instrText>
          </w:r>
          <w:r w:rsidR="00C418BC" w:rsidRPr="00B96EEC">
            <w:rPr>
              <w:sz w:val="20"/>
              <w:szCs w:val="20"/>
            </w:rPr>
            <w:fldChar w:fldCharType="separate"/>
          </w:r>
          <w:r w:rsidR="00B90BAC" w:rsidRPr="00B96EEC">
            <w:rPr>
              <w:sz w:val="20"/>
              <w:szCs w:val="20"/>
            </w:rPr>
            <w:t>[9]</w:t>
          </w:r>
          <w:r w:rsidR="00C418BC" w:rsidRPr="00B96EEC">
            <w:rPr>
              <w:sz w:val="20"/>
              <w:szCs w:val="20"/>
            </w:rPr>
            <w:fldChar w:fldCharType="end"/>
          </w:r>
        </w:sdtContent>
      </w:sdt>
      <w:r w:rsidR="00C418BC" w:rsidRPr="00B96EEC">
        <w:rPr>
          <w:sz w:val="20"/>
          <w:szCs w:val="20"/>
        </w:rPr>
        <w:t xml:space="preserve"> with a gate width of 60 ns.</w:t>
      </w:r>
    </w:p>
    <w:p w14:paraId="1AB53F12" w14:textId="2816FF80" w:rsidR="00250CBC" w:rsidRPr="00B96EEC" w:rsidRDefault="00250CBC" w:rsidP="0042484E">
      <w:pPr>
        <w:pStyle w:val="BlockText"/>
        <w:ind w:firstLine="567"/>
        <w:jc w:val="both"/>
        <w:rPr>
          <w:sz w:val="20"/>
          <w:szCs w:val="20"/>
        </w:rPr>
      </w:pPr>
      <w:r w:rsidRPr="00B96EEC">
        <w:rPr>
          <w:sz w:val="20"/>
          <w:szCs w:val="20"/>
        </w:rPr>
        <w:fldChar w:fldCharType="begin"/>
      </w:r>
      <w:r w:rsidRPr="00B96EEC">
        <w:rPr>
          <w:sz w:val="20"/>
          <w:szCs w:val="20"/>
        </w:rPr>
        <w:instrText xml:space="preserve"> REF _Ref166785037 \h  \* MERGEFORMAT </w:instrText>
      </w:r>
      <w:r w:rsidRPr="00B96EEC">
        <w:rPr>
          <w:sz w:val="20"/>
          <w:szCs w:val="20"/>
        </w:rPr>
      </w:r>
      <w:r w:rsidRPr="00B96EEC">
        <w:rPr>
          <w:sz w:val="20"/>
          <w:szCs w:val="20"/>
        </w:rPr>
        <w:fldChar w:fldCharType="separate"/>
      </w:r>
      <w:r w:rsidR="00B90BAC" w:rsidRPr="00B96EEC">
        <w:rPr>
          <w:sz w:val="20"/>
          <w:szCs w:val="20"/>
        </w:rPr>
        <w:t>Figure 8</w:t>
      </w:r>
      <w:r w:rsidRPr="00B96EEC">
        <w:rPr>
          <w:sz w:val="20"/>
          <w:szCs w:val="20"/>
        </w:rPr>
        <w:fldChar w:fldCharType="end"/>
      </w:r>
      <w:r w:rsidRPr="00B96EEC">
        <w:rPr>
          <w:sz w:val="20"/>
          <w:szCs w:val="20"/>
        </w:rPr>
        <w:t xml:space="preserve"> (Left) summarizes the doubles rates of a BANR graphite fuel block, as a function of </w:t>
      </w:r>
      <w:r w:rsidRPr="00B96EEC">
        <w:rPr>
          <w:sz w:val="20"/>
          <w:szCs w:val="20"/>
          <w:vertAlign w:val="superscript"/>
        </w:rPr>
        <w:t>235</w:t>
      </w:r>
      <w:r w:rsidRPr="00B96EEC">
        <w:rPr>
          <w:sz w:val="20"/>
          <w:szCs w:val="20"/>
        </w:rPr>
        <w:t>U linear density of the block, from both UNCL-II and FNCL. Both AmLi neutron sources and a D</w:t>
      </w:r>
      <w:r w:rsidR="002271C2" w:rsidRPr="00B96EEC">
        <w:rPr>
          <w:sz w:val="20"/>
          <w:szCs w:val="20"/>
        </w:rPr>
        <w:t>–</w:t>
      </w:r>
      <w:r w:rsidRPr="00B96EEC">
        <w:rPr>
          <w:sz w:val="20"/>
          <w:szCs w:val="20"/>
        </w:rPr>
        <w:t xml:space="preserve">D neutron generator </w:t>
      </w:r>
      <w:proofErr w:type="gramStart"/>
      <w:r w:rsidRPr="00B96EEC">
        <w:rPr>
          <w:sz w:val="20"/>
          <w:szCs w:val="20"/>
        </w:rPr>
        <w:t>were</w:t>
      </w:r>
      <w:proofErr w:type="gramEnd"/>
      <w:r w:rsidRPr="00B96EEC">
        <w:rPr>
          <w:sz w:val="20"/>
          <w:szCs w:val="20"/>
        </w:rPr>
        <w:t xml:space="preserve"> used in these simulations. For UNCL-II, the doubles rates with AmLi sources are significantly higher than those with a D</w:t>
      </w:r>
      <w:r w:rsidR="007366EA" w:rsidRPr="00B96EEC">
        <w:rPr>
          <w:sz w:val="20"/>
          <w:szCs w:val="20"/>
        </w:rPr>
        <w:t>–</w:t>
      </w:r>
      <w:r w:rsidRPr="00B96EEC">
        <w:rPr>
          <w:sz w:val="20"/>
          <w:szCs w:val="20"/>
        </w:rPr>
        <w:t>D neutron generator</w:t>
      </w:r>
      <w:r w:rsidR="00EF7391" w:rsidRPr="00B96EEC">
        <w:rPr>
          <w:sz w:val="20"/>
          <w:szCs w:val="20"/>
        </w:rPr>
        <w:t xml:space="preserve">; </w:t>
      </w:r>
      <w:r w:rsidRPr="00B96EEC">
        <w:rPr>
          <w:sz w:val="20"/>
          <w:szCs w:val="20"/>
        </w:rPr>
        <w:t>for FNCL, the doubles rates were much higher with a D</w:t>
      </w:r>
      <w:r w:rsidR="00CC40DC" w:rsidRPr="00B96EEC">
        <w:rPr>
          <w:sz w:val="20"/>
          <w:szCs w:val="20"/>
        </w:rPr>
        <w:t>–</w:t>
      </w:r>
      <w:r w:rsidRPr="00B96EEC">
        <w:rPr>
          <w:sz w:val="20"/>
          <w:szCs w:val="20"/>
        </w:rPr>
        <w:t xml:space="preserve">D neutron generator than </w:t>
      </w:r>
      <w:r w:rsidR="00FD41C7" w:rsidRPr="00B96EEC">
        <w:rPr>
          <w:sz w:val="20"/>
          <w:szCs w:val="20"/>
        </w:rPr>
        <w:t xml:space="preserve">they were </w:t>
      </w:r>
      <w:r w:rsidRPr="00B96EEC">
        <w:rPr>
          <w:sz w:val="20"/>
          <w:szCs w:val="20"/>
        </w:rPr>
        <w:t xml:space="preserve">with the AmLi sources. Given that an AmLi source has a softer neutron energy spectrum than </w:t>
      </w:r>
      <w:r w:rsidR="001D41CE" w:rsidRPr="00B96EEC">
        <w:rPr>
          <w:sz w:val="20"/>
          <w:szCs w:val="20"/>
        </w:rPr>
        <w:t xml:space="preserve">that of </w:t>
      </w:r>
      <w:r w:rsidRPr="00B96EEC">
        <w:rPr>
          <w:sz w:val="20"/>
          <w:szCs w:val="20"/>
        </w:rPr>
        <w:t>D</w:t>
      </w:r>
      <w:r w:rsidR="001D41CE" w:rsidRPr="00B96EEC">
        <w:rPr>
          <w:sz w:val="20"/>
          <w:szCs w:val="20"/>
        </w:rPr>
        <w:t>–</w:t>
      </w:r>
      <w:r w:rsidRPr="00B96EEC">
        <w:rPr>
          <w:sz w:val="20"/>
          <w:szCs w:val="20"/>
        </w:rPr>
        <w:t>D neutron generator</w:t>
      </w:r>
      <w:r w:rsidR="00DF73F6" w:rsidRPr="00B96EEC">
        <w:rPr>
          <w:sz w:val="20"/>
          <w:szCs w:val="20"/>
        </w:rPr>
        <w:t>s</w:t>
      </w:r>
      <w:r w:rsidR="00EF7391" w:rsidRPr="00B96EEC">
        <w:rPr>
          <w:sz w:val="20"/>
          <w:szCs w:val="20"/>
        </w:rPr>
        <w:t>, t</w:t>
      </w:r>
      <w:r w:rsidRPr="00B96EEC">
        <w:rPr>
          <w:sz w:val="20"/>
          <w:szCs w:val="20"/>
        </w:rPr>
        <w:t>hese results can be attributed to UNCL-II</w:t>
      </w:r>
      <w:r w:rsidR="00CE178B" w:rsidRPr="00B96EEC">
        <w:rPr>
          <w:sz w:val="20"/>
          <w:szCs w:val="20"/>
        </w:rPr>
        <w:t>’s</w:t>
      </w:r>
      <w:r w:rsidRPr="00B96EEC">
        <w:rPr>
          <w:sz w:val="20"/>
          <w:szCs w:val="20"/>
        </w:rPr>
        <w:t xml:space="preserve"> </w:t>
      </w:r>
      <w:r w:rsidR="0087118A">
        <w:rPr>
          <w:sz w:val="20"/>
          <w:szCs w:val="20"/>
        </w:rPr>
        <w:t>higher</w:t>
      </w:r>
      <w:r w:rsidRPr="00B96EEC">
        <w:rPr>
          <w:sz w:val="20"/>
          <w:szCs w:val="20"/>
        </w:rPr>
        <w:t xml:space="preserve"> sensitiv</w:t>
      </w:r>
      <w:r w:rsidR="00CE178B" w:rsidRPr="00B96EEC">
        <w:rPr>
          <w:sz w:val="20"/>
          <w:szCs w:val="20"/>
        </w:rPr>
        <w:t>ity</w:t>
      </w:r>
      <w:r w:rsidRPr="00B96EEC">
        <w:rPr>
          <w:sz w:val="20"/>
          <w:szCs w:val="20"/>
        </w:rPr>
        <w:t xml:space="preserve"> to thermal neutrons </w:t>
      </w:r>
      <w:r w:rsidR="0087118A">
        <w:rPr>
          <w:sz w:val="20"/>
          <w:szCs w:val="20"/>
        </w:rPr>
        <w:t xml:space="preserve">than </w:t>
      </w:r>
      <w:r w:rsidRPr="00B96EEC">
        <w:rPr>
          <w:sz w:val="20"/>
          <w:szCs w:val="20"/>
        </w:rPr>
        <w:t xml:space="preserve">fast neutrons, whereas FNCL is more sensitive to fast neutrons. </w:t>
      </w:r>
      <w:r w:rsidRPr="00B96EEC">
        <w:rPr>
          <w:sz w:val="20"/>
          <w:szCs w:val="20"/>
        </w:rPr>
        <w:fldChar w:fldCharType="begin"/>
      </w:r>
      <w:r w:rsidRPr="00B96EEC">
        <w:rPr>
          <w:sz w:val="20"/>
          <w:szCs w:val="20"/>
        </w:rPr>
        <w:instrText xml:space="preserve"> REF _Ref166785037 \h  \* MERGEFORMAT </w:instrText>
      </w:r>
      <w:r w:rsidRPr="00B96EEC">
        <w:rPr>
          <w:sz w:val="20"/>
          <w:szCs w:val="20"/>
        </w:rPr>
      </w:r>
      <w:r w:rsidRPr="00B96EEC">
        <w:rPr>
          <w:sz w:val="20"/>
          <w:szCs w:val="20"/>
        </w:rPr>
        <w:fldChar w:fldCharType="separate"/>
      </w:r>
      <w:r w:rsidR="00B90BAC" w:rsidRPr="00B96EEC">
        <w:rPr>
          <w:sz w:val="20"/>
          <w:szCs w:val="20"/>
        </w:rPr>
        <w:t>Figure 8</w:t>
      </w:r>
      <w:r w:rsidRPr="00B96EEC">
        <w:rPr>
          <w:sz w:val="20"/>
          <w:szCs w:val="20"/>
        </w:rPr>
        <w:fldChar w:fldCharType="end"/>
      </w:r>
      <w:r w:rsidRPr="00B96EEC">
        <w:rPr>
          <w:sz w:val="20"/>
          <w:szCs w:val="20"/>
        </w:rPr>
        <w:t xml:space="preserve"> (Center) summarizes the UNCL-II doubles rates of four different “assembly” types. The results show that all the three AR fuel types have lower double rates than that of a PWR assembly, especially for the two graphite block types, which means that significantly longer measurement time </w:t>
      </w:r>
      <w:r w:rsidR="00C2617F" w:rsidRPr="00B96EEC">
        <w:rPr>
          <w:sz w:val="20"/>
          <w:szCs w:val="20"/>
        </w:rPr>
        <w:t>will be</w:t>
      </w:r>
      <w:r w:rsidRPr="00B96EEC">
        <w:rPr>
          <w:sz w:val="20"/>
          <w:szCs w:val="20"/>
        </w:rPr>
        <w:t xml:space="preserve"> required for these blocks to reach the same counting statistics as a PWR assembly. </w:t>
      </w:r>
      <w:r w:rsidRPr="00B96EEC">
        <w:rPr>
          <w:sz w:val="20"/>
          <w:szCs w:val="20"/>
        </w:rPr>
        <w:fldChar w:fldCharType="begin"/>
      </w:r>
      <w:r w:rsidRPr="00B96EEC">
        <w:rPr>
          <w:sz w:val="20"/>
          <w:szCs w:val="20"/>
        </w:rPr>
        <w:instrText xml:space="preserve"> REF _Ref166785037 \h  \* MERGEFORMAT </w:instrText>
      </w:r>
      <w:r w:rsidRPr="00B96EEC">
        <w:rPr>
          <w:sz w:val="20"/>
          <w:szCs w:val="20"/>
        </w:rPr>
      </w:r>
      <w:r w:rsidRPr="00B96EEC">
        <w:rPr>
          <w:sz w:val="20"/>
          <w:szCs w:val="20"/>
        </w:rPr>
        <w:fldChar w:fldCharType="separate"/>
      </w:r>
      <w:r w:rsidR="00B90BAC" w:rsidRPr="00B96EEC">
        <w:rPr>
          <w:sz w:val="20"/>
          <w:szCs w:val="20"/>
        </w:rPr>
        <w:t>Figure 8</w:t>
      </w:r>
      <w:r w:rsidRPr="00B96EEC">
        <w:rPr>
          <w:sz w:val="20"/>
          <w:szCs w:val="20"/>
        </w:rPr>
        <w:fldChar w:fldCharType="end"/>
      </w:r>
      <w:r w:rsidRPr="00B96EEC">
        <w:rPr>
          <w:sz w:val="20"/>
          <w:szCs w:val="20"/>
        </w:rPr>
        <w:t xml:space="preserve"> (Right) summarizes the FNCL doubles rates of</w:t>
      </w:r>
      <w:r w:rsidR="003236B6" w:rsidRPr="00B96EEC">
        <w:rPr>
          <w:sz w:val="20"/>
          <w:szCs w:val="20"/>
        </w:rPr>
        <w:t xml:space="preserve"> the</w:t>
      </w:r>
      <w:r w:rsidRPr="00B96EEC">
        <w:rPr>
          <w:sz w:val="20"/>
          <w:szCs w:val="20"/>
        </w:rPr>
        <w:t xml:space="preserve"> four different “assembly” types. The results are similar as those for UNCL-II</w:t>
      </w:r>
      <w:r w:rsidR="00E80EED" w:rsidRPr="00B96EEC">
        <w:rPr>
          <w:sz w:val="20"/>
          <w:szCs w:val="20"/>
        </w:rPr>
        <w:t>:</w:t>
      </w:r>
      <w:r w:rsidRPr="00B96EEC">
        <w:rPr>
          <w:sz w:val="20"/>
          <w:szCs w:val="20"/>
        </w:rPr>
        <w:t xml:space="preserve"> the three AR fuel types have lower double rates than that of a PWR assembly.  </w:t>
      </w:r>
    </w:p>
    <w:p w14:paraId="7439A61D" w14:textId="67480130" w:rsidR="003E30AD" w:rsidRPr="00B96EEC" w:rsidRDefault="005073F9" w:rsidP="0042484E">
      <w:pPr>
        <w:spacing w:before="120" w:after="120"/>
        <w:jc w:val="both"/>
        <w:rPr>
          <w:sz w:val="20"/>
          <w:lang w:val="en-US"/>
        </w:rPr>
      </w:pPr>
      <w:r w:rsidRPr="00B96EEC">
        <w:rPr>
          <w:noProof/>
          <w:sz w:val="20"/>
          <w:lang w:val="en-US"/>
        </w:rPr>
        <w:lastRenderedPageBreak/>
        <mc:AlternateContent>
          <mc:Choice Requires="wps">
            <w:drawing>
              <wp:anchor distT="0" distB="0" distL="114300" distR="114300" simplePos="0" relativeHeight="251658259" behindDoc="0" locked="0" layoutInCell="1" allowOverlap="1" wp14:anchorId="74FF695B" wp14:editId="21DFF06B">
                <wp:simplePos x="0" y="0"/>
                <wp:positionH relativeFrom="column">
                  <wp:posOffset>566057</wp:posOffset>
                </wp:positionH>
                <wp:positionV relativeFrom="paragraph">
                  <wp:posOffset>110218</wp:posOffset>
                </wp:positionV>
                <wp:extent cx="739205" cy="260985"/>
                <wp:effectExtent l="0" t="0" r="0" b="5715"/>
                <wp:wrapNone/>
                <wp:docPr id="1939516838" name="Text Box 2"/>
                <wp:cNvGraphicFramePr/>
                <a:graphic xmlns:a="http://schemas.openxmlformats.org/drawingml/2006/main">
                  <a:graphicData uri="http://schemas.microsoft.com/office/word/2010/wordprocessingShape">
                    <wps:wsp>
                      <wps:cNvSpPr txBox="1"/>
                      <wps:spPr>
                        <a:xfrm>
                          <a:off x="0" y="0"/>
                          <a:ext cx="739205" cy="260985"/>
                        </a:xfrm>
                        <a:prstGeom prst="rect">
                          <a:avLst/>
                        </a:prstGeom>
                        <a:solidFill>
                          <a:schemeClr val="lt1"/>
                        </a:solidFill>
                        <a:ln w="6350">
                          <a:noFill/>
                        </a:ln>
                      </wps:spPr>
                      <wps:txbx>
                        <w:txbxContent>
                          <w:p w14:paraId="2BF37BE0" w14:textId="23DE0E38" w:rsidR="000936C3" w:rsidRPr="000936C3" w:rsidRDefault="000936C3" w:rsidP="000936C3">
                            <w:pPr>
                              <w:rPr>
                                <w:sz w:val="20"/>
                                <w:lang w:val="en-US"/>
                              </w:rPr>
                            </w:pPr>
                            <w:r>
                              <w:rPr>
                                <w:sz w:val="20"/>
                                <w:lang w:val="en-US"/>
                              </w:rPr>
                              <w:t>Fuel</w:t>
                            </w:r>
                            <w:r w:rsidR="005073F9">
                              <w:rPr>
                                <w:sz w:val="20"/>
                                <w:lang w:val="en-US"/>
                              </w:rPr>
                              <w:t xml:space="preserve">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F695B" id="Text Box 2" o:spid="_x0000_s1029" type="#_x0000_t202" style="position:absolute;left:0;text-align:left;margin-left:44.55pt;margin-top:8.7pt;width:58.2pt;height:20.5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" fillcolor="white [3201]" stroked="f" strokeweight=".5pt">
                <v:textbox>
                  <w:txbxContent>
                    <w:p w14:paraId="2BF37BE0" w14:textId="23DE0E38" w:rsidR="000936C3" w:rsidRPr="000936C3" w:rsidRDefault="000936C3" w:rsidP="000936C3">
                      <w:pPr>
                        <w:rPr>
                          <w:sz w:val="20"/>
                          <w:lang w:val="en-US"/>
                        </w:rPr>
                      </w:pPr>
                      <w:r>
                        <w:rPr>
                          <w:sz w:val="20"/>
                          <w:lang w:val="en-US"/>
                        </w:rPr>
                        <w:t>Fuel</w:t>
                      </w:r>
                      <w:r w:rsidR="005073F9">
                        <w:rPr>
                          <w:sz w:val="20"/>
                          <w:lang w:val="en-US"/>
                        </w:rPr>
                        <w:t xml:space="preserve"> block</w:t>
                      </w:r>
                    </w:p>
                  </w:txbxContent>
                </v:textbox>
              </v:shape>
            </w:pict>
          </mc:Fallback>
        </mc:AlternateContent>
      </w:r>
      <w:r w:rsidRPr="00B96EEC">
        <w:rPr>
          <w:noProof/>
          <w:sz w:val="20"/>
          <w:lang w:val="en-US"/>
        </w:rPr>
        <mc:AlternateContent>
          <mc:Choice Requires="wps">
            <w:drawing>
              <wp:anchor distT="0" distB="0" distL="114300" distR="114300" simplePos="0" relativeHeight="251658266" behindDoc="0" locked="0" layoutInCell="1" allowOverlap="1" wp14:anchorId="3230E5E0" wp14:editId="51D57452">
                <wp:simplePos x="0" y="0"/>
                <wp:positionH relativeFrom="column">
                  <wp:posOffset>2830286</wp:posOffset>
                </wp:positionH>
                <wp:positionV relativeFrom="paragraph">
                  <wp:posOffset>4471</wp:posOffset>
                </wp:positionV>
                <wp:extent cx="1448901" cy="261257"/>
                <wp:effectExtent l="0" t="0" r="0" b="5715"/>
                <wp:wrapNone/>
                <wp:docPr id="1522667188" name="Text Box 2"/>
                <wp:cNvGraphicFramePr/>
                <a:graphic xmlns:a="http://schemas.openxmlformats.org/drawingml/2006/main">
                  <a:graphicData uri="http://schemas.microsoft.com/office/word/2010/wordprocessingShape">
                    <wps:wsp>
                      <wps:cNvSpPr txBox="1"/>
                      <wps:spPr>
                        <a:xfrm>
                          <a:off x="0" y="0"/>
                          <a:ext cx="1448901" cy="261257"/>
                        </a:xfrm>
                        <a:prstGeom prst="rect">
                          <a:avLst/>
                        </a:prstGeom>
                        <a:solidFill>
                          <a:schemeClr val="lt1"/>
                        </a:solidFill>
                        <a:ln w="6350">
                          <a:noFill/>
                        </a:ln>
                      </wps:spPr>
                      <wps:txbx>
                        <w:txbxContent>
                          <w:p w14:paraId="7B591440" w14:textId="4FA1C1C1" w:rsidR="005073F9" w:rsidRPr="000936C3" w:rsidRDefault="005073F9" w:rsidP="005073F9">
                            <w:pPr>
                              <w:rPr>
                                <w:sz w:val="20"/>
                                <w:lang w:val="en-US"/>
                              </w:rPr>
                            </w:pPr>
                            <w:r>
                              <w:rPr>
                                <w:sz w:val="20"/>
                                <w:lang w:val="en-US"/>
                              </w:rPr>
                              <w:t xml:space="preserve">Liquid </w:t>
                            </w:r>
                            <w:r w:rsidRPr="003E30AD">
                              <w:rPr>
                                <w:sz w:val="20"/>
                              </w:rPr>
                              <w:t>scintillator</w:t>
                            </w:r>
                            <w:r>
                              <w:rPr>
                                <w:sz w:val="20"/>
                              </w:rPr>
                              <w:t xml:space="preserve"> panel</w:t>
                            </w:r>
                            <w:r>
                              <w:rPr>
                                <w:sz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0E5E0" id="_x0000_s1030" type="#_x0000_t202" style="position:absolute;left:0;text-align:left;margin-left:222.85pt;margin-top:.35pt;width:114.1pt;height:20.5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4uVLwIAAFs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" fillcolor="white [3201]" stroked="f" strokeweight=".5pt">
                <v:textbox>
                  <w:txbxContent>
                    <w:p w14:paraId="7B591440" w14:textId="4FA1C1C1" w:rsidR="005073F9" w:rsidRPr="000936C3" w:rsidRDefault="005073F9" w:rsidP="005073F9">
                      <w:pPr>
                        <w:rPr>
                          <w:sz w:val="20"/>
                          <w:lang w:val="en-US"/>
                        </w:rPr>
                      </w:pPr>
                      <w:r>
                        <w:rPr>
                          <w:sz w:val="20"/>
                          <w:lang w:val="en-US"/>
                        </w:rPr>
                        <w:t xml:space="preserve">Liquid </w:t>
                      </w:r>
                      <w:r w:rsidRPr="003E30AD">
                        <w:rPr>
                          <w:sz w:val="20"/>
                        </w:rPr>
                        <w:t>scintillator</w:t>
                      </w:r>
                      <w:r>
                        <w:rPr>
                          <w:sz w:val="20"/>
                        </w:rPr>
                        <w:t xml:space="preserve"> panel</w:t>
                      </w:r>
                      <w:r>
                        <w:rPr>
                          <w:sz w:val="20"/>
                          <w:lang w:val="en-US"/>
                        </w:rPr>
                        <w:t xml:space="preserve"> </w:t>
                      </w:r>
                    </w:p>
                  </w:txbxContent>
                </v:textbox>
              </v:shape>
            </w:pict>
          </mc:Fallback>
        </mc:AlternateContent>
      </w:r>
      <w:r w:rsidRPr="00B96EEC">
        <w:rPr>
          <w:noProof/>
          <w:sz w:val="20"/>
          <w:lang w:val="en-US"/>
        </w:rPr>
        <mc:AlternateContent>
          <mc:Choice Requires="wps">
            <w:drawing>
              <wp:anchor distT="0" distB="0" distL="114300" distR="114300" simplePos="0" relativeHeight="251658264" behindDoc="0" locked="0" layoutInCell="1" allowOverlap="1" wp14:anchorId="322A539E" wp14:editId="66B92383">
                <wp:simplePos x="0" y="0"/>
                <wp:positionH relativeFrom="column">
                  <wp:posOffset>3676261</wp:posOffset>
                </wp:positionH>
                <wp:positionV relativeFrom="paragraph">
                  <wp:posOffset>203524</wp:posOffset>
                </wp:positionV>
                <wp:extent cx="160642" cy="335902"/>
                <wp:effectExtent l="25400" t="0" r="17780" b="33020"/>
                <wp:wrapNone/>
                <wp:docPr id="1179095563" name="Straight Arrow Connector 1"/>
                <wp:cNvGraphicFramePr/>
                <a:graphic xmlns:a="http://schemas.openxmlformats.org/drawingml/2006/main">
                  <a:graphicData uri="http://schemas.microsoft.com/office/word/2010/wordprocessingShape">
                    <wps:wsp>
                      <wps:cNvCnPr/>
                      <wps:spPr>
                        <a:xfrm flipH="1">
                          <a:off x="0" y="0"/>
                          <a:ext cx="160642" cy="33590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CE9B5A" id="_x0000_t32" coordsize="21600,21600" o:spt="32" o:oned="t" path="m,l21600,21600e" filled="f">
                <v:path arrowok="t" fillok="f" o:connecttype="none"/>
                <o:lock v:ext="edit" shapetype="t"/>
              </v:shapetype>
              <v:shape id="Straight Arrow Connector 1" o:spid="_x0000_s1026" type="#_x0000_t32" style="position:absolute;margin-left:289.45pt;margin-top:16.05pt;width:12.65pt;height:26.4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" strokecolor="red" strokeweight="1pt">
                <v:stroke endarrow="block"/>
              </v:shape>
            </w:pict>
          </mc:Fallback>
        </mc:AlternateContent>
      </w:r>
      <w:r w:rsidRPr="00B96EEC">
        <w:rPr>
          <w:noProof/>
          <w:sz w:val="20"/>
          <w:lang w:val="en-US"/>
        </w:rPr>
        <mc:AlternateContent>
          <mc:Choice Requires="wps">
            <w:drawing>
              <wp:anchor distT="0" distB="0" distL="114300" distR="114300" simplePos="0" relativeHeight="251658265" behindDoc="0" locked="0" layoutInCell="1" allowOverlap="1" wp14:anchorId="5907AED9" wp14:editId="044852DF">
                <wp:simplePos x="0" y="0"/>
                <wp:positionH relativeFrom="column">
                  <wp:posOffset>3925077</wp:posOffset>
                </wp:positionH>
                <wp:positionV relativeFrom="paragraph">
                  <wp:posOffset>203524</wp:posOffset>
                </wp:positionV>
                <wp:extent cx="554393" cy="341086"/>
                <wp:effectExtent l="0" t="0" r="42545" b="40005"/>
                <wp:wrapNone/>
                <wp:docPr id="255243334" name="Straight Arrow Connector 1"/>
                <wp:cNvGraphicFramePr/>
                <a:graphic xmlns:a="http://schemas.openxmlformats.org/drawingml/2006/main">
                  <a:graphicData uri="http://schemas.microsoft.com/office/word/2010/wordprocessingShape">
                    <wps:wsp>
                      <wps:cNvCnPr/>
                      <wps:spPr>
                        <a:xfrm>
                          <a:off x="0" y="0"/>
                          <a:ext cx="554393" cy="34108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DFDCF" id="Straight Arrow Connector 1" o:spid="_x0000_s1026" type="#_x0000_t32" style="position:absolute;margin-left:309.05pt;margin-top:16.05pt;width:43.65pt;height:2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" strokecolor="red" strokeweight="1pt">
                <v:stroke endarrow="block"/>
              </v:shape>
            </w:pict>
          </mc:Fallback>
        </mc:AlternateContent>
      </w:r>
      <w:r w:rsidRPr="00B96EEC">
        <w:rPr>
          <w:noProof/>
          <w:sz w:val="20"/>
          <w:lang w:val="en-US"/>
        </w:rPr>
        <mc:AlternateContent>
          <mc:Choice Requires="wps">
            <w:drawing>
              <wp:anchor distT="0" distB="0" distL="114300" distR="114300" simplePos="0" relativeHeight="251658263" behindDoc="0" locked="0" layoutInCell="1" allowOverlap="1" wp14:anchorId="25FD9DA2" wp14:editId="47990BD4">
                <wp:simplePos x="0" y="0"/>
                <wp:positionH relativeFrom="column">
                  <wp:posOffset>4375941</wp:posOffset>
                </wp:positionH>
                <wp:positionV relativeFrom="paragraph">
                  <wp:posOffset>1785802</wp:posOffset>
                </wp:positionV>
                <wp:extent cx="1356049" cy="255037"/>
                <wp:effectExtent l="0" t="0" r="3175" b="0"/>
                <wp:wrapNone/>
                <wp:docPr id="936991050" name="Text Box 2"/>
                <wp:cNvGraphicFramePr/>
                <a:graphic xmlns:a="http://schemas.openxmlformats.org/drawingml/2006/main">
                  <a:graphicData uri="http://schemas.microsoft.com/office/word/2010/wordprocessingShape">
                    <wps:wsp>
                      <wps:cNvSpPr txBox="1"/>
                      <wps:spPr>
                        <a:xfrm>
                          <a:off x="0" y="0"/>
                          <a:ext cx="1356049" cy="255037"/>
                        </a:xfrm>
                        <a:prstGeom prst="rect">
                          <a:avLst/>
                        </a:prstGeom>
                        <a:solidFill>
                          <a:schemeClr val="lt1"/>
                        </a:solidFill>
                        <a:ln w="6350">
                          <a:noFill/>
                        </a:ln>
                      </wps:spPr>
                      <wps:txbx>
                        <w:txbxContent>
                          <w:p w14:paraId="16C0EAF3" w14:textId="77777777" w:rsidR="005073F9" w:rsidRPr="000936C3" w:rsidRDefault="005073F9" w:rsidP="005073F9">
                            <w:pPr>
                              <w:rPr>
                                <w:sz w:val="20"/>
                                <w:lang w:val="en-US"/>
                              </w:rPr>
                            </w:pPr>
                            <w:r>
                              <w:rPr>
                                <w:sz w:val="20"/>
                                <w:lang w:val="en-US"/>
                              </w:rPr>
                              <w:t>D-D neutron generator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9DA2" id="_x0000_s1031" type="#_x0000_t202" style="position:absolute;left:0;text-align:left;margin-left:344.55pt;margin-top:140.6pt;width:106.8pt;height:20.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" fillcolor="white [3201]" stroked="f" strokeweight=".5pt">
                <v:textbox>
                  <w:txbxContent>
                    <w:p w14:paraId="16C0EAF3" w14:textId="77777777" w:rsidR="005073F9" w:rsidRPr="000936C3" w:rsidRDefault="005073F9" w:rsidP="005073F9">
                      <w:pPr>
                        <w:rPr>
                          <w:sz w:val="20"/>
                          <w:lang w:val="en-US"/>
                        </w:rPr>
                      </w:pPr>
                      <w:r>
                        <w:rPr>
                          <w:sz w:val="20"/>
                          <w:lang w:val="en-US"/>
                        </w:rPr>
                        <w:t>D-D neutron generator</w:t>
                      </w:r>
                    </w:p>
                  </w:txbxContent>
                </v:textbox>
              </v:shape>
            </w:pict>
          </mc:Fallback>
        </mc:AlternateContent>
      </w:r>
      <w:r w:rsidRPr="00B96EEC">
        <w:rPr>
          <w:noProof/>
          <w:sz w:val="20"/>
          <w:lang w:val="en-US"/>
        </w:rPr>
        <mc:AlternateContent>
          <mc:Choice Requires="wps">
            <w:drawing>
              <wp:anchor distT="0" distB="0" distL="114300" distR="114300" simplePos="0" relativeHeight="251658262" behindDoc="0" locked="0" layoutInCell="1" allowOverlap="1" wp14:anchorId="0EAE3FD3" wp14:editId="67D756D3">
                <wp:simplePos x="0" y="0"/>
                <wp:positionH relativeFrom="column">
                  <wp:posOffset>4758612</wp:posOffset>
                </wp:positionH>
                <wp:positionV relativeFrom="paragraph">
                  <wp:posOffset>1504108</wp:posOffset>
                </wp:positionV>
                <wp:extent cx="186366" cy="285335"/>
                <wp:effectExtent l="0" t="25400" r="29845" b="19685"/>
                <wp:wrapNone/>
                <wp:docPr id="1373892011" name="Straight Arrow Connector 1"/>
                <wp:cNvGraphicFramePr/>
                <a:graphic xmlns:a="http://schemas.openxmlformats.org/drawingml/2006/main">
                  <a:graphicData uri="http://schemas.microsoft.com/office/word/2010/wordprocessingShape">
                    <wps:wsp>
                      <wps:cNvCnPr/>
                      <wps:spPr>
                        <a:xfrm flipV="1">
                          <a:off x="0" y="0"/>
                          <a:ext cx="186366" cy="2853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F61D8" id="Straight Arrow Connector 1" o:spid="_x0000_s1026" type="#_x0000_t32" style="position:absolute;margin-left:374.7pt;margin-top:118.45pt;width:14.65pt;height:22.4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" strokecolor="red" strokeweight="1pt">
                <v:stroke endarrow="block"/>
              </v:shape>
            </w:pict>
          </mc:Fallback>
        </mc:AlternateContent>
      </w:r>
      <w:r w:rsidRPr="00B96EEC">
        <w:rPr>
          <w:noProof/>
          <w:sz w:val="20"/>
          <w:lang w:val="en-US"/>
        </w:rPr>
        <mc:AlternateContent>
          <mc:Choice Requires="wps">
            <w:drawing>
              <wp:anchor distT="0" distB="0" distL="114300" distR="114300" simplePos="0" relativeHeight="251658260" behindDoc="0" locked="0" layoutInCell="1" allowOverlap="1" wp14:anchorId="544CC5D4" wp14:editId="3305A799">
                <wp:simplePos x="0" y="0"/>
                <wp:positionH relativeFrom="column">
                  <wp:posOffset>3415781</wp:posOffset>
                </wp:positionH>
                <wp:positionV relativeFrom="paragraph">
                  <wp:posOffset>1584973</wp:posOffset>
                </wp:positionV>
                <wp:extent cx="93345" cy="204755"/>
                <wp:effectExtent l="25400" t="25400" r="20955" b="11430"/>
                <wp:wrapNone/>
                <wp:docPr id="720998720" name="Straight Arrow Connector 1"/>
                <wp:cNvGraphicFramePr/>
                <a:graphic xmlns:a="http://schemas.openxmlformats.org/drawingml/2006/main">
                  <a:graphicData uri="http://schemas.microsoft.com/office/word/2010/wordprocessingShape">
                    <wps:wsp>
                      <wps:cNvCnPr/>
                      <wps:spPr>
                        <a:xfrm flipH="1" flipV="1">
                          <a:off x="0" y="0"/>
                          <a:ext cx="93345" cy="2047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774AD" id="Straight Arrow Connector 1" o:spid="_x0000_s1026" type="#_x0000_t32" style="position:absolute;margin-left:268.95pt;margin-top:124.8pt;width:7.35pt;height:16.1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" strokecolor="red" strokeweight="1pt">
                <v:stroke endarrow="block"/>
              </v:shape>
            </w:pict>
          </mc:Fallback>
        </mc:AlternateContent>
      </w:r>
      <w:r w:rsidRPr="00B96EEC">
        <w:rPr>
          <w:noProof/>
          <w:sz w:val="20"/>
          <w:lang w:val="en-US"/>
        </w:rPr>
        <mc:AlternateContent>
          <mc:Choice Requires="wps">
            <w:drawing>
              <wp:anchor distT="0" distB="0" distL="114300" distR="114300" simplePos="0" relativeHeight="251658240" behindDoc="0" locked="0" layoutInCell="1" allowOverlap="1" wp14:anchorId="1D15969B" wp14:editId="761E78DE">
                <wp:simplePos x="0" y="0"/>
                <wp:positionH relativeFrom="column">
                  <wp:posOffset>3312626</wp:posOffset>
                </wp:positionH>
                <wp:positionV relativeFrom="paragraph">
                  <wp:posOffset>1760868</wp:posOffset>
                </wp:positionV>
                <wp:extent cx="528669" cy="223935"/>
                <wp:effectExtent l="0" t="0" r="5080" b="5080"/>
                <wp:wrapNone/>
                <wp:docPr id="1251627086" name="Text Box 2"/>
                <wp:cNvGraphicFramePr/>
                <a:graphic xmlns:a="http://schemas.openxmlformats.org/drawingml/2006/main">
                  <a:graphicData uri="http://schemas.microsoft.com/office/word/2010/wordprocessingShape">
                    <wps:wsp>
                      <wps:cNvSpPr txBox="1"/>
                      <wps:spPr>
                        <a:xfrm>
                          <a:off x="0" y="0"/>
                          <a:ext cx="528669" cy="223935"/>
                        </a:xfrm>
                        <a:prstGeom prst="rect">
                          <a:avLst/>
                        </a:prstGeom>
                        <a:solidFill>
                          <a:schemeClr val="lt1"/>
                        </a:solidFill>
                        <a:ln w="6350">
                          <a:noFill/>
                        </a:ln>
                      </wps:spPr>
                      <wps:txbx>
                        <w:txbxContent>
                          <w:p w14:paraId="0FF7E37A" w14:textId="77777777" w:rsidR="005073F9" w:rsidRPr="000936C3" w:rsidRDefault="005073F9" w:rsidP="005073F9">
                            <w:pPr>
                              <w:rPr>
                                <w:sz w:val="20"/>
                                <w:lang w:val="en-US"/>
                              </w:rPr>
                            </w:pPr>
                            <w:r>
                              <w:rPr>
                                <w:sz w:val="20"/>
                                <w:lang w:val="en-US"/>
                              </w:rPr>
                              <w:t>AmLi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969B" id="_x0000_s1032" type="#_x0000_t202" style="position:absolute;left:0;text-align:left;margin-left:260.85pt;margin-top:138.65pt;width:41.65pt;height:1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" fillcolor="white [3201]" stroked="f" strokeweight=".5pt">
                <v:textbox>
                  <w:txbxContent>
                    <w:p w14:paraId="0FF7E37A" w14:textId="77777777" w:rsidR="005073F9" w:rsidRPr="000936C3" w:rsidRDefault="005073F9" w:rsidP="005073F9">
                      <w:pPr>
                        <w:rPr>
                          <w:sz w:val="20"/>
                          <w:lang w:val="en-US"/>
                        </w:rPr>
                      </w:pPr>
                      <w:r>
                        <w:rPr>
                          <w:sz w:val="20"/>
                          <w:lang w:val="en-US"/>
                        </w:rPr>
                        <w:t>AmLi</w:t>
                      </w:r>
                    </w:p>
                  </w:txbxContent>
                </v:textbox>
              </v:shape>
            </w:pict>
          </mc:Fallback>
        </mc:AlternateContent>
      </w:r>
      <w:r w:rsidRPr="00B96EEC">
        <w:rPr>
          <w:noProof/>
          <w:sz w:val="20"/>
          <w:lang w:val="en-US"/>
        </w:rPr>
        <mc:AlternateContent>
          <mc:Choice Requires="wps">
            <w:drawing>
              <wp:anchor distT="0" distB="0" distL="114300" distR="114300" simplePos="0" relativeHeight="251658261" behindDoc="0" locked="0" layoutInCell="1" allowOverlap="1" wp14:anchorId="094F3092" wp14:editId="3CF95E4C">
                <wp:simplePos x="0" y="0"/>
                <wp:positionH relativeFrom="column">
                  <wp:posOffset>3570514</wp:posOffset>
                </wp:positionH>
                <wp:positionV relativeFrom="paragraph">
                  <wp:posOffset>1584973</wp:posOffset>
                </wp:positionV>
                <wp:extent cx="162508" cy="204755"/>
                <wp:effectExtent l="0" t="25400" r="28575" b="11430"/>
                <wp:wrapNone/>
                <wp:docPr id="1530237275" name="Straight Arrow Connector 1"/>
                <wp:cNvGraphicFramePr/>
                <a:graphic xmlns:a="http://schemas.openxmlformats.org/drawingml/2006/main">
                  <a:graphicData uri="http://schemas.microsoft.com/office/word/2010/wordprocessingShape">
                    <wps:wsp>
                      <wps:cNvCnPr/>
                      <wps:spPr>
                        <a:xfrm flipV="1">
                          <a:off x="0" y="0"/>
                          <a:ext cx="162508" cy="2047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2B01F" id="Straight Arrow Connector 1" o:spid="_x0000_s1026" type="#_x0000_t32" style="position:absolute;margin-left:281.15pt;margin-top:124.8pt;width:12.8pt;height:16.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" strokecolor="red" strokeweight="1pt">
                <v:stroke endarrow="block"/>
              </v:shape>
            </w:pict>
          </mc:Fallback>
        </mc:AlternateContent>
      </w:r>
      <w:r w:rsidRPr="00B96EEC">
        <w:rPr>
          <w:noProof/>
          <w:sz w:val="20"/>
          <w:lang w:val="en-US"/>
        </w:rPr>
        <mc:AlternateContent>
          <mc:Choice Requires="wps">
            <w:drawing>
              <wp:anchor distT="0" distB="0" distL="114300" distR="114300" simplePos="0" relativeHeight="251658242" behindDoc="0" locked="0" layoutInCell="1" allowOverlap="1" wp14:anchorId="2D459BBF" wp14:editId="0A33BDFB">
                <wp:simplePos x="0" y="0"/>
                <wp:positionH relativeFrom="column">
                  <wp:posOffset>130175</wp:posOffset>
                </wp:positionH>
                <wp:positionV relativeFrom="paragraph">
                  <wp:posOffset>1789715</wp:posOffset>
                </wp:positionV>
                <wp:extent cx="528669" cy="223935"/>
                <wp:effectExtent l="0" t="0" r="5080" b="5080"/>
                <wp:wrapNone/>
                <wp:docPr id="1502222372" name="Text Box 2"/>
                <wp:cNvGraphicFramePr/>
                <a:graphic xmlns:a="http://schemas.openxmlformats.org/drawingml/2006/main">
                  <a:graphicData uri="http://schemas.microsoft.com/office/word/2010/wordprocessingShape">
                    <wps:wsp>
                      <wps:cNvSpPr txBox="1"/>
                      <wps:spPr>
                        <a:xfrm>
                          <a:off x="0" y="0"/>
                          <a:ext cx="528669" cy="223935"/>
                        </a:xfrm>
                        <a:prstGeom prst="rect">
                          <a:avLst/>
                        </a:prstGeom>
                        <a:solidFill>
                          <a:schemeClr val="lt1"/>
                        </a:solidFill>
                        <a:ln w="6350">
                          <a:noFill/>
                        </a:ln>
                      </wps:spPr>
                      <wps:txbx>
                        <w:txbxContent>
                          <w:p w14:paraId="39AEEB46" w14:textId="78BAC38E" w:rsidR="000936C3" w:rsidRPr="000936C3" w:rsidRDefault="000936C3" w:rsidP="000936C3">
                            <w:pPr>
                              <w:rPr>
                                <w:sz w:val="20"/>
                                <w:lang w:val="en-US"/>
                              </w:rPr>
                            </w:pPr>
                            <w:r>
                              <w:rPr>
                                <w:sz w:val="20"/>
                                <w:lang w:val="en-US"/>
                              </w:rPr>
                              <w:t>AmLi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9BBF" id="_x0000_s1033" type="#_x0000_t202" style="position:absolute;left:0;text-align:left;margin-left:10.25pt;margin-top:140.9pt;width:41.65pt;height:17.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" fillcolor="white [3201]" stroked="f" strokeweight=".5pt">
                <v:textbox>
                  <w:txbxContent>
                    <w:p w14:paraId="39AEEB46" w14:textId="78BAC38E" w:rsidR="000936C3" w:rsidRPr="000936C3" w:rsidRDefault="000936C3" w:rsidP="000936C3">
                      <w:pPr>
                        <w:rPr>
                          <w:sz w:val="20"/>
                          <w:lang w:val="en-US"/>
                        </w:rPr>
                      </w:pPr>
                      <w:r>
                        <w:rPr>
                          <w:sz w:val="20"/>
                          <w:lang w:val="en-US"/>
                        </w:rPr>
                        <w:t>AmLi</w:t>
                      </w:r>
                    </w:p>
                  </w:txbxContent>
                </v:textbox>
              </v:shape>
            </w:pict>
          </mc:Fallback>
        </mc:AlternateContent>
      </w:r>
      <w:r w:rsidR="000936C3" w:rsidRPr="00B96EEC">
        <w:rPr>
          <w:noProof/>
          <w:sz w:val="20"/>
          <w:lang w:val="en-US"/>
        </w:rPr>
        <mc:AlternateContent>
          <mc:Choice Requires="wps">
            <w:drawing>
              <wp:anchor distT="0" distB="0" distL="114300" distR="114300" simplePos="0" relativeHeight="251658258" behindDoc="0" locked="0" layoutInCell="1" allowOverlap="1" wp14:anchorId="2BEA94FD" wp14:editId="0D181D61">
                <wp:simplePos x="0" y="0"/>
                <wp:positionH relativeFrom="column">
                  <wp:posOffset>1082351</wp:posOffset>
                </wp:positionH>
                <wp:positionV relativeFrom="paragraph">
                  <wp:posOffset>371202</wp:posOffset>
                </wp:positionV>
                <wp:extent cx="634352" cy="178487"/>
                <wp:effectExtent l="0" t="0" r="52070" b="50165"/>
                <wp:wrapNone/>
                <wp:docPr id="534784574" name="Straight Arrow Connector 1"/>
                <wp:cNvGraphicFramePr/>
                <a:graphic xmlns:a="http://schemas.openxmlformats.org/drawingml/2006/main">
                  <a:graphicData uri="http://schemas.microsoft.com/office/word/2010/wordprocessingShape">
                    <wps:wsp>
                      <wps:cNvCnPr/>
                      <wps:spPr>
                        <a:xfrm>
                          <a:off x="0" y="0"/>
                          <a:ext cx="634352" cy="17848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95EE8" id="Straight Arrow Connector 1" o:spid="_x0000_s1026" type="#_x0000_t32" style="position:absolute;margin-left:85.2pt;margin-top:29.25pt;width:49.9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" strokecolor="red" strokeweight="1pt">
                <v:stroke endarrow="block"/>
              </v:shape>
            </w:pict>
          </mc:Fallback>
        </mc:AlternateContent>
      </w:r>
      <w:r w:rsidR="000936C3" w:rsidRPr="00B96EEC">
        <w:rPr>
          <w:noProof/>
          <w:sz w:val="20"/>
          <w:lang w:val="en-US"/>
        </w:rPr>
        <mc:AlternateContent>
          <mc:Choice Requires="wps">
            <w:drawing>
              <wp:anchor distT="0" distB="0" distL="114300" distR="114300" simplePos="0" relativeHeight="251658257" behindDoc="0" locked="0" layoutInCell="1" allowOverlap="1" wp14:anchorId="2F3B49B8" wp14:editId="2571B6EC">
                <wp:simplePos x="0" y="0"/>
                <wp:positionH relativeFrom="column">
                  <wp:posOffset>715865</wp:posOffset>
                </wp:positionH>
                <wp:positionV relativeFrom="paragraph">
                  <wp:posOffset>371475</wp:posOffset>
                </wp:positionV>
                <wp:extent cx="322943" cy="458250"/>
                <wp:effectExtent l="25400" t="0" r="20320" b="37465"/>
                <wp:wrapNone/>
                <wp:docPr id="1705443422" name="Straight Arrow Connector 1"/>
                <wp:cNvGraphicFramePr/>
                <a:graphic xmlns:a="http://schemas.openxmlformats.org/drawingml/2006/main">
                  <a:graphicData uri="http://schemas.microsoft.com/office/word/2010/wordprocessingShape">
                    <wps:wsp>
                      <wps:cNvCnPr/>
                      <wps:spPr>
                        <a:xfrm flipH="1">
                          <a:off x="0" y="0"/>
                          <a:ext cx="322943" cy="4582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541E5" id="Straight Arrow Connector 1" o:spid="_x0000_s1026" type="#_x0000_t32" style="position:absolute;margin-left:56.35pt;margin-top:29.25pt;width:25.45pt;height:36.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" strokecolor="red" strokeweight="1pt">
                <v:stroke endarrow="block"/>
              </v:shape>
            </w:pict>
          </mc:Fallback>
        </mc:AlternateContent>
      </w:r>
      <w:r w:rsidR="000936C3" w:rsidRPr="00B96EEC">
        <w:rPr>
          <w:noProof/>
          <w:sz w:val="20"/>
          <w:lang w:val="en-US"/>
        </w:rPr>
        <mc:AlternateContent>
          <mc:Choice Requires="wps">
            <w:drawing>
              <wp:anchor distT="0" distB="0" distL="114300" distR="114300" simplePos="0" relativeHeight="251658253" behindDoc="0" locked="0" layoutInCell="1" allowOverlap="1" wp14:anchorId="658D7114" wp14:editId="3B28D0B0">
                <wp:simplePos x="0" y="0"/>
                <wp:positionH relativeFrom="column">
                  <wp:posOffset>385665</wp:posOffset>
                </wp:positionH>
                <wp:positionV relativeFrom="paragraph">
                  <wp:posOffset>371993</wp:posOffset>
                </wp:positionV>
                <wp:extent cx="1132115" cy="316723"/>
                <wp:effectExtent l="0" t="0" r="36830" b="52070"/>
                <wp:wrapNone/>
                <wp:docPr id="1354998429" name="Straight Arrow Connector 1"/>
                <wp:cNvGraphicFramePr/>
                <a:graphic xmlns:a="http://schemas.openxmlformats.org/drawingml/2006/main">
                  <a:graphicData uri="http://schemas.microsoft.com/office/word/2010/wordprocessingShape">
                    <wps:wsp>
                      <wps:cNvCnPr/>
                      <wps:spPr>
                        <a:xfrm>
                          <a:off x="0" y="0"/>
                          <a:ext cx="1132115" cy="31672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6841C" id="Straight Arrow Connector 1" o:spid="_x0000_s1026" type="#_x0000_t32" style="position:absolute;margin-left:30.35pt;margin-top:29.3pt;width:89.15pt;height:2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" strokecolor="red" strokeweight="1pt">
                <v:stroke endarrow="block"/>
              </v:shape>
            </w:pict>
          </mc:Fallback>
        </mc:AlternateContent>
      </w:r>
      <w:r w:rsidR="000936C3" w:rsidRPr="00B96EEC">
        <w:rPr>
          <w:noProof/>
          <w:sz w:val="20"/>
          <w:lang w:val="en-US"/>
        </w:rPr>
        <mc:AlternateContent>
          <mc:Choice Requires="wps">
            <w:drawing>
              <wp:anchor distT="0" distB="0" distL="114300" distR="114300" simplePos="0" relativeHeight="251658241" behindDoc="0" locked="0" layoutInCell="1" allowOverlap="1" wp14:anchorId="198E6879" wp14:editId="08FDDC4B">
                <wp:simplePos x="0" y="0"/>
                <wp:positionH relativeFrom="column">
                  <wp:posOffset>1244082</wp:posOffset>
                </wp:positionH>
                <wp:positionV relativeFrom="paragraph">
                  <wp:posOffset>1758626</wp:posOffset>
                </wp:positionV>
                <wp:extent cx="1356049" cy="255037"/>
                <wp:effectExtent l="0" t="0" r="3175" b="0"/>
                <wp:wrapNone/>
                <wp:docPr id="168809148" name="Text Box 2"/>
                <wp:cNvGraphicFramePr/>
                <a:graphic xmlns:a="http://schemas.openxmlformats.org/drawingml/2006/main">
                  <a:graphicData uri="http://schemas.microsoft.com/office/word/2010/wordprocessingShape">
                    <wps:wsp>
                      <wps:cNvSpPr txBox="1"/>
                      <wps:spPr>
                        <a:xfrm>
                          <a:off x="0" y="0"/>
                          <a:ext cx="1356049" cy="255037"/>
                        </a:xfrm>
                        <a:prstGeom prst="rect">
                          <a:avLst/>
                        </a:prstGeom>
                        <a:solidFill>
                          <a:schemeClr val="lt1"/>
                        </a:solidFill>
                        <a:ln w="6350">
                          <a:noFill/>
                        </a:ln>
                      </wps:spPr>
                      <wps:txbx>
                        <w:txbxContent>
                          <w:p w14:paraId="25B2851B" w14:textId="68424105" w:rsidR="000936C3" w:rsidRPr="000936C3" w:rsidRDefault="000936C3" w:rsidP="000936C3">
                            <w:pPr>
                              <w:rPr>
                                <w:sz w:val="20"/>
                                <w:lang w:val="en-US"/>
                              </w:rPr>
                            </w:pPr>
                            <w:r>
                              <w:rPr>
                                <w:sz w:val="20"/>
                                <w:lang w:val="en-US"/>
                              </w:rPr>
                              <w:t>D-D neutron generator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6879" id="_x0000_s1034" type="#_x0000_t202" style="position:absolute;left:0;text-align:left;margin-left:97.95pt;margin-top:138.45pt;width:106.8pt;height:2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" fillcolor="white [3201]" stroked="f" strokeweight=".5pt">
                <v:textbox>
                  <w:txbxContent>
                    <w:p w14:paraId="25B2851B" w14:textId="68424105" w:rsidR="000936C3" w:rsidRPr="000936C3" w:rsidRDefault="000936C3" w:rsidP="000936C3">
                      <w:pPr>
                        <w:rPr>
                          <w:sz w:val="20"/>
                          <w:lang w:val="en-US"/>
                        </w:rPr>
                      </w:pPr>
                      <w:r>
                        <w:rPr>
                          <w:sz w:val="20"/>
                          <w:lang w:val="en-US"/>
                        </w:rPr>
                        <w:t>D-D neutron generator</w:t>
                      </w:r>
                    </w:p>
                  </w:txbxContent>
                </v:textbox>
              </v:shape>
            </w:pict>
          </mc:Fallback>
        </mc:AlternateContent>
      </w:r>
      <w:r w:rsidR="000936C3" w:rsidRPr="00B96EEC">
        <w:rPr>
          <w:noProof/>
          <w:sz w:val="20"/>
          <w:lang w:val="en-US"/>
        </w:rPr>
        <mc:AlternateContent>
          <mc:Choice Requires="wps">
            <w:drawing>
              <wp:anchor distT="0" distB="0" distL="114300" distR="114300" simplePos="0" relativeHeight="251658256" behindDoc="0" locked="0" layoutInCell="1" allowOverlap="1" wp14:anchorId="1CB2E352" wp14:editId="4EF19A83">
                <wp:simplePos x="0" y="0"/>
                <wp:positionH relativeFrom="column">
                  <wp:posOffset>1604865</wp:posOffset>
                </wp:positionH>
                <wp:positionV relativeFrom="paragraph">
                  <wp:posOffset>1497886</wp:posOffset>
                </wp:positionV>
                <wp:extent cx="323397" cy="335345"/>
                <wp:effectExtent l="0" t="25400" r="32385" b="20320"/>
                <wp:wrapNone/>
                <wp:docPr id="1449314671" name="Straight Arrow Connector 1"/>
                <wp:cNvGraphicFramePr/>
                <a:graphic xmlns:a="http://schemas.openxmlformats.org/drawingml/2006/main">
                  <a:graphicData uri="http://schemas.microsoft.com/office/word/2010/wordprocessingShape">
                    <wps:wsp>
                      <wps:cNvCnPr/>
                      <wps:spPr>
                        <a:xfrm flipV="1">
                          <a:off x="0" y="0"/>
                          <a:ext cx="323397" cy="3353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26E39" id="Straight Arrow Connector 1" o:spid="_x0000_s1026" type="#_x0000_t32" style="position:absolute;margin-left:126.35pt;margin-top:117.95pt;width:25.45pt;height:26.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" strokecolor="red" strokeweight="1pt">
                <v:stroke endarrow="block"/>
              </v:shape>
            </w:pict>
          </mc:Fallback>
        </mc:AlternateContent>
      </w:r>
      <w:r w:rsidR="000936C3" w:rsidRPr="00B96EEC">
        <w:rPr>
          <w:noProof/>
          <w:sz w:val="20"/>
          <w:lang w:val="en-US"/>
        </w:rPr>
        <mc:AlternateContent>
          <mc:Choice Requires="wps">
            <w:drawing>
              <wp:anchor distT="0" distB="0" distL="114300" distR="114300" simplePos="0" relativeHeight="251658255" behindDoc="0" locked="0" layoutInCell="1" allowOverlap="1" wp14:anchorId="7884CEDF" wp14:editId="01293EF2">
                <wp:simplePos x="0" y="0"/>
                <wp:positionH relativeFrom="column">
                  <wp:posOffset>510072</wp:posOffset>
                </wp:positionH>
                <wp:positionV relativeFrom="paragraph">
                  <wp:posOffset>1647177</wp:posOffset>
                </wp:positionV>
                <wp:extent cx="149809" cy="186094"/>
                <wp:effectExtent l="0" t="25400" r="28575" b="17145"/>
                <wp:wrapNone/>
                <wp:docPr id="158356121" name="Straight Arrow Connector 1"/>
                <wp:cNvGraphicFramePr/>
                <a:graphic xmlns:a="http://schemas.openxmlformats.org/drawingml/2006/main">
                  <a:graphicData uri="http://schemas.microsoft.com/office/word/2010/wordprocessingShape">
                    <wps:wsp>
                      <wps:cNvCnPr/>
                      <wps:spPr>
                        <a:xfrm flipV="1">
                          <a:off x="0" y="0"/>
                          <a:ext cx="149809" cy="18609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48A14" id="Straight Arrow Connector 1" o:spid="_x0000_s1026" type="#_x0000_t32" style="position:absolute;margin-left:40.15pt;margin-top:129.7pt;width:11.8pt;height:14.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" strokecolor="red" strokeweight="1pt">
                <v:stroke endarrow="block"/>
              </v:shape>
            </w:pict>
          </mc:Fallback>
        </mc:AlternateContent>
      </w:r>
      <w:r w:rsidR="000936C3" w:rsidRPr="00B96EEC">
        <w:rPr>
          <w:noProof/>
          <w:sz w:val="20"/>
          <w:lang w:val="en-US"/>
        </w:rPr>
        <mc:AlternateContent>
          <mc:Choice Requires="wps">
            <w:drawing>
              <wp:anchor distT="0" distB="0" distL="114300" distR="114300" simplePos="0" relativeHeight="251658254" behindDoc="0" locked="0" layoutInCell="1" allowOverlap="1" wp14:anchorId="3CF4B676" wp14:editId="235B79E6">
                <wp:simplePos x="0" y="0"/>
                <wp:positionH relativeFrom="column">
                  <wp:posOffset>-93073</wp:posOffset>
                </wp:positionH>
                <wp:positionV relativeFrom="paragraph">
                  <wp:posOffset>110969</wp:posOffset>
                </wp:positionV>
                <wp:extent cx="696685" cy="261257"/>
                <wp:effectExtent l="0" t="0" r="1905" b="5715"/>
                <wp:wrapNone/>
                <wp:docPr id="1989308019" name="Text Box 2"/>
                <wp:cNvGraphicFramePr/>
                <a:graphic xmlns:a="http://schemas.openxmlformats.org/drawingml/2006/main">
                  <a:graphicData uri="http://schemas.microsoft.com/office/word/2010/wordprocessingShape">
                    <wps:wsp>
                      <wps:cNvSpPr txBox="1"/>
                      <wps:spPr>
                        <a:xfrm>
                          <a:off x="0" y="0"/>
                          <a:ext cx="696685" cy="261257"/>
                        </a:xfrm>
                        <a:prstGeom prst="rect">
                          <a:avLst/>
                        </a:prstGeom>
                        <a:solidFill>
                          <a:schemeClr val="lt1"/>
                        </a:solidFill>
                        <a:ln w="6350">
                          <a:noFill/>
                        </a:ln>
                      </wps:spPr>
                      <wps:txbx>
                        <w:txbxContent>
                          <w:p w14:paraId="4EB69680" w14:textId="10523E97" w:rsidR="000936C3" w:rsidRPr="000936C3" w:rsidRDefault="000936C3">
                            <w:pPr>
                              <w:rPr>
                                <w:sz w:val="20"/>
                                <w:lang w:val="en-US"/>
                              </w:rPr>
                            </w:pPr>
                            <w:r w:rsidRPr="000936C3">
                              <w:rPr>
                                <w:sz w:val="20"/>
                                <w:lang w:val="en-US"/>
                              </w:rPr>
                              <w:t>He-3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4B676" id="_x0000_s1035" type="#_x0000_t202" style="position:absolute;left:0;text-align:left;margin-left:-7.35pt;margin-top:8.75pt;width:54.85pt;height:20.5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" fillcolor="white [3201]" stroked="f" strokeweight=".5pt">
                <v:textbox>
                  <w:txbxContent>
                    <w:p w14:paraId="4EB69680" w14:textId="10523E97" w:rsidR="000936C3" w:rsidRPr="000936C3" w:rsidRDefault="000936C3">
                      <w:pPr>
                        <w:rPr>
                          <w:sz w:val="20"/>
                          <w:lang w:val="en-US"/>
                        </w:rPr>
                      </w:pPr>
                      <w:r w:rsidRPr="000936C3">
                        <w:rPr>
                          <w:sz w:val="20"/>
                          <w:lang w:val="en-US"/>
                        </w:rPr>
                        <w:t>He-3 tube</w:t>
                      </w:r>
                    </w:p>
                  </w:txbxContent>
                </v:textbox>
              </v:shape>
            </w:pict>
          </mc:Fallback>
        </mc:AlternateContent>
      </w:r>
      <w:r w:rsidR="000936C3" w:rsidRPr="00B96EEC">
        <w:rPr>
          <w:noProof/>
          <w:sz w:val="20"/>
          <w:lang w:val="en-US"/>
        </w:rPr>
        <mc:AlternateContent>
          <mc:Choice Requires="wps">
            <w:drawing>
              <wp:anchor distT="0" distB="0" distL="114300" distR="114300" simplePos="0" relativeHeight="251658252" behindDoc="0" locked="0" layoutInCell="1" allowOverlap="1" wp14:anchorId="74C26FEA" wp14:editId="7C9E1C21">
                <wp:simplePos x="0" y="0"/>
                <wp:positionH relativeFrom="column">
                  <wp:posOffset>267269</wp:posOffset>
                </wp:positionH>
                <wp:positionV relativeFrom="paragraph">
                  <wp:posOffset>371993</wp:posOffset>
                </wp:positionV>
                <wp:extent cx="81073" cy="254117"/>
                <wp:effectExtent l="38100" t="0" r="20955" b="38100"/>
                <wp:wrapNone/>
                <wp:docPr id="834211044" name="Straight Arrow Connector 1"/>
                <wp:cNvGraphicFramePr/>
                <a:graphic xmlns:a="http://schemas.openxmlformats.org/drawingml/2006/main">
                  <a:graphicData uri="http://schemas.microsoft.com/office/word/2010/wordprocessingShape">
                    <wps:wsp>
                      <wps:cNvCnPr/>
                      <wps:spPr>
                        <a:xfrm flipH="1">
                          <a:off x="0" y="0"/>
                          <a:ext cx="81073" cy="25411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9985B" id="Straight Arrow Connector 1" o:spid="_x0000_s1026" type="#_x0000_t32" style="position:absolute;margin-left:21.05pt;margin-top:29.3pt;width:6.4pt;height:20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" strokecolor="red" strokeweight="1pt">
                <v:stroke endarrow="block"/>
              </v:shape>
            </w:pict>
          </mc:Fallback>
        </mc:AlternateContent>
      </w:r>
      <w:r w:rsidR="00543E92" w:rsidRPr="00B96EEC">
        <w:rPr>
          <w:noProof/>
          <w:sz w:val="20"/>
          <w:lang w:val="en-US"/>
        </w:rPr>
        <w:drawing>
          <wp:inline distT="0" distB="0" distL="0" distR="0" wp14:anchorId="1CE3AC93" wp14:editId="2AA1B121">
            <wp:extent cx="1296743" cy="1202535"/>
            <wp:effectExtent l="0" t="0" r="0" b="4445"/>
            <wp:docPr id="833441529" name="Picture 83344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clrChange>
                        <a:clrFrom>
                          <a:srgbClr val="8DFF00"/>
                        </a:clrFrom>
                        <a:clrTo>
                          <a:srgbClr val="8DFF00">
                            <a:alpha val="0"/>
                          </a:srgbClr>
                        </a:clrTo>
                      </a:clrChange>
                    </a:blip>
                    <a:srcRect t="3031" b="2979"/>
                    <a:stretch/>
                  </pic:blipFill>
                  <pic:spPr bwMode="auto">
                    <a:xfrm>
                      <a:off x="0" y="0"/>
                      <a:ext cx="1360986" cy="1262111"/>
                    </a:xfrm>
                    <a:prstGeom prst="rect">
                      <a:avLst/>
                    </a:prstGeom>
                    <a:ln>
                      <a:noFill/>
                    </a:ln>
                    <a:extLst>
                      <a:ext uri="{53640926-AAD7-44D8-BBD7-CCE9431645EC}">
                        <a14:shadowObscured xmlns:a14="http://schemas.microsoft.com/office/drawing/2010/main"/>
                      </a:ext>
                    </a:extLst>
                  </pic:spPr>
                </pic:pic>
              </a:graphicData>
            </a:graphic>
          </wp:inline>
        </w:drawing>
      </w:r>
      <w:r w:rsidR="00543E92" w:rsidRPr="00B96EEC">
        <w:rPr>
          <w:sz w:val="20"/>
          <w:lang w:val="en-US"/>
        </w:rPr>
        <w:t xml:space="preserve">   </w:t>
      </w:r>
      <w:r w:rsidR="004738F3" w:rsidRPr="00B96EEC">
        <w:rPr>
          <w:sz w:val="20"/>
          <w:lang w:val="en-US"/>
        </w:rPr>
        <w:t xml:space="preserve"> </w:t>
      </w:r>
      <w:r w:rsidR="004738F3" w:rsidRPr="00B96EEC">
        <w:rPr>
          <w:noProof/>
          <w:sz w:val="20"/>
          <w:lang w:val="en-US"/>
        </w:rPr>
        <w:drawing>
          <wp:inline distT="0" distB="0" distL="0" distR="0" wp14:anchorId="55ED1414" wp14:editId="667A275C">
            <wp:extent cx="1269945" cy="1573273"/>
            <wp:effectExtent l="0" t="0" r="635" b="1905"/>
            <wp:docPr id="1691802385" name="Picture 1691802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rotWithShape="1">
                    <a:blip r:embed="rId25">
                      <a:clrChange>
                        <a:clrFrom>
                          <a:srgbClr val="8DFF00"/>
                        </a:clrFrom>
                        <a:clrTo>
                          <a:srgbClr val="8DFF00">
                            <a:alpha val="0"/>
                          </a:srgbClr>
                        </a:clrTo>
                      </a:clrChange>
                    </a:blip>
                    <a:srcRect l="24361" t="27865" r="24351" b="7739"/>
                    <a:stretch/>
                  </pic:blipFill>
                  <pic:spPr bwMode="auto">
                    <a:xfrm>
                      <a:off x="0" y="0"/>
                      <a:ext cx="1277219" cy="1582285"/>
                    </a:xfrm>
                    <a:prstGeom prst="rect">
                      <a:avLst/>
                    </a:prstGeom>
                    <a:ln>
                      <a:noFill/>
                    </a:ln>
                    <a:extLst>
                      <a:ext uri="{53640926-AAD7-44D8-BBD7-CCE9431645EC}">
                        <a14:shadowObscured xmlns:a14="http://schemas.microsoft.com/office/drawing/2010/main"/>
                      </a:ext>
                    </a:extLst>
                  </pic:spPr>
                </pic:pic>
              </a:graphicData>
            </a:graphic>
          </wp:inline>
        </w:drawing>
      </w:r>
      <w:r w:rsidR="00543E92" w:rsidRPr="00B96EEC">
        <w:rPr>
          <w:sz w:val="20"/>
          <w:lang w:val="en-US"/>
        </w:rPr>
        <w:t xml:space="preserve">   </w:t>
      </w:r>
      <w:r w:rsidR="004738F3" w:rsidRPr="00B96EEC">
        <w:rPr>
          <w:sz w:val="20"/>
          <w:lang w:val="en-US"/>
        </w:rPr>
        <w:t xml:space="preserve"> </w:t>
      </w:r>
      <w:r w:rsidR="004738F3" w:rsidRPr="00B96EEC">
        <w:rPr>
          <w:noProof/>
          <w:sz w:val="20"/>
          <w:lang w:val="en-US"/>
        </w:rPr>
        <w:drawing>
          <wp:inline distT="0" distB="0" distL="0" distR="0" wp14:anchorId="3506C488" wp14:editId="1307C651">
            <wp:extent cx="1506051" cy="1370893"/>
            <wp:effectExtent l="0" t="0" r="5715" b="1270"/>
            <wp:docPr id="2103965558" name="Picture 2103965558" descr="Shap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65558" name="Picture 2103965558" descr="Shape, background pattern&#10;&#10;Description automatically generated"/>
                    <pic:cNvPicPr/>
                  </pic:nvPicPr>
                  <pic:blipFill rotWithShape="1">
                    <a:blip r:embed="rId26">
                      <a:clrChange>
                        <a:clrFrom>
                          <a:srgbClr val="2B00FF"/>
                        </a:clrFrom>
                        <a:clrTo>
                          <a:srgbClr val="2B00FF">
                            <a:alpha val="0"/>
                          </a:srgbClr>
                        </a:clrTo>
                      </a:clrChange>
                    </a:blip>
                    <a:srcRect t="4332" b="3411"/>
                    <a:stretch/>
                  </pic:blipFill>
                  <pic:spPr bwMode="auto">
                    <a:xfrm>
                      <a:off x="0" y="0"/>
                      <a:ext cx="1541347" cy="1403021"/>
                    </a:xfrm>
                    <a:prstGeom prst="rect">
                      <a:avLst/>
                    </a:prstGeom>
                    <a:ln>
                      <a:noFill/>
                    </a:ln>
                    <a:extLst>
                      <a:ext uri="{53640926-AAD7-44D8-BBD7-CCE9431645EC}">
                        <a14:shadowObscured xmlns:a14="http://schemas.microsoft.com/office/drawing/2010/main"/>
                      </a:ext>
                    </a:extLst>
                  </pic:spPr>
                </pic:pic>
              </a:graphicData>
            </a:graphic>
          </wp:inline>
        </w:drawing>
      </w:r>
      <w:r w:rsidR="004738F3" w:rsidRPr="00B96EEC">
        <w:rPr>
          <w:sz w:val="20"/>
          <w:lang w:val="en-US"/>
        </w:rPr>
        <w:t xml:space="preserve"> </w:t>
      </w:r>
      <w:r w:rsidR="00543E92" w:rsidRPr="00B96EEC">
        <w:rPr>
          <w:noProof/>
          <w:sz w:val="20"/>
          <w:lang w:val="en-US"/>
        </w:rPr>
        <w:drawing>
          <wp:inline distT="0" distB="0" distL="0" distR="0" wp14:anchorId="240F3E99" wp14:editId="358479AF">
            <wp:extent cx="1350347" cy="1743891"/>
            <wp:effectExtent l="0" t="0" r="0" b="0"/>
            <wp:docPr id="1916442686" name="Picture 191644268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2686" name="Picture 1916442686" descr="Shape&#10;&#10;Description automatically generated"/>
                    <pic:cNvPicPr/>
                  </pic:nvPicPr>
                  <pic:blipFill rotWithShape="1">
                    <a:blip r:embed="rId27">
                      <a:clrChange>
                        <a:clrFrom>
                          <a:srgbClr val="00FFA0"/>
                        </a:clrFrom>
                        <a:clrTo>
                          <a:srgbClr val="00FFA0">
                            <a:alpha val="0"/>
                          </a:srgbClr>
                        </a:clrTo>
                      </a:clrChange>
                    </a:blip>
                    <a:srcRect l="20673" t="23227" r="20673"/>
                    <a:stretch/>
                  </pic:blipFill>
                  <pic:spPr bwMode="auto">
                    <a:xfrm>
                      <a:off x="0" y="0"/>
                      <a:ext cx="1363184" cy="1760469"/>
                    </a:xfrm>
                    <a:prstGeom prst="rect">
                      <a:avLst/>
                    </a:prstGeom>
                    <a:ln>
                      <a:noFill/>
                    </a:ln>
                    <a:extLst>
                      <a:ext uri="{53640926-AAD7-44D8-BBD7-CCE9431645EC}">
                        <a14:shadowObscured xmlns:a14="http://schemas.microsoft.com/office/drawing/2010/main"/>
                      </a:ext>
                    </a:extLst>
                  </pic:spPr>
                </pic:pic>
              </a:graphicData>
            </a:graphic>
          </wp:inline>
        </w:drawing>
      </w:r>
    </w:p>
    <w:p w14:paraId="1231B11C" w14:textId="1B75827E" w:rsidR="000936C3" w:rsidRPr="00B96EEC" w:rsidRDefault="000936C3" w:rsidP="0042484E">
      <w:pPr>
        <w:spacing w:before="120" w:after="120"/>
        <w:jc w:val="both"/>
        <w:rPr>
          <w:sz w:val="20"/>
          <w:lang w:val="en-US"/>
        </w:rPr>
      </w:pPr>
    </w:p>
    <w:p w14:paraId="62A69461" w14:textId="136746CE" w:rsidR="003E30AD" w:rsidRPr="00B96EEC" w:rsidRDefault="003E30AD" w:rsidP="0042484E">
      <w:pPr>
        <w:pStyle w:val="FIGCAP1line"/>
        <w:jc w:val="both"/>
        <w:rPr>
          <w:b w:val="0"/>
          <w:szCs w:val="20"/>
        </w:rPr>
      </w:pPr>
      <w:bookmarkStart w:id="31" w:name="_Ref166763614"/>
      <w:bookmarkStart w:id="32" w:name="_Ref149747704"/>
      <w:bookmarkStart w:id="33" w:name="_Toc153125990"/>
      <w:r w:rsidRPr="00B96EEC">
        <w:rPr>
          <w:b w:val="0"/>
          <w:szCs w:val="20"/>
        </w:rPr>
        <w:t xml:space="preserve">Figure </w:t>
      </w:r>
      <w:r w:rsidRPr="00B96EEC">
        <w:rPr>
          <w:b w:val="0"/>
          <w:szCs w:val="20"/>
        </w:rPr>
        <w:fldChar w:fldCharType="begin"/>
      </w:r>
      <w:r w:rsidRPr="00B96EEC">
        <w:rPr>
          <w:b w:val="0"/>
          <w:szCs w:val="20"/>
        </w:rPr>
        <w:instrText xml:space="preserve"> SEQ Figure \* ARABIC </w:instrText>
      </w:r>
      <w:r w:rsidRPr="00B96EEC">
        <w:rPr>
          <w:b w:val="0"/>
          <w:szCs w:val="20"/>
        </w:rPr>
        <w:fldChar w:fldCharType="separate"/>
      </w:r>
      <w:r w:rsidR="00B90BAC" w:rsidRPr="00B96EEC">
        <w:rPr>
          <w:b w:val="0"/>
          <w:szCs w:val="20"/>
        </w:rPr>
        <w:t>7</w:t>
      </w:r>
      <w:r w:rsidRPr="00B96EEC">
        <w:rPr>
          <w:b w:val="0"/>
          <w:szCs w:val="20"/>
        </w:rPr>
        <w:fldChar w:fldCharType="end"/>
      </w:r>
      <w:bookmarkEnd w:id="31"/>
      <w:r w:rsidR="00AD3265" w:rsidRPr="00B96EEC">
        <w:rPr>
          <w:b w:val="0"/>
          <w:szCs w:val="20"/>
        </w:rPr>
        <w:t>.</w:t>
      </w:r>
      <w:r w:rsidRPr="00B96EEC">
        <w:rPr>
          <w:b w:val="0"/>
          <w:szCs w:val="20"/>
        </w:rPr>
        <w:t xml:space="preserve"> </w:t>
      </w:r>
      <w:bookmarkEnd w:id="32"/>
      <w:bookmarkEnd w:id="33"/>
      <w:r w:rsidR="005073F9" w:rsidRPr="00B96EEC">
        <w:rPr>
          <w:b w:val="0"/>
          <w:szCs w:val="20"/>
        </w:rPr>
        <w:t>MCNP models of a BANR graphite block. (Left) UNCL-II with AmLi sources; (Center-left) UNCL-II with a D</w:t>
      </w:r>
      <w:r w:rsidR="00126781" w:rsidRPr="00B96EEC">
        <w:rPr>
          <w:b w:val="0"/>
          <w:szCs w:val="20"/>
        </w:rPr>
        <w:t>–</w:t>
      </w:r>
      <w:r w:rsidR="005073F9" w:rsidRPr="00B96EEC">
        <w:rPr>
          <w:b w:val="0"/>
          <w:szCs w:val="20"/>
        </w:rPr>
        <w:t>D neutron generator; (Center-right) FNCL with AmLi sources; (Right) FNCL with a D</w:t>
      </w:r>
      <w:r w:rsidR="00A95039" w:rsidRPr="00B96EEC">
        <w:rPr>
          <w:b w:val="0"/>
          <w:szCs w:val="20"/>
        </w:rPr>
        <w:t>–</w:t>
      </w:r>
      <w:r w:rsidR="005073F9" w:rsidRPr="00B96EEC">
        <w:rPr>
          <w:b w:val="0"/>
          <w:szCs w:val="20"/>
        </w:rPr>
        <w:t>D neutron generator.</w:t>
      </w:r>
    </w:p>
    <w:p w14:paraId="34FB0275" w14:textId="33ABC149" w:rsidR="004738F3" w:rsidRPr="00B96EEC" w:rsidRDefault="00C418BC" w:rsidP="0042484E">
      <w:pPr>
        <w:pStyle w:val="BlockText"/>
        <w:jc w:val="both"/>
        <w:rPr>
          <w:sz w:val="20"/>
          <w:szCs w:val="20"/>
        </w:rPr>
      </w:pPr>
      <w:r w:rsidRPr="00B96EEC">
        <w:rPr>
          <w:noProof/>
          <w:snapToGrid/>
          <w:sz w:val="20"/>
          <w:szCs w:val="20"/>
        </w:rPr>
        <mc:AlternateContent>
          <mc:Choice Requires="wps">
            <w:drawing>
              <wp:anchor distT="0" distB="0" distL="114300" distR="114300" simplePos="0" relativeHeight="251658268" behindDoc="0" locked="0" layoutInCell="1" allowOverlap="1" wp14:anchorId="5F22E57C" wp14:editId="2B833859">
                <wp:simplePos x="0" y="0"/>
                <wp:positionH relativeFrom="column">
                  <wp:posOffset>4201834</wp:posOffset>
                </wp:positionH>
                <wp:positionV relativeFrom="paragraph">
                  <wp:posOffset>123760</wp:posOffset>
                </wp:positionV>
                <wp:extent cx="578498" cy="199053"/>
                <wp:effectExtent l="0" t="0" r="5715" b="4445"/>
                <wp:wrapNone/>
                <wp:docPr id="1189456532" name="Text Box 3"/>
                <wp:cNvGraphicFramePr/>
                <a:graphic xmlns:a="http://schemas.openxmlformats.org/drawingml/2006/main">
                  <a:graphicData uri="http://schemas.microsoft.com/office/word/2010/wordprocessingShape">
                    <wps:wsp>
                      <wps:cNvSpPr txBox="1"/>
                      <wps:spPr>
                        <a:xfrm>
                          <a:off x="0" y="0"/>
                          <a:ext cx="578498" cy="199053"/>
                        </a:xfrm>
                        <a:prstGeom prst="rect">
                          <a:avLst/>
                        </a:prstGeom>
                        <a:solidFill>
                          <a:schemeClr val="lt1"/>
                        </a:solidFill>
                        <a:ln w="6350">
                          <a:noFill/>
                        </a:ln>
                      </wps:spPr>
                      <wps:txbx>
                        <w:txbxContent>
                          <w:p w14:paraId="701676BC" w14:textId="6E5C5830" w:rsidR="00C418BC" w:rsidRPr="00C418BC" w:rsidRDefault="00C418BC" w:rsidP="00C418BC">
                            <w:pPr>
                              <w:rPr>
                                <w:sz w:val="16"/>
                                <w:szCs w:val="16"/>
                                <w:lang w:val="en-US"/>
                              </w:rPr>
                            </w:pPr>
                            <w:r>
                              <w:rPr>
                                <w:sz w:val="16"/>
                                <w:szCs w:val="16"/>
                                <w:lang w:val="en-US"/>
                              </w:rPr>
                              <w:t>FNCL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2E57C" id="Text Box 3" o:spid="_x0000_s1036" type="#_x0000_t202" style="position:absolute;left:0;text-align:left;margin-left:330.85pt;margin-top:9.75pt;width:45.55pt;height:15.6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" fillcolor="white [3201]" stroked="f" strokeweight=".5pt">
                <v:textbox>
                  <w:txbxContent>
                    <w:p w14:paraId="701676BC" w14:textId="6E5C5830" w:rsidR="00C418BC" w:rsidRPr="00C418BC" w:rsidRDefault="00C418BC" w:rsidP="00C418BC">
                      <w:pPr>
                        <w:rPr>
                          <w:sz w:val="16"/>
                          <w:szCs w:val="16"/>
                          <w:lang w:val="en-US"/>
                        </w:rPr>
                      </w:pPr>
                      <w:r>
                        <w:rPr>
                          <w:sz w:val="16"/>
                          <w:szCs w:val="16"/>
                          <w:lang w:val="en-US"/>
                        </w:rPr>
                        <w:t>FNCL</w:t>
                      </w:r>
                    </w:p>
                  </w:txbxContent>
                </v:textbox>
              </v:shape>
            </w:pict>
          </mc:Fallback>
        </mc:AlternateContent>
      </w:r>
      <w:r w:rsidRPr="00B96EEC">
        <w:rPr>
          <w:noProof/>
          <w:snapToGrid/>
          <w:sz w:val="20"/>
          <w:szCs w:val="20"/>
        </w:rPr>
        <mc:AlternateContent>
          <mc:Choice Requires="wps">
            <w:drawing>
              <wp:anchor distT="0" distB="0" distL="114300" distR="114300" simplePos="0" relativeHeight="251658267" behindDoc="0" locked="0" layoutInCell="1" allowOverlap="1" wp14:anchorId="58BB484A" wp14:editId="5D635844">
                <wp:simplePos x="0" y="0"/>
                <wp:positionH relativeFrom="column">
                  <wp:posOffset>2313992</wp:posOffset>
                </wp:positionH>
                <wp:positionV relativeFrom="paragraph">
                  <wp:posOffset>120857</wp:posOffset>
                </wp:positionV>
                <wp:extent cx="578498" cy="199053"/>
                <wp:effectExtent l="0" t="0" r="5715" b="4445"/>
                <wp:wrapNone/>
                <wp:docPr id="1319135398" name="Text Box 3"/>
                <wp:cNvGraphicFramePr/>
                <a:graphic xmlns:a="http://schemas.openxmlformats.org/drawingml/2006/main">
                  <a:graphicData uri="http://schemas.microsoft.com/office/word/2010/wordprocessingShape">
                    <wps:wsp>
                      <wps:cNvSpPr txBox="1"/>
                      <wps:spPr>
                        <a:xfrm>
                          <a:off x="0" y="0"/>
                          <a:ext cx="578498" cy="199053"/>
                        </a:xfrm>
                        <a:prstGeom prst="rect">
                          <a:avLst/>
                        </a:prstGeom>
                        <a:solidFill>
                          <a:schemeClr val="lt1"/>
                        </a:solidFill>
                        <a:ln w="6350">
                          <a:noFill/>
                        </a:ln>
                      </wps:spPr>
                      <wps:txbx>
                        <w:txbxContent>
                          <w:p w14:paraId="0E282FC1" w14:textId="5F8A4C22" w:rsidR="00C418BC" w:rsidRPr="00C418BC" w:rsidRDefault="00C418BC">
                            <w:pPr>
                              <w:rPr>
                                <w:sz w:val="16"/>
                                <w:szCs w:val="16"/>
                                <w:lang w:val="en-US"/>
                              </w:rPr>
                            </w:pPr>
                            <w:r w:rsidRPr="00C418BC">
                              <w:rPr>
                                <w:sz w:val="16"/>
                                <w:szCs w:val="16"/>
                                <w:lang w:val="en-US"/>
                              </w:rPr>
                              <w:t>UNCL-II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BB484A" id="_x0000_s1037" type="#_x0000_t202" style="position:absolute;left:0;text-align:left;margin-left:182.2pt;margin-top:9.5pt;width:45.55pt;height:15.6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" fillcolor="white [3201]" stroked="f" strokeweight=".5pt">
                <v:textbox>
                  <w:txbxContent>
                    <w:p w14:paraId="0E282FC1" w14:textId="5F8A4C22" w:rsidR="00C418BC" w:rsidRPr="00C418BC" w:rsidRDefault="00C418BC">
                      <w:pPr>
                        <w:rPr>
                          <w:sz w:val="16"/>
                          <w:szCs w:val="16"/>
                          <w:lang w:val="en-US"/>
                        </w:rPr>
                      </w:pPr>
                      <w:r w:rsidRPr="00C418BC">
                        <w:rPr>
                          <w:sz w:val="16"/>
                          <w:szCs w:val="16"/>
                          <w:lang w:val="en-US"/>
                        </w:rPr>
                        <w:t>UNCL-II</w:t>
                      </w:r>
                    </w:p>
                  </w:txbxContent>
                </v:textbox>
              </v:shape>
            </w:pict>
          </mc:Fallback>
        </mc:AlternateContent>
      </w:r>
      <w:r w:rsidR="00632CFE" w:rsidRPr="00B96EEC">
        <w:rPr>
          <w:noProof/>
          <w:sz w:val="20"/>
          <w:szCs w:val="20"/>
        </w:rPr>
        <w:drawing>
          <wp:inline distT="0" distB="0" distL="0" distR="0" wp14:anchorId="62CAE777" wp14:editId="1881A604">
            <wp:extent cx="2030730" cy="1461004"/>
            <wp:effectExtent l="0" t="0" r="1270" b="0"/>
            <wp:docPr id="548764676" name="Picture 5487646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64676" name="Picture 548764676" descr="Chart&#10;&#10;Description automatically generated"/>
                    <pic:cNvPicPr/>
                  </pic:nvPicPr>
                  <pic:blipFill rotWithShape="1">
                    <a:blip r:embed="rId28"/>
                    <a:srcRect t="10004"/>
                    <a:stretch/>
                  </pic:blipFill>
                  <pic:spPr bwMode="auto">
                    <a:xfrm>
                      <a:off x="0" y="0"/>
                      <a:ext cx="2082574" cy="1498303"/>
                    </a:xfrm>
                    <a:prstGeom prst="rect">
                      <a:avLst/>
                    </a:prstGeom>
                    <a:ln>
                      <a:noFill/>
                    </a:ln>
                    <a:extLst>
                      <a:ext uri="{53640926-AAD7-44D8-BBD7-CCE9431645EC}">
                        <a14:shadowObscured xmlns:a14="http://schemas.microsoft.com/office/drawing/2010/main"/>
                      </a:ext>
                    </a:extLst>
                  </pic:spPr>
                </pic:pic>
              </a:graphicData>
            </a:graphic>
          </wp:inline>
        </w:drawing>
      </w:r>
      <w:r w:rsidR="00632CFE" w:rsidRPr="00B96EEC">
        <w:rPr>
          <w:noProof/>
          <w:sz w:val="20"/>
          <w:szCs w:val="20"/>
        </w:rPr>
        <w:drawing>
          <wp:inline distT="0" distB="0" distL="0" distR="0" wp14:anchorId="14405FF2" wp14:editId="416C0CC8">
            <wp:extent cx="1843207" cy="1460474"/>
            <wp:effectExtent l="0" t="0" r="0" b="635"/>
            <wp:docPr id="1999599486" name="Picture 199959948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99486" name="Picture 1999599486" descr="Chart, diagram&#10;&#10;Description automatically generated"/>
                    <pic:cNvPicPr/>
                  </pic:nvPicPr>
                  <pic:blipFill rotWithShape="1">
                    <a:blip r:embed="rId29"/>
                    <a:srcRect l="3404"/>
                    <a:stretch/>
                  </pic:blipFill>
                  <pic:spPr bwMode="auto">
                    <a:xfrm>
                      <a:off x="0" y="0"/>
                      <a:ext cx="1937334" cy="1535056"/>
                    </a:xfrm>
                    <a:prstGeom prst="rect">
                      <a:avLst/>
                    </a:prstGeom>
                    <a:ln>
                      <a:noFill/>
                    </a:ln>
                    <a:extLst>
                      <a:ext uri="{53640926-AAD7-44D8-BBD7-CCE9431645EC}">
                        <a14:shadowObscured xmlns:a14="http://schemas.microsoft.com/office/drawing/2010/main"/>
                      </a:ext>
                    </a:extLst>
                  </pic:spPr>
                </pic:pic>
              </a:graphicData>
            </a:graphic>
          </wp:inline>
        </w:drawing>
      </w:r>
      <w:r w:rsidR="00632CFE" w:rsidRPr="00B96EEC">
        <w:rPr>
          <w:noProof/>
          <w:sz w:val="20"/>
          <w:szCs w:val="20"/>
        </w:rPr>
        <w:drawing>
          <wp:inline distT="0" distB="0" distL="0" distR="0" wp14:anchorId="4D7D3C37" wp14:editId="073378DB">
            <wp:extent cx="1847461" cy="1496428"/>
            <wp:effectExtent l="0" t="0" r="0" b="2540"/>
            <wp:docPr id="556969039" name="Picture 5569690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69039" name="Picture 556969039" descr="Chart, line chart&#10;&#10;Description automatically generated"/>
                    <pic:cNvPicPr/>
                  </pic:nvPicPr>
                  <pic:blipFill>
                    <a:blip r:embed="rId30"/>
                    <a:stretch>
                      <a:fillRect/>
                    </a:stretch>
                  </pic:blipFill>
                  <pic:spPr>
                    <a:xfrm>
                      <a:off x="0" y="0"/>
                      <a:ext cx="1870246" cy="1514884"/>
                    </a:xfrm>
                    <a:prstGeom prst="rect">
                      <a:avLst/>
                    </a:prstGeom>
                  </pic:spPr>
                </pic:pic>
              </a:graphicData>
            </a:graphic>
          </wp:inline>
        </w:drawing>
      </w:r>
    </w:p>
    <w:p w14:paraId="743104BC" w14:textId="0F3F0988" w:rsidR="00632CFE" w:rsidRPr="00B96EEC" w:rsidRDefault="00632CFE" w:rsidP="0042484E">
      <w:pPr>
        <w:pStyle w:val="FIGCAP1line"/>
        <w:jc w:val="both"/>
        <w:rPr>
          <w:b w:val="0"/>
          <w:szCs w:val="20"/>
        </w:rPr>
      </w:pPr>
      <w:bookmarkStart w:id="34" w:name="_Ref166785037"/>
      <w:r w:rsidRPr="00B96EEC">
        <w:rPr>
          <w:b w:val="0"/>
          <w:szCs w:val="20"/>
        </w:rPr>
        <w:t xml:space="preserve">Figure </w:t>
      </w:r>
      <w:r w:rsidRPr="00B96EEC">
        <w:rPr>
          <w:b w:val="0"/>
          <w:szCs w:val="20"/>
        </w:rPr>
        <w:fldChar w:fldCharType="begin"/>
      </w:r>
      <w:r w:rsidRPr="00B96EEC">
        <w:rPr>
          <w:b w:val="0"/>
          <w:szCs w:val="20"/>
        </w:rPr>
        <w:instrText xml:space="preserve"> SEQ Figure \* ARABIC </w:instrText>
      </w:r>
      <w:r w:rsidRPr="00B96EEC">
        <w:rPr>
          <w:b w:val="0"/>
          <w:szCs w:val="20"/>
        </w:rPr>
        <w:fldChar w:fldCharType="separate"/>
      </w:r>
      <w:r w:rsidR="00B90BAC" w:rsidRPr="00B96EEC">
        <w:rPr>
          <w:b w:val="0"/>
          <w:szCs w:val="20"/>
        </w:rPr>
        <w:t>8</w:t>
      </w:r>
      <w:r w:rsidRPr="00B96EEC">
        <w:rPr>
          <w:b w:val="0"/>
          <w:szCs w:val="20"/>
        </w:rPr>
        <w:fldChar w:fldCharType="end"/>
      </w:r>
      <w:bookmarkEnd w:id="34"/>
      <w:r w:rsidRPr="00B96EEC">
        <w:rPr>
          <w:b w:val="0"/>
          <w:szCs w:val="20"/>
        </w:rPr>
        <w:t xml:space="preserve">. </w:t>
      </w:r>
      <w:r w:rsidR="00C418BC" w:rsidRPr="00B96EEC">
        <w:rPr>
          <w:b w:val="0"/>
          <w:szCs w:val="20"/>
        </w:rPr>
        <w:t xml:space="preserve">(Left) </w:t>
      </w:r>
      <w:r w:rsidRPr="00B96EEC">
        <w:rPr>
          <w:b w:val="0"/>
          <w:szCs w:val="20"/>
        </w:rPr>
        <w:t xml:space="preserve">Doubles rate of </w:t>
      </w:r>
      <w:r w:rsidR="00C418BC" w:rsidRPr="00B96EEC">
        <w:rPr>
          <w:b w:val="0"/>
          <w:szCs w:val="20"/>
        </w:rPr>
        <w:t xml:space="preserve">a </w:t>
      </w:r>
      <w:r w:rsidRPr="00B96EEC">
        <w:rPr>
          <w:b w:val="0"/>
          <w:szCs w:val="20"/>
        </w:rPr>
        <w:t>BANR fuel block</w:t>
      </w:r>
      <w:r w:rsidR="00C418BC" w:rsidRPr="00B96EEC">
        <w:rPr>
          <w:b w:val="0"/>
          <w:szCs w:val="20"/>
        </w:rPr>
        <w:t>; (Center) UNCL-II doubles rates for four fuel “assembly” types; (Right) FNCL</w:t>
      </w:r>
      <w:r w:rsidR="001F1D11" w:rsidRPr="00B96EEC">
        <w:rPr>
          <w:b w:val="0"/>
          <w:szCs w:val="20"/>
        </w:rPr>
        <w:t xml:space="preserve"> doubles rates for four fuel “assembly” types. </w:t>
      </w:r>
    </w:p>
    <w:p w14:paraId="5291E489" w14:textId="7E50EA32" w:rsidR="00E73874" w:rsidRDefault="0082243F" w:rsidP="0042484E">
      <w:pPr>
        <w:pStyle w:val="BlockText"/>
        <w:ind w:firstLine="567"/>
        <w:jc w:val="both"/>
        <w:rPr>
          <w:sz w:val="20"/>
          <w:szCs w:val="20"/>
        </w:rPr>
      </w:pPr>
      <w:r w:rsidRPr="00B96EEC">
        <w:rPr>
          <w:sz w:val="20"/>
          <w:szCs w:val="20"/>
        </w:rPr>
        <w:t xml:space="preserve">Fuel diversion (or </w:t>
      </w:r>
      <w:r w:rsidR="00C15D7E" w:rsidRPr="00B96EEC">
        <w:rPr>
          <w:sz w:val="20"/>
          <w:szCs w:val="20"/>
        </w:rPr>
        <w:t>PD</w:t>
      </w:r>
      <w:r w:rsidRPr="00B96EEC">
        <w:rPr>
          <w:sz w:val="20"/>
          <w:szCs w:val="20"/>
        </w:rPr>
        <w:t>)</w:t>
      </w:r>
      <w:r w:rsidR="008A5D14" w:rsidRPr="00B96EEC">
        <w:rPr>
          <w:sz w:val="20"/>
          <w:szCs w:val="20"/>
        </w:rPr>
        <w:t xml:space="preserve"> tests were also simulated for these AR fuel types. In each </w:t>
      </w:r>
      <w:r w:rsidRPr="00B96EEC">
        <w:rPr>
          <w:sz w:val="20"/>
          <w:szCs w:val="20"/>
        </w:rPr>
        <w:t>diversion</w:t>
      </w:r>
      <w:r w:rsidR="008A5D14" w:rsidRPr="00B96EEC">
        <w:rPr>
          <w:sz w:val="20"/>
          <w:szCs w:val="20"/>
        </w:rPr>
        <w:t xml:space="preserve"> case, a varying number of regular fuel “pins” were replaced </w:t>
      </w:r>
      <w:r w:rsidR="00A41085" w:rsidRPr="00B96EEC">
        <w:rPr>
          <w:sz w:val="20"/>
          <w:szCs w:val="20"/>
        </w:rPr>
        <w:t xml:space="preserve">with </w:t>
      </w:r>
      <w:r w:rsidR="008A5D14" w:rsidRPr="00B96EEC">
        <w:rPr>
          <w:sz w:val="20"/>
          <w:szCs w:val="20"/>
        </w:rPr>
        <w:t xml:space="preserve">depleted uranium </w:t>
      </w:r>
      <w:r w:rsidR="00C2617F" w:rsidRPr="00B96EEC">
        <w:rPr>
          <w:sz w:val="20"/>
          <w:szCs w:val="20"/>
        </w:rPr>
        <w:t>“</w:t>
      </w:r>
      <w:r w:rsidR="008A5D14" w:rsidRPr="00B96EEC">
        <w:rPr>
          <w:sz w:val="20"/>
          <w:szCs w:val="20"/>
        </w:rPr>
        <w:t>pins</w:t>
      </w:r>
      <w:r w:rsidR="00BD3822" w:rsidRPr="00B96EEC">
        <w:rPr>
          <w:sz w:val="20"/>
          <w:szCs w:val="20"/>
        </w:rPr>
        <w:t>,</w:t>
      </w:r>
      <w:r w:rsidR="00C2617F" w:rsidRPr="00B96EEC">
        <w:rPr>
          <w:sz w:val="20"/>
          <w:szCs w:val="20"/>
        </w:rPr>
        <w:t>”</w:t>
      </w:r>
      <w:r w:rsidR="008A5D14" w:rsidRPr="00B96EEC">
        <w:rPr>
          <w:sz w:val="20"/>
          <w:szCs w:val="20"/>
        </w:rPr>
        <w:t xml:space="preserve"> and then the doubles rate of the </w:t>
      </w:r>
      <w:r w:rsidR="00C2617F" w:rsidRPr="00B96EEC">
        <w:rPr>
          <w:sz w:val="20"/>
          <w:szCs w:val="20"/>
        </w:rPr>
        <w:t>diverted</w:t>
      </w:r>
      <w:r w:rsidR="008A5D14" w:rsidRPr="00B96EEC">
        <w:rPr>
          <w:sz w:val="20"/>
          <w:szCs w:val="20"/>
        </w:rPr>
        <w:t xml:space="preserve"> case </w:t>
      </w:r>
      <w:r w:rsidR="00BD3822" w:rsidRPr="00B96EEC">
        <w:rPr>
          <w:sz w:val="20"/>
          <w:szCs w:val="20"/>
        </w:rPr>
        <w:t xml:space="preserve">was </w:t>
      </w:r>
      <w:r w:rsidR="008A5D14" w:rsidRPr="00B96EEC">
        <w:rPr>
          <w:sz w:val="20"/>
          <w:szCs w:val="20"/>
        </w:rPr>
        <w:t xml:space="preserve">compared to that of the base case. </w:t>
      </w:r>
      <w:r w:rsidR="008A5D14" w:rsidRPr="00B96EEC">
        <w:rPr>
          <w:sz w:val="20"/>
          <w:szCs w:val="20"/>
        </w:rPr>
        <w:fldChar w:fldCharType="begin"/>
      </w:r>
      <w:r w:rsidR="008A5D14" w:rsidRPr="00B96EEC">
        <w:rPr>
          <w:sz w:val="20"/>
          <w:szCs w:val="20"/>
        </w:rPr>
        <w:instrText xml:space="preserve"> REF _Ref166791110 \h </w:instrText>
      </w:r>
      <w:r w:rsidR="00C2617F" w:rsidRPr="00B96EEC">
        <w:rPr>
          <w:sz w:val="20"/>
          <w:szCs w:val="20"/>
        </w:rPr>
        <w:instrText xml:space="preserve"> \* MERGEFORMAT </w:instrText>
      </w:r>
      <w:r w:rsidR="008A5D14" w:rsidRPr="00B96EEC">
        <w:rPr>
          <w:sz w:val="20"/>
          <w:szCs w:val="20"/>
        </w:rPr>
      </w:r>
      <w:r w:rsidR="008A5D14" w:rsidRPr="00B96EEC">
        <w:rPr>
          <w:sz w:val="20"/>
          <w:szCs w:val="20"/>
        </w:rPr>
        <w:fldChar w:fldCharType="separate"/>
      </w:r>
      <w:r w:rsidR="00B90BAC" w:rsidRPr="00B96EEC">
        <w:rPr>
          <w:sz w:val="20"/>
          <w:szCs w:val="20"/>
        </w:rPr>
        <w:t>Table 4</w:t>
      </w:r>
      <w:r w:rsidR="008A5D14" w:rsidRPr="00B96EEC">
        <w:rPr>
          <w:sz w:val="20"/>
          <w:szCs w:val="20"/>
        </w:rPr>
        <w:fldChar w:fldCharType="end"/>
      </w:r>
      <w:r w:rsidR="008A5D14" w:rsidRPr="00B96EEC">
        <w:rPr>
          <w:sz w:val="20"/>
          <w:szCs w:val="20"/>
        </w:rPr>
        <w:t xml:space="preserve"> summarizes the </w:t>
      </w:r>
      <w:r w:rsidRPr="00B96EEC">
        <w:rPr>
          <w:sz w:val="20"/>
          <w:szCs w:val="20"/>
        </w:rPr>
        <w:t>diversion</w:t>
      </w:r>
      <w:r w:rsidR="008A5D14" w:rsidRPr="00B96EEC">
        <w:rPr>
          <w:sz w:val="20"/>
          <w:szCs w:val="20"/>
        </w:rPr>
        <w:t xml:space="preserve"> detection results of UNCL-II for all the three AR fuel types and the PWR assembly for a 10 min measurement time, and </w:t>
      </w:r>
      <w:r w:rsidR="008A5D14" w:rsidRPr="00B96EEC">
        <w:rPr>
          <w:sz w:val="20"/>
          <w:szCs w:val="20"/>
        </w:rPr>
        <w:fldChar w:fldCharType="begin"/>
      </w:r>
      <w:r w:rsidR="008A5D14" w:rsidRPr="00B96EEC">
        <w:rPr>
          <w:sz w:val="20"/>
          <w:szCs w:val="20"/>
        </w:rPr>
        <w:instrText xml:space="preserve"> REF _Ref166791168 \h </w:instrText>
      </w:r>
      <w:r w:rsidR="00C2617F" w:rsidRPr="00B96EEC">
        <w:rPr>
          <w:sz w:val="20"/>
          <w:szCs w:val="20"/>
        </w:rPr>
        <w:instrText xml:space="preserve"> \* MERGEFORMAT </w:instrText>
      </w:r>
      <w:r w:rsidR="008A5D14" w:rsidRPr="00B96EEC">
        <w:rPr>
          <w:sz w:val="20"/>
          <w:szCs w:val="20"/>
        </w:rPr>
      </w:r>
      <w:r w:rsidR="008A5D14" w:rsidRPr="00B96EEC">
        <w:rPr>
          <w:sz w:val="20"/>
          <w:szCs w:val="20"/>
        </w:rPr>
        <w:fldChar w:fldCharType="separate"/>
      </w:r>
      <w:r w:rsidR="00B90BAC" w:rsidRPr="00B96EEC">
        <w:rPr>
          <w:sz w:val="20"/>
          <w:szCs w:val="20"/>
        </w:rPr>
        <w:t>Table 5</w:t>
      </w:r>
      <w:r w:rsidR="008A5D14" w:rsidRPr="00B96EEC">
        <w:rPr>
          <w:sz w:val="20"/>
          <w:szCs w:val="20"/>
        </w:rPr>
        <w:fldChar w:fldCharType="end"/>
      </w:r>
      <w:r w:rsidR="008A5D14" w:rsidRPr="00B96EEC">
        <w:rPr>
          <w:sz w:val="20"/>
          <w:szCs w:val="20"/>
        </w:rPr>
        <w:t xml:space="preserve"> shows the corresponding FNCL results. </w:t>
      </w:r>
      <w:r w:rsidRPr="00B96EEC">
        <w:rPr>
          <w:sz w:val="20"/>
          <w:szCs w:val="20"/>
        </w:rPr>
        <w:t xml:space="preserve">Note that for a given </w:t>
      </w:r>
      <w:r w:rsidR="00FC1541" w:rsidRPr="00B96EEC">
        <w:rPr>
          <w:sz w:val="20"/>
          <w:szCs w:val="20"/>
        </w:rPr>
        <w:t>diversion</w:t>
      </w:r>
      <w:r w:rsidRPr="00B96EEC">
        <w:rPr>
          <w:sz w:val="20"/>
          <w:szCs w:val="20"/>
        </w:rPr>
        <w:t xml:space="preserve"> case when the relative reduction in doubles rate due to fuel diversion is greater than </w:t>
      </w:r>
      <w:r w:rsidR="00DC64EB">
        <w:rPr>
          <w:sz w:val="20"/>
          <w:szCs w:val="20"/>
        </w:rPr>
        <w:t xml:space="preserve">twice </w:t>
      </w:r>
      <w:r w:rsidRPr="00B96EEC">
        <w:rPr>
          <w:sz w:val="20"/>
          <w:szCs w:val="20"/>
        </w:rPr>
        <w:t>the uncertainty (2</w:t>
      </w:r>
      <w:r w:rsidRPr="00B96EEC">
        <w:rPr>
          <w:sz w:val="20"/>
          <w:szCs w:val="20"/>
        </w:rPr>
        <w:sym w:font="Symbol" w:char="F073"/>
      </w:r>
      <w:r w:rsidRPr="00B96EEC">
        <w:rPr>
          <w:sz w:val="20"/>
          <w:szCs w:val="20"/>
        </w:rPr>
        <w:t>) of the doubles rates, a “YES” is entered in the box under “95% confidence”; otherwise, a “NO” is entered. The boxes under “99.7% confidence” were similarly filled, except that the relative reduction of doubles rates was compared to three times the uncertainty (3</w:t>
      </w:r>
      <w:r w:rsidRPr="00B96EEC">
        <w:rPr>
          <w:sz w:val="20"/>
          <w:szCs w:val="20"/>
        </w:rPr>
        <w:sym w:font="Symbol" w:char="F073"/>
      </w:r>
      <w:r w:rsidRPr="00B96EEC">
        <w:rPr>
          <w:sz w:val="20"/>
          <w:szCs w:val="20"/>
        </w:rPr>
        <w:t xml:space="preserve">) of the doubles rates. </w:t>
      </w:r>
      <w:r w:rsidR="008A5D14" w:rsidRPr="00B96EEC">
        <w:rPr>
          <w:sz w:val="20"/>
          <w:szCs w:val="20"/>
        </w:rPr>
        <w:t xml:space="preserve">As shown in </w:t>
      </w:r>
      <w:r w:rsidR="008A5D14" w:rsidRPr="00B96EEC">
        <w:rPr>
          <w:sz w:val="20"/>
          <w:szCs w:val="20"/>
        </w:rPr>
        <w:fldChar w:fldCharType="begin"/>
      </w:r>
      <w:r w:rsidR="008A5D14" w:rsidRPr="00B96EEC">
        <w:rPr>
          <w:sz w:val="20"/>
          <w:szCs w:val="20"/>
        </w:rPr>
        <w:instrText xml:space="preserve"> REF _Ref166791110 \h </w:instrText>
      </w:r>
      <w:r w:rsidR="00C2617F" w:rsidRPr="00B96EEC">
        <w:rPr>
          <w:sz w:val="20"/>
          <w:szCs w:val="20"/>
        </w:rPr>
        <w:instrText xml:space="preserve"> \* MERGEFORMAT </w:instrText>
      </w:r>
      <w:r w:rsidR="008A5D14" w:rsidRPr="00B96EEC">
        <w:rPr>
          <w:sz w:val="20"/>
          <w:szCs w:val="20"/>
        </w:rPr>
      </w:r>
      <w:r w:rsidR="008A5D14" w:rsidRPr="00B96EEC">
        <w:rPr>
          <w:sz w:val="20"/>
          <w:szCs w:val="20"/>
        </w:rPr>
        <w:fldChar w:fldCharType="separate"/>
      </w:r>
      <w:r w:rsidR="00B90BAC" w:rsidRPr="00B96EEC">
        <w:rPr>
          <w:sz w:val="20"/>
          <w:szCs w:val="20"/>
        </w:rPr>
        <w:t>Table 4</w:t>
      </w:r>
      <w:r w:rsidR="008A5D14" w:rsidRPr="00B96EEC">
        <w:rPr>
          <w:sz w:val="20"/>
          <w:szCs w:val="20"/>
        </w:rPr>
        <w:fldChar w:fldCharType="end"/>
      </w:r>
      <w:r w:rsidR="008A5D14" w:rsidRPr="00B96EEC">
        <w:rPr>
          <w:sz w:val="20"/>
          <w:szCs w:val="20"/>
        </w:rPr>
        <w:t xml:space="preserve">, the performance for </w:t>
      </w:r>
      <w:r w:rsidRPr="00B96EEC">
        <w:rPr>
          <w:sz w:val="20"/>
          <w:szCs w:val="20"/>
        </w:rPr>
        <w:t xml:space="preserve">UNCL-II in detecting diversions for </w:t>
      </w:r>
      <w:r w:rsidR="008A5D14" w:rsidRPr="00B96EEC">
        <w:rPr>
          <w:sz w:val="20"/>
          <w:szCs w:val="20"/>
        </w:rPr>
        <w:t xml:space="preserve">the AR fuel elements was significantly worse than that for </w:t>
      </w:r>
      <w:r w:rsidRPr="00B96EEC">
        <w:rPr>
          <w:sz w:val="20"/>
          <w:szCs w:val="20"/>
        </w:rPr>
        <w:t>a</w:t>
      </w:r>
      <w:r w:rsidR="008A5D14" w:rsidRPr="00B96EEC">
        <w:rPr>
          <w:sz w:val="20"/>
          <w:szCs w:val="20"/>
        </w:rPr>
        <w:t xml:space="preserve"> PWR assembly</w:t>
      </w:r>
      <w:r w:rsidRPr="00B96EEC">
        <w:rPr>
          <w:sz w:val="20"/>
          <w:szCs w:val="20"/>
        </w:rPr>
        <w:t>, which can be attributed to the lower doubles rates</w:t>
      </w:r>
      <w:r w:rsidR="00AD589F">
        <w:rPr>
          <w:sz w:val="20"/>
          <w:szCs w:val="20"/>
        </w:rPr>
        <w:t xml:space="preserve"> </w:t>
      </w:r>
      <w:r w:rsidRPr="00B96EEC">
        <w:rPr>
          <w:sz w:val="20"/>
          <w:szCs w:val="20"/>
        </w:rPr>
        <w:t>for</w:t>
      </w:r>
      <w:r w:rsidR="008A5D14" w:rsidRPr="00B96EEC">
        <w:rPr>
          <w:sz w:val="20"/>
          <w:szCs w:val="20"/>
        </w:rPr>
        <w:t xml:space="preserve"> AR fuel element</w:t>
      </w:r>
      <w:r w:rsidRPr="00B96EEC">
        <w:rPr>
          <w:sz w:val="20"/>
          <w:szCs w:val="20"/>
        </w:rPr>
        <w:t>s</w:t>
      </w:r>
      <w:r w:rsidR="00AD589F">
        <w:rPr>
          <w:sz w:val="20"/>
          <w:szCs w:val="20"/>
        </w:rPr>
        <w:t>,</w:t>
      </w:r>
      <w:r w:rsidRPr="00B96EEC">
        <w:rPr>
          <w:sz w:val="20"/>
          <w:szCs w:val="20"/>
        </w:rPr>
        <w:t xml:space="preserve"> shown in </w:t>
      </w:r>
      <w:r w:rsidRPr="00B96EEC">
        <w:rPr>
          <w:sz w:val="20"/>
          <w:szCs w:val="20"/>
        </w:rPr>
        <w:fldChar w:fldCharType="begin"/>
      </w:r>
      <w:r w:rsidRPr="00B96EEC">
        <w:rPr>
          <w:sz w:val="20"/>
          <w:szCs w:val="20"/>
        </w:rPr>
        <w:instrText xml:space="preserve"> REF _Ref166785037 \h  \* MERGEFORMAT </w:instrText>
      </w:r>
      <w:r w:rsidRPr="00B96EEC">
        <w:rPr>
          <w:sz w:val="20"/>
          <w:szCs w:val="20"/>
        </w:rPr>
      </w:r>
      <w:r w:rsidRPr="00B96EEC">
        <w:rPr>
          <w:sz w:val="20"/>
          <w:szCs w:val="20"/>
        </w:rPr>
        <w:fldChar w:fldCharType="separate"/>
      </w:r>
      <w:r w:rsidR="00B90BAC" w:rsidRPr="00B96EEC">
        <w:rPr>
          <w:sz w:val="20"/>
          <w:szCs w:val="20"/>
        </w:rPr>
        <w:t>Figure 8</w:t>
      </w:r>
      <w:r w:rsidRPr="00B96EEC">
        <w:rPr>
          <w:sz w:val="20"/>
          <w:szCs w:val="20"/>
        </w:rPr>
        <w:fldChar w:fldCharType="end"/>
      </w:r>
      <w:r w:rsidR="00AD589F">
        <w:rPr>
          <w:sz w:val="20"/>
          <w:szCs w:val="20"/>
        </w:rPr>
        <w:t xml:space="preserve">, due to their lower linear </w:t>
      </w:r>
      <w:r w:rsidR="00AD589F" w:rsidRPr="00AD589F">
        <w:rPr>
          <w:sz w:val="20"/>
          <w:szCs w:val="20"/>
          <w:vertAlign w:val="superscript"/>
        </w:rPr>
        <w:t>235</w:t>
      </w:r>
      <w:r w:rsidR="00AD589F">
        <w:rPr>
          <w:sz w:val="20"/>
          <w:szCs w:val="20"/>
        </w:rPr>
        <w:t>U density</w:t>
      </w:r>
      <w:r w:rsidR="008A5D14" w:rsidRPr="00B96EEC">
        <w:rPr>
          <w:sz w:val="20"/>
          <w:szCs w:val="20"/>
        </w:rPr>
        <w:t>.</w:t>
      </w:r>
      <w:r w:rsidRPr="00B96EEC">
        <w:rPr>
          <w:sz w:val="20"/>
          <w:szCs w:val="20"/>
        </w:rPr>
        <w:t xml:space="preserve"> </w:t>
      </w:r>
      <w:r w:rsidR="00C06A64" w:rsidRPr="00B96EEC">
        <w:rPr>
          <w:sz w:val="20"/>
          <w:szCs w:val="20"/>
        </w:rPr>
        <w:t>A s</w:t>
      </w:r>
      <w:r w:rsidRPr="00B96EEC">
        <w:rPr>
          <w:sz w:val="20"/>
          <w:szCs w:val="20"/>
        </w:rPr>
        <w:t xml:space="preserve">imilar conclusion can be drawn for FNCL based on the results shown in </w:t>
      </w:r>
      <w:r w:rsidRPr="00B96EEC">
        <w:rPr>
          <w:sz w:val="20"/>
          <w:szCs w:val="20"/>
        </w:rPr>
        <w:fldChar w:fldCharType="begin"/>
      </w:r>
      <w:r w:rsidRPr="00B96EEC">
        <w:rPr>
          <w:sz w:val="20"/>
          <w:szCs w:val="20"/>
        </w:rPr>
        <w:instrText xml:space="preserve"> REF _Ref166791168 \h </w:instrText>
      </w:r>
      <w:r w:rsidR="00C2617F" w:rsidRPr="00B96EEC">
        <w:rPr>
          <w:sz w:val="20"/>
          <w:szCs w:val="20"/>
        </w:rPr>
        <w:instrText xml:space="preserve"> \* MERGEFORMAT </w:instrText>
      </w:r>
      <w:r w:rsidRPr="00B96EEC">
        <w:rPr>
          <w:sz w:val="20"/>
          <w:szCs w:val="20"/>
        </w:rPr>
      </w:r>
      <w:r w:rsidRPr="00B96EEC">
        <w:rPr>
          <w:sz w:val="20"/>
          <w:szCs w:val="20"/>
        </w:rPr>
        <w:fldChar w:fldCharType="separate"/>
      </w:r>
      <w:r w:rsidR="00B90BAC" w:rsidRPr="00B96EEC">
        <w:rPr>
          <w:sz w:val="20"/>
          <w:szCs w:val="20"/>
        </w:rPr>
        <w:t>Table 5</w:t>
      </w:r>
      <w:r w:rsidRPr="00B96EEC">
        <w:rPr>
          <w:sz w:val="20"/>
          <w:szCs w:val="20"/>
        </w:rPr>
        <w:fldChar w:fldCharType="end"/>
      </w:r>
      <w:r w:rsidRPr="00B96EEC">
        <w:rPr>
          <w:sz w:val="20"/>
          <w:szCs w:val="20"/>
        </w:rPr>
        <w:t>. Compared with the UNCL-II results, the performance of FNCL was better for the PWR and metal fuel assemblies but much worse for the graphite blocks, which is likely because the graphite</w:t>
      </w:r>
      <w:r w:rsidR="00FC1541" w:rsidRPr="00B96EEC">
        <w:rPr>
          <w:sz w:val="20"/>
          <w:szCs w:val="20"/>
        </w:rPr>
        <w:t xml:space="preserve"> in the blocks</w:t>
      </w:r>
      <w:r w:rsidRPr="00B96EEC">
        <w:rPr>
          <w:sz w:val="20"/>
          <w:szCs w:val="20"/>
        </w:rPr>
        <w:t xml:space="preserve"> over-moderates (i.e., thermalizes) the neutrons</w:t>
      </w:r>
      <w:r w:rsidR="004E567F" w:rsidRPr="00B96EEC">
        <w:rPr>
          <w:sz w:val="20"/>
          <w:szCs w:val="20"/>
        </w:rPr>
        <w:t>,</w:t>
      </w:r>
      <w:r w:rsidRPr="00B96EEC">
        <w:rPr>
          <w:sz w:val="20"/>
          <w:szCs w:val="20"/>
        </w:rPr>
        <w:t xml:space="preserve"> and FNCL is sensitive only to fast neutrons.</w:t>
      </w:r>
      <w:r w:rsidR="0000166A">
        <w:rPr>
          <w:sz w:val="20"/>
          <w:szCs w:val="20"/>
        </w:rPr>
        <w:t xml:space="preserve"> Similar study was carried out using a D-D neutron generator and similar conclusions were made to those of an </w:t>
      </w:r>
      <w:proofErr w:type="spellStart"/>
      <w:r w:rsidR="0000166A">
        <w:rPr>
          <w:sz w:val="20"/>
          <w:szCs w:val="20"/>
        </w:rPr>
        <w:t>AmLi</w:t>
      </w:r>
      <w:proofErr w:type="spellEnd"/>
      <w:r w:rsidR="0000166A">
        <w:rPr>
          <w:sz w:val="20"/>
          <w:szCs w:val="20"/>
        </w:rPr>
        <w:t xml:space="preserve"> source.</w:t>
      </w:r>
      <w:r w:rsidRPr="00B96EEC">
        <w:rPr>
          <w:sz w:val="20"/>
          <w:szCs w:val="20"/>
        </w:rPr>
        <w:t xml:space="preserve"> These results show</w:t>
      </w:r>
      <w:r w:rsidR="00FC1541" w:rsidRPr="00B96EEC">
        <w:rPr>
          <w:sz w:val="20"/>
          <w:szCs w:val="20"/>
        </w:rPr>
        <w:t xml:space="preserve"> that</w:t>
      </w:r>
      <w:r w:rsidRPr="00B96EEC">
        <w:rPr>
          <w:sz w:val="20"/>
          <w:szCs w:val="20"/>
        </w:rPr>
        <w:t xml:space="preserve"> significant challenges </w:t>
      </w:r>
      <w:r w:rsidR="00FC1541" w:rsidRPr="00B96EEC">
        <w:rPr>
          <w:sz w:val="20"/>
          <w:szCs w:val="20"/>
        </w:rPr>
        <w:t>are</w:t>
      </w:r>
      <w:r w:rsidRPr="00B96EEC">
        <w:rPr>
          <w:sz w:val="20"/>
          <w:szCs w:val="20"/>
        </w:rPr>
        <w:t xml:space="preserve"> expected when using these existing technologies to detect diversions in these AR fuel elements.</w:t>
      </w:r>
      <w:r w:rsidR="00AA2517">
        <w:rPr>
          <w:sz w:val="20"/>
          <w:szCs w:val="20"/>
        </w:rPr>
        <w:t xml:space="preserve"> It is anticipated that increasing the measurement time will increase the </w:t>
      </w:r>
      <w:r w:rsidR="00D53B58">
        <w:rPr>
          <w:sz w:val="20"/>
          <w:szCs w:val="20"/>
        </w:rPr>
        <w:t>capability to detect diversions for the different fuel assembly types. However, this will be the subject of future work.</w:t>
      </w:r>
      <w:r w:rsidRPr="00B96EEC">
        <w:rPr>
          <w:sz w:val="20"/>
          <w:szCs w:val="20"/>
        </w:rPr>
        <w:t xml:space="preserve">  </w:t>
      </w:r>
    </w:p>
    <w:p w14:paraId="30BCC28A" w14:textId="77777777" w:rsidR="00B02359" w:rsidRDefault="00B02359" w:rsidP="0042484E">
      <w:pPr>
        <w:pStyle w:val="BlockText"/>
        <w:ind w:firstLine="567"/>
        <w:jc w:val="both"/>
        <w:rPr>
          <w:sz w:val="20"/>
          <w:szCs w:val="20"/>
        </w:rPr>
      </w:pPr>
    </w:p>
    <w:p w14:paraId="4957D2FD" w14:textId="77777777" w:rsidR="00B02359" w:rsidRPr="00B96EEC" w:rsidRDefault="00B02359" w:rsidP="0042484E">
      <w:pPr>
        <w:pStyle w:val="BlockText"/>
        <w:ind w:firstLine="567"/>
        <w:jc w:val="both"/>
        <w:rPr>
          <w:sz w:val="20"/>
          <w:szCs w:val="20"/>
        </w:rPr>
      </w:pPr>
    </w:p>
    <w:p w14:paraId="7C672F7E" w14:textId="32D425BC" w:rsidR="007F0BFB" w:rsidRPr="00B96EEC" w:rsidRDefault="002534EE" w:rsidP="0042484E">
      <w:pPr>
        <w:pStyle w:val="TableCaption"/>
        <w:jc w:val="both"/>
        <w:rPr>
          <w:rFonts w:ascii="Times New Roman" w:hAnsi="Times New Roman"/>
          <w:b w:val="0"/>
        </w:rPr>
      </w:pPr>
      <w:bookmarkStart w:id="35" w:name="_Ref166791110"/>
      <w:r w:rsidRPr="00B96EEC">
        <w:rPr>
          <w:rFonts w:ascii="Times New Roman" w:hAnsi="Times New Roman"/>
          <w:b w:val="0"/>
        </w:rPr>
        <w:lastRenderedPageBreak/>
        <w:t>T</w:t>
      </w:r>
      <w:r w:rsidR="00B02359">
        <w:rPr>
          <w:rFonts w:ascii="Times New Roman" w:hAnsi="Times New Roman"/>
          <w:b w:val="0"/>
        </w:rPr>
        <w:t>ABLE</w:t>
      </w:r>
      <w:r w:rsidRPr="00B96EEC">
        <w:rPr>
          <w:rFonts w:ascii="Times New Roman" w:hAnsi="Times New Roman"/>
          <w:b w:val="0"/>
        </w:rPr>
        <w:t xml:space="preserve"> </w:t>
      </w:r>
      <w:r w:rsidRPr="00B96EEC">
        <w:rPr>
          <w:rFonts w:ascii="Times New Roman" w:hAnsi="Times New Roman"/>
          <w:b w:val="0"/>
        </w:rPr>
        <w:fldChar w:fldCharType="begin"/>
      </w:r>
      <w:r w:rsidRPr="00B96EEC">
        <w:rPr>
          <w:rFonts w:ascii="Times New Roman" w:hAnsi="Times New Roman"/>
          <w:b w:val="0"/>
        </w:rPr>
        <w:instrText xml:space="preserve"> SEQ Table \* ARABIC </w:instrText>
      </w:r>
      <w:r w:rsidRPr="00B96EEC">
        <w:rPr>
          <w:rFonts w:ascii="Times New Roman" w:hAnsi="Times New Roman"/>
          <w:b w:val="0"/>
        </w:rPr>
        <w:fldChar w:fldCharType="separate"/>
      </w:r>
      <w:r w:rsidR="00B90BAC" w:rsidRPr="00B96EEC">
        <w:rPr>
          <w:rFonts w:ascii="Times New Roman" w:hAnsi="Times New Roman"/>
          <w:b w:val="0"/>
        </w:rPr>
        <w:t>4</w:t>
      </w:r>
      <w:r w:rsidRPr="00B96EEC">
        <w:rPr>
          <w:rFonts w:ascii="Times New Roman" w:hAnsi="Times New Roman"/>
          <w:b w:val="0"/>
        </w:rPr>
        <w:fldChar w:fldCharType="end"/>
      </w:r>
      <w:bookmarkEnd w:id="35"/>
      <w:r w:rsidRPr="00B96EEC">
        <w:rPr>
          <w:rFonts w:ascii="Times New Roman" w:hAnsi="Times New Roman"/>
          <w:b w:val="0"/>
        </w:rPr>
        <w:t>.</w:t>
      </w:r>
      <w:r w:rsidR="00B02359">
        <w:rPr>
          <w:rFonts w:ascii="Times New Roman" w:hAnsi="Times New Roman"/>
          <w:b w:val="0"/>
        </w:rPr>
        <w:tab/>
      </w:r>
      <w:r w:rsidR="00B02359" w:rsidRPr="00B02359">
        <w:rPr>
          <w:rFonts w:ascii="Times New Roman" w:hAnsi="Times New Roman"/>
          <w:b w:val="0"/>
        </w:rPr>
        <w:t>ASSESSMENT OF UNCL-II WITH AMLI’S CAPABILITY IN DETECTING DIVERSIONS FOR DIFFERENT FUEL ASSEMBLIES WITHIN 10 MIN MEASUREMENT TIME</w:t>
      </w:r>
      <w:r w:rsidR="00B02359">
        <w:rPr>
          <w:rFonts w:ascii="Times New Roman" w:hAnsi="Times New Roman"/>
          <w:b w:val="0"/>
        </w:rPr>
        <w:t>.</w:t>
      </w:r>
    </w:p>
    <w:tbl>
      <w:tblPr>
        <w:tblStyle w:val="TableGrid"/>
        <w:tblW w:w="9350" w:type="dxa"/>
        <w:tblLook w:val="04A0" w:firstRow="1" w:lastRow="0" w:firstColumn="1" w:lastColumn="0" w:noHBand="0" w:noVBand="1"/>
      </w:tblPr>
      <w:tblGrid>
        <w:gridCol w:w="1000"/>
        <w:gridCol w:w="1047"/>
        <w:gridCol w:w="1047"/>
        <w:gridCol w:w="1046"/>
        <w:gridCol w:w="1046"/>
        <w:gridCol w:w="1046"/>
        <w:gridCol w:w="1046"/>
        <w:gridCol w:w="1036"/>
        <w:gridCol w:w="1036"/>
      </w:tblGrid>
      <w:tr w:rsidR="002534EE" w:rsidRPr="00B96EEC" w14:paraId="6DDB2471" w14:textId="77777777" w:rsidTr="00193BC6">
        <w:trPr>
          <w:trHeight w:val="489"/>
        </w:trPr>
        <w:tc>
          <w:tcPr>
            <w:tcW w:w="1000" w:type="dxa"/>
            <w:vMerge w:val="restart"/>
            <w:vAlign w:val="center"/>
          </w:tcPr>
          <w:p w14:paraId="4E41A96D" w14:textId="77777777" w:rsidR="002534EE" w:rsidRPr="00B96EEC" w:rsidRDefault="002534EE" w:rsidP="0042484E">
            <w:pPr>
              <w:jc w:val="both"/>
              <w:rPr>
                <w:sz w:val="18"/>
                <w:szCs w:val="18"/>
                <w:lang w:val="en-US"/>
              </w:rPr>
            </w:pPr>
            <w:r w:rsidRPr="00B96EEC">
              <w:rPr>
                <w:sz w:val="18"/>
                <w:szCs w:val="18"/>
                <w:lang w:val="en-US"/>
              </w:rPr>
              <w:t>Mass diverted (%)</w:t>
            </w:r>
          </w:p>
        </w:tc>
        <w:tc>
          <w:tcPr>
            <w:tcW w:w="2094" w:type="dxa"/>
            <w:gridSpan w:val="2"/>
            <w:vAlign w:val="center"/>
          </w:tcPr>
          <w:p w14:paraId="480D93B0" w14:textId="77777777" w:rsidR="002534EE" w:rsidRPr="00B96EEC" w:rsidRDefault="002534EE" w:rsidP="0042484E">
            <w:pPr>
              <w:jc w:val="both"/>
              <w:rPr>
                <w:sz w:val="18"/>
                <w:szCs w:val="18"/>
                <w:lang w:val="en-US"/>
              </w:rPr>
            </w:pPr>
            <w:r w:rsidRPr="00B96EEC">
              <w:rPr>
                <w:sz w:val="18"/>
                <w:szCs w:val="18"/>
                <w:lang w:val="en-US"/>
              </w:rPr>
              <w:t>PWR Fuel Assembly</w:t>
            </w:r>
          </w:p>
        </w:tc>
        <w:tc>
          <w:tcPr>
            <w:tcW w:w="2092" w:type="dxa"/>
            <w:gridSpan w:val="2"/>
            <w:vAlign w:val="center"/>
          </w:tcPr>
          <w:p w14:paraId="4BE79FA7" w14:textId="77777777" w:rsidR="002534EE" w:rsidRPr="00B96EEC" w:rsidRDefault="002534EE" w:rsidP="0042484E">
            <w:pPr>
              <w:jc w:val="both"/>
              <w:rPr>
                <w:sz w:val="18"/>
                <w:szCs w:val="18"/>
                <w:lang w:val="en-US"/>
              </w:rPr>
            </w:pPr>
            <w:r w:rsidRPr="00B96EEC">
              <w:rPr>
                <w:sz w:val="18"/>
                <w:szCs w:val="18"/>
                <w:lang w:val="en-US"/>
              </w:rPr>
              <w:t>Metal Fuel</w:t>
            </w:r>
          </w:p>
        </w:tc>
        <w:tc>
          <w:tcPr>
            <w:tcW w:w="2092" w:type="dxa"/>
            <w:gridSpan w:val="2"/>
            <w:vAlign w:val="center"/>
          </w:tcPr>
          <w:p w14:paraId="0FE4A5E8" w14:textId="77777777" w:rsidR="002534EE" w:rsidRPr="00B96EEC" w:rsidRDefault="002534EE" w:rsidP="0042484E">
            <w:pPr>
              <w:jc w:val="both"/>
              <w:rPr>
                <w:sz w:val="18"/>
                <w:szCs w:val="18"/>
                <w:lang w:val="en-US"/>
              </w:rPr>
            </w:pPr>
            <w:r w:rsidRPr="00B96EEC">
              <w:rPr>
                <w:sz w:val="18"/>
                <w:szCs w:val="18"/>
                <w:lang w:val="en-US"/>
              </w:rPr>
              <w:t>BANR Fuel Block</w:t>
            </w:r>
          </w:p>
        </w:tc>
        <w:tc>
          <w:tcPr>
            <w:tcW w:w="2072" w:type="dxa"/>
            <w:gridSpan w:val="2"/>
            <w:vAlign w:val="center"/>
          </w:tcPr>
          <w:p w14:paraId="51BD7FC2" w14:textId="77777777" w:rsidR="002534EE" w:rsidRPr="00B96EEC" w:rsidRDefault="002534EE" w:rsidP="0042484E">
            <w:pPr>
              <w:jc w:val="both"/>
              <w:rPr>
                <w:sz w:val="18"/>
                <w:szCs w:val="18"/>
                <w:lang w:val="en-US"/>
              </w:rPr>
            </w:pPr>
            <w:r w:rsidRPr="00B96EEC">
              <w:rPr>
                <w:sz w:val="18"/>
                <w:szCs w:val="18"/>
                <w:lang w:val="en-US"/>
              </w:rPr>
              <w:t>USNC Fuel Block</w:t>
            </w:r>
          </w:p>
        </w:tc>
      </w:tr>
      <w:tr w:rsidR="002534EE" w:rsidRPr="00B96EEC" w14:paraId="653B5592" w14:textId="77777777" w:rsidTr="00193BC6">
        <w:trPr>
          <w:trHeight w:val="488"/>
        </w:trPr>
        <w:tc>
          <w:tcPr>
            <w:tcW w:w="1000" w:type="dxa"/>
            <w:vMerge/>
            <w:vAlign w:val="center"/>
          </w:tcPr>
          <w:p w14:paraId="0B1203A2" w14:textId="77777777" w:rsidR="002534EE" w:rsidRPr="00B96EEC" w:rsidRDefault="002534EE" w:rsidP="0042484E">
            <w:pPr>
              <w:jc w:val="both"/>
              <w:rPr>
                <w:sz w:val="18"/>
                <w:szCs w:val="18"/>
                <w:lang w:val="en-US"/>
              </w:rPr>
            </w:pPr>
          </w:p>
        </w:tc>
        <w:tc>
          <w:tcPr>
            <w:tcW w:w="1047" w:type="dxa"/>
            <w:vAlign w:val="center"/>
          </w:tcPr>
          <w:p w14:paraId="4D2205A3" w14:textId="77777777" w:rsidR="002534EE" w:rsidRPr="00B96EEC" w:rsidRDefault="002534EE" w:rsidP="0042484E">
            <w:pPr>
              <w:jc w:val="both"/>
              <w:rPr>
                <w:sz w:val="18"/>
                <w:szCs w:val="18"/>
                <w:lang w:val="en-US"/>
              </w:rPr>
            </w:pPr>
            <w:r w:rsidRPr="00B96EEC">
              <w:rPr>
                <w:sz w:val="18"/>
                <w:szCs w:val="18"/>
                <w:lang w:val="en-US"/>
              </w:rPr>
              <w:t>95% confidence</w:t>
            </w:r>
          </w:p>
        </w:tc>
        <w:tc>
          <w:tcPr>
            <w:tcW w:w="1047" w:type="dxa"/>
            <w:vAlign w:val="center"/>
          </w:tcPr>
          <w:p w14:paraId="2D3F295D" w14:textId="77777777" w:rsidR="002534EE" w:rsidRPr="00B96EEC" w:rsidRDefault="002534EE" w:rsidP="0042484E">
            <w:pPr>
              <w:jc w:val="both"/>
              <w:rPr>
                <w:sz w:val="18"/>
                <w:szCs w:val="18"/>
                <w:lang w:val="en-US"/>
              </w:rPr>
            </w:pPr>
            <w:r w:rsidRPr="00B96EEC">
              <w:rPr>
                <w:sz w:val="18"/>
                <w:szCs w:val="18"/>
                <w:lang w:val="en-US"/>
              </w:rPr>
              <w:t>99.7% confidence</w:t>
            </w:r>
          </w:p>
        </w:tc>
        <w:tc>
          <w:tcPr>
            <w:tcW w:w="1046" w:type="dxa"/>
            <w:vAlign w:val="center"/>
          </w:tcPr>
          <w:p w14:paraId="6B22A4E2" w14:textId="77777777" w:rsidR="002534EE" w:rsidRPr="00B96EEC" w:rsidRDefault="002534EE" w:rsidP="0042484E">
            <w:pPr>
              <w:jc w:val="both"/>
              <w:rPr>
                <w:sz w:val="18"/>
                <w:szCs w:val="18"/>
                <w:lang w:val="en-US"/>
              </w:rPr>
            </w:pPr>
            <w:r w:rsidRPr="00B96EEC">
              <w:rPr>
                <w:sz w:val="18"/>
                <w:szCs w:val="18"/>
                <w:lang w:val="en-US"/>
              </w:rPr>
              <w:t>95% confidence</w:t>
            </w:r>
          </w:p>
        </w:tc>
        <w:tc>
          <w:tcPr>
            <w:tcW w:w="1046" w:type="dxa"/>
            <w:vAlign w:val="center"/>
          </w:tcPr>
          <w:p w14:paraId="2B1C529C" w14:textId="77777777" w:rsidR="002534EE" w:rsidRPr="00B96EEC" w:rsidRDefault="002534EE" w:rsidP="0042484E">
            <w:pPr>
              <w:jc w:val="both"/>
              <w:rPr>
                <w:sz w:val="18"/>
                <w:szCs w:val="18"/>
                <w:lang w:val="en-US"/>
              </w:rPr>
            </w:pPr>
            <w:r w:rsidRPr="00B96EEC">
              <w:rPr>
                <w:sz w:val="18"/>
                <w:szCs w:val="18"/>
                <w:lang w:val="en-US"/>
              </w:rPr>
              <w:t>99.7% confidence</w:t>
            </w:r>
          </w:p>
        </w:tc>
        <w:tc>
          <w:tcPr>
            <w:tcW w:w="1046" w:type="dxa"/>
            <w:vAlign w:val="center"/>
          </w:tcPr>
          <w:p w14:paraId="789A02B6" w14:textId="77777777" w:rsidR="002534EE" w:rsidRPr="00B96EEC" w:rsidRDefault="002534EE" w:rsidP="0042484E">
            <w:pPr>
              <w:jc w:val="both"/>
              <w:rPr>
                <w:sz w:val="18"/>
                <w:szCs w:val="18"/>
                <w:lang w:val="en-US"/>
              </w:rPr>
            </w:pPr>
            <w:r w:rsidRPr="00B96EEC">
              <w:rPr>
                <w:sz w:val="18"/>
                <w:szCs w:val="18"/>
                <w:lang w:val="en-US"/>
              </w:rPr>
              <w:t>95% confidence</w:t>
            </w:r>
          </w:p>
        </w:tc>
        <w:tc>
          <w:tcPr>
            <w:tcW w:w="1046" w:type="dxa"/>
            <w:vAlign w:val="center"/>
          </w:tcPr>
          <w:p w14:paraId="4766EA5E" w14:textId="77777777" w:rsidR="002534EE" w:rsidRPr="00B96EEC" w:rsidRDefault="002534EE" w:rsidP="0042484E">
            <w:pPr>
              <w:jc w:val="both"/>
              <w:rPr>
                <w:sz w:val="18"/>
                <w:szCs w:val="18"/>
                <w:lang w:val="en-US"/>
              </w:rPr>
            </w:pPr>
            <w:r w:rsidRPr="00B96EEC">
              <w:rPr>
                <w:sz w:val="18"/>
                <w:szCs w:val="18"/>
                <w:lang w:val="en-US"/>
              </w:rPr>
              <w:t>99.7% confidence</w:t>
            </w:r>
          </w:p>
        </w:tc>
        <w:tc>
          <w:tcPr>
            <w:tcW w:w="1036" w:type="dxa"/>
            <w:vAlign w:val="center"/>
          </w:tcPr>
          <w:p w14:paraId="5239E181" w14:textId="77777777" w:rsidR="002534EE" w:rsidRPr="00B96EEC" w:rsidRDefault="002534EE" w:rsidP="0042484E">
            <w:pPr>
              <w:jc w:val="both"/>
              <w:rPr>
                <w:sz w:val="18"/>
                <w:szCs w:val="18"/>
                <w:lang w:val="en-US"/>
              </w:rPr>
            </w:pPr>
            <w:r w:rsidRPr="00B96EEC">
              <w:rPr>
                <w:sz w:val="18"/>
                <w:szCs w:val="18"/>
                <w:lang w:val="en-US"/>
              </w:rPr>
              <w:t>95% confidence</w:t>
            </w:r>
          </w:p>
        </w:tc>
        <w:tc>
          <w:tcPr>
            <w:tcW w:w="1036" w:type="dxa"/>
            <w:vAlign w:val="center"/>
          </w:tcPr>
          <w:p w14:paraId="118CE509" w14:textId="77777777" w:rsidR="002534EE" w:rsidRPr="00B96EEC" w:rsidRDefault="002534EE" w:rsidP="0042484E">
            <w:pPr>
              <w:jc w:val="both"/>
              <w:rPr>
                <w:sz w:val="18"/>
                <w:szCs w:val="18"/>
                <w:lang w:val="en-US"/>
              </w:rPr>
            </w:pPr>
            <w:r w:rsidRPr="00B96EEC">
              <w:rPr>
                <w:sz w:val="18"/>
                <w:szCs w:val="18"/>
                <w:lang w:val="en-US"/>
              </w:rPr>
              <w:t>99.7% confidence</w:t>
            </w:r>
          </w:p>
        </w:tc>
      </w:tr>
      <w:tr w:rsidR="002534EE" w:rsidRPr="00B96EEC" w14:paraId="0508CB69" w14:textId="77777777" w:rsidTr="00193BC6">
        <w:tc>
          <w:tcPr>
            <w:tcW w:w="1000" w:type="dxa"/>
            <w:vAlign w:val="center"/>
          </w:tcPr>
          <w:p w14:paraId="304EB0EF" w14:textId="77777777" w:rsidR="002534EE" w:rsidRPr="00B96EEC" w:rsidRDefault="002534EE" w:rsidP="0042484E">
            <w:pPr>
              <w:jc w:val="both"/>
              <w:rPr>
                <w:sz w:val="18"/>
                <w:szCs w:val="18"/>
                <w:lang w:val="en-US"/>
              </w:rPr>
            </w:pPr>
            <w:r w:rsidRPr="00B96EEC">
              <w:rPr>
                <w:sz w:val="18"/>
                <w:szCs w:val="18"/>
                <w:lang w:val="en-US"/>
              </w:rPr>
              <w:t>~ −2</w:t>
            </w:r>
          </w:p>
        </w:tc>
        <w:tc>
          <w:tcPr>
            <w:tcW w:w="1047" w:type="dxa"/>
            <w:shd w:val="clear" w:color="auto" w:fill="FFC000"/>
            <w:vAlign w:val="center"/>
          </w:tcPr>
          <w:p w14:paraId="55E69412" w14:textId="77777777" w:rsidR="002534EE" w:rsidRPr="00B96EEC" w:rsidRDefault="002534EE" w:rsidP="0042484E">
            <w:pPr>
              <w:jc w:val="both"/>
              <w:rPr>
                <w:sz w:val="18"/>
                <w:szCs w:val="18"/>
                <w:lang w:val="en-US"/>
              </w:rPr>
            </w:pPr>
            <w:r w:rsidRPr="00B96EEC">
              <w:rPr>
                <w:sz w:val="18"/>
                <w:szCs w:val="18"/>
                <w:lang w:val="en-US"/>
              </w:rPr>
              <w:t>NO</w:t>
            </w:r>
          </w:p>
        </w:tc>
        <w:tc>
          <w:tcPr>
            <w:tcW w:w="1047" w:type="dxa"/>
            <w:shd w:val="clear" w:color="auto" w:fill="FFC000"/>
            <w:vAlign w:val="center"/>
          </w:tcPr>
          <w:p w14:paraId="09CB48D0"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56B517F9"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7C657F13"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5CC8F104"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23D2FCB3"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7035151F"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3F784C02" w14:textId="77777777" w:rsidR="002534EE" w:rsidRPr="00B96EEC" w:rsidRDefault="002534EE" w:rsidP="0042484E">
            <w:pPr>
              <w:jc w:val="both"/>
              <w:rPr>
                <w:sz w:val="18"/>
                <w:szCs w:val="18"/>
                <w:lang w:val="en-US"/>
              </w:rPr>
            </w:pPr>
            <w:r w:rsidRPr="00B96EEC">
              <w:rPr>
                <w:sz w:val="18"/>
                <w:szCs w:val="18"/>
                <w:lang w:val="en-US"/>
              </w:rPr>
              <w:t>NO</w:t>
            </w:r>
          </w:p>
        </w:tc>
      </w:tr>
      <w:tr w:rsidR="002534EE" w:rsidRPr="00B96EEC" w14:paraId="4514108E" w14:textId="77777777" w:rsidTr="00193BC6">
        <w:tc>
          <w:tcPr>
            <w:tcW w:w="1000" w:type="dxa"/>
            <w:vAlign w:val="center"/>
          </w:tcPr>
          <w:p w14:paraId="3D703716" w14:textId="77777777" w:rsidR="002534EE" w:rsidRPr="00B96EEC" w:rsidRDefault="002534EE" w:rsidP="0042484E">
            <w:pPr>
              <w:jc w:val="both"/>
              <w:rPr>
                <w:sz w:val="18"/>
                <w:szCs w:val="18"/>
                <w:lang w:val="en-US"/>
              </w:rPr>
            </w:pPr>
            <w:r w:rsidRPr="00B96EEC">
              <w:rPr>
                <w:sz w:val="18"/>
                <w:szCs w:val="18"/>
                <w:lang w:val="en-US"/>
              </w:rPr>
              <w:t>~ −4</w:t>
            </w:r>
          </w:p>
        </w:tc>
        <w:tc>
          <w:tcPr>
            <w:tcW w:w="1047" w:type="dxa"/>
            <w:shd w:val="clear" w:color="auto" w:fill="92D050"/>
            <w:vAlign w:val="center"/>
          </w:tcPr>
          <w:p w14:paraId="14FE2CD3" w14:textId="77777777" w:rsidR="002534EE" w:rsidRPr="00B96EEC" w:rsidRDefault="002534EE" w:rsidP="0042484E">
            <w:pPr>
              <w:jc w:val="both"/>
              <w:rPr>
                <w:sz w:val="18"/>
                <w:szCs w:val="18"/>
                <w:lang w:val="en-US"/>
              </w:rPr>
            </w:pPr>
            <w:r w:rsidRPr="00B96EEC">
              <w:rPr>
                <w:sz w:val="18"/>
                <w:szCs w:val="18"/>
                <w:lang w:val="en-US"/>
              </w:rPr>
              <w:t>YES</w:t>
            </w:r>
          </w:p>
        </w:tc>
        <w:tc>
          <w:tcPr>
            <w:tcW w:w="1047" w:type="dxa"/>
            <w:shd w:val="clear" w:color="auto" w:fill="FFC000"/>
            <w:vAlign w:val="center"/>
          </w:tcPr>
          <w:p w14:paraId="760A485B"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0386C39F"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640B6847"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24AC4A81"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00B3011F"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6E3EB5F6"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76D784F1" w14:textId="77777777" w:rsidR="002534EE" w:rsidRPr="00B96EEC" w:rsidRDefault="002534EE" w:rsidP="0042484E">
            <w:pPr>
              <w:jc w:val="both"/>
              <w:rPr>
                <w:sz w:val="18"/>
                <w:szCs w:val="18"/>
                <w:lang w:val="en-US"/>
              </w:rPr>
            </w:pPr>
            <w:r w:rsidRPr="00B96EEC">
              <w:rPr>
                <w:sz w:val="18"/>
                <w:szCs w:val="18"/>
                <w:lang w:val="en-US"/>
              </w:rPr>
              <w:t>NO</w:t>
            </w:r>
          </w:p>
        </w:tc>
      </w:tr>
      <w:tr w:rsidR="002534EE" w:rsidRPr="00B96EEC" w14:paraId="43993EA7" w14:textId="77777777" w:rsidTr="00193BC6">
        <w:tc>
          <w:tcPr>
            <w:tcW w:w="1000" w:type="dxa"/>
            <w:vAlign w:val="center"/>
          </w:tcPr>
          <w:p w14:paraId="2DCBECEE" w14:textId="77777777" w:rsidR="002534EE" w:rsidRPr="00B96EEC" w:rsidRDefault="002534EE" w:rsidP="0042484E">
            <w:pPr>
              <w:jc w:val="both"/>
              <w:rPr>
                <w:sz w:val="18"/>
                <w:szCs w:val="18"/>
                <w:lang w:val="en-US"/>
              </w:rPr>
            </w:pPr>
            <w:r w:rsidRPr="00B96EEC">
              <w:rPr>
                <w:sz w:val="18"/>
                <w:szCs w:val="18"/>
                <w:lang w:val="en-US"/>
              </w:rPr>
              <w:t>~ −5</w:t>
            </w:r>
          </w:p>
        </w:tc>
        <w:tc>
          <w:tcPr>
            <w:tcW w:w="1047" w:type="dxa"/>
            <w:shd w:val="clear" w:color="auto" w:fill="92D050"/>
            <w:vAlign w:val="center"/>
          </w:tcPr>
          <w:p w14:paraId="034D3C08" w14:textId="77777777" w:rsidR="002534EE" w:rsidRPr="00B96EEC" w:rsidRDefault="002534EE"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4504C304"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62BA4E90"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2064E08D"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59074CD3"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081B1F0F"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13834537"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2E02FC63" w14:textId="77777777" w:rsidR="002534EE" w:rsidRPr="00B96EEC" w:rsidRDefault="002534EE" w:rsidP="0042484E">
            <w:pPr>
              <w:jc w:val="both"/>
              <w:rPr>
                <w:sz w:val="18"/>
                <w:szCs w:val="18"/>
                <w:lang w:val="en-US"/>
              </w:rPr>
            </w:pPr>
            <w:r w:rsidRPr="00B96EEC">
              <w:rPr>
                <w:sz w:val="18"/>
                <w:szCs w:val="18"/>
                <w:lang w:val="en-US"/>
              </w:rPr>
              <w:t>NO</w:t>
            </w:r>
          </w:p>
        </w:tc>
      </w:tr>
      <w:tr w:rsidR="002534EE" w:rsidRPr="00B96EEC" w14:paraId="20309290" w14:textId="77777777" w:rsidTr="00193BC6">
        <w:tc>
          <w:tcPr>
            <w:tcW w:w="1000" w:type="dxa"/>
            <w:vAlign w:val="center"/>
          </w:tcPr>
          <w:p w14:paraId="69055A97" w14:textId="77777777" w:rsidR="002534EE" w:rsidRPr="00B96EEC" w:rsidRDefault="002534EE" w:rsidP="0042484E">
            <w:pPr>
              <w:jc w:val="both"/>
              <w:rPr>
                <w:sz w:val="18"/>
                <w:szCs w:val="18"/>
                <w:lang w:val="en-US"/>
              </w:rPr>
            </w:pPr>
            <w:r w:rsidRPr="00B96EEC">
              <w:rPr>
                <w:sz w:val="18"/>
                <w:szCs w:val="18"/>
                <w:lang w:val="en-US"/>
              </w:rPr>
              <w:t>~ −7</w:t>
            </w:r>
          </w:p>
        </w:tc>
        <w:tc>
          <w:tcPr>
            <w:tcW w:w="1047" w:type="dxa"/>
            <w:shd w:val="clear" w:color="auto" w:fill="92D050"/>
            <w:vAlign w:val="center"/>
          </w:tcPr>
          <w:p w14:paraId="0D714F77" w14:textId="77777777" w:rsidR="002534EE" w:rsidRPr="00B96EEC" w:rsidRDefault="002534EE"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4F023E54"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241DFBE7"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2D558929"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457BC53B"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384A5262"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16474D4D"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486D3254" w14:textId="77777777" w:rsidR="002534EE" w:rsidRPr="00B96EEC" w:rsidRDefault="002534EE" w:rsidP="0042484E">
            <w:pPr>
              <w:jc w:val="both"/>
              <w:rPr>
                <w:sz w:val="18"/>
                <w:szCs w:val="18"/>
                <w:lang w:val="en-US"/>
              </w:rPr>
            </w:pPr>
            <w:r w:rsidRPr="00B96EEC">
              <w:rPr>
                <w:sz w:val="18"/>
                <w:szCs w:val="18"/>
                <w:lang w:val="en-US"/>
              </w:rPr>
              <w:t>NO</w:t>
            </w:r>
          </w:p>
        </w:tc>
      </w:tr>
      <w:tr w:rsidR="002534EE" w:rsidRPr="00B96EEC" w14:paraId="132541F2" w14:textId="77777777" w:rsidTr="00193BC6">
        <w:tc>
          <w:tcPr>
            <w:tcW w:w="1000" w:type="dxa"/>
            <w:vAlign w:val="center"/>
          </w:tcPr>
          <w:p w14:paraId="0273742F" w14:textId="77777777" w:rsidR="002534EE" w:rsidRPr="00B96EEC" w:rsidRDefault="002534EE" w:rsidP="0042484E">
            <w:pPr>
              <w:jc w:val="both"/>
              <w:rPr>
                <w:sz w:val="18"/>
                <w:szCs w:val="18"/>
                <w:lang w:val="en-US"/>
              </w:rPr>
            </w:pPr>
            <w:r w:rsidRPr="00B96EEC">
              <w:rPr>
                <w:sz w:val="18"/>
                <w:szCs w:val="18"/>
                <w:lang w:val="en-US"/>
              </w:rPr>
              <w:t>~ −10</w:t>
            </w:r>
          </w:p>
        </w:tc>
        <w:tc>
          <w:tcPr>
            <w:tcW w:w="1047" w:type="dxa"/>
            <w:shd w:val="clear" w:color="auto" w:fill="92D050"/>
            <w:vAlign w:val="center"/>
          </w:tcPr>
          <w:p w14:paraId="223CE8B2" w14:textId="77777777" w:rsidR="002534EE" w:rsidRPr="00B96EEC" w:rsidRDefault="002534EE"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15B7C24C"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45A5889E"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7A76F946" w14:textId="77777777" w:rsidR="002534EE" w:rsidRPr="00B96EEC" w:rsidRDefault="002534EE" w:rsidP="0042484E">
            <w:pPr>
              <w:jc w:val="both"/>
              <w:rPr>
                <w:sz w:val="18"/>
                <w:szCs w:val="18"/>
                <w:lang w:val="en-US"/>
              </w:rPr>
            </w:pPr>
            <w:r w:rsidRPr="00B96EEC">
              <w:rPr>
                <w:sz w:val="18"/>
                <w:szCs w:val="18"/>
                <w:lang w:val="en-US"/>
              </w:rPr>
              <w:t>NO</w:t>
            </w:r>
          </w:p>
        </w:tc>
        <w:tc>
          <w:tcPr>
            <w:tcW w:w="1046" w:type="dxa"/>
            <w:shd w:val="clear" w:color="auto" w:fill="92D050"/>
            <w:vAlign w:val="center"/>
          </w:tcPr>
          <w:p w14:paraId="4145F781"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3434DA1E"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92D050"/>
            <w:vAlign w:val="center"/>
          </w:tcPr>
          <w:p w14:paraId="6AA08AF6" w14:textId="77777777" w:rsidR="002534EE" w:rsidRPr="00B96EEC" w:rsidRDefault="002534EE" w:rsidP="0042484E">
            <w:pPr>
              <w:jc w:val="both"/>
              <w:rPr>
                <w:sz w:val="18"/>
                <w:szCs w:val="18"/>
                <w:lang w:val="en-US"/>
              </w:rPr>
            </w:pPr>
            <w:r w:rsidRPr="00B96EEC">
              <w:rPr>
                <w:sz w:val="18"/>
                <w:szCs w:val="18"/>
                <w:lang w:val="en-US"/>
              </w:rPr>
              <w:t>YES</w:t>
            </w:r>
          </w:p>
        </w:tc>
        <w:tc>
          <w:tcPr>
            <w:tcW w:w="1036" w:type="dxa"/>
            <w:shd w:val="clear" w:color="auto" w:fill="FFC000"/>
            <w:vAlign w:val="center"/>
          </w:tcPr>
          <w:p w14:paraId="2BFFE5F2" w14:textId="77777777" w:rsidR="002534EE" w:rsidRPr="00B96EEC" w:rsidRDefault="002534EE" w:rsidP="0042484E">
            <w:pPr>
              <w:jc w:val="both"/>
              <w:rPr>
                <w:sz w:val="18"/>
                <w:szCs w:val="18"/>
                <w:lang w:val="en-US"/>
              </w:rPr>
            </w:pPr>
            <w:r w:rsidRPr="00B96EEC">
              <w:rPr>
                <w:sz w:val="18"/>
                <w:szCs w:val="18"/>
                <w:lang w:val="en-US"/>
              </w:rPr>
              <w:t>NO</w:t>
            </w:r>
          </w:p>
        </w:tc>
      </w:tr>
      <w:tr w:rsidR="002534EE" w:rsidRPr="00B96EEC" w14:paraId="2AFD5706" w14:textId="77777777" w:rsidTr="00193BC6">
        <w:trPr>
          <w:trHeight w:val="70"/>
        </w:trPr>
        <w:tc>
          <w:tcPr>
            <w:tcW w:w="1000" w:type="dxa"/>
            <w:vAlign w:val="center"/>
          </w:tcPr>
          <w:p w14:paraId="175F89E7" w14:textId="77777777" w:rsidR="002534EE" w:rsidRPr="00B96EEC" w:rsidRDefault="002534EE" w:rsidP="0042484E">
            <w:pPr>
              <w:jc w:val="both"/>
              <w:rPr>
                <w:sz w:val="18"/>
                <w:szCs w:val="18"/>
                <w:lang w:val="en-US"/>
              </w:rPr>
            </w:pPr>
            <w:r w:rsidRPr="00B96EEC">
              <w:rPr>
                <w:sz w:val="18"/>
                <w:szCs w:val="18"/>
                <w:lang w:val="en-US"/>
              </w:rPr>
              <w:t>~ −13</w:t>
            </w:r>
          </w:p>
        </w:tc>
        <w:tc>
          <w:tcPr>
            <w:tcW w:w="1047" w:type="dxa"/>
            <w:shd w:val="clear" w:color="auto" w:fill="92D050"/>
            <w:vAlign w:val="center"/>
          </w:tcPr>
          <w:p w14:paraId="473A241B" w14:textId="77777777" w:rsidR="002534EE" w:rsidRPr="00B96EEC" w:rsidRDefault="002534EE"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1C87FAB3"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27A9652B"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289AE8AE"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59DD2EAE" w14:textId="77777777" w:rsidR="002534EE" w:rsidRPr="00B96EEC" w:rsidRDefault="002534EE"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1554B064" w14:textId="77777777" w:rsidR="002534EE" w:rsidRPr="00B96EEC" w:rsidRDefault="002534EE" w:rsidP="0042484E">
            <w:pPr>
              <w:jc w:val="both"/>
              <w:rPr>
                <w:sz w:val="18"/>
                <w:szCs w:val="18"/>
                <w:lang w:val="en-US"/>
              </w:rPr>
            </w:pPr>
            <w:r w:rsidRPr="00B96EEC">
              <w:rPr>
                <w:sz w:val="18"/>
                <w:szCs w:val="18"/>
                <w:lang w:val="en-US"/>
              </w:rPr>
              <w:t>NO</w:t>
            </w:r>
          </w:p>
        </w:tc>
        <w:tc>
          <w:tcPr>
            <w:tcW w:w="1036" w:type="dxa"/>
            <w:shd w:val="clear" w:color="auto" w:fill="92D050"/>
            <w:vAlign w:val="center"/>
          </w:tcPr>
          <w:p w14:paraId="6CFFA45F" w14:textId="77777777" w:rsidR="002534EE" w:rsidRPr="00B96EEC" w:rsidRDefault="002534EE" w:rsidP="0042484E">
            <w:pPr>
              <w:jc w:val="both"/>
              <w:rPr>
                <w:sz w:val="18"/>
                <w:szCs w:val="18"/>
                <w:lang w:val="en-US"/>
              </w:rPr>
            </w:pPr>
            <w:r w:rsidRPr="00B96EEC">
              <w:rPr>
                <w:sz w:val="18"/>
                <w:szCs w:val="18"/>
                <w:lang w:val="en-US"/>
              </w:rPr>
              <w:t>YES</w:t>
            </w:r>
          </w:p>
        </w:tc>
        <w:tc>
          <w:tcPr>
            <w:tcW w:w="1036" w:type="dxa"/>
            <w:shd w:val="clear" w:color="auto" w:fill="92D050"/>
            <w:vAlign w:val="center"/>
          </w:tcPr>
          <w:p w14:paraId="2651CB9F" w14:textId="77777777" w:rsidR="002534EE" w:rsidRPr="00B96EEC" w:rsidRDefault="002534EE" w:rsidP="0042484E">
            <w:pPr>
              <w:jc w:val="both"/>
              <w:rPr>
                <w:sz w:val="18"/>
                <w:szCs w:val="18"/>
                <w:lang w:val="en-US"/>
              </w:rPr>
            </w:pPr>
            <w:r w:rsidRPr="00B96EEC">
              <w:rPr>
                <w:sz w:val="18"/>
                <w:szCs w:val="18"/>
                <w:lang w:val="en-US"/>
              </w:rPr>
              <w:t>YES</w:t>
            </w:r>
          </w:p>
        </w:tc>
      </w:tr>
    </w:tbl>
    <w:p w14:paraId="75224BB3" w14:textId="77777777" w:rsidR="00AE506A" w:rsidRPr="00B96EEC" w:rsidRDefault="00AE506A" w:rsidP="0042484E">
      <w:pPr>
        <w:jc w:val="both"/>
        <w:rPr>
          <w:lang w:val="en-US"/>
        </w:rPr>
      </w:pPr>
    </w:p>
    <w:p w14:paraId="29AB6347" w14:textId="77777777" w:rsidR="002534EE" w:rsidRPr="00B96EEC" w:rsidRDefault="002534EE" w:rsidP="0042484E">
      <w:pPr>
        <w:jc w:val="both"/>
        <w:rPr>
          <w:lang w:val="en-US"/>
        </w:rPr>
      </w:pPr>
    </w:p>
    <w:p w14:paraId="784F9FA6" w14:textId="38D56EED" w:rsidR="00964523" w:rsidRPr="00B96EEC" w:rsidRDefault="00964523" w:rsidP="0042484E">
      <w:pPr>
        <w:pStyle w:val="TableCaption"/>
        <w:jc w:val="both"/>
        <w:rPr>
          <w:b w:val="0"/>
          <w:bCs/>
        </w:rPr>
      </w:pPr>
      <w:bookmarkStart w:id="36" w:name="_Ref166791168"/>
      <w:r w:rsidRPr="00B96EEC">
        <w:rPr>
          <w:b w:val="0"/>
          <w:bCs/>
        </w:rPr>
        <w:t>T</w:t>
      </w:r>
      <w:r w:rsidR="00A458D9">
        <w:rPr>
          <w:b w:val="0"/>
          <w:bCs/>
        </w:rPr>
        <w:t>ABLE</w:t>
      </w:r>
      <w:r w:rsidRPr="00B96EEC">
        <w:rPr>
          <w:b w:val="0"/>
          <w:bCs/>
        </w:rPr>
        <w:t xml:space="preserve"> </w:t>
      </w:r>
      <w:r w:rsidRPr="00B96EEC">
        <w:rPr>
          <w:b w:val="0"/>
          <w:bCs/>
        </w:rPr>
        <w:fldChar w:fldCharType="begin"/>
      </w:r>
      <w:r w:rsidRPr="00B96EEC">
        <w:rPr>
          <w:b w:val="0"/>
          <w:bCs/>
        </w:rPr>
        <w:instrText xml:space="preserve"> SEQ Table \* ARABIC </w:instrText>
      </w:r>
      <w:r w:rsidRPr="00B96EEC">
        <w:rPr>
          <w:b w:val="0"/>
          <w:bCs/>
        </w:rPr>
        <w:fldChar w:fldCharType="separate"/>
      </w:r>
      <w:r w:rsidR="00B90BAC" w:rsidRPr="00B96EEC">
        <w:rPr>
          <w:b w:val="0"/>
          <w:bCs/>
        </w:rPr>
        <w:t>5</w:t>
      </w:r>
      <w:r w:rsidRPr="00B96EEC">
        <w:rPr>
          <w:b w:val="0"/>
          <w:bCs/>
        </w:rPr>
        <w:fldChar w:fldCharType="end"/>
      </w:r>
      <w:bookmarkEnd w:id="36"/>
      <w:r w:rsidRPr="00B96EEC">
        <w:rPr>
          <w:b w:val="0"/>
          <w:bCs/>
        </w:rPr>
        <w:t>.</w:t>
      </w:r>
      <w:r w:rsidR="00A458D9">
        <w:rPr>
          <w:b w:val="0"/>
          <w:bCs/>
        </w:rPr>
        <w:tab/>
      </w:r>
      <w:r w:rsidR="00A458D9" w:rsidRPr="00A458D9">
        <w:rPr>
          <w:b w:val="0"/>
          <w:bCs/>
        </w:rPr>
        <w:t>ASSESSMENT OF FNCL WITH AMLI’S CAPABILITY IN DETECTING DIVERSIONS FOR DIFFERENT FUEL ASSEMBLIES WITHIN 10 MIN MEASUREMENT TIME</w:t>
      </w:r>
      <w:r w:rsidR="00A458D9">
        <w:rPr>
          <w:b w:val="0"/>
          <w:bCs/>
        </w:rPr>
        <w:t>.</w:t>
      </w:r>
    </w:p>
    <w:tbl>
      <w:tblPr>
        <w:tblStyle w:val="TableGrid"/>
        <w:tblW w:w="9350" w:type="dxa"/>
        <w:tblLook w:val="04A0" w:firstRow="1" w:lastRow="0" w:firstColumn="1" w:lastColumn="0" w:noHBand="0" w:noVBand="1"/>
      </w:tblPr>
      <w:tblGrid>
        <w:gridCol w:w="1000"/>
        <w:gridCol w:w="1047"/>
        <w:gridCol w:w="1047"/>
        <w:gridCol w:w="1046"/>
        <w:gridCol w:w="1046"/>
        <w:gridCol w:w="1046"/>
        <w:gridCol w:w="1046"/>
        <w:gridCol w:w="1036"/>
        <w:gridCol w:w="1036"/>
      </w:tblGrid>
      <w:tr w:rsidR="00964523" w:rsidRPr="00B96EEC" w14:paraId="1AD4868C" w14:textId="77777777" w:rsidTr="00193BC6">
        <w:trPr>
          <w:trHeight w:val="489"/>
        </w:trPr>
        <w:tc>
          <w:tcPr>
            <w:tcW w:w="1000" w:type="dxa"/>
            <w:vMerge w:val="restart"/>
            <w:vAlign w:val="center"/>
          </w:tcPr>
          <w:p w14:paraId="21ACA60F" w14:textId="77777777" w:rsidR="00964523" w:rsidRPr="00B96EEC" w:rsidRDefault="00964523" w:rsidP="0042484E">
            <w:pPr>
              <w:jc w:val="both"/>
              <w:rPr>
                <w:b/>
                <w:bCs/>
                <w:sz w:val="18"/>
                <w:szCs w:val="18"/>
                <w:lang w:val="en-US"/>
              </w:rPr>
            </w:pPr>
            <w:r w:rsidRPr="00B96EEC">
              <w:rPr>
                <w:b/>
                <w:bCs/>
                <w:sz w:val="18"/>
                <w:szCs w:val="18"/>
                <w:lang w:val="en-US"/>
              </w:rPr>
              <w:t>Mass diverted (%)</w:t>
            </w:r>
          </w:p>
        </w:tc>
        <w:tc>
          <w:tcPr>
            <w:tcW w:w="2094" w:type="dxa"/>
            <w:gridSpan w:val="2"/>
            <w:vAlign w:val="center"/>
          </w:tcPr>
          <w:p w14:paraId="776B3F93" w14:textId="77777777" w:rsidR="00964523" w:rsidRPr="00B96EEC" w:rsidRDefault="00964523" w:rsidP="0042484E">
            <w:pPr>
              <w:jc w:val="both"/>
              <w:rPr>
                <w:b/>
                <w:bCs/>
                <w:sz w:val="18"/>
                <w:szCs w:val="18"/>
                <w:lang w:val="en-US"/>
              </w:rPr>
            </w:pPr>
            <w:r w:rsidRPr="00B96EEC">
              <w:rPr>
                <w:b/>
                <w:bCs/>
                <w:sz w:val="18"/>
                <w:szCs w:val="18"/>
                <w:lang w:val="en-US"/>
              </w:rPr>
              <w:t>PWR Fuel Assembly</w:t>
            </w:r>
          </w:p>
        </w:tc>
        <w:tc>
          <w:tcPr>
            <w:tcW w:w="2092" w:type="dxa"/>
            <w:gridSpan w:val="2"/>
            <w:vAlign w:val="center"/>
          </w:tcPr>
          <w:p w14:paraId="6872D818" w14:textId="77777777" w:rsidR="00964523" w:rsidRPr="00B96EEC" w:rsidRDefault="00964523" w:rsidP="0042484E">
            <w:pPr>
              <w:jc w:val="both"/>
              <w:rPr>
                <w:b/>
                <w:bCs/>
                <w:sz w:val="18"/>
                <w:szCs w:val="18"/>
                <w:lang w:val="en-US"/>
              </w:rPr>
            </w:pPr>
            <w:r w:rsidRPr="00B96EEC">
              <w:rPr>
                <w:b/>
                <w:bCs/>
                <w:sz w:val="18"/>
                <w:szCs w:val="18"/>
                <w:lang w:val="en-US"/>
              </w:rPr>
              <w:t>Metal Fuel</w:t>
            </w:r>
          </w:p>
        </w:tc>
        <w:tc>
          <w:tcPr>
            <w:tcW w:w="2092" w:type="dxa"/>
            <w:gridSpan w:val="2"/>
            <w:vAlign w:val="center"/>
          </w:tcPr>
          <w:p w14:paraId="18D90DED" w14:textId="77777777" w:rsidR="00964523" w:rsidRPr="00B96EEC" w:rsidRDefault="00964523" w:rsidP="0042484E">
            <w:pPr>
              <w:jc w:val="both"/>
              <w:rPr>
                <w:b/>
                <w:bCs/>
                <w:sz w:val="18"/>
                <w:szCs w:val="18"/>
                <w:lang w:val="en-US"/>
              </w:rPr>
            </w:pPr>
            <w:r w:rsidRPr="00B96EEC">
              <w:rPr>
                <w:b/>
                <w:bCs/>
                <w:sz w:val="18"/>
                <w:szCs w:val="18"/>
                <w:lang w:val="en-US"/>
              </w:rPr>
              <w:t>BANR Fuel Block</w:t>
            </w:r>
          </w:p>
        </w:tc>
        <w:tc>
          <w:tcPr>
            <w:tcW w:w="2072" w:type="dxa"/>
            <w:gridSpan w:val="2"/>
            <w:vAlign w:val="center"/>
          </w:tcPr>
          <w:p w14:paraId="59F80494" w14:textId="77777777" w:rsidR="00964523" w:rsidRPr="00B96EEC" w:rsidRDefault="00964523" w:rsidP="0042484E">
            <w:pPr>
              <w:jc w:val="both"/>
              <w:rPr>
                <w:b/>
                <w:bCs/>
                <w:sz w:val="18"/>
                <w:szCs w:val="18"/>
                <w:lang w:val="en-US"/>
              </w:rPr>
            </w:pPr>
            <w:r w:rsidRPr="00B96EEC">
              <w:rPr>
                <w:b/>
                <w:bCs/>
                <w:sz w:val="18"/>
                <w:szCs w:val="18"/>
                <w:lang w:val="en-US"/>
              </w:rPr>
              <w:t>USNC Fuel Block</w:t>
            </w:r>
          </w:p>
        </w:tc>
      </w:tr>
      <w:tr w:rsidR="00964523" w:rsidRPr="00B96EEC" w14:paraId="1B6EE14F" w14:textId="77777777" w:rsidTr="00193BC6">
        <w:trPr>
          <w:trHeight w:val="488"/>
        </w:trPr>
        <w:tc>
          <w:tcPr>
            <w:tcW w:w="1000" w:type="dxa"/>
            <w:vMerge/>
            <w:vAlign w:val="center"/>
          </w:tcPr>
          <w:p w14:paraId="663A6819" w14:textId="77777777" w:rsidR="00964523" w:rsidRPr="00B96EEC" w:rsidRDefault="00964523" w:rsidP="0042484E">
            <w:pPr>
              <w:jc w:val="both"/>
              <w:rPr>
                <w:b/>
                <w:bCs/>
                <w:sz w:val="18"/>
                <w:szCs w:val="18"/>
                <w:lang w:val="en-US"/>
              </w:rPr>
            </w:pPr>
          </w:p>
        </w:tc>
        <w:tc>
          <w:tcPr>
            <w:tcW w:w="1047" w:type="dxa"/>
            <w:vAlign w:val="center"/>
          </w:tcPr>
          <w:p w14:paraId="69B86C9C" w14:textId="77777777" w:rsidR="00964523" w:rsidRPr="00B96EEC" w:rsidRDefault="00964523" w:rsidP="0042484E">
            <w:pPr>
              <w:jc w:val="both"/>
              <w:rPr>
                <w:b/>
                <w:bCs/>
                <w:sz w:val="18"/>
                <w:szCs w:val="18"/>
                <w:lang w:val="en-US"/>
              </w:rPr>
            </w:pPr>
            <w:r w:rsidRPr="00B96EEC">
              <w:rPr>
                <w:b/>
                <w:bCs/>
                <w:sz w:val="18"/>
                <w:szCs w:val="18"/>
                <w:lang w:val="en-US"/>
              </w:rPr>
              <w:t>95% confidence</w:t>
            </w:r>
          </w:p>
        </w:tc>
        <w:tc>
          <w:tcPr>
            <w:tcW w:w="1047" w:type="dxa"/>
            <w:vAlign w:val="center"/>
          </w:tcPr>
          <w:p w14:paraId="632B7B3B" w14:textId="77777777" w:rsidR="00964523" w:rsidRPr="00B96EEC" w:rsidRDefault="00964523" w:rsidP="0042484E">
            <w:pPr>
              <w:jc w:val="both"/>
              <w:rPr>
                <w:b/>
                <w:bCs/>
                <w:sz w:val="18"/>
                <w:szCs w:val="18"/>
                <w:lang w:val="en-US"/>
              </w:rPr>
            </w:pPr>
            <w:r w:rsidRPr="00B96EEC">
              <w:rPr>
                <w:b/>
                <w:bCs/>
                <w:sz w:val="18"/>
                <w:szCs w:val="18"/>
                <w:lang w:val="en-US"/>
              </w:rPr>
              <w:t>99.7% confidence</w:t>
            </w:r>
          </w:p>
        </w:tc>
        <w:tc>
          <w:tcPr>
            <w:tcW w:w="1046" w:type="dxa"/>
            <w:vAlign w:val="center"/>
          </w:tcPr>
          <w:p w14:paraId="1623691E" w14:textId="77777777" w:rsidR="00964523" w:rsidRPr="00B96EEC" w:rsidRDefault="00964523" w:rsidP="0042484E">
            <w:pPr>
              <w:jc w:val="both"/>
              <w:rPr>
                <w:b/>
                <w:bCs/>
                <w:sz w:val="18"/>
                <w:szCs w:val="18"/>
                <w:lang w:val="en-US"/>
              </w:rPr>
            </w:pPr>
            <w:r w:rsidRPr="00B96EEC">
              <w:rPr>
                <w:b/>
                <w:bCs/>
                <w:sz w:val="18"/>
                <w:szCs w:val="18"/>
                <w:lang w:val="en-US"/>
              </w:rPr>
              <w:t>95% confidence</w:t>
            </w:r>
          </w:p>
        </w:tc>
        <w:tc>
          <w:tcPr>
            <w:tcW w:w="1046" w:type="dxa"/>
            <w:vAlign w:val="center"/>
          </w:tcPr>
          <w:p w14:paraId="67845FD7" w14:textId="77777777" w:rsidR="00964523" w:rsidRPr="00B96EEC" w:rsidRDefault="00964523" w:rsidP="0042484E">
            <w:pPr>
              <w:jc w:val="both"/>
              <w:rPr>
                <w:b/>
                <w:bCs/>
                <w:sz w:val="18"/>
                <w:szCs w:val="18"/>
                <w:lang w:val="en-US"/>
              </w:rPr>
            </w:pPr>
            <w:r w:rsidRPr="00B96EEC">
              <w:rPr>
                <w:b/>
                <w:bCs/>
                <w:sz w:val="18"/>
                <w:szCs w:val="18"/>
                <w:lang w:val="en-US"/>
              </w:rPr>
              <w:t>99.7% confidence</w:t>
            </w:r>
          </w:p>
        </w:tc>
        <w:tc>
          <w:tcPr>
            <w:tcW w:w="1046" w:type="dxa"/>
            <w:vAlign w:val="center"/>
          </w:tcPr>
          <w:p w14:paraId="5C5DA0EE" w14:textId="77777777" w:rsidR="00964523" w:rsidRPr="00B96EEC" w:rsidRDefault="00964523" w:rsidP="0042484E">
            <w:pPr>
              <w:jc w:val="both"/>
              <w:rPr>
                <w:b/>
                <w:bCs/>
                <w:sz w:val="18"/>
                <w:szCs w:val="18"/>
                <w:lang w:val="en-US"/>
              </w:rPr>
            </w:pPr>
            <w:r w:rsidRPr="00B96EEC">
              <w:rPr>
                <w:b/>
                <w:bCs/>
                <w:sz w:val="18"/>
                <w:szCs w:val="18"/>
                <w:lang w:val="en-US"/>
              </w:rPr>
              <w:t>95% confidence</w:t>
            </w:r>
          </w:p>
        </w:tc>
        <w:tc>
          <w:tcPr>
            <w:tcW w:w="1046" w:type="dxa"/>
            <w:vAlign w:val="center"/>
          </w:tcPr>
          <w:p w14:paraId="0EF3C4E6" w14:textId="77777777" w:rsidR="00964523" w:rsidRPr="00B96EEC" w:rsidRDefault="00964523" w:rsidP="0042484E">
            <w:pPr>
              <w:jc w:val="both"/>
              <w:rPr>
                <w:b/>
                <w:bCs/>
                <w:sz w:val="18"/>
                <w:szCs w:val="18"/>
                <w:lang w:val="en-US"/>
              </w:rPr>
            </w:pPr>
            <w:r w:rsidRPr="00B96EEC">
              <w:rPr>
                <w:b/>
                <w:bCs/>
                <w:sz w:val="18"/>
                <w:szCs w:val="18"/>
                <w:lang w:val="en-US"/>
              </w:rPr>
              <w:t>99.7% confidence</w:t>
            </w:r>
          </w:p>
        </w:tc>
        <w:tc>
          <w:tcPr>
            <w:tcW w:w="1036" w:type="dxa"/>
            <w:vAlign w:val="center"/>
          </w:tcPr>
          <w:p w14:paraId="38D55763" w14:textId="77777777" w:rsidR="00964523" w:rsidRPr="00B96EEC" w:rsidRDefault="00964523" w:rsidP="0042484E">
            <w:pPr>
              <w:jc w:val="both"/>
              <w:rPr>
                <w:b/>
                <w:bCs/>
                <w:sz w:val="18"/>
                <w:szCs w:val="18"/>
                <w:lang w:val="en-US"/>
              </w:rPr>
            </w:pPr>
            <w:r w:rsidRPr="00B96EEC">
              <w:rPr>
                <w:b/>
                <w:bCs/>
                <w:sz w:val="18"/>
                <w:szCs w:val="18"/>
                <w:lang w:val="en-US"/>
              </w:rPr>
              <w:t>95% confidence</w:t>
            </w:r>
          </w:p>
        </w:tc>
        <w:tc>
          <w:tcPr>
            <w:tcW w:w="1036" w:type="dxa"/>
            <w:vAlign w:val="center"/>
          </w:tcPr>
          <w:p w14:paraId="6B8654C4" w14:textId="77777777" w:rsidR="00964523" w:rsidRPr="00B96EEC" w:rsidRDefault="00964523" w:rsidP="0042484E">
            <w:pPr>
              <w:jc w:val="both"/>
              <w:rPr>
                <w:b/>
                <w:bCs/>
                <w:sz w:val="18"/>
                <w:szCs w:val="18"/>
                <w:lang w:val="en-US"/>
              </w:rPr>
            </w:pPr>
            <w:r w:rsidRPr="00B96EEC">
              <w:rPr>
                <w:b/>
                <w:bCs/>
                <w:sz w:val="18"/>
                <w:szCs w:val="18"/>
                <w:lang w:val="en-US"/>
              </w:rPr>
              <w:t>99.7% confidence</w:t>
            </w:r>
          </w:p>
        </w:tc>
      </w:tr>
      <w:tr w:rsidR="00964523" w:rsidRPr="00B96EEC" w14:paraId="16F858CD" w14:textId="77777777" w:rsidTr="00193BC6">
        <w:tc>
          <w:tcPr>
            <w:tcW w:w="1000" w:type="dxa"/>
            <w:vAlign w:val="center"/>
          </w:tcPr>
          <w:p w14:paraId="07C66227" w14:textId="77777777" w:rsidR="00964523" w:rsidRPr="00B96EEC" w:rsidRDefault="00964523" w:rsidP="0042484E">
            <w:pPr>
              <w:jc w:val="both"/>
              <w:rPr>
                <w:sz w:val="18"/>
                <w:szCs w:val="18"/>
                <w:lang w:val="en-US"/>
              </w:rPr>
            </w:pPr>
            <w:r w:rsidRPr="00B96EEC">
              <w:rPr>
                <w:sz w:val="18"/>
                <w:szCs w:val="18"/>
                <w:lang w:val="en-US"/>
              </w:rPr>
              <w:t>~ −2</w:t>
            </w:r>
          </w:p>
        </w:tc>
        <w:tc>
          <w:tcPr>
            <w:tcW w:w="1047" w:type="dxa"/>
            <w:shd w:val="clear" w:color="auto" w:fill="92D050"/>
            <w:vAlign w:val="center"/>
          </w:tcPr>
          <w:p w14:paraId="60B02C76" w14:textId="77777777" w:rsidR="00964523" w:rsidRPr="00B96EEC" w:rsidRDefault="00964523" w:rsidP="0042484E">
            <w:pPr>
              <w:jc w:val="both"/>
              <w:rPr>
                <w:sz w:val="18"/>
                <w:szCs w:val="18"/>
                <w:lang w:val="en-US"/>
              </w:rPr>
            </w:pPr>
            <w:r w:rsidRPr="00B96EEC">
              <w:rPr>
                <w:sz w:val="18"/>
                <w:szCs w:val="18"/>
                <w:lang w:val="en-US"/>
              </w:rPr>
              <w:t>YES</w:t>
            </w:r>
          </w:p>
        </w:tc>
        <w:tc>
          <w:tcPr>
            <w:tcW w:w="1047" w:type="dxa"/>
            <w:shd w:val="clear" w:color="auto" w:fill="FFC000"/>
            <w:vAlign w:val="center"/>
          </w:tcPr>
          <w:p w14:paraId="61A690D8"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4E0F9079"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46266246"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4994FBFC"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7393C33E"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06B6136B"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1213A6F2" w14:textId="77777777" w:rsidR="00964523" w:rsidRPr="00B96EEC" w:rsidRDefault="00964523" w:rsidP="0042484E">
            <w:pPr>
              <w:jc w:val="both"/>
              <w:rPr>
                <w:sz w:val="18"/>
                <w:szCs w:val="18"/>
                <w:lang w:val="en-US"/>
              </w:rPr>
            </w:pPr>
            <w:r w:rsidRPr="00B96EEC">
              <w:rPr>
                <w:sz w:val="18"/>
                <w:szCs w:val="18"/>
                <w:lang w:val="en-US"/>
              </w:rPr>
              <w:t>NO</w:t>
            </w:r>
          </w:p>
        </w:tc>
      </w:tr>
      <w:tr w:rsidR="00964523" w:rsidRPr="00B96EEC" w14:paraId="0E23BC82" w14:textId="77777777" w:rsidTr="00193BC6">
        <w:tc>
          <w:tcPr>
            <w:tcW w:w="1000" w:type="dxa"/>
            <w:vAlign w:val="center"/>
          </w:tcPr>
          <w:p w14:paraId="50735D81" w14:textId="77777777" w:rsidR="00964523" w:rsidRPr="00B96EEC" w:rsidRDefault="00964523" w:rsidP="0042484E">
            <w:pPr>
              <w:jc w:val="both"/>
              <w:rPr>
                <w:sz w:val="18"/>
                <w:szCs w:val="18"/>
                <w:lang w:val="en-US"/>
              </w:rPr>
            </w:pPr>
            <w:r w:rsidRPr="00B96EEC">
              <w:rPr>
                <w:sz w:val="18"/>
                <w:szCs w:val="18"/>
                <w:lang w:val="en-US"/>
              </w:rPr>
              <w:t>~ −4</w:t>
            </w:r>
          </w:p>
        </w:tc>
        <w:tc>
          <w:tcPr>
            <w:tcW w:w="1047" w:type="dxa"/>
            <w:shd w:val="clear" w:color="auto" w:fill="92D050"/>
            <w:vAlign w:val="center"/>
          </w:tcPr>
          <w:p w14:paraId="74D6FE11" w14:textId="77777777" w:rsidR="00964523" w:rsidRPr="00B96EEC" w:rsidRDefault="00964523"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76DDDB11"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382A15FC"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419A334C"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53AEC0C7"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722667C9"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46686D86"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2F3E8FE9" w14:textId="77777777" w:rsidR="00964523" w:rsidRPr="00B96EEC" w:rsidRDefault="00964523" w:rsidP="0042484E">
            <w:pPr>
              <w:jc w:val="both"/>
              <w:rPr>
                <w:sz w:val="18"/>
                <w:szCs w:val="18"/>
                <w:lang w:val="en-US"/>
              </w:rPr>
            </w:pPr>
            <w:r w:rsidRPr="00B96EEC">
              <w:rPr>
                <w:sz w:val="18"/>
                <w:szCs w:val="18"/>
                <w:lang w:val="en-US"/>
              </w:rPr>
              <w:t>NO</w:t>
            </w:r>
          </w:p>
        </w:tc>
      </w:tr>
      <w:tr w:rsidR="00964523" w:rsidRPr="00B96EEC" w14:paraId="2BFF8F2B" w14:textId="77777777" w:rsidTr="00193BC6">
        <w:tc>
          <w:tcPr>
            <w:tcW w:w="1000" w:type="dxa"/>
            <w:vAlign w:val="center"/>
          </w:tcPr>
          <w:p w14:paraId="0C03790F" w14:textId="77777777" w:rsidR="00964523" w:rsidRPr="00B96EEC" w:rsidRDefault="00964523" w:rsidP="0042484E">
            <w:pPr>
              <w:jc w:val="both"/>
              <w:rPr>
                <w:sz w:val="18"/>
                <w:szCs w:val="18"/>
                <w:lang w:val="en-US"/>
              </w:rPr>
            </w:pPr>
            <w:r w:rsidRPr="00B96EEC">
              <w:rPr>
                <w:sz w:val="18"/>
                <w:szCs w:val="18"/>
                <w:lang w:val="en-US"/>
              </w:rPr>
              <w:t>~ −5</w:t>
            </w:r>
          </w:p>
        </w:tc>
        <w:tc>
          <w:tcPr>
            <w:tcW w:w="1047" w:type="dxa"/>
            <w:shd w:val="clear" w:color="auto" w:fill="92D050"/>
            <w:vAlign w:val="center"/>
          </w:tcPr>
          <w:p w14:paraId="7C47DFE7" w14:textId="77777777" w:rsidR="00964523" w:rsidRPr="00B96EEC" w:rsidRDefault="00964523"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6C65AE9B"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13E85CBC"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543A457A"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5A884777"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392A7A85"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2DAB1570"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17622A5A" w14:textId="77777777" w:rsidR="00964523" w:rsidRPr="00B96EEC" w:rsidRDefault="00964523" w:rsidP="0042484E">
            <w:pPr>
              <w:jc w:val="both"/>
              <w:rPr>
                <w:sz w:val="18"/>
                <w:szCs w:val="18"/>
                <w:lang w:val="en-US"/>
              </w:rPr>
            </w:pPr>
            <w:r w:rsidRPr="00B96EEC">
              <w:rPr>
                <w:sz w:val="18"/>
                <w:szCs w:val="18"/>
                <w:lang w:val="en-US"/>
              </w:rPr>
              <w:t>NO</w:t>
            </w:r>
          </w:p>
        </w:tc>
      </w:tr>
      <w:tr w:rsidR="00964523" w:rsidRPr="00B96EEC" w14:paraId="50CEDA4D" w14:textId="77777777" w:rsidTr="00193BC6">
        <w:tc>
          <w:tcPr>
            <w:tcW w:w="1000" w:type="dxa"/>
            <w:vAlign w:val="center"/>
          </w:tcPr>
          <w:p w14:paraId="0624419C" w14:textId="77777777" w:rsidR="00964523" w:rsidRPr="00B96EEC" w:rsidRDefault="00964523" w:rsidP="0042484E">
            <w:pPr>
              <w:jc w:val="both"/>
              <w:rPr>
                <w:sz w:val="18"/>
                <w:szCs w:val="18"/>
                <w:lang w:val="en-US"/>
              </w:rPr>
            </w:pPr>
            <w:r w:rsidRPr="00B96EEC">
              <w:rPr>
                <w:sz w:val="18"/>
                <w:szCs w:val="18"/>
                <w:lang w:val="en-US"/>
              </w:rPr>
              <w:t>~ −7</w:t>
            </w:r>
          </w:p>
        </w:tc>
        <w:tc>
          <w:tcPr>
            <w:tcW w:w="1047" w:type="dxa"/>
            <w:shd w:val="clear" w:color="auto" w:fill="92D050"/>
            <w:vAlign w:val="center"/>
          </w:tcPr>
          <w:p w14:paraId="37F5C11C" w14:textId="77777777" w:rsidR="00964523" w:rsidRPr="00B96EEC" w:rsidRDefault="00964523"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69FE14EE"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5375CC6C"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69301C88"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75C36A50"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64D28841"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7BC215ED"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5FD03003" w14:textId="77777777" w:rsidR="00964523" w:rsidRPr="00B96EEC" w:rsidRDefault="00964523" w:rsidP="0042484E">
            <w:pPr>
              <w:jc w:val="both"/>
              <w:rPr>
                <w:sz w:val="18"/>
                <w:szCs w:val="18"/>
                <w:lang w:val="en-US"/>
              </w:rPr>
            </w:pPr>
            <w:r w:rsidRPr="00B96EEC">
              <w:rPr>
                <w:sz w:val="18"/>
                <w:szCs w:val="18"/>
                <w:lang w:val="en-US"/>
              </w:rPr>
              <w:t>NO</w:t>
            </w:r>
          </w:p>
        </w:tc>
      </w:tr>
      <w:tr w:rsidR="00964523" w:rsidRPr="00B96EEC" w14:paraId="14B4FD04" w14:textId="77777777" w:rsidTr="00193BC6">
        <w:tc>
          <w:tcPr>
            <w:tcW w:w="1000" w:type="dxa"/>
            <w:vAlign w:val="center"/>
          </w:tcPr>
          <w:p w14:paraId="2A999570" w14:textId="77777777" w:rsidR="00964523" w:rsidRPr="00B96EEC" w:rsidRDefault="00964523" w:rsidP="0042484E">
            <w:pPr>
              <w:jc w:val="both"/>
              <w:rPr>
                <w:sz w:val="18"/>
                <w:szCs w:val="18"/>
                <w:lang w:val="en-US"/>
              </w:rPr>
            </w:pPr>
            <w:r w:rsidRPr="00B96EEC">
              <w:rPr>
                <w:sz w:val="18"/>
                <w:szCs w:val="18"/>
                <w:lang w:val="en-US"/>
              </w:rPr>
              <w:t>~ −10</w:t>
            </w:r>
          </w:p>
        </w:tc>
        <w:tc>
          <w:tcPr>
            <w:tcW w:w="1047" w:type="dxa"/>
            <w:shd w:val="clear" w:color="auto" w:fill="92D050"/>
            <w:vAlign w:val="center"/>
          </w:tcPr>
          <w:p w14:paraId="6106BEE1" w14:textId="77777777" w:rsidR="00964523" w:rsidRPr="00B96EEC" w:rsidRDefault="00964523"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5AD5ABBB"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522A17A6"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33DA18AB"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50F11809"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4C33E8C9"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7E7646D9"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1A88FF40" w14:textId="77777777" w:rsidR="00964523" w:rsidRPr="00B96EEC" w:rsidRDefault="00964523" w:rsidP="0042484E">
            <w:pPr>
              <w:jc w:val="both"/>
              <w:rPr>
                <w:sz w:val="18"/>
                <w:szCs w:val="18"/>
                <w:lang w:val="en-US"/>
              </w:rPr>
            </w:pPr>
            <w:r w:rsidRPr="00B96EEC">
              <w:rPr>
                <w:sz w:val="18"/>
                <w:szCs w:val="18"/>
                <w:lang w:val="en-US"/>
              </w:rPr>
              <w:t>NO</w:t>
            </w:r>
          </w:p>
        </w:tc>
      </w:tr>
      <w:tr w:rsidR="00964523" w:rsidRPr="00B96EEC" w14:paraId="3CEAF461" w14:textId="77777777" w:rsidTr="00193BC6">
        <w:trPr>
          <w:trHeight w:val="70"/>
        </w:trPr>
        <w:tc>
          <w:tcPr>
            <w:tcW w:w="1000" w:type="dxa"/>
            <w:vAlign w:val="center"/>
          </w:tcPr>
          <w:p w14:paraId="7E5B2FDB" w14:textId="77777777" w:rsidR="00964523" w:rsidRPr="00B96EEC" w:rsidRDefault="00964523" w:rsidP="0042484E">
            <w:pPr>
              <w:jc w:val="both"/>
              <w:rPr>
                <w:sz w:val="18"/>
                <w:szCs w:val="18"/>
                <w:lang w:val="en-US"/>
              </w:rPr>
            </w:pPr>
            <w:r w:rsidRPr="00B96EEC">
              <w:rPr>
                <w:sz w:val="18"/>
                <w:szCs w:val="18"/>
                <w:lang w:val="en-US"/>
              </w:rPr>
              <w:t>~ −13</w:t>
            </w:r>
          </w:p>
        </w:tc>
        <w:tc>
          <w:tcPr>
            <w:tcW w:w="1047" w:type="dxa"/>
            <w:shd w:val="clear" w:color="auto" w:fill="92D050"/>
            <w:vAlign w:val="center"/>
          </w:tcPr>
          <w:p w14:paraId="0B47E79D" w14:textId="77777777" w:rsidR="00964523" w:rsidRPr="00B96EEC" w:rsidRDefault="00964523" w:rsidP="0042484E">
            <w:pPr>
              <w:jc w:val="both"/>
              <w:rPr>
                <w:sz w:val="18"/>
                <w:szCs w:val="18"/>
                <w:lang w:val="en-US"/>
              </w:rPr>
            </w:pPr>
            <w:r w:rsidRPr="00B96EEC">
              <w:rPr>
                <w:sz w:val="18"/>
                <w:szCs w:val="18"/>
                <w:lang w:val="en-US"/>
              </w:rPr>
              <w:t>YES</w:t>
            </w:r>
          </w:p>
        </w:tc>
        <w:tc>
          <w:tcPr>
            <w:tcW w:w="1047" w:type="dxa"/>
            <w:shd w:val="clear" w:color="auto" w:fill="92D050"/>
            <w:vAlign w:val="center"/>
          </w:tcPr>
          <w:p w14:paraId="608D19AC"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201EB8B3"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92D050"/>
            <w:vAlign w:val="center"/>
          </w:tcPr>
          <w:p w14:paraId="55A05D01" w14:textId="77777777" w:rsidR="00964523" w:rsidRPr="00B96EEC" w:rsidRDefault="00964523" w:rsidP="0042484E">
            <w:pPr>
              <w:jc w:val="both"/>
              <w:rPr>
                <w:sz w:val="18"/>
                <w:szCs w:val="18"/>
                <w:lang w:val="en-US"/>
              </w:rPr>
            </w:pPr>
            <w:r w:rsidRPr="00B96EEC">
              <w:rPr>
                <w:sz w:val="18"/>
                <w:szCs w:val="18"/>
                <w:lang w:val="en-US"/>
              </w:rPr>
              <w:t>YES</w:t>
            </w:r>
          </w:p>
        </w:tc>
        <w:tc>
          <w:tcPr>
            <w:tcW w:w="1046" w:type="dxa"/>
            <w:shd w:val="clear" w:color="auto" w:fill="FFC000"/>
            <w:vAlign w:val="center"/>
          </w:tcPr>
          <w:p w14:paraId="041CCF20" w14:textId="77777777" w:rsidR="00964523" w:rsidRPr="00B96EEC" w:rsidRDefault="00964523" w:rsidP="0042484E">
            <w:pPr>
              <w:jc w:val="both"/>
              <w:rPr>
                <w:sz w:val="18"/>
                <w:szCs w:val="18"/>
                <w:lang w:val="en-US"/>
              </w:rPr>
            </w:pPr>
            <w:r w:rsidRPr="00B96EEC">
              <w:rPr>
                <w:sz w:val="18"/>
                <w:szCs w:val="18"/>
                <w:lang w:val="en-US"/>
              </w:rPr>
              <w:t>NO</w:t>
            </w:r>
          </w:p>
        </w:tc>
        <w:tc>
          <w:tcPr>
            <w:tcW w:w="1046" w:type="dxa"/>
            <w:shd w:val="clear" w:color="auto" w:fill="FFC000"/>
            <w:vAlign w:val="center"/>
          </w:tcPr>
          <w:p w14:paraId="6042B758"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7A809810" w14:textId="77777777" w:rsidR="00964523" w:rsidRPr="00B96EEC" w:rsidRDefault="00964523" w:rsidP="0042484E">
            <w:pPr>
              <w:jc w:val="both"/>
              <w:rPr>
                <w:sz w:val="18"/>
                <w:szCs w:val="18"/>
                <w:lang w:val="en-US"/>
              </w:rPr>
            </w:pPr>
            <w:r w:rsidRPr="00B96EEC">
              <w:rPr>
                <w:sz w:val="18"/>
                <w:szCs w:val="18"/>
                <w:lang w:val="en-US"/>
              </w:rPr>
              <w:t>NO</w:t>
            </w:r>
          </w:p>
        </w:tc>
        <w:tc>
          <w:tcPr>
            <w:tcW w:w="1036" w:type="dxa"/>
            <w:shd w:val="clear" w:color="auto" w:fill="FFC000"/>
            <w:vAlign w:val="center"/>
          </w:tcPr>
          <w:p w14:paraId="325689A3" w14:textId="77777777" w:rsidR="00964523" w:rsidRPr="00B96EEC" w:rsidRDefault="00964523" w:rsidP="0042484E">
            <w:pPr>
              <w:jc w:val="both"/>
              <w:rPr>
                <w:sz w:val="18"/>
                <w:szCs w:val="18"/>
                <w:lang w:val="en-US"/>
              </w:rPr>
            </w:pPr>
            <w:r w:rsidRPr="00B96EEC">
              <w:rPr>
                <w:sz w:val="18"/>
                <w:szCs w:val="18"/>
                <w:lang w:val="en-US"/>
              </w:rPr>
              <w:t>NO</w:t>
            </w:r>
          </w:p>
        </w:tc>
      </w:tr>
    </w:tbl>
    <w:p w14:paraId="702036DC" w14:textId="6602E36C" w:rsidR="00460D68" w:rsidRPr="00B96EEC" w:rsidRDefault="00460D68" w:rsidP="0042484E">
      <w:pPr>
        <w:pStyle w:val="Heading2"/>
        <w:numPr>
          <w:ilvl w:val="1"/>
          <w:numId w:val="5"/>
        </w:numPr>
        <w:jc w:val="both"/>
        <w:rPr>
          <w:lang w:val="en-US"/>
        </w:rPr>
      </w:pPr>
      <w:bookmarkStart w:id="37" w:name="_Toc152755252"/>
      <w:bookmarkStart w:id="38" w:name="_Toc153125966"/>
      <w:r w:rsidRPr="00B96EEC">
        <w:rPr>
          <w:lang w:val="en-US"/>
        </w:rPr>
        <w:t>Summary and conclusions</w:t>
      </w:r>
    </w:p>
    <w:bookmarkEnd w:id="37"/>
    <w:bookmarkEnd w:id="38"/>
    <w:p w14:paraId="46996D11" w14:textId="5B19CE6D" w:rsidR="00C2687B" w:rsidRPr="00B96EEC" w:rsidRDefault="00C2687B" w:rsidP="0042484E">
      <w:pPr>
        <w:pStyle w:val="BlockText"/>
        <w:ind w:firstLine="567"/>
        <w:jc w:val="both"/>
        <w:rPr>
          <w:sz w:val="20"/>
          <w:szCs w:val="20"/>
        </w:rPr>
      </w:pPr>
      <w:r w:rsidRPr="00B96EEC">
        <w:rPr>
          <w:sz w:val="20"/>
          <w:szCs w:val="20"/>
        </w:rPr>
        <w:t>This work focused on TRISO-based and metal</w:t>
      </w:r>
      <w:r w:rsidR="0082243F" w:rsidRPr="00B96EEC">
        <w:rPr>
          <w:sz w:val="20"/>
          <w:szCs w:val="20"/>
        </w:rPr>
        <w:t>lic AR</w:t>
      </w:r>
      <w:r w:rsidRPr="00B96EEC">
        <w:rPr>
          <w:sz w:val="20"/>
          <w:szCs w:val="20"/>
        </w:rPr>
        <w:t xml:space="preserve"> fuel elements</w:t>
      </w:r>
      <w:r w:rsidR="0082243F" w:rsidRPr="00B96EEC">
        <w:rPr>
          <w:sz w:val="20"/>
          <w:szCs w:val="20"/>
        </w:rPr>
        <w:t>, which are</w:t>
      </w:r>
      <w:r w:rsidRPr="00B96EEC">
        <w:rPr>
          <w:sz w:val="20"/>
          <w:szCs w:val="20"/>
        </w:rPr>
        <w:t xml:space="preserve"> representative of 7 of the 10 AR designs supported by DOE’s ARDP. To identify and assess potential technical challenges in safeguards measurements of these fresh AR fuel elements, HPGe gamma measurements </w:t>
      </w:r>
      <w:r w:rsidR="0082243F" w:rsidRPr="00B96EEC">
        <w:rPr>
          <w:sz w:val="20"/>
          <w:szCs w:val="20"/>
        </w:rPr>
        <w:t>were simulated for the pin-level</w:t>
      </w:r>
      <w:r w:rsidRPr="00B96EEC">
        <w:rPr>
          <w:sz w:val="20"/>
          <w:szCs w:val="20"/>
        </w:rPr>
        <w:t xml:space="preserve"> AR fuel elements (e.g., compacts, pebbles, metal fuel pins); UNCL-II and FNCL </w:t>
      </w:r>
      <w:r w:rsidR="0082243F" w:rsidRPr="00B96EEC">
        <w:rPr>
          <w:sz w:val="20"/>
          <w:szCs w:val="20"/>
        </w:rPr>
        <w:t xml:space="preserve">coincidence </w:t>
      </w:r>
      <w:r w:rsidRPr="00B96EEC">
        <w:rPr>
          <w:sz w:val="20"/>
          <w:szCs w:val="20"/>
        </w:rPr>
        <w:t xml:space="preserve">neutron measurements </w:t>
      </w:r>
      <w:r w:rsidR="0082243F" w:rsidRPr="00B96EEC">
        <w:rPr>
          <w:sz w:val="20"/>
          <w:szCs w:val="20"/>
        </w:rPr>
        <w:t>were also simulated for the assembly-level</w:t>
      </w:r>
      <w:r w:rsidRPr="00B96EEC">
        <w:rPr>
          <w:sz w:val="20"/>
          <w:szCs w:val="20"/>
        </w:rPr>
        <w:t xml:space="preserve"> AR elements (e.g., graphite blocks, metal fuel bundles). </w:t>
      </w:r>
      <w:r w:rsidRPr="00B96EEC">
        <w:rPr>
          <w:rFonts w:eastAsia="YMZVES+NimbusRomNo9L-Regu"/>
          <w:sz w:val="20"/>
          <w:szCs w:val="20"/>
        </w:rPr>
        <w:t>The following conclusions can be drawn based on this work.</w:t>
      </w:r>
    </w:p>
    <w:p w14:paraId="7C6955A7" w14:textId="615F99E2" w:rsidR="00AC1223" w:rsidRDefault="00675E75" w:rsidP="00575877">
      <w:pPr>
        <w:pStyle w:val="BlockText"/>
        <w:spacing w:after="0"/>
        <w:ind w:firstLine="360"/>
        <w:jc w:val="both"/>
      </w:pPr>
      <w:r>
        <w:rPr>
          <w:sz w:val="20"/>
          <w:szCs w:val="20"/>
        </w:rPr>
        <w:t xml:space="preserve">   </w:t>
      </w:r>
      <w:r w:rsidR="00E333F7">
        <w:rPr>
          <w:sz w:val="20"/>
          <w:szCs w:val="20"/>
        </w:rPr>
        <w:t xml:space="preserve"> </w:t>
      </w:r>
      <w:r w:rsidR="00C2687B" w:rsidRPr="00B96EEC">
        <w:rPr>
          <w:sz w:val="20"/>
          <w:szCs w:val="20"/>
        </w:rPr>
        <w:t>Significant challenges were identified in performing gamma detector safeguards measurements of fresh AR fuel elements</w:t>
      </w:r>
      <w:r w:rsidR="005A0BB2" w:rsidRPr="00B96EEC">
        <w:rPr>
          <w:sz w:val="20"/>
          <w:szCs w:val="20"/>
        </w:rPr>
        <w:t xml:space="preserve"> at </w:t>
      </w:r>
      <w:r w:rsidR="00151228" w:rsidRPr="00B96EEC">
        <w:rPr>
          <w:sz w:val="20"/>
          <w:szCs w:val="20"/>
        </w:rPr>
        <w:t xml:space="preserve">the </w:t>
      </w:r>
      <w:r w:rsidR="005A0BB2" w:rsidRPr="00B96EEC">
        <w:rPr>
          <w:sz w:val="20"/>
          <w:szCs w:val="20"/>
        </w:rPr>
        <w:t>pin level</w:t>
      </w:r>
      <w:r w:rsidR="00C2687B" w:rsidRPr="00B96EEC">
        <w:rPr>
          <w:sz w:val="20"/>
          <w:szCs w:val="20"/>
        </w:rPr>
        <w:t>:</w:t>
      </w:r>
      <w:r w:rsidR="00575877">
        <w:rPr>
          <w:sz w:val="20"/>
          <w:szCs w:val="20"/>
        </w:rPr>
        <w:t xml:space="preserve"> </w:t>
      </w:r>
    </w:p>
    <w:p w14:paraId="7007DD87" w14:textId="395EA3F2" w:rsidR="00AC1223" w:rsidRDefault="004D4A25" w:rsidP="00AC1223">
      <w:pPr>
        <w:pStyle w:val="ListEmdash"/>
      </w:pPr>
      <w:r w:rsidRPr="004D4A25">
        <w:t>Compared with a PWR fuel pin, the gamma signals of the TRISO compacts have lower sensitivity to enrichments mainly due to the lower 235U loading in the compacts than that in the PWR fuel pin.</w:t>
      </w:r>
    </w:p>
    <w:p w14:paraId="24D5073C" w14:textId="47EA873C" w:rsidR="00C2687B" w:rsidRDefault="00DF048F" w:rsidP="0042484E">
      <w:pPr>
        <w:pStyle w:val="ListEmdash"/>
      </w:pPr>
      <w:r w:rsidRPr="00DF048F">
        <w:t>The gamma signal of the XE pebble, USNC compact, and the metal fuel pin are not sensitive to fuel diversion mainly due to their relatively high fuel density and/or areal density in them.</w:t>
      </w:r>
    </w:p>
    <w:p w14:paraId="08067F49" w14:textId="77777777" w:rsidR="00DF048F" w:rsidRPr="00DF048F" w:rsidRDefault="00DF048F" w:rsidP="00DF048F">
      <w:pPr>
        <w:pStyle w:val="ListEmdash"/>
        <w:numPr>
          <w:ilvl w:val="0"/>
          <w:numId w:val="0"/>
        </w:numPr>
        <w:ind w:left="709"/>
      </w:pPr>
    </w:p>
    <w:p w14:paraId="1B8340C5" w14:textId="5EBC72F2" w:rsidR="00C2687B" w:rsidRDefault="007A1651" w:rsidP="0042484E">
      <w:pPr>
        <w:pStyle w:val="BlockText"/>
        <w:spacing w:after="0"/>
        <w:ind w:firstLine="360"/>
        <w:jc w:val="both"/>
        <w:rPr>
          <w:sz w:val="20"/>
          <w:szCs w:val="20"/>
        </w:rPr>
      </w:pPr>
      <w:r>
        <w:rPr>
          <w:sz w:val="20"/>
          <w:szCs w:val="20"/>
        </w:rPr>
        <w:t xml:space="preserve">   </w:t>
      </w:r>
      <w:r w:rsidR="00C2687B" w:rsidRPr="00B96EEC">
        <w:rPr>
          <w:sz w:val="20"/>
          <w:szCs w:val="20"/>
        </w:rPr>
        <w:t>Significant challenges were identified in performing neutron detector safeguards measurements of fresh AR fuels</w:t>
      </w:r>
      <w:r w:rsidR="005A0BB2" w:rsidRPr="00B96EEC">
        <w:rPr>
          <w:sz w:val="20"/>
          <w:szCs w:val="20"/>
        </w:rPr>
        <w:t xml:space="preserve"> at </w:t>
      </w:r>
      <w:r w:rsidR="00151228" w:rsidRPr="00B96EEC">
        <w:rPr>
          <w:sz w:val="20"/>
          <w:szCs w:val="20"/>
        </w:rPr>
        <w:t xml:space="preserve">the </w:t>
      </w:r>
      <w:r w:rsidR="005A0BB2" w:rsidRPr="00B96EEC">
        <w:rPr>
          <w:sz w:val="20"/>
          <w:szCs w:val="20"/>
        </w:rPr>
        <w:t>assembly level</w:t>
      </w:r>
      <w:r w:rsidR="00C2687B" w:rsidRPr="00B96EEC">
        <w:rPr>
          <w:sz w:val="20"/>
          <w:szCs w:val="20"/>
        </w:rPr>
        <w:t xml:space="preserve">: </w:t>
      </w:r>
    </w:p>
    <w:p w14:paraId="036FD909" w14:textId="77777777" w:rsidR="00F65F6D" w:rsidRDefault="00F65F6D" w:rsidP="00E333F7">
      <w:pPr>
        <w:pStyle w:val="ListEmdash"/>
      </w:pPr>
      <w:r w:rsidRPr="00F65F6D">
        <w:t>Incompatibilities were found between the AR fuel elements and the existing neutron detectors due to the large differences in dimensions of the AR fuel elements compared with those of LWR assemblies.</w:t>
      </w:r>
    </w:p>
    <w:p w14:paraId="3C5FF920" w14:textId="2CBB4E2E" w:rsidR="00E333F7" w:rsidRDefault="00972985" w:rsidP="00E333F7">
      <w:pPr>
        <w:pStyle w:val="ListEmdash"/>
      </w:pPr>
      <w:r w:rsidRPr="00972985">
        <w:t>The doubles rates of both UNCL-II and FNCL for AR fuel elements have smaller magnitudes and lower sensitivity to enrichment than those of a PWR assembly, especially for the FNCL results with the BANR and USNC graphite blocks due to the lower 235U linear density in the AR fuel elements than that in the PWR assembly.</w:t>
      </w:r>
    </w:p>
    <w:p w14:paraId="79B230AF" w14:textId="60F209EB" w:rsidR="00972985" w:rsidRDefault="00040A25" w:rsidP="00E333F7">
      <w:pPr>
        <w:pStyle w:val="ListEmdash"/>
      </w:pPr>
      <w:r w:rsidRPr="00040A25">
        <w:t>Both UNCL-II and FNCL were found to have poorer performance in detecting fuel diversions in AR fuel elements than in a PWR assembly, especially for the FNCL results of the BANR and USNC graphite blocks due to the graphite over-moderation issue.</w:t>
      </w:r>
    </w:p>
    <w:p w14:paraId="59516E7E" w14:textId="1487EE0B" w:rsidR="00DB158F" w:rsidRPr="00DB158F" w:rsidRDefault="006115BC" w:rsidP="00B02359">
      <w:pPr>
        <w:pStyle w:val="Heading2"/>
        <w:numPr>
          <w:ilvl w:val="0"/>
          <w:numId w:val="0"/>
        </w:numPr>
        <w:spacing w:line="120" w:lineRule="atLeast"/>
        <w:jc w:val="both"/>
        <w:rPr>
          <w:lang w:val="en-US"/>
        </w:rPr>
      </w:pPr>
      <w:r>
        <w:rPr>
          <w:caps w:val="0"/>
          <w:lang w:val="en-US"/>
        </w:rPr>
        <w:t xml:space="preserve">           </w:t>
      </w:r>
      <w:r w:rsidR="00C2687B" w:rsidRPr="00B96EEC">
        <w:rPr>
          <w:caps w:val="0"/>
          <w:lang w:val="en-US"/>
        </w:rPr>
        <w:t xml:space="preserve">These results suggest that either alternative technology or significant technology development is needed to </w:t>
      </w:r>
      <w:r w:rsidR="00C2687B" w:rsidRPr="00B96EEC">
        <w:rPr>
          <w:caps w:val="0"/>
          <w:lang w:val="en-US"/>
        </w:rPr>
        <w:lastRenderedPageBreak/>
        <w:t>perform adequate safeguards measurements of some of these AR fuel elements/items</w:t>
      </w:r>
      <w:r w:rsidR="002C2648" w:rsidRPr="00B96EEC">
        <w:rPr>
          <w:caps w:val="0"/>
          <w:lang w:val="en-US"/>
        </w:rPr>
        <w:t>—</w:t>
      </w:r>
      <w:r w:rsidR="00C2687B" w:rsidRPr="00B96EEC">
        <w:rPr>
          <w:caps w:val="0"/>
          <w:lang w:val="en-US"/>
        </w:rPr>
        <w:t>especially the graphite fuel blocks</w:t>
      </w:r>
      <w:r w:rsidR="002C2648" w:rsidRPr="00B96EEC">
        <w:rPr>
          <w:caps w:val="0"/>
          <w:lang w:val="en-US"/>
        </w:rPr>
        <w:t>—</w:t>
      </w:r>
      <w:r w:rsidR="00C2687B" w:rsidRPr="00B96EEC">
        <w:rPr>
          <w:caps w:val="0"/>
          <w:lang w:val="en-US"/>
        </w:rPr>
        <w:t xml:space="preserve">such as a high-efficiency neutron counter with a strong neutron source. </w:t>
      </w:r>
      <w:r w:rsidR="009E3E08" w:rsidRPr="00B96EEC">
        <w:rPr>
          <w:caps w:val="0"/>
          <w:lang w:val="en-US"/>
        </w:rPr>
        <w:t>Work is in progress in identifying the safeguards challenges in spent AR fuel elements</w:t>
      </w:r>
      <w:r w:rsidR="00E47AB3">
        <w:rPr>
          <w:caps w:val="0"/>
          <w:lang w:val="en-US"/>
        </w:rPr>
        <w:t xml:space="preserve"> and the results will be included </w:t>
      </w:r>
      <w:r w:rsidR="00760439">
        <w:rPr>
          <w:caps w:val="0"/>
          <w:lang w:val="en-US"/>
        </w:rPr>
        <w:t xml:space="preserve">in </w:t>
      </w:r>
      <w:r w:rsidR="00E47AB3">
        <w:rPr>
          <w:caps w:val="0"/>
          <w:lang w:val="en-US"/>
        </w:rPr>
        <w:t xml:space="preserve">the presentation. </w:t>
      </w:r>
    </w:p>
    <w:p w14:paraId="15F4F300" w14:textId="77777777" w:rsidR="00285755" w:rsidRPr="00B96EEC" w:rsidRDefault="00285755" w:rsidP="00D72CFB">
      <w:pPr>
        <w:pStyle w:val="Otherunnumberedheadings"/>
        <w:rPr>
          <w:lang w:val="en-US"/>
        </w:rPr>
      </w:pPr>
      <w:r w:rsidRPr="00B96EEC">
        <w:rPr>
          <w:lang w:val="en-US"/>
        </w:rPr>
        <w:t>ACKNOWLEDGEMENTS</w:t>
      </w:r>
    </w:p>
    <w:p w14:paraId="438863CD" w14:textId="4D02A776" w:rsidR="00F22232" w:rsidRPr="00B96EEC" w:rsidRDefault="00F22232" w:rsidP="0042484E">
      <w:pPr>
        <w:jc w:val="both"/>
        <w:rPr>
          <w:sz w:val="20"/>
          <w:lang w:val="en-US"/>
        </w:rPr>
      </w:pPr>
      <w:r w:rsidRPr="00B96EEC">
        <w:rPr>
          <w:szCs w:val="22"/>
          <w:lang w:val="en-US"/>
        </w:rPr>
        <w:t xml:space="preserve">          </w:t>
      </w:r>
      <w:r w:rsidRPr="00B96EEC">
        <w:rPr>
          <w:sz w:val="20"/>
          <w:lang w:val="en-US"/>
        </w:rPr>
        <w:t>This work was sponsored by the National Nuclear Security Administration of the US Department of Energy, Office of International Nuclear Safeguards, Advanced Reactor International Safeguards Engagement (ARISE) program. We would like to thank Alex Laminack (ORNL) for helping with the FNCL modelling, and Louise Evans, ORNL’s Point of Contact to ARISE, for providing guidance and feedback to this project.</w:t>
      </w:r>
    </w:p>
    <w:p w14:paraId="32B76F9D" w14:textId="77777777" w:rsidR="00D26ADA" w:rsidRPr="00B96EEC" w:rsidRDefault="00D26ADA" w:rsidP="00D72CFB">
      <w:pPr>
        <w:pStyle w:val="Otherunnumberedheadings"/>
        <w:rPr>
          <w:lang w:val="en-US"/>
        </w:rPr>
      </w:pPr>
      <w:r w:rsidRPr="00B96EEC">
        <w:rPr>
          <w:lang w:val="en-US"/>
        </w:rPr>
        <w:t>References</w:t>
      </w:r>
    </w:p>
    <w:sdt>
      <w:sdtPr>
        <w:rPr>
          <w:b/>
          <w:caps/>
          <w:lang w:val="en-US"/>
        </w:rPr>
        <w:id w:val="-371156334"/>
        <w:docPartObj>
          <w:docPartGallery w:val="Bibliographies"/>
          <w:docPartUnique/>
        </w:docPartObj>
      </w:sdtPr>
      <w:sdtEndPr>
        <w:rPr>
          <w:b w:val="0"/>
          <w:caps w:val="0"/>
        </w:rPr>
      </w:sdtEndPr>
      <w:sdtContent>
        <w:sdt>
          <w:sdtPr>
            <w:rPr>
              <w:b/>
              <w:caps/>
              <w:lang w:val="en-US"/>
            </w:rPr>
            <w:id w:val="111145805"/>
            <w:bibliography/>
          </w:sdtPr>
          <w:sdtEndPr>
            <w:rPr>
              <w:b w:val="0"/>
              <w:caps w:val="0"/>
            </w:rPr>
          </w:sdtEndPr>
          <w:sdtContent>
            <w:p w14:paraId="0D41DD1C" w14:textId="77777777" w:rsidR="00B90BAC" w:rsidRPr="00B96EEC" w:rsidRDefault="005A0BB2" w:rsidP="0042484E">
              <w:pPr>
                <w:jc w:val="both"/>
                <w:rPr>
                  <w:sz w:val="20"/>
                  <w:lang w:val="en-US" w:eastAsia="en-GB"/>
                </w:rPr>
              </w:pPr>
              <w:r w:rsidRPr="00B96EEC">
                <w:rPr>
                  <w:rFonts w:ascii="Times New Roman Bold" w:hAnsi="Times New Roman Bold"/>
                  <w:caps/>
                  <w:sz w:val="18"/>
                  <w:szCs w:val="18"/>
                  <w:lang w:val="en-US"/>
                </w:rPr>
                <w:fldChar w:fldCharType="begin"/>
              </w:r>
              <w:r w:rsidRPr="00B96EEC">
                <w:rPr>
                  <w:sz w:val="18"/>
                  <w:szCs w:val="18"/>
                  <w:lang w:val="en-US"/>
                </w:rPr>
                <w:instrText xml:space="preserve"> BIBLIOGRAPHY </w:instrText>
              </w:r>
              <w:r w:rsidRPr="00B96EEC">
                <w:rPr>
                  <w:rFonts w:ascii="Times New Roman Bold" w:hAnsi="Times New Roman Bold"/>
                  <w:caps/>
                  <w:sz w:val="18"/>
                  <w:szCs w:val="18"/>
                  <w:lang w:val="en-US"/>
                </w:rPr>
                <w:fldChar w:fldCharType="separate"/>
              </w:r>
            </w:p>
            <w:tbl>
              <w:tblPr>
                <w:tblW w:w="5000"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406"/>
                <w:gridCol w:w="8621"/>
              </w:tblGrid>
              <w:tr w:rsidR="00B90BAC" w:rsidRPr="00000528" w14:paraId="2E5600F8" w14:textId="77777777" w:rsidTr="002D5C52">
                <w:trPr>
                  <w:divId w:val="969440367"/>
                  <w:tblCellSpacing w:w="15" w:type="dxa"/>
                </w:trPr>
                <w:tc>
                  <w:tcPr>
                    <w:tcW w:w="202" w:type="pct"/>
                    <w:hideMark/>
                  </w:tcPr>
                  <w:p w14:paraId="55D08C5B" w14:textId="1A0D59FC" w:rsidR="00B90BAC" w:rsidRPr="00000528" w:rsidRDefault="00B90BAC" w:rsidP="0042484E">
                    <w:pPr>
                      <w:pStyle w:val="Bibliography"/>
                      <w:jc w:val="both"/>
                      <w:rPr>
                        <w:sz w:val="18"/>
                        <w:szCs w:val="18"/>
                      </w:rPr>
                    </w:pPr>
                    <w:r w:rsidRPr="00000528">
                      <w:rPr>
                        <w:sz w:val="18"/>
                        <w:szCs w:val="18"/>
                      </w:rPr>
                      <w:t xml:space="preserve">[1] </w:t>
                    </w:r>
                  </w:p>
                </w:tc>
                <w:tc>
                  <w:tcPr>
                    <w:tcW w:w="0" w:type="auto"/>
                    <w:hideMark/>
                  </w:tcPr>
                  <w:p w14:paraId="3CA5590C" w14:textId="2229C779" w:rsidR="00B90BAC" w:rsidRPr="00000528" w:rsidRDefault="00B90BAC" w:rsidP="0042484E">
                    <w:pPr>
                      <w:pStyle w:val="Bibliography"/>
                      <w:jc w:val="both"/>
                      <w:rPr>
                        <w:sz w:val="18"/>
                        <w:szCs w:val="18"/>
                      </w:rPr>
                    </w:pPr>
                    <w:r w:rsidRPr="00000528">
                      <w:rPr>
                        <w:sz w:val="18"/>
                        <w:szCs w:val="18"/>
                      </w:rPr>
                      <w:t xml:space="preserve">World </w:t>
                    </w:r>
                    <w:r w:rsidR="006734E7" w:rsidRPr="00000528">
                      <w:rPr>
                        <w:sz w:val="18"/>
                        <w:szCs w:val="18"/>
                      </w:rPr>
                      <w:t>Nuclear</w:t>
                    </w:r>
                    <w:r w:rsidRPr="00000528">
                      <w:rPr>
                        <w:sz w:val="18"/>
                        <w:szCs w:val="18"/>
                      </w:rPr>
                      <w:t xml:space="preserve"> Association, “Advanced Nuclear Power Reactors,” [Online]. Available: https://world-nuclear.org/information-library/nuclear-fuel-cycle/nuclear-power-reactors/advanced-nuclear-power-reactors.aspx. [Accessed 1st December 2023].</w:t>
                    </w:r>
                  </w:p>
                </w:tc>
              </w:tr>
              <w:tr w:rsidR="00B90BAC" w:rsidRPr="00000528" w14:paraId="57181B35" w14:textId="77777777" w:rsidTr="002D5C52">
                <w:trPr>
                  <w:divId w:val="969440367"/>
                  <w:tblCellSpacing w:w="15" w:type="dxa"/>
                </w:trPr>
                <w:tc>
                  <w:tcPr>
                    <w:tcW w:w="202" w:type="pct"/>
                    <w:hideMark/>
                  </w:tcPr>
                  <w:p w14:paraId="346FFB3E" w14:textId="77777777" w:rsidR="00B90BAC" w:rsidRPr="00000528" w:rsidRDefault="00B90BAC" w:rsidP="0042484E">
                    <w:pPr>
                      <w:pStyle w:val="Bibliography"/>
                      <w:jc w:val="both"/>
                      <w:rPr>
                        <w:sz w:val="18"/>
                        <w:szCs w:val="18"/>
                      </w:rPr>
                    </w:pPr>
                    <w:r w:rsidRPr="00000528">
                      <w:rPr>
                        <w:sz w:val="18"/>
                        <w:szCs w:val="18"/>
                      </w:rPr>
                      <w:t xml:space="preserve">[2] </w:t>
                    </w:r>
                  </w:p>
                </w:tc>
                <w:tc>
                  <w:tcPr>
                    <w:tcW w:w="0" w:type="auto"/>
                    <w:hideMark/>
                  </w:tcPr>
                  <w:p w14:paraId="4706487F" w14:textId="77497E79" w:rsidR="00B90BAC" w:rsidRPr="00000528" w:rsidRDefault="00B90BAC" w:rsidP="0042484E">
                    <w:pPr>
                      <w:pStyle w:val="Bibliography"/>
                      <w:jc w:val="both"/>
                      <w:rPr>
                        <w:sz w:val="18"/>
                        <w:szCs w:val="18"/>
                      </w:rPr>
                    </w:pPr>
                    <w:r w:rsidRPr="00000528">
                      <w:rPr>
                        <w:sz w:val="18"/>
                        <w:szCs w:val="18"/>
                      </w:rPr>
                      <w:t xml:space="preserve">H. O. Menlove, J. E. Stewart, S. Z. Qiao, T. R. Wenz and G. P. Verrecchia, “Neutron Collar Calibration and Evaluation for Assay of LWR Fuel </w:t>
                    </w:r>
                    <w:r w:rsidR="00365C3B" w:rsidRPr="00000528">
                      <w:rPr>
                        <w:sz w:val="18"/>
                        <w:szCs w:val="18"/>
                      </w:rPr>
                      <w:t>Assemblies</w:t>
                    </w:r>
                    <w:r w:rsidRPr="00000528">
                      <w:rPr>
                        <w:sz w:val="18"/>
                        <w:szCs w:val="18"/>
                      </w:rPr>
                      <w:t xml:space="preserve"> Containing Burnable Neutron Absorbers,” LA-11965-MS (SPO-323), Los Alamos National Laboratory, Los Alamos, NM, 1990.</w:t>
                    </w:r>
                  </w:p>
                </w:tc>
              </w:tr>
              <w:tr w:rsidR="00B90BAC" w:rsidRPr="00000528" w14:paraId="390ECC1F" w14:textId="77777777" w:rsidTr="002D5C52">
                <w:trPr>
                  <w:divId w:val="969440367"/>
                  <w:tblCellSpacing w:w="15" w:type="dxa"/>
                </w:trPr>
                <w:tc>
                  <w:tcPr>
                    <w:tcW w:w="202" w:type="pct"/>
                    <w:hideMark/>
                  </w:tcPr>
                  <w:p w14:paraId="52D8AFBF" w14:textId="77777777" w:rsidR="00B90BAC" w:rsidRPr="00000528" w:rsidRDefault="00B90BAC" w:rsidP="0042484E">
                    <w:pPr>
                      <w:pStyle w:val="Bibliography"/>
                      <w:jc w:val="both"/>
                      <w:rPr>
                        <w:sz w:val="18"/>
                        <w:szCs w:val="18"/>
                      </w:rPr>
                    </w:pPr>
                    <w:r w:rsidRPr="00000528">
                      <w:rPr>
                        <w:sz w:val="18"/>
                        <w:szCs w:val="18"/>
                      </w:rPr>
                      <w:t xml:space="preserve">[3] </w:t>
                    </w:r>
                  </w:p>
                </w:tc>
                <w:tc>
                  <w:tcPr>
                    <w:tcW w:w="0" w:type="auto"/>
                    <w:hideMark/>
                  </w:tcPr>
                  <w:p w14:paraId="5DDB1704" w14:textId="77777777" w:rsidR="00B90BAC" w:rsidRPr="00000528" w:rsidRDefault="00B90BAC" w:rsidP="0042484E">
                    <w:pPr>
                      <w:pStyle w:val="Bibliography"/>
                      <w:jc w:val="both"/>
                      <w:rPr>
                        <w:sz w:val="18"/>
                        <w:szCs w:val="18"/>
                      </w:rPr>
                    </w:pPr>
                    <w:r w:rsidRPr="00000528">
                      <w:rPr>
                        <w:sz w:val="18"/>
                        <w:szCs w:val="18"/>
                      </w:rPr>
                      <w:t>E. R. Siciliano, J. L. Rogers, J. E. Schweppe, A. T. Lintereur and R. T. Kouzes, “Uranium Neutron Coincidence Collar Model Utilizing 3He,” PNNL-21581, Pacific Northwest National Laboratory, Richland, WA, 2012.</w:t>
                    </w:r>
                  </w:p>
                </w:tc>
              </w:tr>
              <w:tr w:rsidR="00B90BAC" w:rsidRPr="00000528" w14:paraId="30CDC530" w14:textId="77777777" w:rsidTr="002D5C52">
                <w:trPr>
                  <w:divId w:val="969440367"/>
                  <w:tblCellSpacing w:w="15" w:type="dxa"/>
                </w:trPr>
                <w:tc>
                  <w:tcPr>
                    <w:tcW w:w="202" w:type="pct"/>
                    <w:hideMark/>
                  </w:tcPr>
                  <w:p w14:paraId="07B988AC" w14:textId="77777777" w:rsidR="00B90BAC" w:rsidRPr="00000528" w:rsidRDefault="00B90BAC" w:rsidP="0042484E">
                    <w:pPr>
                      <w:pStyle w:val="Bibliography"/>
                      <w:jc w:val="both"/>
                      <w:rPr>
                        <w:sz w:val="18"/>
                        <w:szCs w:val="18"/>
                      </w:rPr>
                    </w:pPr>
                    <w:r w:rsidRPr="00000528">
                      <w:rPr>
                        <w:sz w:val="18"/>
                        <w:szCs w:val="18"/>
                      </w:rPr>
                      <w:t xml:space="preserve">[4] </w:t>
                    </w:r>
                  </w:p>
                </w:tc>
                <w:tc>
                  <w:tcPr>
                    <w:tcW w:w="0" w:type="auto"/>
                    <w:hideMark/>
                  </w:tcPr>
                  <w:p w14:paraId="73BCE5EE" w14:textId="77777777" w:rsidR="00B90BAC" w:rsidRPr="00000528" w:rsidRDefault="00B90BAC" w:rsidP="0042484E">
                    <w:pPr>
                      <w:pStyle w:val="Bibliography"/>
                      <w:jc w:val="both"/>
                      <w:rPr>
                        <w:sz w:val="18"/>
                        <w:szCs w:val="18"/>
                      </w:rPr>
                    </w:pPr>
                    <w:r w:rsidRPr="00000528">
                      <w:rPr>
                        <w:sz w:val="18"/>
                        <w:szCs w:val="18"/>
                      </w:rPr>
                      <w:t>CAEN, “Fast Neutron Collar,” [Online]. Available: https://www.caen.it/fast-neutron-collar-innovative-system-for-fresh-nuclear-fuel-verification/#:~:text=Overview,precisely%20and%20in%20shorter%20time. [Accessed 1st December 2023].</w:t>
                    </w:r>
                  </w:p>
                </w:tc>
              </w:tr>
              <w:tr w:rsidR="00B90BAC" w:rsidRPr="00000528" w14:paraId="33C5C2FB" w14:textId="77777777" w:rsidTr="002D5C52">
                <w:trPr>
                  <w:divId w:val="969440367"/>
                  <w:tblCellSpacing w:w="15" w:type="dxa"/>
                </w:trPr>
                <w:tc>
                  <w:tcPr>
                    <w:tcW w:w="202" w:type="pct"/>
                    <w:hideMark/>
                  </w:tcPr>
                  <w:p w14:paraId="6112814D" w14:textId="77777777" w:rsidR="00B90BAC" w:rsidRPr="00000528" w:rsidRDefault="00B90BAC" w:rsidP="0042484E">
                    <w:pPr>
                      <w:pStyle w:val="Bibliography"/>
                      <w:jc w:val="both"/>
                      <w:rPr>
                        <w:sz w:val="18"/>
                        <w:szCs w:val="18"/>
                      </w:rPr>
                    </w:pPr>
                    <w:r w:rsidRPr="00000528">
                      <w:rPr>
                        <w:sz w:val="18"/>
                        <w:szCs w:val="18"/>
                      </w:rPr>
                      <w:t xml:space="preserve">[5] </w:t>
                    </w:r>
                  </w:p>
                </w:tc>
                <w:tc>
                  <w:tcPr>
                    <w:tcW w:w="0" w:type="auto"/>
                    <w:hideMark/>
                  </w:tcPr>
                  <w:p w14:paraId="1DF75006" w14:textId="77777777" w:rsidR="00B90BAC" w:rsidRPr="00000528" w:rsidRDefault="00B90BAC" w:rsidP="0042484E">
                    <w:pPr>
                      <w:pStyle w:val="Bibliography"/>
                      <w:jc w:val="both"/>
                      <w:rPr>
                        <w:sz w:val="18"/>
                        <w:szCs w:val="18"/>
                      </w:rPr>
                    </w:pPr>
                    <w:r w:rsidRPr="00000528">
                      <w:rPr>
                        <w:sz w:val="18"/>
                        <w:szCs w:val="18"/>
                      </w:rPr>
                      <w:t xml:space="preserve">A. Lavietes, R. Plenteda, N. Mascarenhas, L. M. Cronholm, M. Aspinall, M. Joyce, A. Tomanin and P. Peerani, “Liquid scintillator-based neutron detector development,” in </w:t>
                    </w:r>
                    <w:r w:rsidRPr="00000528">
                      <w:rPr>
                        <w:i/>
                        <w:iCs/>
                        <w:sz w:val="18"/>
                        <w:szCs w:val="18"/>
                      </w:rPr>
                      <w:t>2012 IEEE Nuclear Science Symposium and Medical Imaging Conference Record (NSS/MIC)</w:t>
                    </w:r>
                    <w:r w:rsidRPr="00000528">
                      <w:rPr>
                        <w:sz w:val="18"/>
                        <w:szCs w:val="18"/>
                      </w:rPr>
                      <w:t xml:space="preserve">, Anaheim, CA, USA, 2012. </w:t>
                    </w:r>
                  </w:p>
                </w:tc>
              </w:tr>
              <w:tr w:rsidR="00B90BAC" w:rsidRPr="00000528" w14:paraId="55CEB06A" w14:textId="77777777" w:rsidTr="002D5C52">
                <w:trPr>
                  <w:divId w:val="969440367"/>
                  <w:tblCellSpacing w:w="15" w:type="dxa"/>
                </w:trPr>
                <w:tc>
                  <w:tcPr>
                    <w:tcW w:w="202" w:type="pct"/>
                    <w:hideMark/>
                  </w:tcPr>
                  <w:p w14:paraId="44D5F7FE" w14:textId="77777777" w:rsidR="00B90BAC" w:rsidRPr="00000528" w:rsidRDefault="00B90BAC" w:rsidP="0042484E">
                    <w:pPr>
                      <w:pStyle w:val="Bibliography"/>
                      <w:jc w:val="both"/>
                      <w:rPr>
                        <w:sz w:val="18"/>
                        <w:szCs w:val="18"/>
                      </w:rPr>
                    </w:pPr>
                    <w:r w:rsidRPr="00000528">
                      <w:rPr>
                        <w:sz w:val="18"/>
                        <w:szCs w:val="18"/>
                      </w:rPr>
                      <w:t xml:space="preserve">[6] </w:t>
                    </w:r>
                  </w:p>
                </w:tc>
                <w:tc>
                  <w:tcPr>
                    <w:tcW w:w="0" w:type="auto"/>
                    <w:hideMark/>
                  </w:tcPr>
                  <w:p w14:paraId="5F9798D3" w14:textId="77777777" w:rsidR="00B90BAC" w:rsidRPr="00000528" w:rsidRDefault="00B90BAC" w:rsidP="0042484E">
                    <w:pPr>
                      <w:pStyle w:val="Bibliography"/>
                      <w:jc w:val="both"/>
                      <w:rPr>
                        <w:sz w:val="18"/>
                        <w:szCs w:val="18"/>
                      </w:rPr>
                    </w:pPr>
                    <w:r w:rsidRPr="00000528">
                      <w:rPr>
                        <w:sz w:val="18"/>
                        <w:szCs w:val="18"/>
                      </w:rPr>
                      <w:t xml:space="preserve">J. S. Beaumont, T. H. Lee, M. Mayorov, C. Tintori, F. Rogo, B. Angelucci and M. Corbo, “A fast-neutron coincidence collar using liquid scintillators for fresh fuel verification,” </w:t>
                    </w:r>
                    <w:r w:rsidRPr="00000528">
                      <w:rPr>
                        <w:i/>
                        <w:iCs/>
                        <w:sz w:val="18"/>
                        <w:szCs w:val="18"/>
                      </w:rPr>
                      <w:t xml:space="preserve">Journal of Radioanalytical and Nuclear Chemistry, </w:t>
                    </w:r>
                    <w:r w:rsidRPr="00000528">
                      <w:rPr>
                        <w:sz w:val="18"/>
                        <w:szCs w:val="18"/>
                      </w:rPr>
                      <w:t xml:space="preserve">vol. 314, pp. 803-812, 2017. </w:t>
                    </w:r>
                  </w:p>
                </w:tc>
              </w:tr>
              <w:tr w:rsidR="00B90BAC" w:rsidRPr="00000528" w14:paraId="59A6CDDB" w14:textId="77777777" w:rsidTr="002D5C52">
                <w:trPr>
                  <w:divId w:val="969440367"/>
                  <w:tblCellSpacing w:w="15" w:type="dxa"/>
                </w:trPr>
                <w:tc>
                  <w:tcPr>
                    <w:tcW w:w="202" w:type="pct"/>
                    <w:hideMark/>
                  </w:tcPr>
                  <w:p w14:paraId="7552C392" w14:textId="77777777" w:rsidR="00B90BAC" w:rsidRPr="00000528" w:rsidRDefault="00B90BAC" w:rsidP="0042484E">
                    <w:pPr>
                      <w:pStyle w:val="Bibliography"/>
                      <w:jc w:val="both"/>
                      <w:rPr>
                        <w:sz w:val="18"/>
                        <w:szCs w:val="18"/>
                      </w:rPr>
                    </w:pPr>
                    <w:r w:rsidRPr="00000528">
                      <w:rPr>
                        <w:sz w:val="18"/>
                        <w:szCs w:val="18"/>
                      </w:rPr>
                      <w:t xml:space="preserve">[7] </w:t>
                    </w:r>
                  </w:p>
                </w:tc>
                <w:tc>
                  <w:tcPr>
                    <w:tcW w:w="0" w:type="auto"/>
                    <w:hideMark/>
                  </w:tcPr>
                  <w:p w14:paraId="0325BBEB" w14:textId="77777777" w:rsidR="00B90BAC" w:rsidRPr="00000528" w:rsidRDefault="00B90BAC" w:rsidP="0042484E">
                    <w:pPr>
                      <w:pStyle w:val="Bibliography"/>
                      <w:jc w:val="both"/>
                      <w:rPr>
                        <w:sz w:val="18"/>
                        <w:szCs w:val="18"/>
                      </w:rPr>
                    </w:pPr>
                    <w:r w:rsidRPr="00000528">
                      <w:rPr>
                        <w:sz w:val="18"/>
                        <w:szCs w:val="18"/>
                      </w:rPr>
                      <w:t>US DOE, “Advanced Reactor Demonstration Program,” [Online]. Available: https://www.energy.gov/ne/advanced-reactor-demonstration-program. [Accessed 1st December 2023].</w:t>
                    </w:r>
                  </w:p>
                </w:tc>
              </w:tr>
              <w:tr w:rsidR="00B90BAC" w:rsidRPr="00000528" w14:paraId="1E3C5CB2" w14:textId="77777777" w:rsidTr="002D5C52">
                <w:trPr>
                  <w:divId w:val="969440367"/>
                  <w:tblCellSpacing w:w="15" w:type="dxa"/>
                </w:trPr>
                <w:tc>
                  <w:tcPr>
                    <w:tcW w:w="202" w:type="pct"/>
                    <w:hideMark/>
                  </w:tcPr>
                  <w:p w14:paraId="6F344032" w14:textId="77777777" w:rsidR="00B90BAC" w:rsidRPr="00000528" w:rsidRDefault="00B90BAC" w:rsidP="0042484E">
                    <w:pPr>
                      <w:pStyle w:val="Bibliography"/>
                      <w:jc w:val="both"/>
                      <w:rPr>
                        <w:sz w:val="18"/>
                        <w:szCs w:val="18"/>
                      </w:rPr>
                    </w:pPr>
                    <w:r w:rsidRPr="00000528">
                      <w:rPr>
                        <w:sz w:val="18"/>
                        <w:szCs w:val="18"/>
                      </w:rPr>
                      <w:t xml:space="preserve">[8] </w:t>
                    </w:r>
                  </w:p>
                </w:tc>
                <w:tc>
                  <w:tcPr>
                    <w:tcW w:w="0" w:type="auto"/>
                    <w:hideMark/>
                  </w:tcPr>
                  <w:p w14:paraId="428FB5C0" w14:textId="77777777" w:rsidR="00B90BAC" w:rsidRPr="00000528" w:rsidRDefault="00B90BAC" w:rsidP="0042484E">
                    <w:pPr>
                      <w:pStyle w:val="Bibliography"/>
                      <w:jc w:val="both"/>
                      <w:rPr>
                        <w:sz w:val="18"/>
                        <w:szCs w:val="18"/>
                      </w:rPr>
                    </w:pPr>
                    <w:r w:rsidRPr="00000528">
                      <w:rPr>
                        <w:sz w:val="18"/>
                        <w:szCs w:val="18"/>
                      </w:rPr>
                      <w:t>C. J. Werner (ed.), “MCNP User's Manual Code Version 6.2,” LA-UR-17-29981, Los Alamos National Laboratory, NM, USA, 2017.</w:t>
                    </w:r>
                  </w:p>
                </w:tc>
              </w:tr>
              <w:tr w:rsidR="00B90BAC" w:rsidRPr="00000528" w14:paraId="1DC5CC02" w14:textId="77777777" w:rsidTr="002D5C52">
                <w:trPr>
                  <w:divId w:val="969440367"/>
                  <w:tblCellSpacing w:w="15" w:type="dxa"/>
                </w:trPr>
                <w:tc>
                  <w:tcPr>
                    <w:tcW w:w="202" w:type="pct"/>
                    <w:hideMark/>
                  </w:tcPr>
                  <w:p w14:paraId="0CBCD941" w14:textId="77777777" w:rsidR="00B90BAC" w:rsidRPr="00000528" w:rsidRDefault="00B90BAC" w:rsidP="0042484E">
                    <w:pPr>
                      <w:pStyle w:val="Bibliography"/>
                      <w:jc w:val="both"/>
                      <w:rPr>
                        <w:sz w:val="18"/>
                        <w:szCs w:val="18"/>
                      </w:rPr>
                    </w:pPr>
                    <w:r w:rsidRPr="00000528">
                      <w:rPr>
                        <w:sz w:val="18"/>
                        <w:szCs w:val="18"/>
                      </w:rPr>
                      <w:t xml:space="preserve">[9] </w:t>
                    </w:r>
                  </w:p>
                </w:tc>
                <w:tc>
                  <w:tcPr>
                    <w:tcW w:w="0" w:type="auto"/>
                    <w:hideMark/>
                  </w:tcPr>
                  <w:p w14:paraId="43E75C1E" w14:textId="77777777" w:rsidR="00B90BAC" w:rsidRPr="00000528" w:rsidRDefault="00B90BAC" w:rsidP="0042484E">
                    <w:pPr>
                      <w:pStyle w:val="Bibliography"/>
                      <w:jc w:val="both"/>
                      <w:rPr>
                        <w:sz w:val="18"/>
                        <w:szCs w:val="18"/>
                      </w:rPr>
                    </w:pPr>
                    <w:r w:rsidRPr="00000528">
                      <w:rPr>
                        <w:sz w:val="18"/>
                        <w:szCs w:val="18"/>
                      </w:rPr>
                      <w:t xml:space="preserve">S. Pozzi, S. Clarke, W. Walsh, E. Miller, J. Dolan, M. Flaska, B. Wieger, A. Enqvist, E. Padovani, J. Mattingly, D. Chichester and P. Peerani, “MCNPX-PoliMi for nuclear nonproliferation applications,” </w:t>
                    </w:r>
                    <w:r w:rsidRPr="00000528">
                      <w:rPr>
                        <w:i/>
                        <w:iCs/>
                        <w:sz w:val="18"/>
                        <w:szCs w:val="18"/>
                      </w:rPr>
                      <w:t xml:space="preserve">Nuclear Instruments and Methods in Physics Research Section A: Accelerators, Spectrometers, Detectors and Associated Equipment, </w:t>
                    </w:r>
                    <w:r w:rsidRPr="00000528">
                      <w:rPr>
                        <w:sz w:val="18"/>
                        <w:szCs w:val="18"/>
                      </w:rPr>
                      <w:t xml:space="preserve">vol. 2012, pp. 119-125, 2012. </w:t>
                    </w:r>
                  </w:p>
                </w:tc>
              </w:tr>
              <w:tr w:rsidR="00B90BAC" w:rsidRPr="00000528" w14:paraId="306F1EF6" w14:textId="77777777" w:rsidTr="002D5C52">
                <w:trPr>
                  <w:divId w:val="969440367"/>
                  <w:tblCellSpacing w:w="15" w:type="dxa"/>
                </w:trPr>
                <w:tc>
                  <w:tcPr>
                    <w:tcW w:w="202" w:type="pct"/>
                    <w:hideMark/>
                  </w:tcPr>
                  <w:p w14:paraId="48302BCA" w14:textId="77777777" w:rsidR="00B90BAC" w:rsidRPr="00000528" w:rsidRDefault="00B90BAC" w:rsidP="0042484E">
                    <w:pPr>
                      <w:pStyle w:val="Bibliography"/>
                      <w:jc w:val="both"/>
                      <w:rPr>
                        <w:sz w:val="18"/>
                        <w:szCs w:val="18"/>
                      </w:rPr>
                    </w:pPr>
                    <w:r w:rsidRPr="00000528">
                      <w:rPr>
                        <w:sz w:val="18"/>
                        <w:szCs w:val="18"/>
                      </w:rPr>
                      <w:t xml:space="preserve">[10] </w:t>
                    </w:r>
                  </w:p>
                </w:tc>
                <w:tc>
                  <w:tcPr>
                    <w:tcW w:w="0" w:type="auto"/>
                    <w:hideMark/>
                  </w:tcPr>
                  <w:p w14:paraId="7B0CADA9" w14:textId="77777777" w:rsidR="00B90BAC" w:rsidRPr="00000528" w:rsidRDefault="00B90BAC" w:rsidP="0042484E">
                    <w:pPr>
                      <w:pStyle w:val="Bibliography"/>
                      <w:jc w:val="both"/>
                      <w:rPr>
                        <w:sz w:val="18"/>
                        <w:szCs w:val="18"/>
                      </w:rPr>
                    </w:pPr>
                    <w:r w:rsidRPr="00000528">
                      <w:rPr>
                        <w:sz w:val="18"/>
                        <w:szCs w:val="18"/>
                      </w:rPr>
                      <w:t xml:space="preserve">M. Swinhoe, H. Menlove, P. d. Baere, D. Lodi, P. Schwalbach, C. Rael, M. Root, A. Tomanin and A. Favalli, “A new generation of uranium coincidence fast neutron collars for assay of LWR fresh fuel assemblies,” </w:t>
                    </w:r>
                    <w:r w:rsidRPr="00000528">
                      <w:rPr>
                        <w:i/>
                        <w:iCs/>
                        <w:sz w:val="18"/>
                        <w:szCs w:val="18"/>
                      </w:rPr>
                      <w:t xml:space="preserve">Nuclear Instruments and Methods in Physics Research Section A: Accelerators, Spectrometers, Detectors and Associated Equipment, </w:t>
                    </w:r>
                    <w:r w:rsidRPr="00000528">
                      <w:rPr>
                        <w:sz w:val="18"/>
                        <w:szCs w:val="18"/>
                      </w:rPr>
                      <w:t xml:space="preserve">vol. 1009, p. 165453, 2021. </w:t>
                    </w:r>
                  </w:p>
                </w:tc>
              </w:tr>
              <w:tr w:rsidR="00B90BAC" w:rsidRPr="00000528" w14:paraId="27510794" w14:textId="77777777" w:rsidTr="002D5C52">
                <w:trPr>
                  <w:divId w:val="969440367"/>
                  <w:tblCellSpacing w:w="15" w:type="dxa"/>
                </w:trPr>
                <w:tc>
                  <w:tcPr>
                    <w:tcW w:w="202" w:type="pct"/>
                    <w:hideMark/>
                  </w:tcPr>
                  <w:p w14:paraId="320392DE" w14:textId="77777777" w:rsidR="00B90BAC" w:rsidRPr="00000528" w:rsidRDefault="00B90BAC" w:rsidP="0042484E">
                    <w:pPr>
                      <w:pStyle w:val="Bibliography"/>
                      <w:jc w:val="both"/>
                      <w:rPr>
                        <w:sz w:val="18"/>
                        <w:szCs w:val="18"/>
                      </w:rPr>
                    </w:pPr>
                    <w:r w:rsidRPr="00000528">
                      <w:rPr>
                        <w:sz w:val="18"/>
                        <w:szCs w:val="18"/>
                      </w:rPr>
                      <w:t xml:space="preserve">[11] </w:t>
                    </w:r>
                  </w:p>
                </w:tc>
                <w:tc>
                  <w:tcPr>
                    <w:tcW w:w="0" w:type="auto"/>
                    <w:hideMark/>
                  </w:tcPr>
                  <w:p w14:paraId="4E261DC6" w14:textId="77777777" w:rsidR="00B90BAC" w:rsidRPr="00000528" w:rsidRDefault="00B90BAC" w:rsidP="0042484E">
                    <w:pPr>
                      <w:pStyle w:val="Bibliography"/>
                      <w:jc w:val="both"/>
                      <w:rPr>
                        <w:sz w:val="18"/>
                        <w:szCs w:val="18"/>
                      </w:rPr>
                    </w:pPr>
                    <w:r w:rsidRPr="00000528">
                      <w:rPr>
                        <w:sz w:val="18"/>
                        <w:szCs w:val="18"/>
                      </w:rPr>
                      <w:t xml:space="preserve">R. Venkataraman et al., “Uranium Enrichment Verification Using Higher Resolution Cadmium Zinc Telluride Detector,” in </w:t>
                    </w:r>
                    <w:r w:rsidRPr="00000528">
                      <w:rPr>
                        <w:i/>
                        <w:iCs/>
                        <w:sz w:val="18"/>
                        <w:szCs w:val="18"/>
                      </w:rPr>
                      <w:t>The 2022 INMM Annual Meeting</w:t>
                    </w:r>
                    <w:r w:rsidRPr="00000528">
                      <w:rPr>
                        <w:sz w:val="18"/>
                        <w:szCs w:val="18"/>
                      </w:rPr>
                      <w:t xml:space="preserve">, Virtual meeting, July 2022. </w:t>
                    </w:r>
                  </w:p>
                </w:tc>
              </w:tr>
            </w:tbl>
            <w:p w14:paraId="6A9C79A7" w14:textId="77777777" w:rsidR="00B90BAC" w:rsidRPr="00B96EEC" w:rsidRDefault="00B90BAC" w:rsidP="0042484E">
              <w:pPr>
                <w:jc w:val="both"/>
                <w:divId w:val="969440367"/>
                <w:rPr>
                  <w:lang w:val="en-US"/>
                </w:rPr>
              </w:pPr>
            </w:p>
            <w:p w14:paraId="565F6975" w14:textId="043983CE" w:rsidR="005A0BB2" w:rsidRPr="00B96EEC" w:rsidRDefault="005A0BB2" w:rsidP="0042484E">
              <w:pPr>
                <w:jc w:val="both"/>
                <w:rPr>
                  <w:lang w:val="en-US"/>
                </w:rPr>
              </w:pPr>
              <w:r w:rsidRPr="00B96EEC">
                <w:rPr>
                  <w:b/>
                  <w:bCs/>
                  <w:sz w:val="18"/>
                  <w:szCs w:val="18"/>
                  <w:lang w:val="en-US"/>
                </w:rPr>
                <w:fldChar w:fldCharType="end"/>
              </w:r>
            </w:p>
          </w:sdtContent>
        </w:sdt>
      </w:sdtContent>
    </w:sdt>
    <w:p w14:paraId="3BA56E06" w14:textId="77777777" w:rsidR="00F45EEE" w:rsidRPr="00B96EEC" w:rsidRDefault="00F45EEE" w:rsidP="0042484E">
      <w:pPr>
        <w:pStyle w:val="BodyText"/>
        <w:ind w:firstLine="0"/>
        <w:rPr>
          <w:lang w:val="en-US"/>
        </w:rPr>
      </w:pPr>
    </w:p>
    <w:sectPr w:rsidR="00F45EEE" w:rsidRPr="00B96EEC" w:rsidSect="001E2273">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97AED" w14:textId="77777777" w:rsidR="00B40851" w:rsidRDefault="00B40851">
      <w:r>
        <w:separator/>
      </w:r>
    </w:p>
  </w:endnote>
  <w:endnote w:type="continuationSeparator" w:id="0">
    <w:p w14:paraId="2FDE7BD2" w14:textId="77777777" w:rsidR="00B40851" w:rsidRDefault="00B40851">
      <w:r>
        <w:continuationSeparator/>
      </w:r>
    </w:p>
  </w:endnote>
  <w:endnote w:type="continuationNotice" w:id="1">
    <w:p w14:paraId="29CDF0FC" w14:textId="77777777" w:rsidR="00B40851" w:rsidRDefault="00B40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Zen Hei">
    <w:altName w:val="Yu Gothic"/>
    <w:panose1 w:val="020B0604020202020204"/>
    <w:charset w:val="80"/>
    <w:family w:val="auto"/>
    <w:pitch w:val="variable"/>
  </w:font>
  <w:font w:name="Lohit Devanagari">
    <w:altName w:val="Yu Gothic"/>
    <w:panose1 w:val="020B0604020202020204"/>
    <w:charset w:val="80"/>
    <w:family w:val="auto"/>
    <w:pitch w:val="variable"/>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MZVES+NimbusRomNo9L-Regu">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0"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0"/>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1"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4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3402E" w14:textId="77777777" w:rsidR="00B40851" w:rsidRDefault="00B40851">
      <w:r>
        <w:t>___________________________________________________________________________</w:t>
      </w:r>
    </w:p>
  </w:footnote>
  <w:footnote w:type="continuationSeparator" w:id="0">
    <w:p w14:paraId="26DFB546" w14:textId="77777777" w:rsidR="00B40851" w:rsidRDefault="00B40851">
      <w:r>
        <w:t>___________________________________________________________________________</w:t>
      </w:r>
    </w:p>
  </w:footnote>
  <w:footnote w:type="continuationNotice" w:id="1">
    <w:p w14:paraId="22A52209" w14:textId="77777777" w:rsidR="00B40851" w:rsidRDefault="00B408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522D" w14:textId="3247F894" w:rsidR="00CF7AF3" w:rsidRDefault="00CF7AF3" w:rsidP="00CF7AF3">
    <w:pPr>
      <w:pStyle w:val="Runninghead"/>
    </w:pPr>
    <w:r>
      <w:tab/>
      <w:t>IAEA-CN-</w:t>
    </w:r>
    <w:r w:rsidR="009B4EEF">
      <w:t>327/</w:t>
    </w:r>
    <w:r w:rsidR="004D6596">
      <w:t>410</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C4E1" w14:textId="79460033" w:rsidR="00E20E70" w:rsidRDefault="00D53EED" w:rsidP="00B82FA5">
    <w:pPr>
      <w:pStyle w:val="Runninghead"/>
    </w:pPr>
    <w:r>
      <w:t xml:space="preserve">J. </w:t>
    </w:r>
    <w:r w:rsidR="00592855">
      <w:t>HU et al.</w:t>
    </w:r>
  </w:p>
  <w:p w14:paraId="2762EF17" w14:textId="0D82AF00"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39"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9"/>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7C23"/>
    <w:multiLevelType w:val="hybridMultilevel"/>
    <w:tmpl w:val="287A1616"/>
    <w:lvl w:ilvl="0" w:tplc="01DA401E">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577447F"/>
    <w:multiLevelType w:val="multilevel"/>
    <w:tmpl w:val="11DED4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96C16CA"/>
    <w:multiLevelType w:val="hybridMultilevel"/>
    <w:tmpl w:val="DF48672E"/>
    <w:lvl w:ilvl="0" w:tplc="A4EA191A">
      <w:start w:val="1"/>
      <w:numFmt w:val="bullet"/>
      <w:pStyle w:val="LISTDash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EA2394"/>
    <w:multiLevelType w:val="multilevel"/>
    <w:tmpl w:val="243A4060"/>
    <w:lvl w:ilvl="0">
      <w:start w:val="1"/>
      <w:numFmt w:val="decimal"/>
      <w:suff w:val="space"/>
      <w:lvlText w:val="%1."/>
      <w:lvlJc w:val="left"/>
      <w:pPr>
        <w:ind w:left="360" w:hanging="360"/>
      </w:pPr>
      <w:rPr>
        <w:rFonts w:hint="default"/>
      </w:rPr>
    </w:lvl>
    <w:lvl w:ilvl="1">
      <w:start w:val="1"/>
      <w:numFmt w:val="decimal"/>
      <w:pStyle w:val="AppA-Lev2"/>
      <w:lvlText w:val="A-%2."/>
      <w:lvlJc w:val="left"/>
      <w:pPr>
        <w:ind w:left="720" w:hanging="72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BD73EE0"/>
    <w:multiLevelType w:val="hybridMultilevel"/>
    <w:tmpl w:val="0854F4B0"/>
    <w:lvl w:ilvl="0" w:tplc="DE2AA426">
      <w:numFmt w:val="bullet"/>
      <w:lvlText w:val="–"/>
      <w:lvlJc w:val="left"/>
      <w:pPr>
        <w:ind w:left="360" w:hanging="360"/>
      </w:pPr>
      <w:rPr>
        <w:rFonts w:ascii="Century Gothic" w:hAnsi="Century Gothic" w:hint="default"/>
      </w:rPr>
    </w:lvl>
    <w:lvl w:ilvl="1" w:tplc="FFFFFFFF">
      <w:numFmt w:val="bullet"/>
      <w:lvlText w:val="–"/>
      <w:lvlJc w:val="left"/>
      <w:pPr>
        <w:tabs>
          <w:tab w:val="num" w:pos="1080"/>
        </w:tabs>
        <w:ind w:left="1080" w:hanging="360"/>
      </w:pPr>
      <w:rPr>
        <w:rFonts w:ascii="Century Gothic" w:hAnsi="Century Gothic" w:hint="default"/>
      </w:rPr>
    </w:lvl>
    <w:lvl w:ilvl="2" w:tplc="FFFFFFFF" w:tentative="1">
      <w:start w:val="1"/>
      <w:numFmt w:val="bullet"/>
      <w:lvlText w:val="•"/>
      <w:lvlJc w:val="left"/>
      <w:pPr>
        <w:tabs>
          <w:tab w:val="num" w:pos="1800"/>
        </w:tabs>
        <w:ind w:left="1800" w:hanging="360"/>
      </w:pPr>
      <w:rPr>
        <w:rFonts w:ascii="Century Gothic" w:hAnsi="Century Gothic" w:hint="default"/>
      </w:rPr>
    </w:lvl>
    <w:lvl w:ilvl="3" w:tplc="FFFFFFFF" w:tentative="1">
      <w:start w:val="1"/>
      <w:numFmt w:val="bullet"/>
      <w:lvlText w:val="•"/>
      <w:lvlJc w:val="left"/>
      <w:pPr>
        <w:tabs>
          <w:tab w:val="num" w:pos="2520"/>
        </w:tabs>
        <w:ind w:left="2520" w:hanging="360"/>
      </w:pPr>
      <w:rPr>
        <w:rFonts w:ascii="Century Gothic" w:hAnsi="Century Gothic" w:hint="default"/>
      </w:rPr>
    </w:lvl>
    <w:lvl w:ilvl="4" w:tplc="FFFFFFFF" w:tentative="1">
      <w:start w:val="1"/>
      <w:numFmt w:val="bullet"/>
      <w:lvlText w:val="•"/>
      <w:lvlJc w:val="left"/>
      <w:pPr>
        <w:tabs>
          <w:tab w:val="num" w:pos="3240"/>
        </w:tabs>
        <w:ind w:left="3240" w:hanging="360"/>
      </w:pPr>
      <w:rPr>
        <w:rFonts w:ascii="Century Gothic" w:hAnsi="Century Gothic" w:hint="default"/>
      </w:rPr>
    </w:lvl>
    <w:lvl w:ilvl="5" w:tplc="FFFFFFFF" w:tentative="1">
      <w:start w:val="1"/>
      <w:numFmt w:val="bullet"/>
      <w:lvlText w:val="•"/>
      <w:lvlJc w:val="left"/>
      <w:pPr>
        <w:tabs>
          <w:tab w:val="num" w:pos="3960"/>
        </w:tabs>
        <w:ind w:left="3960" w:hanging="360"/>
      </w:pPr>
      <w:rPr>
        <w:rFonts w:ascii="Century Gothic" w:hAnsi="Century Gothic" w:hint="default"/>
      </w:rPr>
    </w:lvl>
    <w:lvl w:ilvl="6" w:tplc="FFFFFFFF" w:tentative="1">
      <w:start w:val="1"/>
      <w:numFmt w:val="bullet"/>
      <w:lvlText w:val="•"/>
      <w:lvlJc w:val="left"/>
      <w:pPr>
        <w:tabs>
          <w:tab w:val="num" w:pos="4680"/>
        </w:tabs>
        <w:ind w:left="4680" w:hanging="360"/>
      </w:pPr>
      <w:rPr>
        <w:rFonts w:ascii="Century Gothic" w:hAnsi="Century Gothic" w:hint="default"/>
      </w:rPr>
    </w:lvl>
    <w:lvl w:ilvl="7" w:tplc="FFFFFFFF" w:tentative="1">
      <w:start w:val="1"/>
      <w:numFmt w:val="bullet"/>
      <w:lvlText w:val="•"/>
      <w:lvlJc w:val="left"/>
      <w:pPr>
        <w:tabs>
          <w:tab w:val="num" w:pos="5400"/>
        </w:tabs>
        <w:ind w:left="5400" w:hanging="360"/>
      </w:pPr>
      <w:rPr>
        <w:rFonts w:ascii="Century Gothic" w:hAnsi="Century Gothic" w:hint="default"/>
      </w:rPr>
    </w:lvl>
    <w:lvl w:ilvl="8" w:tplc="FFFFFFFF" w:tentative="1">
      <w:start w:val="1"/>
      <w:numFmt w:val="bullet"/>
      <w:lvlText w:val="•"/>
      <w:lvlJc w:val="left"/>
      <w:pPr>
        <w:tabs>
          <w:tab w:val="num" w:pos="6120"/>
        </w:tabs>
        <w:ind w:left="6120" w:hanging="360"/>
      </w:pPr>
      <w:rPr>
        <w:rFonts w:ascii="Century Gothic" w:hAnsi="Century Gothic" w:hint="default"/>
      </w:r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FF398F"/>
    <w:multiLevelType w:val="hybridMultilevel"/>
    <w:tmpl w:val="1452D1E2"/>
    <w:lvl w:ilvl="0" w:tplc="463832D8">
      <w:start w:val="1"/>
      <w:numFmt w:val="bullet"/>
      <w:pStyle w:val="LIST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E6C4DAB"/>
    <w:multiLevelType w:val="hybridMultilevel"/>
    <w:tmpl w:val="BD1081D0"/>
    <w:lvl w:ilvl="0" w:tplc="9C3069E0">
      <w:numFmt w:val="bullet"/>
      <w:lvlText w:val="–"/>
      <w:lvlJc w:val="left"/>
      <w:pPr>
        <w:ind w:left="360" w:hanging="360"/>
      </w:pPr>
      <w:rPr>
        <w:rFonts w:ascii="Century Gothic" w:hAnsi="Century Gothic"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85078158">
    <w:abstractNumId w:val="11"/>
  </w:num>
  <w:num w:numId="2" w16cid:durableId="59716700">
    <w:abstractNumId w:val="4"/>
  </w:num>
  <w:num w:numId="3" w16cid:durableId="528497540">
    <w:abstractNumId w:val="5"/>
  </w:num>
  <w:num w:numId="4" w16cid:durableId="1007632637">
    <w:abstractNumId w:val="1"/>
  </w:num>
  <w:num w:numId="5" w16cid:durableId="422917246">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16cid:durableId="468400009">
    <w:abstractNumId w:val="15"/>
  </w:num>
  <w:num w:numId="7" w16cid:durableId="2113888906">
    <w:abstractNumId w:val="2"/>
  </w:num>
  <w:num w:numId="8" w16cid:durableId="1720975952">
    <w:abstractNumId w:val="3"/>
  </w:num>
  <w:num w:numId="9" w16cid:durableId="320278723">
    <w:abstractNumId w:val="8"/>
  </w:num>
  <w:num w:numId="10" w16cid:durableId="832725885">
    <w:abstractNumId w:val="9"/>
  </w:num>
  <w:num w:numId="11" w16cid:durableId="1573730629">
    <w:abstractNumId w:val="14"/>
  </w:num>
  <w:num w:numId="12" w16cid:durableId="1097142744">
    <w:abstractNumId w:val="7"/>
  </w:num>
  <w:num w:numId="13" w16cid:durableId="1722827655">
    <w:abstractNumId w:val="13"/>
  </w:num>
  <w:num w:numId="14" w16cid:durableId="578517072">
    <w:abstractNumId w:val="0"/>
  </w:num>
  <w:num w:numId="15" w16cid:durableId="194200900">
    <w:abstractNumId w:val="6"/>
  </w:num>
  <w:num w:numId="16" w16cid:durableId="1585989024">
    <w:abstractNumId w:val="16"/>
  </w:num>
  <w:num w:numId="17" w16cid:durableId="1282609025">
    <w:abstractNumId w:val="10"/>
  </w:num>
  <w:num w:numId="18" w16cid:durableId="17669627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528"/>
    <w:rsid w:val="0000166A"/>
    <w:rsid w:val="00003F88"/>
    <w:rsid w:val="000063CD"/>
    <w:rsid w:val="00011AB9"/>
    <w:rsid w:val="00016CC3"/>
    <w:rsid w:val="000229AB"/>
    <w:rsid w:val="00024094"/>
    <w:rsid w:val="00024B71"/>
    <w:rsid w:val="0002569A"/>
    <w:rsid w:val="00032908"/>
    <w:rsid w:val="00037321"/>
    <w:rsid w:val="00040A25"/>
    <w:rsid w:val="000443C4"/>
    <w:rsid w:val="000477E2"/>
    <w:rsid w:val="00055FFC"/>
    <w:rsid w:val="00060B6A"/>
    <w:rsid w:val="0006457D"/>
    <w:rsid w:val="00064927"/>
    <w:rsid w:val="00071B17"/>
    <w:rsid w:val="00072139"/>
    <w:rsid w:val="00077D3F"/>
    <w:rsid w:val="00077FB3"/>
    <w:rsid w:val="00085232"/>
    <w:rsid w:val="000863AE"/>
    <w:rsid w:val="00087FB4"/>
    <w:rsid w:val="000936C3"/>
    <w:rsid w:val="00094B96"/>
    <w:rsid w:val="000A0299"/>
    <w:rsid w:val="000A4DB2"/>
    <w:rsid w:val="000B13DF"/>
    <w:rsid w:val="000B32AA"/>
    <w:rsid w:val="000B32F0"/>
    <w:rsid w:val="000B61C0"/>
    <w:rsid w:val="000B74CE"/>
    <w:rsid w:val="000C0A1E"/>
    <w:rsid w:val="000C1496"/>
    <w:rsid w:val="000C3AA7"/>
    <w:rsid w:val="000C61FE"/>
    <w:rsid w:val="000C6F25"/>
    <w:rsid w:val="000E00D0"/>
    <w:rsid w:val="000E0639"/>
    <w:rsid w:val="000E0E60"/>
    <w:rsid w:val="000E0EF9"/>
    <w:rsid w:val="000E512F"/>
    <w:rsid w:val="000E7D1A"/>
    <w:rsid w:val="000F1D43"/>
    <w:rsid w:val="000F1DDF"/>
    <w:rsid w:val="000F3597"/>
    <w:rsid w:val="000F3E91"/>
    <w:rsid w:val="000F7DA5"/>
    <w:rsid w:val="000F7E94"/>
    <w:rsid w:val="00100302"/>
    <w:rsid w:val="0010568F"/>
    <w:rsid w:val="001119D6"/>
    <w:rsid w:val="001228F4"/>
    <w:rsid w:val="0012312C"/>
    <w:rsid w:val="00126781"/>
    <w:rsid w:val="001278AA"/>
    <w:rsid w:val="001307BC"/>
    <w:rsid w:val="001308F2"/>
    <w:rsid w:val="001313E8"/>
    <w:rsid w:val="001334DB"/>
    <w:rsid w:val="00134AEE"/>
    <w:rsid w:val="001454E4"/>
    <w:rsid w:val="00150FA9"/>
    <w:rsid w:val="001511D0"/>
    <w:rsid w:val="00151228"/>
    <w:rsid w:val="00154874"/>
    <w:rsid w:val="00156105"/>
    <w:rsid w:val="00160159"/>
    <w:rsid w:val="00165341"/>
    <w:rsid w:val="00165A42"/>
    <w:rsid w:val="00171A32"/>
    <w:rsid w:val="001767A0"/>
    <w:rsid w:val="00185F59"/>
    <w:rsid w:val="00190471"/>
    <w:rsid w:val="00192A82"/>
    <w:rsid w:val="00195E0D"/>
    <w:rsid w:val="001A10C1"/>
    <w:rsid w:val="001B13E9"/>
    <w:rsid w:val="001B1651"/>
    <w:rsid w:val="001C0ABA"/>
    <w:rsid w:val="001C5130"/>
    <w:rsid w:val="001C58F5"/>
    <w:rsid w:val="001C69BC"/>
    <w:rsid w:val="001C6F93"/>
    <w:rsid w:val="001D0251"/>
    <w:rsid w:val="001D41CE"/>
    <w:rsid w:val="001D5958"/>
    <w:rsid w:val="001D5CEE"/>
    <w:rsid w:val="001E2273"/>
    <w:rsid w:val="001E2CE1"/>
    <w:rsid w:val="001E2E14"/>
    <w:rsid w:val="001E54FE"/>
    <w:rsid w:val="001E77D9"/>
    <w:rsid w:val="001F1D11"/>
    <w:rsid w:val="001F5D87"/>
    <w:rsid w:val="001F6B2D"/>
    <w:rsid w:val="00202C68"/>
    <w:rsid w:val="0020367D"/>
    <w:rsid w:val="00203915"/>
    <w:rsid w:val="00204426"/>
    <w:rsid w:val="002071D9"/>
    <w:rsid w:val="002106D8"/>
    <w:rsid w:val="0021203F"/>
    <w:rsid w:val="00216E99"/>
    <w:rsid w:val="0022035C"/>
    <w:rsid w:val="00220846"/>
    <w:rsid w:val="00220989"/>
    <w:rsid w:val="002212D4"/>
    <w:rsid w:val="00221EFB"/>
    <w:rsid w:val="00224DAA"/>
    <w:rsid w:val="00225E7D"/>
    <w:rsid w:val="002271C2"/>
    <w:rsid w:val="0023239E"/>
    <w:rsid w:val="002351A4"/>
    <w:rsid w:val="0024221A"/>
    <w:rsid w:val="00250CBC"/>
    <w:rsid w:val="002534EE"/>
    <w:rsid w:val="00256822"/>
    <w:rsid w:val="002577F7"/>
    <w:rsid w:val="00264161"/>
    <w:rsid w:val="0026525A"/>
    <w:rsid w:val="0026575E"/>
    <w:rsid w:val="00274790"/>
    <w:rsid w:val="002833E1"/>
    <w:rsid w:val="00283CC9"/>
    <w:rsid w:val="00285755"/>
    <w:rsid w:val="002960AD"/>
    <w:rsid w:val="002A00A6"/>
    <w:rsid w:val="002A1F9C"/>
    <w:rsid w:val="002A381B"/>
    <w:rsid w:val="002B26DA"/>
    <w:rsid w:val="002B29C2"/>
    <w:rsid w:val="002B3601"/>
    <w:rsid w:val="002B449A"/>
    <w:rsid w:val="002C1EE6"/>
    <w:rsid w:val="002C2648"/>
    <w:rsid w:val="002C4208"/>
    <w:rsid w:val="002C49F8"/>
    <w:rsid w:val="002D0CF2"/>
    <w:rsid w:val="002D0F34"/>
    <w:rsid w:val="002D163D"/>
    <w:rsid w:val="002D2E0C"/>
    <w:rsid w:val="002D5C52"/>
    <w:rsid w:val="002E0606"/>
    <w:rsid w:val="002E0AA9"/>
    <w:rsid w:val="002E23C8"/>
    <w:rsid w:val="002E2696"/>
    <w:rsid w:val="002E4741"/>
    <w:rsid w:val="003016A6"/>
    <w:rsid w:val="0031443F"/>
    <w:rsid w:val="003236B6"/>
    <w:rsid w:val="00340E88"/>
    <w:rsid w:val="00351EF7"/>
    <w:rsid w:val="00352DE1"/>
    <w:rsid w:val="003548D3"/>
    <w:rsid w:val="003615CC"/>
    <w:rsid w:val="00365C3B"/>
    <w:rsid w:val="00367915"/>
    <w:rsid w:val="00371A59"/>
    <w:rsid w:val="003728E6"/>
    <w:rsid w:val="003809C3"/>
    <w:rsid w:val="003841AE"/>
    <w:rsid w:val="00390CB9"/>
    <w:rsid w:val="0039221C"/>
    <w:rsid w:val="00395B92"/>
    <w:rsid w:val="003A396E"/>
    <w:rsid w:val="003A6221"/>
    <w:rsid w:val="003B261F"/>
    <w:rsid w:val="003B4C8F"/>
    <w:rsid w:val="003B4D81"/>
    <w:rsid w:val="003B5199"/>
    <w:rsid w:val="003B5E0E"/>
    <w:rsid w:val="003B7267"/>
    <w:rsid w:val="003C1241"/>
    <w:rsid w:val="003D227A"/>
    <w:rsid w:val="003D255A"/>
    <w:rsid w:val="003E30AD"/>
    <w:rsid w:val="003E4D2D"/>
    <w:rsid w:val="003E63AB"/>
    <w:rsid w:val="003F6808"/>
    <w:rsid w:val="00404757"/>
    <w:rsid w:val="00406D27"/>
    <w:rsid w:val="0041289A"/>
    <w:rsid w:val="004150AC"/>
    <w:rsid w:val="00415CFA"/>
    <w:rsid w:val="00416949"/>
    <w:rsid w:val="00416FF9"/>
    <w:rsid w:val="00420BE4"/>
    <w:rsid w:val="00421507"/>
    <w:rsid w:val="0042484E"/>
    <w:rsid w:val="00432CEA"/>
    <w:rsid w:val="00435D2D"/>
    <w:rsid w:val="004370D8"/>
    <w:rsid w:val="0044137E"/>
    <w:rsid w:val="0044350E"/>
    <w:rsid w:val="004475F5"/>
    <w:rsid w:val="00450D8F"/>
    <w:rsid w:val="0045662A"/>
    <w:rsid w:val="00456C62"/>
    <w:rsid w:val="00457E9A"/>
    <w:rsid w:val="00460D68"/>
    <w:rsid w:val="0047012F"/>
    <w:rsid w:val="00471175"/>
    <w:rsid w:val="00472C43"/>
    <w:rsid w:val="004738F3"/>
    <w:rsid w:val="00477357"/>
    <w:rsid w:val="0048729E"/>
    <w:rsid w:val="00487622"/>
    <w:rsid w:val="00490880"/>
    <w:rsid w:val="004976BE"/>
    <w:rsid w:val="004A12F0"/>
    <w:rsid w:val="004A4CC8"/>
    <w:rsid w:val="004C2265"/>
    <w:rsid w:val="004C2FBC"/>
    <w:rsid w:val="004C3800"/>
    <w:rsid w:val="004C64E6"/>
    <w:rsid w:val="004C72B3"/>
    <w:rsid w:val="004D4A25"/>
    <w:rsid w:val="004D6596"/>
    <w:rsid w:val="004E1181"/>
    <w:rsid w:val="004E477C"/>
    <w:rsid w:val="004E4C48"/>
    <w:rsid w:val="004E567F"/>
    <w:rsid w:val="004E595A"/>
    <w:rsid w:val="004F1050"/>
    <w:rsid w:val="004F16DB"/>
    <w:rsid w:val="004F67EF"/>
    <w:rsid w:val="00502193"/>
    <w:rsid w:val="00503A8C"/>
    <w:rsid w:val="00506264"/>
    <w:rsid w:val="005073F9"/>
    <w:rsid w:val="00516BCF"/>
    <w:rsid w:val="0051721E"/>
    <w:rsid w:val="00521067"/>
    <w:rsid w:val="005333BD"/>
    <w:rsid w:val="00533F02"/>
    <w:rsid w:val="00537496"/>
    <w:rsid w:val="005407C5"/>
    <w:rsid w:val="00540D6C"/>
    <w:rsid w:val="00542668"/>
    <w:rsid w:val="00543E92"/>
    <w:rsid w:val="005449B0"/>
    <w:rsid w:val="00544ED3"/>
    <w:rsid w:val="00564AE3"/>
    <w:rsid w:val="005715F5"/>
    <w:rsid w:val="005744B0"/>
    <w:rsid w:val="00575877"/>
    <w:rsid w:val="00580CA2"/>
    <w:rsid w:val="00582190"/>
    <w:rsid w:val="00583555"/>
    <w:rsid w:val="00583EE5"/>
    <w:rsid w:val="0058477B"/>
    <w:rsid w:val="005853D3"/>
    <w:rsid w:val="00585CDE"/>
    <w:rsid w:val="0058654F"/>
    <w:rsid w:val="00586909"/>
    <w:rsid w:val="005911AD"/>
    <w:rsid w:val="00592855"/>
    <w:rsid w:val="00596ACA"/>
    <w:rsid w:val="00597B1A"/>
    <w:rsid w:val="00597E0D"/>
    <w:rsid w:val="005A0BB2"/>
    <w:rsid w:val="005A65F7"/>
    <w:rsid w:val="005C01A8"/>
    <w:rsid w:val="005C0581"/>
    <w:rsid w:val="005C12FF"/>
    <w:rsid w:val="005C1E58"/>
    <w:rsid w:val="005D3C58"/>
    <w:rsid w:val="005E04DE"/>
    <w:rsid w:val="005E2F66"/>
    <w:rsid w:val="005E39BC"/>
    <w:rsid w:val="005F00A0"/>
    <w:rsid w:val="005F0139"/>
    <w:rsid w:val="005F6694"/>
    <w:rsid w:val="00606A82"/>
    <w:rsid w:val="006115BC"/>
    <w:rsid w:val="0061623B"/>
    <w:rsid w:val="00625445"/>
    <w:rsid w:val="00626FEF"/>
    <w:rsid w:val="00632CFE"/>
    <w:rsid w:val="00647F19"/>
    <w:rsid w:val="00647F33"/>
    <w:rsid w:val="00650939"/>
    <w:rsid w:val="006519F3"/>
    <w:rsid w:val="0065226D"/>
    <w:rsid w:val="00655E4A"/>
    <w:rsid w:val="006563D6"/>
    <w:rsid w:val="006579F0"/>
    <w:rsid w:val="006622DD"/>
    <w:rsid w:val="00662532"/>
    <w:rsid w:val="006654FF"/>
    <w:rsid w:val="00670864"/>
    <w:rsid w:val="006734E7"/>
    <w:rsid w:val="006744E7"/>
    <w:rsid w:val="00674E3F"/>
    <w:rsid w:val="00675E75"/>
    <w:rsid w:val="00684F18"/>
    <w:rsid w:val="006860DF"/>
    <w:rsid w:val="00690EB7"/>
    <w:rsid w:val="006A6A7D"/>
    <w:rsid w:val="006B0890"/>
    <w:rsid w:val="006B1CFA"/>
    <w:rsid w:val="006B2274"/>
    <w:rsid w:val="006B24B9"/>
    <w:rsid w:val="006C0A67"/>
    <w:rsid w:val="006C2676"/>
    <w:rsid w:val="006C2947"/>
    <w:rsid w:val="006C386C"/>
    <w:rsid w:val="006C4C00"/>
    <w:rsid w:val="006D1AEF"/>
    <w:rsid w:val="006D4D4B"/>
    <w:rsid w:val="006D62EC"/>
    <w:rsid w:val="006D6BA2"/>
    <w:rsid w:val="006E6AB8"/>
    <w:rsid w:val="006F7CC9"/>
    <w:rsid w:val="00700AE8"/>
    <w:rsid w:val="007063E2"/>
    <w:rsid w:val="00712136"/>
    <w:rsid w:val="0071280A"/>
    <w:rsid w:val="007157E1"/>
    <w:rsid w:val="00716E71"/>
    <w:rsid w:val="00717C6F"/>
    <w:rsid w:val="00717FD8"/>
    <w:rsid w:val="00725A39"/>
    <w:rsid w:val="00726007"/>
    <w:rsid w:val="0073195A"/>
    <w:rsid w:val="00735F0E"/>
    <w:rsid w:val="007366EA"/>
    <w:rsid w:val="007445DA"/>
    <w:rsid w:val="007448F9"/>
    <w:rsid w:val="00754204"/>
    <w:rsid w:val="007546D7"/>
    <w:rsid w:val="00755B3C"/>
    <w:rsid w:val="00760439"/>
    <w:rsid w:val="007605DF"/>
    <w:rsid w:val="007623D1"/>
    <w:rsid w:val="00762F8E"/>
    <w:rsid w:val="007767C8"/>
    <w:rsid w:val="007873F1"/>
    <w:rsid w:val="00787577"/>
    <w:rsid w:val="007928DA"/>
    <w:rsid w:val="0079633A"/>
    <w:rsid w:val="007A1651"/>
    <w:rsid w:val="007B13E4"/>
    <w:rsid w:val="007B1E83"/>
    <w:rsid w:val="007B263F"/>
    <w:rsid w:val="007B4749"/>
    <w:rsid w:val="007B4FD1"/>
    <w:rsid w:val="007B534D"/>
    <w:rsid w:val="007B7A84"/>
    <w:rsid w:val="007C2066"/>
    <w:rsid w:val="007C2F48"/>
    <w:rsid w:val="007C45FC"/>
    <w:rsid w:val="007D3F46"/>
    <w:rsid w:val="007D67E1"/>
    <w:rsid w:val="007E00DF"/>
    <w:rsid w:val="007E0123"/>
    <w:rsid w:val="007E3447"/>
    <w:rsid w:val="007F0BFB"/>
    <w:rsid w:val="007F1333"/>
    <w:rsid w:val="007F46B6"/>
    <w:rsid w:val="007F4E4A"/>
    <w:rsid w:val="007F5A43"/>
    <w:rsid w:val="007F7F5B"/>
    <w:rsid w:val="0080039B"/>
    <w:rsid w:val="00801BB6"/>
    <w:rsid w:val="00802381"/>
    <w:rsid w:val="008044B9"/>
    <w:rsid w:val="008048E0"/>
    <w:rsid w:val="0080531A"/>
    <w:rsid w:val="008122F2"/>
    <w:rsid w:val="0081258F"/>
    <w:rsid w:val="008151C2"/>
    <w:rsid w:val="0082243F"/>
    <w:rsid w:val="00826337"/>
    <w:rsid w:val="00832DA9"/>
    <w:rsid w:val="00835C7D"/>
    <w:rsid w:val="0083673C"/>
    <w:rsid w:val="00844343"/>
    <w:rsid w:val="008512E9"/>
    <w:rsid w:val="008517FE"/>
    <w:rsid w:val="00853F28"/>
    <w:rsid w:val="00857B08"/>
    <w:rsid w:val="0087118A"/>
    <w:rsid w:val="00874A70"/>
    <w:rsid w:val="0087672E"/>
    <w:rsid w:val="0088176C"/>
    <w:rsid w:val="00882655"/>
    <w:rsid w:val="00883055"/>
    <w:rsid w:val="00883848"/>
    <w:rsid w:val="00886679"/>
    <w:rsid w:val="00897ED5"/>
    <w:rsid w:val="008A5D14"/>
    <w:rsid w:val="008A76D4"/>
    <w:rsid w:val="008B0DB1"/>
    <w:rsid w:val="008B4A8C"/>
    <w:rsid w:val="008B6BB9"/>
    <w:rsid w:val="008C2CDB"/>
    <w:rsid w:val="008D664C"/>
    <w:rsid w:val="008D7C53"/>
    <w:rsid w:val="008F5874"/>
    <w:rsid w:val="008F7D16"/>
    <w:rsid w:val="009000E2"/>
    <w:rsid w:val="00901349"/>
    <w:rsid w:val="009029D1"/>
    <w:rsid w:val="00902B8B"/>
    <w:rsid w:val="00903192"/>
    <w:rsid w:val="00911543"/>
    <w:rsid w:val="00922D24"/>
    <w:rsid w:val="00930372"/>
    <w:rsid w:val="00931CFB"/>
    <w:rsid w:val="00936957"/>
    <w:rsid w:val="009412EF"/>
    <w:rsid w:val="009449BA"/>
    <w:rsid w:val="00951508"/>
    <w:rsid w:val="009519C9"/>
    <w:rsid w:val="00954734"/>
    <w:rsid w:val="00956DDF"/>
    <w:rsid w:val="0096353F"/>
    <w:rsid w:val="009635C1"/>
    <w:rsid w:val="00964523"/>
    <w:rsid w:val="00966EF3"/>
    <w:rsid w:val="00970410"/>
    <w:rsid w:val="00971729"/>
    <w:rsid w:val="00971C6D"/>
    <w:rsid w:val="00972985"/>
    <w:rsid w:val="00975658"/>
    <w:rsid w:val="00975A35"/>
    <w:rsid w:val="009766A3"/>
    <w:rsid w:val="00982F0B"/>
    <w:rsid w:val="00983FA4"/>
    <w:rsid w:val="00992FAA"/>
    <w:rsid w:val="00996963"/>
    <w:rsid w:val="009A452F"/>
    <w:rsid w:val="009A605C"/>
    <w:rsid w:val="009A68D7"/>
    <w:rsid w:val="009A74AF"/>
    <w:rsid w:val="009B4EEF"/>
    <w:rsid w:val="009C5909"/>
    <w:rsid w:val="009C6D9D"/>
    <w:rsid w:val="009D0B86"/>
    <w:rsid w:val="009D29DF"/>
    <w:rsid w:val="009D307A"/>
    <w:rsid w:val="009E0D5B"/>
    <w:rsid w:val="009E1558"/>
    <w:rsid w:val="009E3E08"/>
    <w:rsid w:val="009E70A4"/>
    <w:rsid w:val="009E76DB"/>
    <w:rsid w:val="009F5449"/>
    <w:rsid w:val="00A02EDE"/>
    <w:rsid w:val="00A07B0B"/>
    <w:rsid w:val="00A12E84"/>
    <w:rsid w:val="00A16397"/>
    <w:rsid w:val="00A1752D"/>
    <w:rsid w:val="00A1779E"/>
    <w:rsid w:val="00A17DD3"/>
    <w:rsid w:val="00A20EEC"/>
    <w:rsid w:val="00A21D24"/>
    <w:rsid w:val="00A27902"/>
    <w:rsid w:val="00A400F3"/>
    <w:rsid w:val="00A4028B"/>
    <w:rsid w:val="00A41085"/>
    <w:rsid w:val="00A42745"/>
    <w:rsid w:val="00A42898"/>
    <w:rsid w:val="00A458D9"/>
    <w:rsid w:val="00A47A76"/>
    <w:rsid w:val="00A5752F"/>
    <w:rsid w:val="00A604ED"/>
    <w:rsid w:val="00A632BB"/>
    <w:rsid w:val="00A64626"/>
    <w:rsid w:val="00A67D4A"/>
    <w:rsid w:val="00A71BF2"/>
    <w:rsid w:val="00A76C58"/>
    <w:rsid w:val="00A804B1"/>
    <w:rsid w:val="00A8191E"/>
    <w:rsid w:val="00A84A9A"/>
    <w:rsid w:val="00A876E1"/>
    <w:rsid w:val="00A91CF1"/>
    <w:rsid w:val="00A924B9"/>
    <w:rsid w:val="00A95039"/>
    <w:rsid w:val="00AA0E19"/>
    <w:rsid w:val="00AA2517"/>
    <w:rsid w:val="00AA29B5"/>
    <w:rsid w:val="00AA3366"/>
    <w:rsid w:val="00AA403D"/>
    <w:rsid w:val="00AA7C4E"/>
    <w:rsid w:val="00AB1587"/>
    <w:rsid w:val="00AB2ECB"/>
    <w:rsid w:val="00AB6ACE"/>
    <w:rsid w:val="00AC1223"/>
    <w:rsid w:val="00AC134F"/>
    <w:rsid w:val="00AC5A3A"/>
    <w:rsid w:val="00AC6498"/>
    <w:rsid w:val="00AC659C"/>
    <w:rsid w:val="00AD3265"/>
    <w:rsid w:val="00AD589F"/>
    <w:rsid w:val="00AD69AA"/>
    <w:rsid w:val="00AE0241"/>
    <w:rsid w:val="00AE506A"/>
    <w:rsid w:val="00AE6600"/>
    <w:rsid w:val="00AF60A3"/>
    <w:rsid w:val="00B00B30"/>
    <w:rsid w:val="00B02359"/>
    <w:rsid w:val="00B07518"/>
    <w:rsid w:val="00B11D1E"/>
    <w:rsid w:val="00B16E27"/>
    <w:rsid w:val="00B16FD7"/>
    <w:rsid w:val="00B200E2"/>
    <w:rsid w:val="00B209C3"/>
    <w:rsid w:val="00B23014"/>
    <w:rsid w:val="00B2365E"/>
    <w:rsid w:val="00B27F18"/>
    <w:rsid w:val="00B318A0"/>
    <w:rsid w:val="00B35743"/>
    <w:rsid w:val="00B400ED"/>
    <w:rsid w:val="00B40851"/>
    <w:rsid w:val="00B4087D"/>
    <w:rsid w:val="00B455F7"/>
    <w:rsid w:val="00B4705C"/>
    <w:rsid w:val="00B62DA2"/>
    <w:rsid w:val="00B63850"/>
    <w:rsid w:val="00B669D5"/>
    <w:rsid w:val="00B705D9"/>
    <w:rsid w:val="00B73A9E"/>
    <w:rsid w:val="00B748E7"/>
    <w:rsid w:val="00B76600"/>
    <w:rsid w:val="00B77DFD"/>
    <w:rsid w:val="00B8039F"/>
    <w:rsid w:val="00B81EA4"/>
    <w:rsid w:val="00B82FA5"/>
    <w:rsid w:val="00B85616"/>
    <w:rsid w:val="00B87D1C"/>
    <w:rsid w:val="00B9053B"/>
    <w:rsid w:val="00B90BAC"/>
    <w:rsid w:val="00B91462"/>
    <w:rsid w:val="00B915AF"/>
    <w:rsid w:val="00B96EEC"/>
    <w:rsid w:val="00B97247"/>
    <w:rsid w:val="00BA6738"/>
    <w:rsid w:val="00BB428C"/>
    <w:rsid w:val="00BB70DE"/>
    <w:rsid w:val="00BC6786"/>
    <w:rsid w:val="00BD1400"/>
    <w:rsid w:val="00BD3822"/>
    <w:rsid w:val="00BD605C"/>
    <w:rsid w:val="00BE2A76"/>
    <w:rsid w:val="00BE5C77"/>
    <w:rsid w:val="00BE6B3C"/>
    <w:rsid w:val="00BF0A9F"/>
    <w:rsid w:val="00BF4A8F"/>
    <w:rsid w:val="00BF4DB9"/>
    <w:rsid w:val="00BF5D22"/>
    <w:rsid w:val="00BF6A3A"/>
    <w:rsid w:val="00C0326B"/>
    <w:rsid w:val="00C03C37"/>
    <w:rsid w:val="00C06A64"/>
    <w:rsid w:val="00C111CF"/>
    <w:rsid w:val="00C133BE"/>
    <w:rsid w:val="00C15739"/>
    <w:rsid w:val="00C15BAE"/>
    <w:rsid w:val="00C15D7E"/>
    <w:rsid w:val="00C24861"/>
    <w:rsid w:val="00C25809"/>
    <w:rsid w:val="00C2617F"/>
    <w:rsid w:val="00C2687B"/>
    <w:rsid w:val="00C30436"/>
    <w:rsid w:val="00C32818"/>
    <w:rsid w:val="00C36E7A"/>
    <w:rsid w:val="00C4173E"/>
    <w:rsid w:val="00C418BC"/>
    <w:rsid w:val="00C44D78"/>
    <w:rsid w:val="00C452EF"/>
    <w:rsid w:val="00C45B29"/>
    <w:rsid w:val="00C47424"/>
    <w:rsid w:val="00C50FAA"/>
    <w:rsid w:val="00C52636"/>
    <w:rsid w:val="00C5464D"/>
    <w:rsid w:val="00C55FFB"/>
    <w:rsid w:val="00C579B3"/>
    <w:rsid w:val="00C62B19"/>
    <w:rsid w:val="00C6510A"/>
    <w:rsid w:val="00C65D45"/>
    <w:rsid w:val="00C65E60"/>
    <w:rsid w:val="00C66606"/>
    <w:rsid w:val="00C7510B"/>
    <w:rsid w:val="00C75CE4"/>
    <w:rsid w:val="00C76918"/>
    <w:rsid w:val="00C7720E"/>
    <w:rsid w:val="00C92394"/>
    <w:rsid w:val="00C95DC0"/>
    <w:rsid w:val="00CA2405"/>
    <w:rsid w:val="00CA2A10"/>
    <w:rsid w:val="00CB1AD6"/>
    <w:rsid w:val="00CB1AFB"/>
    <w:rsid w:val="00CB7EF6"/>
    <w:rsid w:val="00CC0A80"/>
    <w:rsid w:val="00CC40DC"/>
    <w:rsid w:val="00CC4229"/>
    <w:rsid w:val="00CC6A7B"/>
    <w:rsid w:val="00CE1146"/>
    <w:rsid w:val="00CE178B"/>
    <w:rsid w:val="00CE2977"/>
    <w:rsid w:val="00CE43A0"/>
    <w:rsid w:val="00CE5A52"/>
    <w:rsid w:val="00CF1616"/>
    <w:rsid w:val="00CF7AF3"/>
    <w:rsid w:val="00D0219A"/>
    <w:rsid w:val="00D034A6"/>
    <w:rsid w:val="00D11BBF"/>
    <w:rsid w:val="00D17740"/>
    <w:rsid w:val="00D26ADA"/>
    <w:rsid w:val="00D30073"/>
    <w:rsid w:val="00D31037"/>
    <w:rsid w:val="00D35A78"/>
    <w:rsid w:val="00D5000A"/>
    <w:rsid w:val="00D51656"/>
    <w:rsid w:val="00D52D8B"/>
    <w:rsid w:val="00D53B58"/>
    <w:rsid w:val="00D53EED"/>
    <w:rsid w:val="00D54833"/>
    <w:rsid w:val="00D555A1"/>
    <w:rsid w:val="00D62B94"/>
    <w:rsid w:val="00D64DC2"/>
    <w:rsid w:val="00D67E83"/>
    <w:rsid w:val="00D70D15"/>
    <w:rsid w:val="00D72CFB"/>
    <w:rsid w:val="00D83AE4"/>
    <w:rsid w:val="00DA1426"/>
    <w:rsid w:val="00DA46CA"/>
    <w:rsid w:val="00DA7A7E"/>
    <w:rsid w:val="00DB158F"/>
    <w:rsid w:val="00DC17E1"/>
    <w:rsid w:val="00DC5842"/>
    <w:rsid w:val="00DC64EB"/>
    <w:rsid w:val="00DC7817"/>
    <w:rsid w:val="00DD1F87"/>
    <w:rsid w:val="00DD2842"/>
    <w:rsid w:val="00DD4004"/>
    <w:rsid w:val="00DD6BF8"/>
    <w:rsid w:val="00DE1490"/>
    <w:rsid w:val="00DF048F"/>
    <w:rsid w:val="00DF21EB"/>
    <w:rsid w:val="00DF3CB5"/>
    <w:rsid w:val="00DF73F6"/>
    <w:rsid w:val="00E020A1"/>
    <w:rsid w:val="00E155C3"/>
    <w:rsid w:val="00E2060A"/>
    <w:rsid w:val="00E20E70"/>
    <w:rsid w:val="00E20F2C"/>
    <w:rsid w:val="00E25B68"/>
    <w:rsid w:val="00E315F0"/>
    <w:rsid w:val="00E32B88"/>
    <w:rsid w:val="00E333F7"/>
    <w:rsid w:val="00E337FD"/>
    <w:rsid w:val="00E47AB3"/>
    <w:rsid w:val="00E541D0"/>
    <w:rsid w:val="00E551CF"/>
    <w:rsid w:val="00E601C7"/>
    <w:rsid w:val="00E62491"/>
    <w:rsid w:val="00E71751"/>
    <w:rsid w:val="00E71997"/>
    <w:rsid w:val="00E73874"/>
    <w:rsid w:val="00E73E8F"/>
    <w:rsid w:val="00E80EED"/>
    <w:rsid w:val="00E82407"/>
    <w:rsid w:val="00E84003"/>
    <w:rsid w:val="00E84C72"/>
    <w:rsid w:val="00E90E38"/>
    <w:rsid w:val="00E93AA2"/>
    <w:rsid w:val="00E93D15"/>
    <w:rsid w:val="00E94E78"/>
    <w:rsid w:val="00EA4B91"/>
    <w:rsid w:val="00EA5016"/>
    <w:rsid w:val="00EA55F2"/>
    <w:rsid w:val="00EB0B5D"/>
    <w:rsid w:val="00EB5E9E"/>
    <w:rsid w:val="00EC0007"/>
    <w:rsid w:val="00EC10FC"/>
    <w:rsid w:val="00EC6EAC"/>
    <w:rsid w:val="00ED1F1A"/>
    <w:rsid w:val="00ED620F"/>
    <w:rsid w:val="00EE0041"/>
    <w:rsid w:val="00EE29B9"/>
    <w:rsid w:val="00EE626C"/>
    <w:rsid w:val="00EF1C71"/>
    <w:rsid w:val="00EF1D74"/>
    <w:rsid w:val="00EF2481"/>
    <w:rsid w:val="00EF5F33"/>
    <w:rsid w:val="00EF6FD9"/>
    <w:rsid w:val="00EF7391"/>
    <w:rsid w:val="00F004EE"/>
    <w:rsid w:val="00F00FAD"/>
    <w:rsid w:val="00F036DA"/>
    <w:rsid w:val="00F12469"/>
    <w:rsid w:val="00F13F36"/>
    <w:rsid w:val="00F141D9"/>
    <w:rsid w:val="00F15AFD"/>
    <w:rsid w:val="00F1788F"/>
    <w:rsid w:val="00F22232"/>
    <w:rsid w:val="00F23316"/>
    <w:rsid w:val="00F26AC0"/>
    <w:rsid w:val="00F26BD5"/>
    <w:rsid w:val="00F2754D"/>
    <w:rsid w:val="00F31D75"/>
    <w:rsid w:val="00F37920"/>
    <w:rsid w:val="00F428A5"/>
    <w:rsid w:val="00F42E23"/>
    <w:rsid w:val="00F42FC2"/>
    <w:rsid w:val="00F4360E"/>
    <w:rsid w:val="00F45EEE"/>
    <w:rsid w:val="00F51A78"/>
    <w:rsid w:val="00F51E9C"/>
    <w:rsid w:val="00F51FA5"/>
    <w:rsid w:val="00F523CA"/>
    <w:rsid w:val="00F53AC8"/>
    <w:rsid w:val="00F544AE"/>
    <w:rsid w:val="00F54CC4"/>
    <w:rsid w:val="00F561EE"/>
    <w:rsid w:val="00F57C8D"/>
    <w:rsid w:val="00F61EDA"/>
    <w:rsid w:val="00F65F6D"/>
    <w:rsid w:val="00F74A12"/>
    <w:rsid w:val="00F74A9D"/>
    <w:rsid w:val="00F75FB9"/>
    <w:rsid w:val="00F762B5"/>
    <w:rsid w:val="00F7726F"/>
    <w:rsid w:val="00F8199E"/>
    <w:rsid w:val="00F85CF3"/>
    <w:rsid w:val="00F8768D"/>
    <w:rsid w:val="00F90418"/>
    <w:rsid w:val="00F92C51"/>
    <w:rsid w:val="00F934AD"/>
    <w:rsid w:val="00F9446C"/>
    <w:rsid w:val="00F958B6"/>
    <w:rsid w:val="00FA0A8A"/>
    <w:rsid w:val="00FA589D"/>
    <w:rsid w:val="00FA590B"/>
    <w:rsid w:val="00FA6061"/>
    <w:rsid w:val="00FB29B7"/>
    <w:rsid w:val="00FB5307"/>
    <w:rsid w:val="00FB5AA9"/>
    <w:rsid w:val="00FC1541"/>
    <w:rsid w:val="00FC25F3"/>
    <w:rsid w:val="00FC4BCB"/>
    <w:rsid w:val="00FC5E70"/>
    <w:rsid w:val="00FC68D3"/>
    <w:rsid w:val="00FD17C7"/>
    <w:rsid w:val="00FD36E7"/>
    <w:rsid w:val="00FD3842"/>
    <w:rsid w:val="00FD41C7"/>
    <w:rsid w:val="00FD6094"/>
    <w:rsid w:val="00FE0F4A"/>
    <w:rsid w:val="00FE38EC"/>
    <w:rsid w:val="00FE72B5"/>
    <w:rsid w:val="00FF29D6"/>
    <w:rsid w:val="00FF386F"/>
    <w:rsid w:val="00FF672A"/>
    <w:rsid w:val="00FF6F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9" w:qFormat="1"/>
    <w:lsdException w:name="heading 2" w:locked="0" w:uiPriority="0" w:qFormat="1"/>
    <w:lsdException w:name="heading 3" w:locked="0" w:uiPriority="0" w:qFormat="1"/>
    <w:lsdException w:name="heading 4" w:locked="0" w:uiPriority="0"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locked="0" w:uiPriority="99"/>
    <w:lsdException w:name="annotation text" w:uiPriority="99"/>
    <w:lsdException w:name="header" w:locked="0" w:uiPriority="0"/>
    <w:lsdException w:name="footer" w:locked="0" w:uiPriority="99"/>
    <w:lsdException w:name="caption" w:locked="0" w:uiPriority="35" w:qFormat="1"/>
    <w:lsdException w:name="table of figures" w:uiPriority="99"/>
    <w:lsdException w:name="footnote reference" w:locked="0" w:uiPriority="0"/>
    <w:lsdException w:name="annotation reference" w:uiPriority="99"/>
    <w:lsdException w:name="page number" w:uiPriority="0"/>
    <w:lsdException w:name="endnote text" w:uiPriority="99"/>
    <w:lsdException w:name="table of authorities" w:uiPriority="99"/>
    <w:lsdException w:name="List Bullet" w:locked="0"/>
    <w:lsdException w:name="Title" w:locked="0" w:uiPriority="0"/>
    <w:lsdException w:name="Signature" w:uiPriority="99"/>
    <w:lsdException w:name="Default Paragraph Font" w:locked="0" w:uiPriority="0"/>
    <w:lsdException w:name="Body Text" w:locked="0" w:uiPriority="0" w:qFormat="1"/>
    <w:lsdException w:name="Body Text Indent" w:locked="0" w:uiPriority="0"/>
    <w:lsdException w:name="Subtitle" w:locked="0" w:uiPriority="0" w:qFormat="1"/>
    <w:lsdException w:name="Note Heading" w:uiPriority="99"/>
    <w:lsdException w:name="Block Text" w:uiPriority="99"/>
    <w:lsdException w:name="Hyperlink" w:uiPriority="99"/>
    <w:lsdException w:name="FollowedHyperlink" w:uiPriority="99"/>
    <w:lsdException w:name="HTML Top of Form" w:locked="0" w:uiPriority="0"/>
    <w:lsdException w:name="HTML Bottom of Form" w:locked="0" w:uiPriority="0"/>
    <w:lsdException w:name="Normal (Web)" w:uiPriority="99"/>
    <w:lsdException w:name="HTML Acronym" w:uiPriority="19"/>
    <w:lsdException w:name="HTML Address" w:uiPriority="99"/>
    <w:lsdException w:name="HTML Preformatted" w:uiPriority="99"/>
    <w:lsdException w:name="Normal Table" w:locked="0" w:semiHidden="1" w:uiPriority="0" w:unhideWhenUsed="1"/>
    <w:lsdException w:name="annotation subject" w:uiPriority="99"/>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5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link w:val="Heading4Char"/>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link w:val="Heading5Char"/>
    <w:uiPriority w:val="9"/>
    <w:qFormat/>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link w:val="Heading6Char"/>
    <w:uiPriority w:val="9"/>
    <w:qFormat/>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link w:val="Heading7Char"/>
    <w:uiPriority w:val="9"/>
    <w:qFormat/>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link w:val="Heading8Char"/>
    <w:uiPriority w:val="9"/>
    <w:qFormat/>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link w:val="Heading9Char"/>
    <w:uiPriority w:val="9"/>
    <w:qFormat/>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uiPriority w:val="99"/>
    <w:semiHidden/>
    <w:locked/>
    <w:pPr>
      <w:tabs>
        <w:tab w:val="left" w:pos="459"/>
      </w:tabs>
      <w:spacing w:before="142"/>
      <w:ind w:left="459"/>
      <w:jc w:val="both"/>
    </w:pPr>
    <w:rPr>
      <w:sz w:val="18"/>
      <w:lang w:eastAsia="en-US"/>
    </w:rPr>
  </w:style>
  <w:style w:type="paragraph" w:styleId="Header">
    <w:name w:val="header"/>
    <w:next w:val="BodyText"/>
    <w:link w:val="HeaderChar"/>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ind w:left="709"/>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99"/>
    <w:locked/>
    <w:rsid w:val="00DF3CB5"/>
    <w:rPr>
      <w:color w:val="0000FF" w:themeColor="hyperlink"/>
      <w:u w:val="single"/>
    </w:rPr>
  </w:style>
  <w:style w:type="character" w:styleId="UnresolvedMention">
    <w:name w:val="Unresolved Mention"/>
    <w:basedOn w:val="DefaultParagraphFont"/>
    <w:uiPriority w:val="99"/>
    <w:semiHidden/>
    <w:unhideWhenUsed/>
    <w:rsid w:val="00DF3CB5"/>
    <w:rPr>
      <w:color w:val="605E5C"/>
      <w:shd w:val="clear" w:color="auto" w:fill="E1DFDD"/>
    </w:rPr>
  </w:style>
  <w:style w:type="paragraph" w:customStyle="1" w:styleId="ARIAAbstractText">
    <w:name w:val="ARIA Abstract Text"/>
    <w:basedOn w:val="Normal"/>
    <w:rsid w:val="00D53EED"/>
    <w:pPr>
      <w:widowControl w:val="0"/>
      <w:suppressAutoHyphens/>
      <w:overflowPunct/>
      <w:autoSpaceDN/>
      <w:adjustRightInd/>
      <w:spacing w:line="280" w:lineRule="atLeast"/>
      <w:ind w:firstLine="432"/>
      <w:jc w:val="both"/>
      <w:textAlignment w:val="auto"/>
    </w:pPr>
    <w:rPr>
      <w:rFonts w:eastAsia="WenQuanYi Zen Hei" w:cs="Lohit Devanagari"/>
      <w:kern w:val="1"/>
      <w:sz w:val="24"/>
      <w:szCs w:val="24"/>
      <w:lang w:val="en-US" w:eastAsia="hi-IN" w:bidi="hi-IN"/>
    </w:rPr>
  </w:style>
  <w:style w:type="paragraph" w:customStyle="1" w:styleId="FIGCAP1line">
    <w:name w:val="FIGCAP 1 line"/>
    <w:basedOn w:val="Normal"/>
    <w:next w:val="Normal"/>
    <w:rsid w:val="00970410"/>
    <w:pPr>
      <w:overflowPunct/>
      <w:autoSpaceDE/>
      <w:autoSpaceDN/>
      <w:adjustRightInd/>
      <w:spacing w:before="120" w:after="240"/>
      <w:jc w:val="center"/>
      <w:textAlignment w:val="auto"/>
    </w:pPr>
    <w:rPr>
      <w:b/>
      <w:snapToGrid w:val="0"/>
      <w:sz w:val="20"/>
      <w:szCs w:val="22"/>
      <w:lang w:val="en-US"/>
    </w:rPr>
  </w:style>
  <w:style w:type="paragraph" w:styleId="BlockText">
    <w:name w:val="Block Text"/>
    <w:basedOn w:val="Normal"/>
    <w:uiPriority w:val="99"/>
    <w:unhideWhenUsed/>
    <w:locked/>
    <w:rsid w:val="00970410"/>
    <w:pPr>
      <w:overflowPunct/>
      <w:autoSpaceDE/>
      <w:autoSpaceDN/>
      <w:adjustRightInd/>
      <w:spacing w:after="240"/>
      <w:textAlignment w:val="auto"/>
    </w:pPr>
    <w:rPr>
      <w:snapToGrid w:val="0"/>
      <w:szCs w:val="22"/>
      <w:lang w:val="en-US"/>
    </w:rPr>
  </w:style>
  <w:style w:type="paragraph" w:customStyle="1" w:styleId="TableCaption">
    <w:name w:val="Table Caption"/>
    <w:basedOn w:val="Normal"/>
    <w:rsid w:val="00FE0F4A"/>
    <w:pPr>
      <w:keepNext/>
      <w:keepLines/>
      <w:overflowPunct/>
      <w:autoSpaceDE/>
      <w:autoSpaceDN/>
      <w:adjustRightInd/>
      <w:spacing w:after="120"/>
      <w:jc w:val="center"/>
      <w:textAlignment w:val="auto"/>
    </w:pPr>
    <w:rPr>
      <w:rFonts w:ascii="Times New Roman Bold" w:hAnsi="Times New Roman Bold"/>
      <w:b/>
      <w:snapToGrid w:val="0"/>
      <w:sz w:val="20"/>
      <w:lang w:val="en-US"/>
    </w:rPr>
  </w:style>
  <w:style w:type="paragraph" w:customStyle="1" w:styleId="FIGCAP1lineSeparator">
    <w:name w:val="FIGCAP 1 line Separator"/>
    <w:basedOn w:val="FIGCAP1line"/>
    <w:qFormat/>
    <w:rsid w:val="00FE0F4A"/>
    <w:rPr>
      <w:b w:val="0"/>
    </w:rPr>
  </w:style>
  <w:style w:type="paragraph" w:customStyle="1" w:styleId="FIGUREposition">
    <w:name w:val="FIGURE position"/>
    <w:basedOn w:val="Normal"/>
    <w:rsid w:val="003E30AD"/>
    <w:pPr>
      <w:keepNext/>
      <w:tabs>
        <w:tab w:val="left" w:pos="360"/>
      </w:tabs>
      <w:overflowPunct/>
      <w:autoSpaceDE/>
      <w:autoSpaceDN/>
      <w:adjustRightInd/>
      <w:spacing w:before="120" w:after="120"/>
      <w:jc w:val="center"/>
      <w:textAlignment w:val="auto"/>
    </w:pPr>
    <w:rPr>
      <w:snapToGrid w:val="0"/>
      <w:lang w:val="en-US"/>
    </w:rPr>
  </w:style>
  <w:style w:type="character" w:customStyle="1" w:styleId="Heading1Char">
    <w:name w:val="Heading 1 Char"/>
    <w:aliases w:val="Paper title Char"/>
    <w:basedOn w:val="DefaultParagraphFont"/>
    <w:link w:val="Heading1"/>
    <w:uiPriority w:val="9"/>
    <w:rsid w:val="003E30AD"/>
    <w:rPr>
      <w:rFonts w:ascii="Times New Roman Bold" w:hAnsi="Times New Roman Bold"/>
      <w:b/>
      <w:caps/>
      <w:sz w:val="24"/>
      <w:lang w:val="en-US" w:eastAsia="en-US"/>
    </w:rPr>
  </w:style>
  <w:style w:type="paragraph" w:customStyle="1" w:styleId="Heading1frontsections">
    <w:name w:val="Heading 1 (front sections)"/>
    <w:basedOn w:val="Heading1"/>
    <w:next w:val="Normal"/>
    <w:qFormat/>
    <w:rsid w:val="003E30AD"/>
    <w:pPr>
      <w:keepNext/>
      <w:tabs>
        <w:tab w:val="left" w:pos="450"/>
      </w:tabs>
      <w:spacing w:after="360" w:line="240" w:lineRule="auto"/>
      <w:ind w:left="0" w:right="0"/>
      <w:jc w:val="center"/>
    </w:pPr>
    <w:rPr>
      <w:rFonts w:ascii="Times New Roman" w:hAnsi="Times New Roman"/>
      <w:snapToGrid w:val="0"/>
      <w:sz w:val="22"/>
    </w:rPr>
  </w:style>
  <w:style w:type="paragraph" w:customStyle="1" w:styleId="Heading1Contents">
    <w:name w:val="Heading 1 Contents"/>
    <w:basedOn w:val="Heading1frontsections"/>
    <w:next w:val="Normal"/>
    <w:qFormat/>
    <w:rsid w:val="003E30AD"/>
  </w:style>
  <w:style w:type="paragraph" w:customStyle="1" w:styleId="AppA-Lev2">
    <w:name w:val="AppA-Lev2"/>
    <w:basedOn w:val="Normal"/>
    <w:qFormat/>
    <w:rsid w:val="003E30AD"/>
    <w:pPr>
      <w:keepNext/>
      <w:numPr>
        <w:ilvl w:val="1"/>
        <w:numId w:val="10"/>
      </w:numPr>
      <w:overflowPunct/>
      <w:autoSpaceDE/>
      <w:autoSpaceDN/>
      <w:adjustRightInd/>
      <w:spacing w:before="120" w:after="220"/>
      <w:textAlignment w:val="auto"/>
      <w:outlineLvl w:val="1"/>
    </w:pPr>
    <w:rPr>
      <w:b/>
      <w:bCs/>
      <w:iCs/>
      <w:snapToGrid w:val="0"/>
      <w:szCs w:val="22"/>
      <w:lang w:val="en-US"/>
    </w:rPr>
  </w:style>
  <w:style w:type="character" w:customStyle="1" w:styleId="Heading2Char">
    <w:name w:val="Heading 2 Char"/>
    <w:aliases w:val="1st level paper heading Char"/>
    <w:basedOn w:val="DefaultParagraphFont"/>
    <w:link w:val="Heading2"/>
    <w:rsid w:val="003E30AD"/>
    <w:rPr>
      <w:caps/>
      <w:lang w:eastAsia="en-US"/>
    </w:rPr>
  </w:style>
  <w:style w:type="character" w:customStyle="1" w:styleId="Heading3Char">
    <w:name w:val="Heading 3 Char"/>
    <w:aliases w:val="2nd level paper heading Char"/>
    <w:basedOn w:val="DefaultParagraphFont"/>
    <w:link w:val="Heading3"/>
    <w:rsid w:val="003E30AD"/>
    <w:rPr>
      <w:b/>
      <w:lang w:eastAsia="en-US"/>
    </w:rPr>
  </w:style>
  <w:style w:type="character" w:customStyle="1" w:styleId="Heading4Char">
    <w:name w:val="Heading 4 Char"/>
    <w:aliases w:val="3rd level paper heading Char"/>
    <w:basedOn w:val="DefaultParagraphFont"/>
    <w:link w:val="Heading4"/>
    <w:rsid w:val="003E30AD"/>
    <w:rPr>
      <w:i/>
      <w:lang w:val="en-US" w:eastAsia="en-US"/>
    </w:rPr>
  </w:style>
  <w:style w:type="character" w:customStyle="1" w:styleId="Heading5Char">
    <w:name w:val="Heading 5 Char"/>
    <w:basedOn w:val="DefaultParagraphFont"/>
    <w:link w:val="Heading5"/>
    <w:uiPriority w:val="9"/>
    <w:rsid w:val="003E30AD"/>
    <w:rPr>
      <w:b/>
      <w:bCs/>
      <w:i/>
      <w:iCs/>
      <w:sz w:val="26"/>
      <w:szCs w:val="26"/>
      <w:lang w:val="en-US" w:eastAsia="en-US"/>
    </w:rPr>
  </w:style>
  <w:style w:type="character" w:customStyle="1" w:styleId="Heading6Char">
    <w:name w:val="Heading 6 Char"/>
    <w:basedOn w:val="DefaultParagraphFont"/>
    <w:link w:val="Heading6"/>
    <w:uiPriority w:val="9"/>
    <w:rsid w:val="003E30AD"/>
    <w:rPr>
      <w:b/>
      <w:bCs/>
      <w:sz w:val="22"/>
      <w:szCs w:val="22"/>
      <w:lang w:val="en-US" w:eastAsia="en-US"/>
    </w:rPr>
  </w:style>
  <w:style w:type="character" w:customStyle="1" w:styleId="Heading7Char">
    <w:name w:val="Heading 7 Char"/>
    <w:basedOn w:val="DefaultParagraphFont"/>
    <w:link w:val="Heading7"/>
    <w:uiPriority w:val="9"/>
    <w:rsid w:val="003E30AD"/>
    <w:rPr>
      <w:sz w:val="22"/>
      <w:szCs w:val="24"/>
      <w:lang w:val="en-US" w:eastAsia="en-US"/>
    </w:rPr>
  </w:style>
  <w:style w:type="character" w:customStyle="1" w:styleId="Heading8Char">
    <w:name w:val="Heading 8 Char"/>
    <w:basedOn w:val="DefaultParagraphFont"/>
    <w:link w:val="Heading8"/>
    <w:uiPriority w:val="9"/>
    <w:rsid w:val="003E30AD"/>
    <w:rPr>
      <w:i/>
      <w:iCs/>
      <w:sz w:val="22"/>
      <w:szCs w:val="24"/>
      <w:lang w:val="en-US" w:eastAsia="en-US"/>
    </w:rPr>
  </w:style>
  <w:style w:type="character" w:customStyle="1" w:styleId="Heading9Char">
    <w:name w:val="Heading 9 Char"/>
    <w:basedOn w:val="DefaultParagraphFont"/>
    <w:link w:val="Heading9"/>
    <w:uiPriority w:val="9"/>
    <w:rsid w:val="003E30AD"/>
    <w:rPr>
      <w:rFonts w:ascii="Arial" w:hAnsi="Arial" w:cs="Arial"/>
      <w:sz w:val="22"/>
      <w:szCs w:val="22"/>
      <w:lang w:val="en-US" w:eastAsia="en-US"/>
    </w:rPr>
  </w:style>
  <w:style w:type="character" w:customStyle="1" w:styleId="HeaderChar">
    <w:name w:val="Header Char"/>
    <w:basedOn w:val="DefaultParagraphFont"/>
    <w:link w:val="Header"/>
    <w:rsid w:val="003E30AD"/>
    <w:rPr>
      <w:sz w:val="18"/>
      <w:lang w:val="en-US" w:eastAsia="en-US"/>
    </w:rPr>
  </w:style>
  <w:style w:type="character" w:styleId="PageNumber">
    <w:name w:val="page number"/>
    <w:basedOn w:val="DefaultParagraphFont"/>
    <w:locked/>
    <w:rsid w:val="003E30AD"/>
    <w:rPr>
      <w:rFonts w:ascii="Times New Roman" w:hAnsi="Times New Roman"/>
      <w:sz w:val="22"/>
    </w:rPr>
  </w:style>
  <w:style w:type="paragraph" w:customStyle="1" w:styleId="Coverpage-reporttitle">
    <w:name w:val="Cover page-report title"/>
    <w:basedOn w:val="Normal"/>
    <w:next w:val="Normal"/>
    <w:rsid w:val="003E30AD"/>
    <w:pPr>
      <w:widowControl w:val="0"/>
      <w:overflowPunct/>
      <w:autoSpaceDE/>
      <w:autoSpaceDN/>
      <w:adjustRightInd/>
      <w:spacing w:line="560" w:lineRule="atLeast"/>
      <w:textAlignment w:val="auto"/>
    </w:pPr>
    <w:rPr>
      <w:rFonts w:ascii="Arial" w:hAnsi="Arial" w:cstheme="minorHAnsi"/>
      <w:b/>
      <w:snapToGrid w:val="0"/>
      <w:sz w:val="48"/>
      <w:szCs w:val="48"/>
      <w:lang w:val="en-US"/>
    </w:rPr>
  </w:style>
  <w:style w:type="paragraph" w:customStyle="1" w:styleId="Coverpage-date">
    <w:name w:val="Cover page-date"/>
    <w:basedOn w:val="Normal"/>
    <w:next w:val="Normal"/>
    <w:rsid w:val="003E30AD"/>
    <w:pPr>
      <w:widowControl w:val="0"/>
      <w:tabs>
        <w:tab w:val="left" w:pos="360"/>
      </w:tabs>
      <w:overflowPunct/>
      <w:autoSpaceDE/>
      <w:autoSpaceDN/>
      <w:adjustRightInd/>
      <w:spacing w:before="240"/>
      <w:ind w:left="5760"/>
      <w:textAlignment w:val="auto"/>
    </w:pPr>
    <w:rPr>
      <w:rFonts w:ascii="Arial" w:hAnsi="Arial" w:cs="Arial"/>
      <w:b/>
      <w:snapToGrid w:val="0"/>
      <w:sz w:val="24"/>
      <w:lang w:val="en-US"/>
    </w:rPr>
  </w:style>
  <w:style w:type="paragraph" w:customStyle="1" w:styleId="Coverpage-authornames">
    <w:name w:val="Cover page-author names"/>
    <w:basedOn w:val="Normal"/>
    <w:rsid w:val="003E30AD"/>
    <w:pPr>
      <w:widowControl w:val="0"/>
      <w:tabs>
        <w:tab w:val="left" w:pos="360"/>
      </w:tabs>
      <w:overflowPunct/>
      <w:autoSpaceDE/>
      <w:autoSpaceDN/>
      <w:adjustRightInd/>
      <w:ind w:left="5976" w:hanging="216"/>
      <w:textAlignment w:val="auto"/>
    </w:pPr>
    <w:rPr>
      <w:rFonts w:ascii="Arial" w:hAnsi="Arial" w:cs="Arial"/>
      <w:snapToGrid w:val="0"/>
      <w:sz w:val="24"/>
      <w:lang w:val="en-US"/>
    </w:rPr>
  </w:style>
  <w:style w:type="paragraph" w:customStyle="1" w:styleId="Coverpage-reportnumber">
    <w:name w:val="Cover page-report number"/>
    <w:basedOn w:val="Normal"/>
    <w:next w:val="Normal"/>
    <w:qFormat/>
    <w:rsid w:val="003E30AD"/>
    <w:pPr>
      <w:overflowPunct/>
      <w:autoSpaceDE/>
      <w:autoSpaceDN/>
      <w:adjustRightInd/>
      <w:textAlignment w:val="auto"/>
    </w:pPr>
    <w:rPr>
      <w:rFonts w:ascii="Arial" w:hAnsi="Arial" w:cs="Arial"/>
      <w:b/>
      <w:bCs/>
      <w:sz w:val="24"/>
      <w:szCs w:val="96"/>
      <w:lang w:val="en-US" w:eastAsia="ja-JP"/>
    </w:rPr>
  </w:style>
  <w:style w:type="paragraph" w:customStyle="1" w:styleId="Titlepage-reportnumber">
    <w:name w:val="Title page-report number"/>
    <w:basedOn w:val="Normal"/>
    <w:qFormat/>
    <w:rsid w:val="003E30AD"/>
    <w:pPr>
      <w:widowControl w:val="0"/>
      <w:tabs>
        <w:tab w:val="right" w:pos="9000"/>
      </w:tabs>
      <w:overflowPunct/>
      <w:autoSpaceDE/>
      <w:autoSpaceDN/>
      <w:adjustRightInd/>
      <w:jc w:val="right"/>
      <w:textAlignment w:val="auto"/>
    </w:pPr>
    <w:rPr>
      <w:rFonts w:cs="Arial"/>
      <w:b/>
      <w:snapToGrid w:val="0"/>
      <w:sz w:val="24"/>
      <w:lang w:val="en-US"/>
    </w:rPr>
  </w:style>
  <w:style w:type="paragraph" w:customStyle="1" w:styleId="Titlepage-reporttitle">
    <w:name w:val="Title page-report title"/>
    <w:basedOn w:val="Normal"/>
    <w:qFormat/>
    <w:rsid w:val="003E30AD"/>
    <w:pPr>
      <w:widowControl w:val="0"/>
      <w:overflowPunct/>
      <w:autoSpaceDE/>
      <w:autoSpaceDN/>
      <w:adjustRightInd/>
      <w:jc w:val="center"/>
      <w:textAlignment w:val="auto"/>
    </w:pPr>
    <w:rPr>
      <w:rFonts w:ascii="Times New Roman Bold" w:hAnsi="Times New Roman Bold"/>
      <w:b/>
      <w:caps/>
      <w:snapToGrid w:val="0"/>
      <w:sz w:val="24"/>
      <w:lang w:val="en-US"/>
    </w:rPr>
  </w:style>
  <w:style w:type="paragraph" w:customStyle="1" w:styleId="Titlepage-authornames">
    <w:name w:val="Title page-author names"/>
    <w:basedOn w:val="Normal"/>
    <w:qFormat/>
    <w:rsid w:val="003E30AD"/>
    <w:pPr>
      <w:tabs>
        <w:tab w:val="center" w:pos="4680"/>
      </w:tabs>
      <w:overflowPunct/>
      <w:autoSpaceDE/>
      <w:autoSpaceDN/>
      <w:adjustRightInd/>
      <w:jc w:val="center"/>
      <w:textAlignment w:val="auto"/>
    </w:pPr>
    <w:rPr>
      <w:snapToGrid w:val="0"/>
      <w:lang w:val="en-US"/>
    </w:rPr>
  </w:style>
  <w:style w:type="paragraph" w:customStyle="1" w:styleId="Titlepage-date">
    <w:name w:val="Title page-date"/>
    <w:basedOn w:val="Normal"/>
    <w:qFormat/>
    <w:rsid w:val="003E30AD"/>
    <w:pPr>
      <w:tabs>
        <w:tab w:val="center" w:pos="4680"/>
      </w:tabs>
      <w:overflowPunct/>
      <w:autoSpaceDE/>
      <w:autoSpaceDN/>
      <w:adjustRightInd/>
      <w:jc w:val="center"/>
      <w:textAlignment w:val="auto"/>
    </w:pPr>
    <w:rPr>
      <w:snapToGrid w:val="0"/>
      <w:lang w:val="en-US"/>
    </w:rPr>
  </w:style>
  <w:style w:type="paragraph" w:customStyle="1" w:styleId="DISCLAIMER-short">
    <w:name w:val="DISCLAIMER-short"/>
    <w:basedOn w:val="Normal"/>
    <w:next w:val="Normal"/>
    <w:rsid w:val="003E30AD"/>
    <w:pPr>
      <w:overflowPunct/>
      <w:autoSpaceDE/>
      <w:autoSpaceDN/>
      <w:adjustRightInd/>
      <w:jc w:val="both"/>
      <w:textAlignment w:val="auto"/>
    </w:pPr>
    <w:rPr>
      <w:rFonts w:ascii="Arial" w:hAnsi="Arial" w:cs="Arial"/>
      <w:snapToGrid w:val="0"/>
      <w:sz w:val="18"/>
      <w:szCs w:val="18"/>
      <w:lang w:val="en-US"/>
    </w:rPr>
  </w:style>
  <w:style w:type="paragraph" w:customStyle="1" w:styleId="ClearanceNotice">
    <w:name w:val="Clearance Notice"/>
    <w:basedOn w:val="Normal"/>
    <w:qFormat/>
    <w:rsid w:val="003E30AD"/>
    <w:pPr>
      <w:overflowPunct/>
      <w:autoSpaceDE/>
      <w:autoSpaceDN/>
      <w:adjustRightInd/>
      <w:jc w:val="center"/>
      <w:textAlignment w:val="auto"/>
    </w:pPr>
    <w:rPr>
      <w:rFonts w:ascii="Arial" w:hAnsi="Arial" w:cs="Arial"/>
      <w:b/>
      <w:bCs/>
      <w:snapToGrid w:val="0"/>
      <w:lang w:val="en-US"/>
    </w:rPr>
  </w:style>
  <w:style w:type="paragraph" w:customStyle="1" w:styleId="Coverpage-figureposition">
    <w:name w:val="Cover page-figure position"/>
    <w:basedOn w:val="FIGUREposition"/>
    <w:qFormat/>
    <w:rsid w:val="003E30AD"/>
    <w:pPr>
      <w:spacing w:after="480"/>
    </w:pPr>
    <w:rPr>
      <w:noProof/>
      <w:snapToGrid/>
    </w:rPr>
  </w:style>
  <w:style w:type="paragraph" w:customStyle="1" w:styleId="Titlepage-Division">
    <w:name w:val="Title page-Division"/>
    <w:basedOn w:val="Titlepage-authornames"/>
    <w:qFormat/>
    <w:rsid w:val="003E30AD"/>
  </w:style>
  <w:style w:type="character" w:styleId="FollowedHyperlink">
    <w:name w:val="FollowedHyperlink"/>
    <w:basedOn w:val="DefaultParagraphFont"/>
    <w:uiPriority w:val="99"/>
    <w:unhideWhenUsed/>
    <w:locked/>
    <w:rsid w:val="003E30AD"/>
    <w:rPr>
      <w:color w:val="800080" w:themeColor="followedHyperlink"/>
      <w:u w:val="single"/>
    </w:rPr>
  </w:style>
  <w:style w:type="paragraph" w:customStyle="1" w:styleId="FOOTNOTE">
    <w:name w:val="FOOTNOTE"/>
    <w:basedOn w:val="Normal"/>
    <w:rsid w:val="003E30AD"/>
    <w:pPr>
      <w:tabs>
        <w:tab w:val="left" w:pos="360"/>
      </w:tabs>
      <w:overflowPunct/>
      <w:autoSpaceDE/>
      <w:autoSpaceDN/>
      <w:adjustRightInd/>
      <w:textAlignment w:val="auto"/>
    </w:pPr>
    <w:rPr>
      <w:snapToGrid w:val="0"/>
      <w:sz w:val="18"/>
      <w:szCs w:val="18"/>
      <w:lang w:val="en-US"/>
    </w:rPr>
  </w:style>
  <w:style w:type="paragraph" w:customStyle="1" w:styleId="LISTBullet">
    <w:name w:val="LIST  Bullet"/>
    <w:basedOn w:val="Normal"/>
    <w:rsid w:val="003E30AD"/>
    <w:pPr>
      <w:numPr>
        <w:numId w:val="11"/>
      </w:numPr>
      <w:overflowPunct/>
      <w:autoSpaceDE/>
      <w:autoSpaceDN/>
      <w:adjustRightInd/>
      <w:textAlignment w:val="auto"/>
    </w:pPr>
    <w:rPr>
      <w:snapToGrid w:val="0"/>
      <w:lang w:val="en-US"/>
    </w:rPr>
  </w:style>
  <w:style w:type="paragraph" w:customStyle="1" w:styleId="LISTDashed">
    <w:name w:val="LIST  Dashed"/>
    <w:basedOn w:val="BlockText"/>
    <w:rsid w:val="003E30AD"/>
    <w:pPr>
      <w:numPr>
        <w:numId w:val="12"/>
      </w:numPr>
      <w:spacing w:after="0"/>
    </w:pPr>
  </w:style>
  <w:style w:type="paragraph" w:customStyle="1" w:styleId="LISTBulletlastitem">
    <w:name w:val="LIST Bullet (last item)"/>
    <w:basedOn w:val="LISTBullet"/>
    <w:qFormat/>
    <w:rsid w:val="003E30AD"/>
    <w:pPr>
      <w:numPr>
        <w:numId w:val="14"/>
      </w:numPr>
      <w:spacing w:after="240"/>
    </w:pPr>
  </w:style>
  <w:style w:type="paragraph" w:customStyle="1" w:styleId="ListofTabsFigs">
    <w:name w:val="List of Tabs_Figs"/>
    <w:basedOn w:val="Normal"/>
    <w:rsid w:val="003E30AD"/>
    <w:pPr>
      <w:tabs>
        <w:tab w:val="center" w:pos="270"/>
        <w:tab w:val="left" w:pos="1080"/>
        <w:tab w:val="right" w:leader="dot" w:pos="9360"/>
      </w:tabs>
      <w:overflowPunct/>
      <w:autoSpaceDE/>
      <w:autoSpaceDN/>
      <w:adjustRightInd/>
      <w:ind w:left="1080" w:right="540" w:hanging="1080"/>
      <w:textAlignment w:val="auto"/>
    </w:pPr>
    <w:rPr>
      <w:noProof/>
      <w:snapToGrid w:val="0"/>
      <w:lang w:val="en-US"/>
    </w:rPr>
  </w:style>
  <w:style w:type="paragraph" w:customStyle="1" w:styleId="referenceblock">
    <w:name w:val="reference (block)"/>
    <w:basedOn w:val="Normal"/>
    <w:qFormat/>
    <w:rsid w:val="003E30AD"/>
    <w:pPr>
      <w:overflowPunct/>
      <w:autoSpaceDE/>
      <w:autoSpaceDN/>
      <w:adjustRightInd/>
      <w:spacing w:after="120"/>
      <w:ind w:left="360" w:hanging="360"/>
      <w:textAlignment w:val="auto"/>
    </w:pPr>
    <w:rPr>
      <w:snapToGrid w:val="0"/>
      <w:szCs w:val="22"/>
      <w:lang w:val="en-US"/>
    </w:rPr>
  </w:style>
  <w:style w:type="paragraph" w:customStyle="1" w:styleId="TableCaptioncont">
    <w:name w:val="Table Caption (cont)"/>
    <w:basedOn w:val="TableCaption"/>
    <w:qFormat/>
    <w:rsid w:val="003E30AD"/>
  </w:style>
  <w:style w:type="paragraph" w:customStyle="1" w:styleId="TableCaptionSeparator">
    <w:name w:val="Table Caption Separator"/>
    <w:basedOn w:val="TableCaption"/>
    <w:qFormat/>
    <w:rsid w:val="003E30AD"/>
    <w:rPr>
      <w:rFonts w:ascii="Times New Roman" w:hAnsi="Times New Roman"/>
      <w:b w:val="0"/>
    </w:rPr>
  </w:style>
  <w:style w:type="paragraph" w:styleId="TableofFigures">
    <w:name w:val="table of figures"/>
    <w:basedOn w:val="ListofTabsFigs"/>
    <w:next w:val="Normal"/>
    <w:uiPriority w:val="99"/>
    <w:unhideWhenUsed/>
    <w:locked/>
    <w:rsid w:val="003E30AD"/>
    <w:pPr>
      <w:tabs>
        <w:tab w:val="clear" w:pos="270"/>
        <w:tab w:val="clear" w:pos="1080"/>
      </w:tabs>
      <w:ind w:left="720" w:right="720" w:hanging="720"/>
    </w:pPr>
  </w:style>
  <w:style w:type="paragraph" w:styleId="TOC1">
    <w:name w:val="toc 1"/>
    <w:basedOn w:val="Normal"/>
    <w:next w:val="Normal"/>
    <w:autoRedefine/>
    <w:uiPriority w:val="39"/>
    <w:locked/>
    <w:rsid w:val="003E30AD"/>
    <w:pPr>
      <w:tabs>
        <w:tab w:val="left" w:pos="450"/>
        <w:tab w:val="right" w:leader="dot" w:pos="9360"/>
      </w:tabs>
      <w:overflowPunct/>
      <w:autoSpaceDE/>
      <w:autoSpaceDN/>
      <w:adjustRightInd/>
      <w:ind w:left="450" w:right="540" w:hanging="450"/>
      <w:textAlignment w:val="auto"/>
    </w:pPr>
    <w:rPr>
      <w:snapToGrid w:val="0"/>
      <w:lang w:val="en-US"/>
    </w:rPr>
  </w:style>
  <w:style w:type="paragraph" w:styleId="TOC2">
    <w:name w:val="toc 2"/>
    <w:basedOn w:val="Normal"/>
    <w:next w:val="Normal"/>
    <w:autoRedefine/>
    <w:uiPriority w:val="39"/>
    <w:locked/>
    <w:rsid w:val="003E30AD"/>
    <w:pPr>
      <w:tabs>
        <w:tab w:val="left" w:pos="990"/>
        <w:tab w:val="right" w:leader="dot" w:pos="9360"/>
      </w:tabs>
      <w:overflowPunct/>
      <w:autoSpaceDE/>
      <w:autoSpaceDN/>
      <w:adjustRightInd/>
      <w:ind w:left="993" w:right="547" w:hanging="547"/>
      <w:textAlignment w:val="auto"/>
    </w:pPr>
    <w:rPr>
      <w:snapToGrid w:val="0"/>
      <w:lang w:val="en-US"/>
    </w:rPr>
  </w:style>
  <w:style w:type="paragraph" w:styleId="TOC3">
    <w:name w:val="toc 3"/>
    <w:basedOn w:val="Normal"/>
    <w:next w:val="Normal"/>
    <w:autoRedefine/>
    <w:uiPriority w:val="39"/>
    <w:locked/>
    <w:rsid w:val="003E30AD"/>
    <w:pPr>
      <w:tabs>
        <w:tab w:val="left" w:pos="1710"/>
        <w:tab w:val="right" w:leader="dot" w:pos="9360"/>
      </w:tabs>
      <w:overflowPunct/>
      <w:autoSpaceDE/>
      <w:autoSpaceDN/>
      <w:adjustRightInd/>
      <w:ind w:left="1714" w:right="547" w:hanging="720"/>
      <w:textAlignment w:val="auto"/>
    </w:pPr>
    <w:rPr>
      <w:snapToGrid w:val="0"/>
      <w:lang w:val="en-US"/>
    </w:rPr>
  </w:style>
  <w:style w:type="paragraph" w:styleId="CommentText">
    <w:name w:val="annotation text"/>
    <w:basedOn w:val="Normal"/>
    <w:link w:val="CommentTextChar"/>
    <w:uiPriority w:val="99"/>
    <w:unhideWhenUsed/>
    <w:locked/>
    <w:rsid w:val="003E30AD"/>
    <w:pPr>
      <w:overflowPunct/>
      <w:autoSpaceDE/>
      <w:autoSpaceDN/>
      <w:adjustRightInd/>
      <w:textAlignment w:val="auto"/>
    </w:pPr>
    <w:rPr>
      <w:snapToGrid w:val="0"/>
      <w:sz w:val="20"/>
      <w:lang w:val="en-US"/>
    </w:rPr>
  </w:style>
  <w:style w:type="character" w:customStyle="1" w:styleId="CommentTextChar">
    <w:name w:val="Comment Text Char"/>
    <w:basedOn w:val="DefaultParagraphFont"/>
    <w:link w:val="CommentText"/>
    <w:uiPriority w:val="99"/>
    <w:rsid w:val="003E30AD"/>
    <w:rPr>
      <w:snapToGrid w:val="0"/>
      <w:lang w:val="en-US" w:eastAsia="en-US"/>
    </w:rPr>
  </w:style>
  <w:style w:type="paragraph" w:styleId="CommentSubject">
    <w:name w:val="annotation subject"/>
    <w:basedOn w:val="CommentText"/>
    <w:next w:val="CommentText"/>
    <w:link w:val="CommentSubjectChar"/>
    <w:uiPriority w:val="99"/>
    <w:unhideWhenUsed/>
    <w:locked/>
    <w:rsid w:val="003E30AD"/>
    <w:rPr>
      <w:b/>
      <w:bCs/>
    </w:rPr>
  </w:style>
  <w:style w:type="character" w:customStyle="1" w:styleId="CommentSubjectChar">
    <w:name w:val="Comment Subject Char"/>
    <w:basedOn w:val="CommentTextChar"/>
    <w:link w:val="CommentSubject"/>
    <w:uiPriority w:val="99"/>
    <w:rsid w:val="003E30AD"/>
    <w:rPr>
      <w:b/>
      <w:bCs/>
      <w:snapToGrid w:val="0"/>
      <w:lang w:val="en-US" w:eastAsia="en-US"/>
    </w:rPr>
  </w:style>
  <w:style w:type="paragraph" w:styleId="EndnoteText">
    <w:name w:val="endnote text"/>
    <w:basedOn w:val="Normal"/>
    <w:link w:val="EndnoteTextChar"/>
    <w:uiPriority w:val="99"/>
    <w:unhideWhenUsed/>
    <w:locked/>
    <w:rsid w:val="003E30AD"/>
    <w:pPr>
      <w:overflowPunct/>
      <w:autoSpaceDE/>
      <w:autoSpaceDN/>
      <w:adjustRightInd/>
      <w:textAlignment w:val="auto"/>
    </w:pPr>
    <w:rPr>
      <w:snapToGrid w:val="0"/>
      <w:sz w:val="20"/>
      <w:lang w:val="en-US"/>
    </w:rPr>
  </w:style>
  <w:style w:type="character" w:customStyle="1" w:styleId="EndnoteTextChar">
    <w:name w:val="Endnote Text Char"/>
    <w:basedOn w:val="DefaultParagraphFont"/>
    <w:link w:val="EndnoteText"/>
    <w:uiPriority w:val="99"/>
    <w:rsid w:val="003E30AD"/>
    <w:rPr>
      <w:snapToGrid w:val="0"/>
      <w:lang w:val="en-US" w:eastAsia="en-US"/>
    </w:rPr>
  </w:style>
  <w:style w:type="character" w:customStyle="1" w:styleId="FootnoteTextChar">
    <w:name w:val="Footnote Text Char"/>
    <w:basedOn w:val="DefaultParagraphFont"/>
    <w:link w:val="FootnoteText"/>
    <w:uiPriority w:val="99"/>
    <w:semiHidden/>
    <w:rsid w:val="003E30AD"/>
    <w:rPr>
      <w:sz w:val="18"/>
      <w:lang w:eastAsia="en-US"/>
    </w:rPr>
  </w:style>
  <w:style w:type="paragraph" w:styleId="HTMLAddress">
    <w:name w:val="HTML Address"/>
    <w:basedOn w:val="Normal"/>
    <w:link w:val="HTMLAddressChar"/>
    <w:uiPriority w:val="99"/>
    <w:unhideWhenUsed/>
    <w:locked/>
    <w:rsid w:val="003E30AD"/>
    <w:pPr>
      <w:overflowPunct/>
      <w:autoSpaceDE/>
      <w:autoSpaceDN/>
      <w:adjustRightInd/>
      <w:textAlignment w:val="auto"/>
    </w:pPr>
    <w:rPr>
      <w:i/>
      <w:iCs/>
      <w:snapToGrid w:val="0"/>
      <w:lang w:val="en-US"/>
    </w:rPr>
  </w:style>
  <w:style w:type="character" w:customStyle="1" w:styleId="HTMLAddressChar">
    <w:name w:val="HTML Address Char"/>
    <w:basedOn w:val="DefaultParagraphFont"/>
    <w:link w:val="HTMLAddress"/>
    <w:uiPriority w:val="99"/>
    <w:rsid w:val="003E30AD"/>
    <w:rPr>
      <w:i/>
      <w:iCs/>
      <w:snapToGrid w:val="0"/>
      <w:sz w:val="22"/>
      <w:lang w:val="en-US" w:eastAsia="en-US"/>
    </w:rPr>
  </w:style>
  <w:style w:type="paragraph" w:styleId="HTMLPreformatted">
    <w:name w:val="HTML Preformatted"/>
    <w:basedOn w:val="Normal"/>
    <w:link w:val="HTMLPreformattedChar"/>
    <w:uiPriority w:val="99"/>
    <w:unhideWhenUsed/>
    <w:locked/>
    <w:rsid w:val="003E30AD"/>
    <w:pPr>
      <w:overflowPunct/>
      <w:autoSpaceDE/>
      <w:autoSpaceDN/>
      <w:adjustRightInd/>
      <w:textAlignment w:val="auto"/>
    </w:pPr>
    <w:rPr>
      <w:rFonts w:ascii="Consolas" w:hAnsi="Consolas"/>
      <w:snapToGrid w:val="0"/>
      <w:sz w:val="20"/>
      <w:lang w:val="en-US"/>
    </w:rPr>
  </w:style>
  <w:style w:type="character" w:customStyle="1" w:styleId="HTMLPreformattedChar">
    <w:name w:val="HTML Preformatted Char"/>
    <w:basedOn w:val="DefaultParagraphFont"/>
    <w:link w:val="HTMLPreformatted"/>
    <w:uiPriority w:val="99"/>
    <w:rsid w:val="003E30AD"/>
    <w:rPr>
      <w:rFonts w:ascii="Consolas" w:hAnsi="Consolas"/>
      <w:snapToGrid w:val="0"/>
      <w:lang w:val="en-US" w:eastAsia="en-US"/>
    </w:rPr>
  </w:style>
  <w:style w:type="paragraph" w:styleId="ListParagraph">
    <w:name w:val="List Paragraph"/>
    <w:basedOn w:val="Normal"/>
    <w:uiPriority w:val="34"/>
    <w:qFormat/>
    <w:locked/>
    <w:rsid w:val="003E30AD"/>
    <w:pPr>
      <w:overflowPunct/>
      <w:autoSpaceDE/>
      <w:autoSpaceDN/>
      <w:adjustRightInd/>
      <w:ind w:left="720"/>
      <w:contextualSpacing/>
      <w:textAlignment w:val="auto"/>
    </w:pPr>
    <w:rPr>
      <w:snapToGrid w:val="0"/>
      <w:lang w:val="en-US"/>
    </w:rPr>
  </w:style>
  <w:style w:type="paragraph" w:styleId="NoSpacing">
    <w:name w:val="No Spacing"/>
    <w:uiPriority w:val="1"/>
    <w:qFormat/>
    <w:locked/>
    <w:rsid w:val="003E30AD"/>
    <w:rPr>
      <w:snapToGrid w:val="0"/>
      <w:sz w:val="22"/>
      <w:lang w:val="en-US" w:eastAsia="en-US"/>
    </w:rPr>
  </w:style>
  <w:style w:type="paragraph" w:styleId="NoteHeading">
    <w:name w:val="Note Heading"/>
    <w:basedOn w:val="Normal"/>
    <w:next w:val="Normal"/>
    <w:link w:val="NoteHeadingChar"/>
    <w:uiPriority w:val="99"/>
    <w:unhideWhenUsed/>
    <w:locked/>
    <w:rsid w:val="003E30AD"/>
    <w:pPr>
      <w:overflowPunct/>
      <w:autoSpaceDE/>
      <w:autoSpaceDN/>
      <w:adjustRightInd/>
      <w:textAlignment w:val="auto"/>
    </w:pPr>
    <w:rPr>
      <w:snapToGrid w:val="0"/>
      <w:lang w:val="en-US"/>
    </w:rPr>
  </w:style>
  <w:style w:type="character" w:customStyle="1" w:styleId="NoteHeadingChar">
    <w:name w:val="Note Heading Char"/>
    <w:basedOn w:val="DefaultParagraphFont"/>
    <w:link w:val="NoteHeading"/>
    <w:uiPriority w:val="99"/>
    <w:rsid w:val="003E30AD"/>
    <w:rPr>
      <w:snapToGrid w:val="0"/>
      <w:sz w:val="22"/>
      <w:lang w:val="en-US" w:eastAsia="en-US"/>
    </w:rPr>
  </w:style>
  <w:style w:type="paragraph" w:styleId="Signature">
    <w:name w:val="Signature"/>
    <w:basedOn w:val="Normal"/>
    <w:link w:val="SignatureChar"/>
    <w:uiPriority w:val="99"/>
    <w:unhideWhenUsed/>
    <w:locked/>
    <w:rsid w:val="003E30AD"/>
    <w:pPr>
      <w:overflowPunct/>
      <w:autoSpaceDE/>
      <w:autoSpaceDN/>
      <w:adjustRightInd/>
      <w:ind w:left="4320"/>
      <w:textAlignment w:val="auto"/>
    </w:pPr>
    <w:rPr>
      <w:snapToGrid w:val="0"/>
      <w:lang w:val="en-US"/>
    </w:rPr>
  </w:style>
  <w:style w:type="character" w:customStyle="1" w:styleId="SignatureChar">
    <w:name w:val="Signature Char"/>
    <w:basedOn w:val="DefaultParagraphFont"/>
    <w:link w:val="Signature"/>
    <w:uiPriority w:val="99"/>
    <w:rsid w:val="003E30AD"/>
    <w:rPr>
      <w:snapToGrid w:val="0"/>
      <w:sz w:val="22"/>
      <w:lang w:val="en-US" w:eastAsia="en-US"/>
    </w:rPr>
  </w:style>
  <w:style w:type="paragraph" w:styleId="TableofAuthorities">
    <w:name w:val="table of authorities"/>
    <w:basedOn w:val="Normal"/>
    <w:next w:val="Normal"/>
    <w:uiPriority w:val="99"/>
    <w:unhideWhenUsed/>
    <w:locked/>
    <w:rsid w:val="003E30AD"/>
    <w:pPr>
      <w:overflowPunct/>
      <w:autoSpaceDE/>
      <w:autoSpaceDN/>
      <w:adjustRightInd/>
      <w:ind w:left="220" w:hanging="220"/>
      <w:textAlignment w:val="auto"/>
    </w:pPr>
    <w:rPr>
      <w:snapToGrid w:val="0"/>
      <w:lang w:val="en-US"/>
    </w:rPr>
  </w:style>
  <w:style w:type="paragraph" w:styleId="TOC4">
    <w:name w:val="toc 4"/>
    <w:basedOn w:val="Normal"/>
    <w:next w:val="Normal"/>
    <w:autoRedefine/>
    <w:uiPriority w:val="39"/>
    <w:unhideWhenUsed/>
    <w:locked/>
    <w:rsid w:val="003E30AD"/>
    <w:pPr>
      <w:overflowPunct/>
      <w:autoSpaceDE/>
      <w:autoSpaceDN/>
      <w:adjustRightInd/>
      <w:spacing w:after="100"/>
      <w:ind w:left="660"/>
      <w:textAlignment w:val="auto"/>
    </w:pPr>
    <w:rPr>
      <w:snapToGrid w:val="0"/>
      <w:lang w:val="en-US"/>
    </w:rPr>
  </w:style>
  <w:style w:type="paragraph" w:styleId="TOC5">
    <w:name w:val="toc 5"/>
    <w:basedOn w:val="Normal"/>
    <w:next w:val="Normal"/>
    <w:autoRedefine/>
    <w:uiPriority w:val="39"/>
    <w:unhideWhenUsed/>
    <w:locked/>
    <w:rsid w:val="003E30AD"/>
    <w:pPr>
      <w:overflowPunct/>
      <w:autoSpaceDE/>
      <w:autoSpaceDN/>
      <w:adjustRightInd/>
      <w:spacing w:after="100"/>
      <w:ind w:left="880"/>
      <w:textAlignment w:val="auto"/>
    </w:pPr>
    <w:rPr>
      <w:snapToGrid w:val="0"/>
      <w:lang w:val="en-US"/>
    </w:rPr>
  </w:style>
  <w:style w:type="paragraph" w:styleId="TOC6">
    <w:name w:val="toc 6"/>
    <w:basedOn w:val="Normal"/>
    <w:next w:val="Normal"/>
    <w:autoRedefine/>
    <w:unhideWhenUsed/>
    <w:locked/>
    <w:rsid w:val="003E30AD"/>
    <w:pPr>
      <w:overflowPunct/>
      <w:autoSpaceDE/>
      <w:autoSpaceDN/>
      <w:adjustRightInd/>
      <w:spacing w:after="100"/>
      <w:ind w:left="1100"/>
      <w:textAlignment w:val="auto"/>
    </w:pPr>
    <w:rPr>
      <w:snapToGrid w:val="0"/>
      <w:lang w:val="en-US"/>
    </w:rPr>
  </w:style>
  <w:style w:type="paragraph" w:styleId="TOC7">
    <w:name w:val="toc 7"/>
    <w:basedOn w:val="Normal"/>
    <w:next w:val="Normal"/>
    <w:autoRedefine/>
    <w:unhideWhenUsed/>
    <w:locked/>
    <w:rsid w:val="003E30AD"/>
    <w:pPr>
      <w:overflowPunct/>
      <w:autoSpaceDE/>
      <w:autoSpaceDN/>
      <w:adjustRightInd/>
      <w:spacing w:after="100"/>
      <w:ind w:left="1320"/>
      <w:textAlignment w:val="auto"/>
    </w:pPr>
    <w:rPr>
      <w:snapToGrid w:val="0"/>
      <w:lang w:val="en-US"/>
    </w:rPr>
  </w:style>
  <w:style w:type="paragraph" w:styleId="TOC8">
    <w:name w:val="toc 8"/>
    <w:basedOn w:val="Normal"/>
    <w:next w:val="Normal"/>
    <w:autoRedefine/>
    <w:unhideWhenUsed/>
    <w:locked/>
    <w:rsid w:val="003E30AD"/>
    <w:pPr>
      <w:overflowPunct/>
      <w:autoSpaceDE/>
      <w:autoSpaceDN/>
      <w:adjustRightInd/>
      <w:spacing w:after="100"/>
      <w:ind w:left="1540"/>
      <w:textAlignment w:val="auto"/>
    </w:pPr>
    <w:rPr>
      <w:snapToGrid w:val="0"/>
      <w:lang w:val="en-US"/>
    </w:rPr>
  </w:style>
  <w:style w:type="paragraph" w:styleId="TOC9">
    <w:name w:val="toc 9"/>
    <w:basedOn w:val="Normal"/>
    <w:next w:val="Normal"/>
    <w:autoRedefine/>
    <w:unhideWhenUsed/>
    <w:locked/>
    <w:rsid w:val="003E30AD"/>
    <w:pPr>
      <w:overflowPunct/>
      <w:autoSpaceDE/>
      <w:autoSpaceDN/>
      <w:adjustRightInd/>
      <w:spacing w:after="100"/>
      <w:ind w:left="1760"/>
      <w:textAlignment w:val="auto"/>
    </w:pPr>
    <w:rPr>
      <w:snapToGrid w:val="0"/>
      <w:lang w:val="en-US"/>
    </w:rPr>
  </w:style>
  <w:style w:type="paragraph" w:customStyle="1" w:styleId="LISTBulleto">
    <w:name w:val="LIST Bullet o"/>
    <w:basedOn w:val="BlockText"/>
    <w:qFormat/>
    <w:rsid w:val="003E30AD"/>
    <w:pPr>
      <w:numPr>
        <w:numId w:val="13"/>
      </w:numPr>
      <w:spacing w:after="0"/>
    </w:pPr>
  </w:style>
  <w:style w:type="paragraph" w:styleId="NormalWeb">
    <w:name w:val="Normal (Web)"/>
    <w:basedOn w:val="Normal"/>
    <w:uiPriority w:val="99"/>
    <w:unhideWhenUsed/>
    <w:locked/>
    <w:rsid w:val="003E30AD"/>
    <w:pPr>
      <w:overflowPunct/>
      <w:autoSpaceDE/>
      <w:autoSpaceDN/>
      <w:adjustRightInd/>
      <w:spacing w:before="100" w:beforeAutospacing="1" w:after="100" w:afterAutospacing="1"/>
      <w:textAlignment w:val="auto"/>
    </w:pPr>
    <w:rPr>
      <w:snapToGrid w:val="0"/>
      <w:lang w:val="en-US"/>
    </w:rPr>
  </w:style>
  <w:style w:type="paragraph" w:styleId="Bibliography">
    <w:name w:val="Bibliography"/>
    <w:basedOn w:val="Normal"/>
    <w:next w:val="Normal"/>
    <w:uiPriority w:val="37"/>
    <w:unhideWhenUsed/>
    <w:locked/>
    <w:rsid w:val="003E30AD"/>
    <w:pPr>
      <w:overflowPunct/>
      <w:autoSpaceDE/>
      <w:autoSpaceDN/>
      <w:adjustRightInd/>
      <w:textAlignment w:val="auto"/>
    </w:pPr>
    <w:rPr>
      <w:snapToGrid w:val="0"/>
      <w:lang w:val="en-US"/>
    </w:rPr>
  </w:style>
  <w:style w:type="paragraph" w:styleId="TOCHeading">
    <w:name w:val="TOC Heading"/>
    <w:basedOn w:val="Heading1"/>
    <w:next w:val="Normal"/>
    <w:uiPriority w:val="39"/>
    <w:unhideWhenUsed/>
    <w:qFormat/>
    <w:locked/>
    <w:rsid w:val="003E30AD"/>
    <w:pPr>
      <w:keepNext/>
      <w:keepLines/>
      <w:spacing w:before="480" w:line="276" w:lineRule="auto"/>
      <w:ind w:left="0" w:right="0"/>
      <w:outlineLvl w:val="9"/>
    </w:pPr>
    <w:rPr>
      <w:rFonts w:asciiTheme="majorHAnsi" w:eastAsiaTheme="majorEastAsia" w:hAnsiTheme="majorHAnsi" w:cstheme="majorBidi"/>
      <w:bCs/>
      <w:caps w:val="0"/>
      <w:color w:val="365F91" w:themeColor="accent1" w:themeShade="BF"/>
      <w:sz w:val="28"/>
      <w:szCs w:val="28"/>
    </w:rPr>
  </w:style>
  <w:style w:type="paragraph" w:styleId="Revision">
    <w:name w:val="Revision"/>
    <w:hidden/>
    <w:uiPriority w:val="99"/>
    <w:semiHidden/>
    <w:rsid w:val="003E30AD"/>
    <w:rPr>
      <w:snapToGrid w:val="0"/>
      <w:sz w:val="22"/>
      <w:lang w:val="en-US" w:eastAsia="en-US"/>
    </w:rPr>
  </w:style>
  <w:style w:type="character" w:styleId="CommentReference">
    <w:name w:val="annotation reference"/>
    <w:basedOn w:val="DefaultParagraphFont"/>
    <w:uiPriority w:val="99"/>
    <w:unhideWhenUsed/>
    <w:locked/>
    <w:rsid w:val="003E30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4467">
      <w:bodyDiv w:val="1"/>
      <w:marLeft w:val="0"/>
      <w:marRight w:val="0"/>
      <w:marTop w:val="0"/>
      <w:marBottom w:val="0"/>
      <w:divBdr>
        <w:top w:val="none" w:sz="0" w:space="0" w:color="auto"/>
        <w:left w:val="none" w:sz="0" w:space="0" w:color="auto"/>
        <w:bottom w:val="none" w:sz="0" w:space="0" w:color="auto"/>
        <w:right w:val="none" w:sz="0" w:space="0" w:color="auto"/>
      </w:divBdr>
    </w:div>
    <w:div w:id="28266421">
      <w:bodyDiv w:val="1"/>
      <w:marLeft w:val="0"/>
      <w:marRight w:val="0"/>
      <w:marTop w:val="0"/>
      <w:marBottom w:val="0"/>
      <w:divBdr>
        <w:top w:val="none" w:sz="0" w:space="0" w:color="auto"/>
        <w:left w:val="none" w:sz="0" w:space="0" w:color="auto"/>
        <w:bottom w:val="none" w:sz="0" w:space="0" w:color="auto"/>
        <w:right w:val="none" w:sz="0" w:space="0" w:color="auto"/>
      </w:divBdr>
    </w:div>
    <w:div w:id="53431840">
      <w:bodyDiv w:val="1"/>
      <w:marLeft w:val="0"/>
      <w:marRight w:val="0"/>
      <w:marTop w:val="0"/>
      <w:marBottom w:val="0"/>
      <w:divBdr>
        <w:top w:val="none" w:sz="0" w:space="0" w:color="auto"/>
        <w:left w:val="none" w:sz="0" w:space="0" w:color="auto"/>
        <w:bottom w:val="none" w:sz="0" w:space="0" w:color="auto"/>
        <w:right w:val="none" w:sz="0" w:space="0" w:color="auto"/>
      </w:divBdr>
    </w:div>
    <w:div w:id="88085924">
      <w:bodyDiv w:val="1"/>
      <w:marLeft w:val="0"/>
      <w:marRight w:val="0"/>
      <w:marTop w:val="0"/>
      <w:marBottom w:val="0"/>
      <w:divBdr>
        <w:top w:val="none" w:sz="0" w:space="0" w:color="auto"/>
        <w:left w:val="none" w:sz="0" w:space="0" w:color="auto"/>
        <w:bottom w:val="none" w:sz="0" w:space="0" w:color="auto"/>
        <w:right w:val="none" w:sz="0" w:space="0" w:color="auto"/>
      </w:divBdr>
    </w:div>
    <w:div w:id="122964707">
      <w:bodyDiv w:val="1"/>
      <w:marLeft w:val="0"/>
      <w:marRight w:val="0"/>
      <w:marTop w:val="0"/>
      <w:marBottom w:val="0"/>
      <w:divBdr>
        <w:top w:val="none" w:sz="0" w:space="0" w:color="auto"/>
        <w:left w:val="none" w:sz="0" w:space="0" w:color="auto"/>
        <w:bottom w:val="none" w:sz="0" w:space="0" w:color="auto"/>
        <w:right w:val="none" w:sz="0" w:space="0" w:color="auto"/>
      </w:divBdr>
    </w:div>
    <w:div w:id="146872324">
      <w:bodyDiv w:val="1"/>
      <w:marLeft w:val="0"/>
      <w:marRight w:val="0"/>
      <w:marTop w:val="0"/>
      <w:marBottom w:val="0"/>
      <w:divBdr>
        <w:top w:val="none" w:sz="0" w:space="0" w:color="auto"/>
        <w:left w:val="none" w:sz="0" w:space="0" w:color="auto"/>
        <w:bottom w:val="none" w:sz="0" w:space="0" w:color="auto"/>
        <w:right w:val="none" w:sz="0" w:space="0" w:color="auto"/>
      </w:divBdr>
    </w:div>
    <w:div w:id="188766139">
      <w:bodyDiv w:val="1"/>
      <w:marLeft w:val="0"/>
      <w:marRight w:val="0"/>
      <w:marTop w:val="0"/>
      <w:marBottom w:val="0"/>
      <w:divBdr>
        <w:top w:val="none" w:sz="0" w:space="0" w:color="auto"/>
        <w:left w:val="none" w:sz="0" w:space="0" w:color="auto"/>
        <w:bottom w:val="none" w:sz="0" w:space="0" w:color="auto"/>
        <w:right w:val="none" w:sz="0" w:space="0" w:color="auto"/>
      </w:divBdr>
    </w:div>
    <w:div w:id="201404526">
      <w:bodyDiv w:val="1"/>
      <w:marLeft w:val="0"/>
      <w:marRight w:val="0"/>
      <w:marTop w:val="0"/>
      <w:marBottom w:val="0"/>
      <w:divBdr>
        <w:top w:val="none" w:sz="0" w:space="0" w:color="auto"/>
        <w:left w:val="none" w:sz="0" w:space="0" w:color="auto"/>
        <w:bottom w:val="none" w:sz="0" w:space="0" w:color="auto"/>
        <w:right w:val="none" w:sz="0" w:space="0" w:color="auto"/>
      </w:divBdr>
    </w:div>
    <w:div w:id="221597166">
      <w:bodyDiv w:val="1"/>
      <w:marLeft w:val="0"/>
      <w:marRight w:val="0"/>
      <w:marTop w:val="0"/>
      <w:marBottom w:val="0"/>
      <w:divBdr>
        <w:top w:val="none" w:sz="0" w:space="0" w:color="auto"/>
        <w:left w:val="none" w:sz="0" w:space="0" w:color="auto"/>
        <w:bottom w:val="none" w:sz="0" w:space="0" w:color="auto"/>
        <w:right w:val="none" w:sz="0" w:space="0" w:color="auto"/>
      </w:divBdr>
    </w:div>
    <w:div w:id="227809626">
      <w:bodyDiv w:val="1"/>
      <w:marLeft w:val="0"/>
      <w:marRight w:val="0"/>
      <w:marTop w:val="0"/>
      <w:marBottom w:val="0"/>
      <w:divBdr>
        <w:top w:val="none" w:sz="0" w:space="0" w:color="auto"/>
        <w:left w:val="none" w:sz="0" w:space="0" w:color="auto"/>
        <w:bottom w:val="none" w:sz="0" w:space="0" w:color="auto"/>
        <w:right w:val="none" w:sz="0" w:space="0" w:color="auto"/>
      </w:divBdr>
    </w:div>
    <w:div w:id="288051041">
      <w:bodyDiv w:val="1"/>
      <w:marLeft w:val="0"/>
      <w:marRight w:val="0"/>
      <w:marTop w:val="0"/>
      <w:marBottom w:val="0"/>
      <w:divBdr>
        <w:top w:val="none" w:sz="0" w:space="0" w:color="auto"/>
        <w:left w:val="none" w:sz="0" w:space="0" w:color="auto"/>
        <w:bottom w:val="none" w:sz="0" w:space="0" w:color="auto"/>
        <w:right w:val="none" w:sz="0" w:space="0" w:color="auto"/>
      </w:divBdr>
    </w:div>
    <w:div w:id="288517440">
      <w:bodyDiv w:val="1"/>
      <w:marLeft w:val="0"/>
      <w:marRight w:val="0"/>
      <w:marTop w:val="0"/>
      <w:marBottom w:val="0"/>
      <w:divBdr>
        <w:top w:val="none" w:sz="0" w:space="0" w:color="auto"/>
        <w:left w:val="none" w:sz="0" w:space="0" w:color="auto"/>
        <w:bottom w:val="none" w:sz="0" w:space="0" w:color="auto"/>
        <w:right w:val="none" w:sz="0" w:space="0" w:color="auto"/>
      </w:divBdr>
    </w:div>
    <w:div w:id="297810031">
      <w:bodyDiv w:val="1"/>
      <w:marLeft w:val="0"/>
      <w:marRight w:val="0"/>
      <w:marTop w:val="0"/>
      <w:marBottom w:val="0"/>
      <w:divBdr>
        <w:top w:val="none" w:sz="0" w:space="0" w:color="auto"/>
        <w:left w:val="none" w:sz="0" w:space="0" w:color="auto"/>
        <w:bottom w:val="none" w:sz="0" w:space="0" w:color="auto"/>
        <w:right w:val="none" w:sz="0" w:space="0" w:color="auto"/>
      </w:divBdr>
    </w:div>
    <w:div w:id="303852999">
      <w:bodyDiv w:val="1"/>
      <w:marLeft w:val="0"/>
      <w:marRight w:val="0"/>
      <w:marTop w:val="0"/>
      <w:marBottom w:val="0"/>
      <w:divBdr>
        <w:top w:val="none" w:sz="0" w:space="0" w:color="auto"/>
        <w:left w:val="none" w:sz="0" w:space="0" w:color="auto"/>
        <w:bottom w:val="none" w:sz="0" w:space="0" w:color="auto"/>
        <w:right w:val="none" w:sz="0" w:space="0" w:color="auto"/>
      </w:divBdr>
    </w:div>
    <w:div w:id="309985748">
      <w:bodyDiv w:val="1"/>
      <w:marLeft w:val="0"/>
      <w:marRight w:val="0"/>
      <w:marTop w:val="0"/>
      <w:marBottom w:val="0"/>
      <w:divBdr>
        <w:top w:val="none" w:sz="0" w:space="0" w:color="auto"/>
        <w:left w:val="none" w:sz="0" w:space="0" w:color="auto"/>
        <w:bottom w:val="none" w:sz="0" w:space="0" w:color="auto"/>
        <w:right w:val="none" w:sz="0" w:space="0" w:color="auto"/>
      </w:divBdr>
    </w:div>
    <w:div w:id="312949009">
      <w:bodyDiv w:val="1"/>
      <w:marLeft w:val="0"/>
      <w:marRight w:val="0"/>
      <w:marTop w:val="0"/>
      <w:marBottom w:val="0"/>
      <w:divBdr>
        <w:top w:val="none" w:sz="0" w:space="0" w:color="auto"/>
        <w:left w:val="none" w:sz="0" w:space="0" w:color="auto"/>
        <w:bottom w:val="none" w:sz="0" w:space="0" w:color="auto"/>
        <w:right w:val="none" w:sz="0" w:space="0" w:color="auto"/>
      </w:divBdr>
    </w:div>
    <w:div w:id="353961454">
      <w:bodyDiv w:val="1"/>
      <w:marLeft w:val="0"/>
      <w:marRight w:val="0"/>
      <w:marTop w:val="0"/>
      <w:marBottom w:val="0"/>
      <w:divBdr>
        <w:top w:val="none" w:sz="0" w:space="0" w:color="auto"/>
        <w:left w:val="none" w:sz="0" w:space="0" w:color="auto"/>
        <w:bottom w:val="none" w:sz="0" w:space="0" w:color="auto"/>
        <w:right w:val="none" w:sz="0" w:space="0" w:color="auto"/>
      </w:divBdr>
    </w:div>
    <w:div w:id="378095235">
      <w:bodyDiv w:val="1"/>
      <w:marLeft w:val="0"/>
      <w:marRight w:val="0"/>
      <w:marTop w:val="0"/>
      <w:marBottom w:val="0"/>
      <w:divBdr>
        <w:top w:val="none" w:sz="0" w:space="0" w:color="auto"/>
        <w:left w:val="none" w:sz="0" w:space="0" w:color="auto"/>
        <w:bottom w:val="none" w:sz="0" w:space="0" w:color="auto"/>
        <w:right w:val="none" w:sz="0" w:space="0" w:color="auto"/>
      </w:divBdr>
    </w:div>
    <w:div w:id="427312339">
      <w:bodyDiv w:val="1"/>
      <w:marLeft w:val="0"/>
      <w:marRight w:val="0"/>
      <w:marTop w:val="0"/>
      <w:marBottom w:val="0"/>
      <w:divBdr>
        <w:top w:val="none" w:sz="0" w:space="0" w:color="auto"/>
        <w:left w:val="none" w:sz="0" w:space="0" w:color="auto"/>
        <w:bottom w:val="none" w:sz="0" w:space="0" w:color="auto"/>
        <w:right w:val="none" w:sz="0" w:space="0" w:color="auto"/>
      </w:divBdr>
    </w:div>
    <w:div w:id="476609250">
      <w:bodyDiv w:val="1"/>
      <w:marLeft w:val="0"/>
      <w:marRight w:val="0"/>
      <w:marTop w:val="0"/>
      <w:marBottom w:val="0"/>
      <w:divBdr>
        <w:top w:val="none" w:sz="0" w:space="0" w:color="auto"/>
        <w:left w:val="none" w:sz="0" w:space="0" w:color="auto"/>
        <w:bottom w:val="none" w:sz="0" w:space="0" w:color="auto"/>
        <w:right w:val="none" w:sz="0" w:space="0" w:color="auto"/>
      </w:divBdr>
    </w:div>
    <w:div w:id="582419917">
      <w:bodyDiv w:val="1"/>
      <w:marLeft w:val="0"/>
      <w:marRight w:val="0"/>
      <w:marTop w:val="0"/>
      <w:marBottom w:val="0"/>
      <w:divBdr>
        <w:top w:val="none" w:sz="0" w:space="0" w:color="auto"/>
        <w:left w:val="none" w:sz="0" w:space="0" w:color="auto"/>
        <w:bottom w:val="none" w:sz="0" w:space="0" w:color="auto"/>
        <w:right w:val="none" w:sz="0" w:space="0" w:color="auto"/>
      </w:divBdr>
    </w:div>
    <w:div w:id="611061118">
      <w:bodyDiv w:val="1"/>
      <w:marLeft w:val="0"/>
      <w:marRight w:val="0"/>
      <w:marTop w:val="0"/>
      <w:marBottom w:val="0"/>
      <w:divBdr>
        <w:top w:val="none" w:sz="0" w:space="0" w:color="auto"/>
        <w:left w:val="none" w:sz="0" w:space="0" w:color="auto"/>
        <w:bottom w:val="none" w:sz="0" w:space="0" w:color="auto"/>
        <w:right w:val="none" w:sz="0" w:space="0" w:color="auto"/>
      </w:divBdr>
    </w:div>
    <w:div w:id="650673966">
      <w:bodyDiv w:val="1"/>
      <w:marLeft w:val="0"/>
      <w:marRight w:val="0"/>
      <w:marTop w:val="0"/>
      <w:marBottom w:val="0"/>
      <w:divBdr>
        <w:top w:val="none" w:sz="0" w:space="0" w:color="auto"/>
        <w:left w:val="none" w:sz="0" w:space="0" w:color="auto"/>
        <w:bottom w:val="none" w:sz="0" w:space="0" w:color="auto"/>
        <w:right w:val="none" w:sz="0" w:space="0" w:color="auto"/>
      </w:divBdr>
    </w:div>
    <w:div w:id="652829111">
      <w:bodyDiv w:val="1"/>
      <w:marLeft w:val="0"/>
      <w:marRight w:val="0"/>
      <w:marTop w:val="0"/>
      <w:marBottom w:val="0"/>
      <w:divBdr>
        <w:top w:val="none" w:sz="0" w:space="0" w:color="auto"/>
        <w:left w:val="none" w:sz="0" w:space="0" w:color="auto"/>
        <w:bottom w:val="none" w:sz="0" w:space="0" w:color="auto"/>
        <w:right w:val="none" w:sz="0" w:space="0" w:color="auto"/>
      </w:divBdr>
    </w:div>
    <w:div w:id="662049542">
      <w:bodyDiv w:val="1"/>
      <w:marLeft w:val="0"/>
      <w:marRight w:val="0"/>
      <w:marTop w:val="0"/>
      <w:marBottom w:val="0"/>
      <w:divBdr>
        <w:top w:val="none" w:sz="0" w:space="0" w:color="auto"/>
        <w:left w:val="none" w:sz="0" w:space="0" w:color="auto"/>
        <w:bottom w:val="none" w:sz="0" w:space="0" w:color="auto"/>
        <w:right w:val="none" w:sz="0" w:space="0" w:color="auto"/>
      </w:divBdr>
    </w:div>
    <w:div w:id="736976252">
      <w:bodyDiv w:val="1"/>
      <w:marLeft w:val="0"/>
      <w:marRight w:val="0"/>
      <w:marTop w:val="0"/>
      <w:marBottom w:val="0"/>
      <w:divBdr>
        <w:top w:val="none" w:sz="0" w:space="0" w:color="auto"/>
        <w:left w:val="none" w:sz="0" w:space="0" w:color="auto"/>
        <w:bottom w:val="none" w:sz="0" w:space="0" w:color="auto"/>
        <w:right w:val="none" w:sz="0" w:space="0" w:color="auto"/>
      </w:divBdr>
    </w:div>
    <w:div w:id="740563607">
      <w:bodyDiv w:val="1"/>
      <w:marLeft w:val="0"/>
      <w:marRight w:val="0"/>
      <w:marTop w:val="0"/>
      <w:marBottom w:val="0"/>
      <w:divBdr>
        <w:top w:val="none" w:sz="0" w:space="0" w:color="auto"/>
        <w:left w:val="none" w:sz="0" w:space="0" w:color="auto"/>
        <w:bottom w:val="none" w:sz="0" w:space="0" w:color="auto"/>
        <w:right w:val="none" w:sz="0" w:space="0" w:color="auto"/>
      </w:divBdr>
    </w:div>
    <w:div w:id="815267878">
      <w:bodyDiv w:val="1"/>
      <w:marLeft w:val="0"/>
      <w:marRight w:val="0"/>
      <w:marTop w:val="0"/>
      <w:marBottom w:val="0"/>
      <w:divBdr>
        <w:top w:val="none" w:sz="0" w:space="0" w:color="auto"/>
        <w:left w:val="none" w:sz="0" w:space="0" w:color="auto"/>
        <w:bottom w:val="none" w:sz="0" w:space="0" w:color="auto"/>
        <w:right w:val="none" w:sz="0" w:space="0" w:color="auto"/>
      </w:divBdr>
    </w:div>
    <w:div w:id="841433951">
      <w:bodyDiv w:val="1"/>
      <w:marLeft w:val="0"/>
      <w:marRight w:val="0"/>
      <w:marTop w:val="0"/>
      <w:marBottom w:val="0"/>
      <w:divBdr>
        <w:top w:val="none" w:sz="0" w:space="0" w:color="auto"/>
        <w:left w:val="none" w:sz="0" w:space="0" w:color="auto"/>
        <w:bottom w:val="none" w:sz="0" w:space="0" w:color="auto"/>
        <w:right w:val="none" w:sz="0" w:space="0" w:color="auto"/>
      </w:divBdr>
    </w:div>
    <w:div w:id="878325922">
      <w:bodyDiv w:val="1"/>
      <w:marLeft w:val="0"/>
      <w:marRight w:val="0"/>
      <w:marTop w:val="0"/>
      <w:marBottom w:val="0"/>
      <w:divBdr>
        <w:top w:val="none" w:sz="0" w:space="0" w:color="auto"/>
        <w:left w:val="none" w:sz="0" w:space="0" w:color="auto"/>
        <w:bottom w:val="none" w:sz="0" w:space="0" w:color="auto"/>
        <w:right w:val="none" w:sz="0" w:space="0" w:color="auto"/>
      </w:divBdr>
    </w:div>
    <w:div w:id="885876483">
      <w:bodyDiv w:val="1"/>
      <w:marLeft w:val="0"/>
      <w:marRight w:val="0"/>
      <w:marTop w:val="0"/>
      <w:marBottom w:val="0"/>
      <w:divBdr>
        <w:top w:val="none" w:sz="0" w:space="0" w:color="auto"/>
        <w:left w:val="none" w:sz="0" w:space="0" w:color="auto"/>
        <w:bottom w:val="none" w:sz="0" w:space="0" w:color="auto"/>
        <w:right w:val="none" w:sz="0" w:space="0" w:color="auto"/>
      </w:divBdr>
    </w:div>
    <w:div w:id="962420569">
      <w:bodyDiv w:val="1"/>
      <w:marLeft w:val="0"/>
      <w:marRight w:val="0"/>
      <w:marTop w:val="0"/>
      <w:marBottom w:val="0"/>
      <w:divBdr>
        <w:top w:val="none" w:sz="0" w:space="0" w:color="auto"/>
        <w:left w:val="none" w:sz="0" w:space="0" w:color="auto"/>
        <w:bottom w:val="none" w:sz="0" w:space="0" w:color="auto"/>
        <w:right w:val="none" w:sz="0" w:space="0" w:color="auto"/>
      </w:divBdr>
    </w:div>
    <w:div w:id="969440367">
      <w:bodyDiv w:val="1"/>
      <w:marLeft w:val="0"/>
      <w:marRight w:val="0"/>
      <w:marTop w:val="0"/>
      <w:marBottom w:val="0"/>
      <w:divBdr>
        <w:top w:val="none" w:sz="0" w:space="0" w:color="auto"/>
        <w:left w:val="none" w:sz="0" w:space="0" w:color="auto"/>
        <w:bottom w:val="none" w:sz="0" w:space="0" w:color="auto"/>
        <w:right w:val="none" w:sz="0" w:space="0" w:color="auto"/>
      </w:divBdr>
    </w:div>
    <w:div w:id="1005016510">
      <w:bodyDiv w:val="1"/>
      <w:marLeft w:val="0"/>
      <w:marRight w:val="0"/>
      <w:marTop w:val="0"/>
      <w:marBottom w:val="0"/>
      <w:divBdr>
        <w:top w:val="none" w:sz="0" w:space="0" w:color="auto"/>
        <w:left w:val="none" w:sz="0" w:space="0" w:color="auto"/>
        <w:bottom w:val="none" w:sz="0" w:space="0" w:color="auto"/>
        <w:right w:val="none" w:sz="0" w:space="0" w:color="auto"/>
      </w:divBdr>
    </w:div>
    <w:div w:id="1024357959">
      <w:bodyDiv w:val="1"/>
      <w:marLeft w:val="0"/>
      <w:marRight w:val="0"/>
      <w:marTop w:val="0"/>
      <w:marBottom w:val="0"/>
      <w:divBdr>
        <w:top w:val="none" w:sz="0" w:space="0" w:color="auto"/>
        <w:left w:val="none" w:sz="0" w:space="0" w:color="auto"/>
        <w:bottom w:val="none" w:sz="0" w:space="0" w:color="auto"/>
        <w:right w:val="none" w:sz="0" w:space="0" w:color="auto"/>
      </w:divBdr>
    </w:div>
    <w:div w:id="1029836435">
      <w:bodyDiv w:val="1"/>
      <w:marLeft w:val="0"/>
      <w:marRight w:val="0"/>
      <w:marTop w:val="0"/>
      <w:marBottom w:val="0"/>
      <w:divBdr>
        <w:top w:val="none" w:sz="0" w:space="0" w:color="auto"/>
        <w:left w:val="none" w:sz="0" w:space="0" w:color="auto"/>
        <w:bottom w:val="none" w:sz="0" w:space="0" w:color="auto"/>
        <w:right w:val="none" w:sz="0" w:space="0" w:color="auto"/>
      </w:divBdr>
    </w:div>
    <w:div w:id="1051728118">
      <w:bodyDiv w:val="1"/>
      <w:marLeft w:val="0"/>
      <w:marRight w:val="0"/>
      <w:marTop w:val="0"/>
      <w:marBottom w:val="0"/>
      <w:divBdr>
        <w:top w:val="none" w:sz="0" w:space="0" w:color="auto"/>
        <w:left w:val="none" w:sz="0" w:space="0" w:color="auto"/>
        <w:bottom w:val="none" w:sz="0" w:space="0" w:color="auto"/>
        <w:right w:val="none" w:sz="0" w:space="0" w:color="auto"/>
      </w:divBdr>
    </w:div>
    <w:div w:id="1094595679">
      <w:bodyDiv w:val="1"/>
      <w:marLeft w:val="0"/>
      <w:marRight w:val="0"/>
      <w:marTop w:val="0"/>
      <w:marBottom w:val="0"/>
      <w:divBdr>
        <w:top w:val="none" w:sz="0" w:space="0" w:color="auto"/>
        <w:left w:val="none" w:sz="0" w:space="0" w:color="auto"/>
        <w:bottom w:val="none" w:sz="0" w:space="0" w:color="auto"/>
        <w:right w:val="none" w:sz="0" w:space="0" w:color="auto"/>
      </w:divBdr>
    </w:div>
    <w:div w:id="1109357687">
      <w:bodyDiv w:val="1"/>
      <w:marLeft w:val="0"/>
      <w:marRight w:val="0"/>
      <w:marTop w:val="0"/>
      <w:marBottom w:val="0"/>
      <w:divBdr>
        <w:top w:val="none" w:sz="0" w:space="0" w:color="auto"/>
        <w:left w:val="none" w:sz="0" w:space="0" w:color="auto"/>
        <w:bottom w:val="none" w:sz="0" w:space="0" w:color="auto"/>
        <w:right w:val="none" w:sz="0" w:space="0" w:color="auto"/>
      </w:divBdr>
    </w:div>
    <w:div w:id="1159661346">
      <w:bodyDiv w:val="1"/>
      <w:marLeft w:val="0"/>
      <w:marRight w:val="0"/>
      <w:marTop w:val="0"/>
      <w:marBottom w:val="0"/>
      <w:divBdr>
        <w:top w:val="none" w:sz="0" w:space="0" w:color="auto"/>
        <w:left w:val="none" w:sz="0" w:space="0" w:color="auto"/>
        <w:bottom w:val="none" w:sz="0" w:space="0" w:color="auto"/>
        <w:right w:val="none" w:sz="0" w:space="0" w:color="auto"/>
      </w:divBdr>
    </w:div>
    <w:div w:id="1161579930">
      <w:bodyDiv w:val="1"/>
      <w:marLeft w:val="0"/>
      <w:marRight w:val="0"/>
      <w:marTop w:val="0"/>
      <w:marBottom w:val="0"/>
      <w:divBdr>
        <w:top w:val="none" w:sz="0" w:space="0" w:color="auto"/>
        <w:left w:val="none" w:sz="0" w:space="0" w:color="auto"/>
        <w:bottom w:val="none" w:sz="0" w:space="0" w:color="auto"/>
        <w:right w:val="none" w:sz="0" w:space="0" w:color="auto"/>
      </w:divBdr>
    </w:div>
    <w:div w:id="1168667200">
      <w:bodyDiv w:val="1"/>
      <w:marLeft w:val="0"/>
      <w:marRight w:val="0"/>
      <w:marTop w:val="0"/>
      <w:marBottom w:val="0"/>
      <w:divBdr>
        <w:top w:val="none" w:sz="0" w:space="0" w:color="auto"/>
        <w:left w:val="none" w:sz="0" w:space="0" w:color="auto"/>
        <w:bottom w:val="none" w:sz="0" w:space="0" w:color="auto"/>
        <w:right w:val="none" w:sz="0" w:space="0" w:color="auto"/>
      </w:divBdr>
    </w:div>
    <w:div w:id="1185171126">
      <w:bodyDiv w:val="1"/>
      <w:marLeft w:val="0"/>
      <w:marRight w:val="0"/>
      <w:marTop w:val="0"/>
      <w:marBottom w:val="0"/>
      <w:divBdr>
        <w:top w:val="none" w:sz="0" w:space="0" w:color="auto"/>
        <w:left w:val="none" w:sz="0" w:space="0" w:color="auto"/>
        <w:bottom w:val="none" w:sz="0" w:space="0" w:color="auto"/>
        <w:right w:val="none" w:sz="0" w:space="0" w:color="auto"/>
      </w:divBdr>
    </w:div>
    <w:div w:id="1195775742">
      <w:bodyDiv w:val="1"/>
      <w:marLeft w:val="0"/>
      <w:marRight w:val="0"/>
      <w:marTop w:val="0"/>
      <w:marBottom w:val="0"/>
      <w:divBdr>
        <w:top w:val="none" w:sz="0" w:space="0" w:color="auto"/>
        <w:left w:val="none" w:sz="0" w:space="0" w:color="auto"/>
        <w:bottom w:val="none" w:sz="0" w:space="0" w:color="auto"/>
        <w:right w:val="none" w:sz="0" w:space="0" w:color="auto"/>
      </w:divBdr>
    </w:div>
    <w:div w:id="1233540330">
      <w:bodyDiv w:val="1"/>
      <w:marLeft w:val="0"/>
      <w:marRight w:val="0"/>
      <w:marTop w:val="0"/>
      <w:marBottom w:val="0"/>
      <w:divBdr>
        <w:top w:val="none" w:sz="0" w:space="0" w:color="auto"/>
        <w:left w:val="none" w:sz="0" w:space="0" w:color="auto"/>
        <w:bottom w:val="none" w:sz="0" w:space="0" w:color="auto"/>
        <w:right w:val="none" w:sz="0" w:space="0" w:color="auto"/>
      </w:divBdr>
    </w:div>
    <w:div w:id="1238327287">
      <w:bodyDiv w:val="1"/>
      <w:marLeft w:val="0"/>
      <w:marRight w:val="0"/>
      <w:marTop w:val="0"/>
      <w:marBottom w:val="0"/>
      <w:divBdr>
        <w:top w:val="none" w:sz="0" w:space="0" w:color="auto"/>
        <w:left w:val="none" w:sz="0" w:space="0" w:color="auto"/>
        <w:bottom w:val="none" w:sz="0" w:space="0" w:color="auto"/>
        <w:right w:val="none" w:sz="0" w:space="0" w:color="auto"/>
      </w:divBdr>
    </w:div>
    <w:div w:id="1284459291">
      <w:bodyDiv w:val="1"/>
      <w:marLeft w:val="0"/>
      <w:marRight w:val="0"/>
      <w:marTop w:val="0"/>
      <w:marBottom w:val="0"/>
      <w:divBdr>
        <w:top w:val="none" w:sz="0" w:space="0" w:color="auto"/>
        <w:left w:val="none" w:sz="0" w:space="0" w:color="auto"/>
        <w:bottom w:val="none" w:sz="0" w:space="0" w:color="auto"/>
        <w:right w:val="none" w:sz="0" w:space="0" w:color="auto"/>
      </w:divBdr>
    </w:div>
    <w:div w:id="1322079308">
      <w:bodyDiv w:val="1"/>
      <w:marLeft w:val="0"/>
      <w:marRight w:val="0"/>
      <w:marTop w:val="0"/>
      <w:marBottom w:val="0"/>
      <w:divBdr>
        <w:top w:val="none" w:sz="0" w:space="0" w:color="auto"/>
        <w:left w:val="none" w:sz="0" w:space="0" w:color="auto"/>
        <w:bottom w:val="none" w:sz="0" w:space="0" w:color="auto"/>
        <w:right w:val="none" w:sz="0" w:space="0" w:color="auto"/>
      </w:divBdr>
    </w:div>
    <w:div w:id="1358964711">
      <w:bodyDiv w:val="1"/>
      <w:marLeft w:val="0"/>
      <w:marRight w:val="0"/>
      <w:marTop w:val="0"/>
      <w:marBottom w:val="0"/>
      <w:divBdr>
        <w:top w:val="none" w:sz="0" w:space="0" w:color="auto"/>
        <w:left w:val="none" w:sz="0" w:space="0" w:color="auto"/>
        <w:bottom w:val="none" w:sz="0" w:space="0" w:color="auto"/>
        <w:right w:val="none" w:sz="0" w:space="0" w:color="auto"/>
      </w:divBdr>
    </w:div>
    <w:div w:id="1409812932">
      <w:bodyDiv w:val="1"/>
      <w:marLeft w:val="0"/>
      <w:marRight w:val="0"/>
      <w:marTop w:val="0"/>
      <w:marBottom w:val="0"/>
      <w:divBdr>
        <w:top w:val="none" w:sz="0" w:space="0" w:color="auto"/>
        <w:left w:val="none" w:sz="0" w:space="0" w:color="auto"/>
        <w:bottom w:val="none" w:sz="0" w:space="0" w:color="auto"/>
        <w:right w:val="none" w:sz="0" w:space="0" w:color="auto"/>
      </w:divBdr>
    </w:div>
    <w:div w:id="1418138108">
      <w:bodyDiv w:val="1"/>
      <w:marLeft w:val="0"/>
      <w:marRight w:val="0"/>
      <w:marTop w:val="0"/>
      <w:marBottom w:val="0"/>
      <w:divBdr>
        <w:top w:val="none" w:sz="0" w:space="0" w:color="auto"/>
        <w:left w:val="none" w:sz="0" w:space="0" w:color="auto"/>
        <w:bottom w:val="none" w:sz="0" w:space="0" w:color="auto"/>
        <w:right w:val="none" w:sz="0" w:space="0" w:color="auto"/>
      </w:divBdr>
    </w:div>
    <w:div w:id="1422601335">
      <w:bodyDiv w:val="1"/>
      <w:marLeft w:val="0"/>
      <w:marRight w:val="0"/>
      <w:marTop w:val="0"/>
      <w:marBottom w:val="0"/>
      <w:divBdr>
        <w:top w:val="none" w:sz="0" w:space="0" w:color="auto"/>
        <w:left w:val="none" w:sz="0" w:space="0" w:color="auto"/>
        <w:bottom w:val="none" w:sz="0" w:space="0" w:color="auto"/>
        <w:right w:val="none" w:sz="0" w:space="0" w:color="auto"/>
      </w:divBdr>
    </w:div>
    <w:div w:id="1573348736">
      <w:bodyDiv w:val="1"/>
      <w:marLeft w:val="0"/>
      <w:marRight w:val="0"/>
      <w:marTop w:val="0"/>
      <w:marBottom w:val="0"/>
      <w:divBdr>
        <w:top w:val="none" w:sz="0" w:space="0" w:color="auto"/>
        <w:left w:val="none" w:sz="0" w:space="0" w:color="auto"/>
        <w:bottom w:val="none" w:sz="0" w:space="0" w:color="auto"/>
        <w:right w:val="none" w:sz="0" w:space="0" w:color="auto"/>
      </w:divBdr>
    </w:div>
    <w:div w:id="1622758752">
      <w:bodyDiv w:val="1"/>
      <w:marLeft w:val="0"/>
      <w:marRight w:val="0"/>
      <w:marTop w:val="0"/>
      <w:marBottom w:val="0"/>
      <w:divBdr>
        <w:top w:val="none" w:sz="0" w:space="0" w:color="auto"/>
        <w:left w:val="none" w:sz="0" w:space="0" w:color="auto"/>
        <w:bottom w:val="none" w:sz="0" w:space="0" w:color="auto"/>
        <w:right w:val="none" w:sz="0" w:space="0" w:color="auto"/>
      </w:divBdr>
    </w:div>
    <w:div w:id="1650937696">
      <w:bodyDiv w:val="1"/>
      <w:marLeft w:val="0"/>
      <w:marRight w:val="0"/>
      <w:marTop w:val="0"/>
      <w:marBottom w:val="0"/>
      <w:divBdr>
        <w:top w:val="none" w:sz="0" w:space="0" w:color="auto"/>
        <w:left w:val="none" w:sz="0" w:space="0" w:color="auto"/>
        <w:bottom w:val="none" w:sz="0" w:space="0" w:color="auto"/>
        <w:right w:val="none" w:sz="0" w:space="0" w:color="auto"/>
      </w:divBdr>
    </w:div>
    <w:div w:id="1676414681">
      <w:bodyDiv w:val="1"/>
      <w:marLeft w:val="0"/>
      <w:marRight w:val="0"/>
      <w:marTop w:val="0"/>
      <w:marBottom w:val="0"/>
      <w:divBdr>
        <w:top w:val="none" w:sz="0" w:space="0" w:color="auto"/>
        <w:left w:val="none" w:sz="0" w:space="0" w:color="auto"/>
        <w:bottom w:val="none" w:sz="0" w:space="0" w:color="auto"/>
        <w:right w:val="none" w:sz="0" w:space="0" w:color="auto"/>
      </w:divBdr>
    </w:div>
    <w:div w:id="1700164248">
      <w:bodyDiv w:val="1"/>
      <w:marLeft w:val="0"/>
      <w:marRight w:val="0"/>
      <w:marTop w:val="0"/>
      <w:marBottom w:val="0"/>
      <w:divBdr>
        <w:top w:val="none" w:sz="0" w:space="0" w:color="auto"/>
        <w:left w:val="none" w:sz="0" w:space="0" w:color="auto"/>
        <w:bottom w:val="none" w:sz="0" w:space="0" w:color="auto"/>
        <w:right w:val="none" w:sz="0" w:space="0" w:color="auto"/>
      </w:divBdr>
    </w:div>
    <w:div w:id="1701206156">
      <w:bodyDiv w:val="1"/>
      <w:marLeft w:val="0"/>
      <w:marRight w:val="0"/>
      <w:marTop w:val="0"/>
      <w:marBottom w:val="0"/>
      <w:divBdr>
        <w:top w:val="none" w:sz="0" w:space="0" w:color="auto"/>
        <w:left w:val="none" w:sz="0" w:space="0" w:color="auto"/>
        <w:bottom w:val="none" w:sz="0" w:space="0" w:color="auto"/>
        <w:right w:val="none" w:sz="0" w:space="0" w:color="auto"/>
      </w:divBdr>
    </w:div>
    <w:div w:id="1708677892">
      <w:bodyDiv w:val="1"/>
      <w:marLeft w:val="0"/>
      <w:marRight w:val="0"/>
      <w:marTop w:val="0"/>
      <w:marBottom w:val="0"/>
      <w:divBdr>
        <w:top w:val="none" w:sz="0" w:space="0" w:color="auto"/>
        <w:left w:val="none" w:sz="0" w:space="0" w:color="auto"/>
        <w:bottom w:val="none" w:sz="0" w:space="0" w:color="auto"/>
        <w:right w:val="none" w:sz="0" w:space="0" w:color="auto"/>
      </w:divBdr>
    </w:div>
    <w:div w:id="1712800897">
      <w:bodyDiv w:val="1"/>
      <w:marLeft w:val="0"/>
      <w:marRight w:val="0"/>
      <w:marTop w:val="0"/>
      <w:marBottom w:val="0"/>
      <w:divBdr>
        <w:top w:val="none" w:sz="0" w:space="0" w:color="auto"/>
        <w:left w:val="none" w:sz="0" w:space="0" w:color="auto"/>
        <w:bottom w:val="none" w:sz="0" w:space="0" w:color="auto"/>
        <w:right w:val="none" w:sz="0" w:space="0" w:color="auto"/>
      </w:divBdr>
    </w:div>
    <w:div w:id="1757364210">
      <w:bodyDiv w:val="1"/>
      <w:marLeft w:val="0"/>
      <w:marRight w:val="0"/>
      <w:marTop w:val="0"/>
      <w:marBottom w:val="0"/>
      <w:divBdr>
        <w:top w:val="none" w:sz="0" w:space="0" w:color="auto"/>
        <w:left w:val="none" w:sz="0" w:space="0" w:color="auto"/>
        <w:bottom w:val="none" w:sz="0" w:space="0" w:color="auto"/>
        <w:right w:val="none" w:sz="0" w:space="0" w:color="auto"/>
      </w:divBdr>
    </w:div>
    <w:div w:id="1874729587">
      <w:bodyDiv w:val="1"/>
      <w:marLeft w:val="0"/>
      <w:marRight w:val="0"/>
      <w:marTop w:val="0"/>
      <w:marBottom w:val="0"/>
      <w:divBdr>
        <w:top w:val="none" w:sz="0" w:space="0" w:color="auto"/>
        <w:left w:val="none" w:sz="0" w:space="0" w:color="auto"/>
        <w:bottom w:val="none" w:sz="0" w:space="0" w:color="auto"/>
        <w:right w:val="none" w:sz="0" w:space="0" w:color="auto"/>
      </w:divBdr>
    </w:div>
    <w:div w:id="1948386369">
      <w:bodyDiv w:val="1"/>
      <w:marLeft w:val="0"/>
      <w:marRight w:val="0"/>
      <w:marTop w:val="0"/>
      <w:marBottom w:val="0"/>
      <w:divBdr>
        <w:top w:val="none" w:sz="0" w:space="0" w:color="auto"/>
        <w:left w:val="none" w:sz="0" w:space="0" w:color="auto"/>
        <w:bottom w:val="none" w:sz="0" w:space="0" w:color="auto"/>
        <w:right w:val="none" w:sz="0" w:space="0" w:color="auto"/>
      </w:divBdr>
    </w:div>
    <w:div w:id="1962762150">
      <w:bodyDiv w:val="1"/>
      <w:marLeft w:val="0"/>
      <w:marRight w:val="0"/>
      <w:marTop w:val="0"/>
      <w:marBottom w:val="0"/>
      <w:divBdr>
        <w:top w:val="none" w:sz="0" w:space="0" w:color="auto"/>
        <w:left w:val="none" w:sz="0" w:space="0" w:color="auto"/>
        <w:bottom w:val="none" w:sz="0" w:space="0" w:color="auto"/>
        <w:right w:val="none" w:sz="0" w:space="0" w:color="auto"/>
      </w:divBdr>
    </w:div>
    <w:div w:id="1999266035">
      <w:bodyDiv w:val="1"/>
      <w:marLeft w:val="0"/>
      <w:marRight w:val="0"/>
      <w:marTop w:val="0"/>
      <w:marBottom w:val="0"/>
      <w:divBdr>
        <w:top w:val="none" w:sz="0" w:space="0" w:color="auto"/>
        <w:left w:val="none" w:sz="0" w:space="0" w:color="auto"/>
        <w:bottom w:val="none" w:sz="0" w:space="0" w:color="auto"/>
        <w:right w:val="none" w:sz="0" w:space="0" w:color="auto"/>
      </w:divBdr>
    </w:div>
    <w:div w:id="2003660446">
      <w:bodyDiv w:val="1"/>
      <w:marLeft w:val="0"/>
      <w:marRight w:val="0"/>
      <w:marTop w:val="0"/>
      <w:marBottom w:val="0"/>
      <w:divBdr>
        <w:top w:val="none" w:sz="0" w:space="0" w:color="auto"/>
        <w:left w:val="none" w:sz="0" w:space="0" w:color="auto"/>
        <w:bottom w:val="none" w:sz="0" w:space="0" w:color="auto"/>
        <w:right w:val="none" w:sz="0" w:space="0" w:color="auto"/>
      </w:divBdr>
    </w:div>
    <w:div w:id="2011130045">
      <w:bodyDiv w:val="1"/>
      <w:marLeft w:val="0"/>
      <w:marRight w:val="0"/>
      <w:marTop w:val="0"/>
      <w:marBottom w:val="0"/>
      <w:divBdr>
        <w:top w:val="none" w:sz="0" w:space="0" w:color="auto"/>
        <w:left w:val="none" w:sz="0" w:space="0" w:color="auto"/>
        <w:bottom w:val="none" w:sz="0" w:space="0" w:color="auto"/>
        <w:right w:val="none" w:sz="0" w:space="0" w:color="auto"/>
      </w:divBdr>
    </w:div>
    <w:div w:id="2033801371">
      <w:bodyDiv w:val="1"/>
      <w:marLeft w:val="0"/>
      <w:marRight w:val="0"/>
      <w:marTop w:val="0"/>
      <w:marBottom w:val="0"/>
      <w:divBdr>
        <w:top w:val="none" w:sz="0" w:space="0" w:color="auto"/>
        <w:left w:val="none" w:sz="0" w:space="0" w:color="auto"/>
        <w:bottom w:val="none" w:sz="0" w:space="0" w:color="auto"/>
        <w:right w:val="none" w:sz="0" w:space="0" w:color="auto"/>
      </w:divBdr>
    </w:div>
    <w:div w:id="2063557466">
      <w:bodyDiv w:val="1"/>
      <w:marLeft w:val="0"/>
      <w:marRight w:val="0"/>
      <w:marTop w:val="0"/>
      <w:marBottom w:val="0"/>
      <w:divBdr>
        <w:top w:val="none" w:sz="0" w:space="0" w:color="auto"/>
        <w:left w:val="none" w:sz="0" w:space="0" w:color="auto"/>
        <w:bottom w:val="none" w:sz="0" w:space="0" w:color="auto"/>
        <w:right w:val="none" w:sz="0" w:space="0" w:color="auto"/>
      </w:divBdr>
    </w:div>
    <w:div w:id="2102408259">
      <w:bodyDiv w:val="1"/>
      <w:marLeft w:val="0"/>
      <w:marRight w:val="0"/>
      <w:marTop w:val="0"/>
      <w:marBottom w:val="0"/>
      <w:divBdr>
        <w:top w:val="none" w:sz="0" w:space="0" w:color="auto"/>
        <w:left w:val="none" w:sz="0" w:space="0" w:color="auto"/>
        <w:bottom w:val="none" w:sz="0" w:space="0" w:color="auto"/>
        <w:right w:val="none" w:sz="0" w:space="0" w:color="auto"/>
      </w:divBdr>
    </w:div>
    <w:div w:id="211393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j1@ornl.gov"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52C8D84CEDB459345D265B90218D7" ma:contentTypeVersion="12" ma:contentTypeDescription="Create a new document." ma:contentTypeScope="" ma:versionID="0c271ab48b82ec0679d386e0875244e8">
  <xsd:schema xmlns:xsd="http://www.w3.org/2001/XMLSchema" xmlns:xs="http://www.w3.org/2001/XMLSchema" xmlns:p="http://schemas.microsoft.com/office/2006/metadata/properties" xmlns:ns2="19a242cb-3216-419c-839e-892d82122160" xmlns:ns3="6fc1426b-6645-4e40-993a-4a728217c6aa" targetNamespace="http://schemas.microsoft.com/office/2006/metadata/properties" ma:root="true" ma:fieldsID="1532d17fda0c6a7581e79b2c85cd2528" ns2:_="" ns3:_="">
    <xsd:import namespace="19a242cb-3216-419c-839e-892d82122160"/>
    <xsd:import namespace="6fc1426b-6645-4e40-993a-4a728217c6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242cb-3216-419c-839e-892d82122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8ac8405-059b-47f8-b48a-bbaeae0205a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c1426b-6645-4e40-993a-4a728217c6a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61b173-cdbc-4fed-aa5d-495db462d267}" ma:internalName="TaxCatchAll" ma:showField="CatchAllData" ma:web="6fc1426b-6645-4e40-993a-4a728217c6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fc1426b-6645-4e40-993a-4a728217c6aa" xsi:nil="true"/>
    <lcf76f155ced4ddcb4097134ff3c332f xmlns="19a242cb-3216-419c-839e-892d8212216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Wor23</b:Tag>
    <b:SourceType>InternetSite</b:SourceType>
    <b:Guid>{06DF4979-6D12-EC4C-A912-4D32A84A7901}</b:Guid>
    <b:Title>Advanced Nuclear Power Reactors</b:Title>
    <b:Author>
      <b:Author>
        <b:Corporate>World Nulcear Association</b:Corporate>
      </b:Author>
    </b:Author>
    <b:URL>https://world-nuclear.org/information-library/nuclear-fuel-cycle/nuclear-power-reactors/advanced-nuclear-power-reactors.aspx</b:URL>
    <b:YearAccessed>2023</b:YearAccessed>
    <b:MonthAccessed>December</b:MonthAccessed>
    <b:DayAccessed>1st</b:DayAccessed>
    <b:RefOrder>1</b:RefOrder>
  </b:Source>
  <b:Source>
    <b:Tag>Men90</b:Tag>
    <b:SourceType>Report</b:SourceType>
    <b:Guid>{19EAAF84-64A1-4C78-8479-0D78DEAB33F6}</b:Guid>
    <b:Title>Neutron Collar Calibration and Evaluation for Assay of LWR Fuel Asemblies Containing Burnable Neutron Absorbers</b:Title>
    <b:Year>1990</b:Year>
    <b:Publisher>LA-11965-MS (SPO-323), Los Alamos National Laboratory</b:Publisher>
    <b:City>Los Alamos, NM</b:City>
    <b:DOI>10.2172/6531379</b:DOI>
    <b:Author>
      <b:Author>
        <b:NameList>
          <b:Person>
            <b:Last>Menlove</b:Last>
            <b:First>H.</b:First>
            <b:Middle>O.</b:Middle>
          </b:Person>
          <b:Person>
            <b:Last>Stewart</b:Last>
            <b:First>J.</b:First>
            <b:Middle>E.</b:Middle>
          </b:Person>
          <b:Person>
            <b:Last>Qiao</b:Last>
            <b:First>S.</b:First>
            <b:Middle>Z.</b:Middle>
          </b:Person>
          <b:Person>
            <b:Last>Wenz</b:Last>
            <b:First>T.</b:First>
            <b:Middle>R.</b:Middle>
          </b:Person>
          <b:Person>
            <b:Last>Verrecchia</b:Last>
            <b:First>G.</b:First>
            <b:Middle>P.</b:Middle>
          </b:Person>
        </b:NameList>
      </b:Author>
    </b:Author>
    <b:RefOrder>2</b:RefOrder>
  </b:Source>
  <b:Source>
    <b:Tag>Sic12</b:Tag>
    <b:SourceType>Report</b:SourceType>
    <b:Guid>{CF6B2701-34EA-4271-9B6D-4F94DEB83F0D}</b:Guid>
    <b:Author>
      <b:Author>
        <b:NameList>
          <b:Person>
            <b:Last>Siciliano</b:Last>
            <b:First>Edward</b:First>
            <b:Middle>R</b:Middle>
          </b:Person>
          <b:Person>
            <b:Last>Rogers</b:Last>
            <b:First>Jeremy</b:First>
            <b:Middle>L</b:Middle>
          </b:Person>
          <b:Person>
            <b:Last>Schweppe</b:Last>
            <b:First>John</b:First>
            <b:Middle>E</b:Middle>
          </b:Person>
          <b:Person>
            <b:Last>Lintereur</b:Last>
            <b:First>Azaree</b:First>
            <b:Middle>T</b:Middle>
          </b:Person>
          <b:Person>
            <b:Last>Kouzes</b:Last>
            <b:First>Richard</b:First>
            <b:Middle>T</b:Middle>
          </b:Person>
        </b:NameList>
      </b:Author>
    </b:Author>
    <b:Title>Uranium Neutron Coincidence Collar Model Utilizing 3He</b:Title>
    <b:Year>2012</b:Year>
    <b:Publisher>PNNL-21581, Pacific Northwest National Laboratory</b:Publisher>
    <b:City>Richland, WA</b:City>
    <b:RefOrder>3</b:RefOrder>
  </b:Source>
  <b:Source>
    <b:Tag>CAE23</b:Tag>
    <b:SourceType>InternetSite</b:SourceType>
    <b:Guid>{6AC4AB57-A036-854A-A29D-A3BC20778491}</b:Guid>
    <b:Author>
      <b:Author>
        <b:Corporate>CAEN</b:Corporate>
      </b:Author>
    </b:Author>
    <b:Title>Fast Neutron Collar</b:Title>
    <b:URL>https://www.caen.it/fast-neutron-collar-innovative-system-for-fresh-nuclear-fuel-verification/#:~:text=Overview,precisely%20and%20in%20shorter%20time</b:URL>
    <b:YearAccessed>2023</b:YearAccessed>
    <b:MonthAccessed>December</b:MonthAccessed>
    <b:DayAccessed>1st</b:DayAccessed>
    <b:RefOrder>4</b:RefOrder>
  </b:Source>
  <b:Source>
    <b:Tag>Lav12</b:Tag>
    <b:SourceType>ConferenceProceedings</b:SourceType>
    <b:Guid>{5D7BB8B0-BCB7-495D-BD2E-819E16C6E779}</b:Guid>
    <b:Title>Liquid scintillator-based neutron detector development</b:Title>
    <b:Year>2012</b:Year>
    <b:City>Anaheim, CA, USA</b:City>
    <b:Author>
      <b:Author>
        <b:NameList>
          <b:Person>
            <b:Last>Lavietes</b:Last>
            <b:First>Anthony</b:First>
          </b:Person>
          <b:Person>
            <b:Last>Plenteda</b:Last>
            <b:First>Romano</b:First>
          </b:Person>
          <b:Person>
            <b:Last>Mascarenhas</b:Last>
            <b:First>Nicholas</b:First>
          </b:Person>
          <b:Person>
            <b:Last>Cronholm</b:Last>
            <b:First>L.</b:First>
            <b:Middle>Marie</b:Middle>
          </b:Person>
          <b:Person>
            <b:Last>Aspinall</b:Last>
            <b:First>Michael</b:First>
          </b:Person>
          <b:Person>
            <b:Last>Joyce</b:Last>
            <b:First>Malcolm</b:First>
          </b:Person>
          <b:Person>
            <b:Last>Tomanin</b:Last>
            <b:First>Alice</b:First>
          </b:Person>
          <b:Person>
            <b:Last>Peerani</b:Last>
            <b:First>Paolo</b:First>
          </b:Person>
        </b:NameList>
      </b:Author>
    </b:Author>
    <b:ConferenceName>2012 IEEE Nuclear Science Symposium and Medical Imaging Conference Record (NSS/MIC)</b:ConferenceName>
    <b:RefOrder>5</b:RefOrder>
  </b:Source>
  <b:Source>
    <b:Tag>Bea17</b:Tag>
    <b:SourceType>JournalArticle</b:SourceType>
    <b:Guid>{38AB9241-C9A4-4D41-A812-10D4EF894309}</b:Guid>
    <b:Title>A fast-neutron coincidence collar using liquid scintillators for fresh fuel verification</b:Title>
    <b:Year>2017</b:Year>
    <b:Author>
      <b:Author>
        <b:NameList>
          <b:Person>
            <b:Last>Beaumont</b:Last>
            <b:First>J.</b:First>
            <b:Middle>S.</b:Middle>
          </b:Person>
          <b:Person>
            <b:Last>Lee</b:Last>
            <b:First>T.</b:First>
            <b:Middle>H.</b:Middle>
          </b:Person>
          <b:Person>
            <b:Last>Mayorov</b:Last>
            <b:First>M.</b:First>
          </b:Person>
          <b:Person>
            <b:Last>Tintori</b:Last>
            <b:First>C.</b:First>
          </b:Person>
          <b:Person>
            <b:Last>Rogo</b:Last>
            <b:First>F.</b:First>
          </b:Person>
          <b:Person>
            <b:Last>Angelucci</b:Last>
            <b:First>B.</b:First>
          </b:Person>
          <b:Person>
            <b:Last>Corbo</b:Last>
            <b:First>M.</b:First>
          </b:Person>
        </b:NameList>
      </b:Author>
    </b:Author>
    <b:JournalName>Journal of Radioanalytical and Nuclear Chemistry</b:JournalName>
    <b:Pages>803-812</b:Pages>
    <b:Volume>314</b:Volume>
    <b:RefOrder>6</b:RefOrder>
  </b:Source>
  <b:Source>
    <b:Tag>USD23</b:Tag>
    <b:SourceType>InternetSite</b:SourceType>
    <b:Guid>{BCF5FFB8-9395-1C4B-9F16-1DCE296A108A}</b:Guid>
    <b:Author>
      <b:Author>
        <b:Corporate>US DOE</b:Corporate>
      </b:Author>
    </b:Author>
    <b:Title>Advanced Reactor Demonstration Program</b:Title>
    <b:URL>https://www.energy.gov/ne/advanced-reactor-demonstration-program</b:URL>
    <b:YearAccessed>2023</b:YearAccessed>
    <b:MonthAccessed>December</b:MonthAccessed>
    <b:DayAccessed>1st</b:DayAccessed>
    <b:RefOrder>7</b:RefOrder>
  </b:Source>
  <b:Source>
    <b:Tag>MTS21</b:Tag>
    <b:SourceType>JournalArticle</b:SourceType>
    <b:Guid>{12206BEF-B8A4-41F7-B768-F49D99A461AF}</b:Guid>
    <b:Title>A new generation of uranium coincidence fast neutron collars for assay of LWR fresh fuel assemblies</b:Title>
    <b:Year>2021</b:Year>
    <b:Author>
      <b:Author>
        <b:NameList>
          <b:Person>
            <b:Last>Swinhoe</b:Last>
            <b:First>M.T.</b:First>
          </b:Person>
          <b:Person>
            <b:Last>Menlove</b:Last>
            <b:First>H.O.</b:First>
          </b:Person>
          <b:Person>
            <b:Last>Baere</b:Last>
            <b:First>P.</b:First>
            <b:Middle>de</b:Middle>
          </b:Person>
          <b:Person>
            <b:Last>Lodi</b:Last>
            <b:First>D.</b:First>
          </b:Person>
          <b:Person>
            <b:Last>Schwalbach</b:Last>
            <b:First>P.</b:First>
          </b:Person>
          <b:Person>
            <b:Last>Rael</b:Last>
            <b:First>C.D.</b:First>
          </b:Person>
          <b:Person>
            <b:Last>Root</b:Last>
            <b:First>M.</b:First>
          </b:Person>
          <b:Person>
            <b:Last>Tomanin</b:Last>
            <b:First>A.</b:First>
          </b:Person>
          <b:Person>
            <b:Last>Favalli</b:Last>
            <b:First>A.</b:First>
          </b:Person>
        </b:NameList>
      </b:Author>
    </b:Author>
    <b:JournalName>Nuclear Instruments and Methods in Physics Research Section A: Accelerators, Spectrometers, Detectors and Associated Equipment</b:JournalName>
    <b:Pages>165453</b:Pages>
    <b:Volume>1009</b:Volume>
    <b:RefOrder>10</b:RefOrder>
  </b:Source>
  <b:Source>
    <b:Tag>Chr17</b:Tag>
    <b:SourceType>Report</b:SourceType>
    <b:Guid>{2A0B5F96-C186-4791-98B1-481AD1DD0049}</b:Guid>
    <b:Title>MCNP User's Manual Code Version 6.2</b:Title>
    <b:Year>2017</b:Year>
    <b:Author>
      <b:Author>
        <b:Corporate>C. J. Werner (ed.)</b:Corporate>
      </b:Author>
    </b:Author>
    <b:Publisher>LA-UR-17-29981, Los Alamos National Laboratory</b:Publisher>
    <b:City>NM, USA</b:City>
    <b:RefOrder>8</b:RefOrder>
  </b:Source>
  <b:Source>
    <b:Tag>SAP12</b:Tag>
    <b:SourceType>JournalArticle</b:SourceType>
    <b:Guid>{746391C2-BCFE-43F8-8D80-C0404DA7D661}</b:Guid>
    <b:Title>MCNPX-PoliMi for nuclear nonproliferation applications</b:Title>
    <b:Year>2012</b:Year>
    <b:Author>
      <b:Author>
        <b:NameList>
          <b:Person>
            <b:Last>Pozzi</b:Last>
            <b:First>S.A.</b:First>
          </b:Person>
          <b:Person>
            <b:Last>Clarke</b:Last>
            <b:First>S.D.</b:First>
          </b:Person>
          <b:Person>
            <b:Last>Walsh</b:Last>
            <b:First>W.J.</b:First>
          </b:Person>
          <b:Person>
            <b:Last>Miller</b:Last>
            <b:First>E.C.</b:First>
          </b:Person>
          <b:Person>
            <b:Last>Dolan</b:Last>
            <b:First>J.L.</b:First>
          </b:Person>
          <b:Person>
            <b:Last>Flaska</b:Last>
            <b:First>M.</b:First>
          </b:Person>
          <b:Person>
            <b:Last>Wieger</b:Last>
            <b:First>B.M.</b:First>
          </b:Person>
          <b:Person>
            <b:Last>Enqvist</b:Last>
            <b:First>A.</b:First>
          </b:Person>
          <b:Person>
            <b:Last>Padovani</b:Last>
            <b:First>E.</b:First>
          </b:Person>
          <b:Person>
            <b:Last>Mattingly</b:Last>
            <b:First>J.K.</b:First>
          </b:Person>
          <b:Person>
            <b:Last>Chichester</b:Last>
            <b:First>D.L.</b:First>
          </b:Person>
          <b:Person>
            <b:Last>Peerani</b:Last>
            <b:First>P.</b:First>
          </b:Person>
        </b:NameList>
      </b:Author>
    </b:Author>
    <b:JournalName>Nuclear Instruments and Methods in Physics Research Section A: Accelerators, Spectrometers, Detectors and Associated Equipment</b:JournalName>
    <b:Pages>119-125</b:Pages>
    <b:Volume>2012</b:Volume>
    <b:RefOrder>9</b:RefOrder>
  </b:Source>
  <b:Source>
    <b:Tag>Ven221</b:Tag>
    <b:SourceType>ConferenceProceedings</b:SourceType>
    <b:Guid>{55515B61-7034-D746-BAEA-6CE77E8560B1}</b:Guid>
    <b:Title>Uranium Enrichment Verification Using Higher Resolution Cadmium Zinc Telluride Detector</b:Title>
    <b:City>Virtual meeting</b:City>
    <b:Year>July 2022</b:Year>
    <b:Author>
      <b:Author>
        <b:NameList>
          <b:Person>
            <b:Last>Venkataraman et al.</b:Last>
            <b:First>R.</b:First>
          </b:Person>
        </b:NameList>
      </b:Author>
    </b:Author>
    <b:ConferenceName>The 2022 INMM Annual Meeting</b:ConferenceName>
    <b:RefOrder>11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44AC9B-2395-4F9F-AEA4-DA040D967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242cb-3216-419c-839e-892d82122160"/>
    <ds:schemaRef ds:uri="6fc1426b-6645-4e40-993a-4a728217c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8CBFA-2722-4A87-AAF4-0C5EE4B16ABE}">
  <ds:schemaRefs>
    <ds:schemaRef ds:uri="http://schemas.microsoft.com/office/2006/metadata/properties"/>
    <ds:schemaRef ds:uri="http://schemas.microsoft.com/office/infopath/2007/PartnerControls"/>
    <ds:schemaRef ds:uri="6fc1426b-6645-4e40-993a-4a728217c6aa"/>
    <ds:schemaRef ds:uri="19a242cb-3216-419c-839e-892d82122160"/>
  </ds:schemaRefs>
</ds:datastoreItem>
</file>

<file path=customXml/itemProps3.xml><?xml version="1.0" encoding="utf-8"?>
<ds:datastoreItem xmlns:ds="http://schemas.openxmlformats.org/officeDocument/2006/customXml" ds:itemID="{C7ABCB72-314E-B949-8C68-9E75E9948CB6}">
  <ds:schemaRefs>
    <ds:schemaRef ds:uri="http://schemas.openxmlformats.org/officeDocument/2006/bibliography"/>
  </ds:schemaRefs>
</ds:datastoreItem>
</file>

<file path=customXml/itemProps4.xml><?xml version="1.0" encoding="utf-8"?>
<ds:datastoreItem xmlns:ds="http://schemas.openxmlformats.org/officeDocument/2006/customXml" ds:itemID="{F2515BCC-D8F1-432C-BAEC-09D0C076A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1</TotalTime>
  <Pages>10</Pages>
  <Words>5522</Words>
  <Characters>30716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Hu, Jianwei</cp:lastModifiedBy>
  <cp:revision>2</cp:revision>
  <cp:lastPrinted>2024-03-19T13:52:00Z</cp:lastPrinted>
  <dcterms:created xsi:type="dcterms:W3CDTF">2024-09-05T13:34:00Z</dcterms:created>
  <dcterms:modified xsi:type="dcterms:W3CDTF">2024-09-05T13:34:00Z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0x01010066B52C8D84CEDB459345D265B90218D7</vt:lpwstr>
  </property>
  <property fmtid="{D5CDD505-2E9C-101B-9397-08002B2CF9AE}" pid="12" name="MediaServiceImageTags">
    <vt:lpwstr/>
  </property>
</Properties>
</file>