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304" w:rsidRDefault="005E7304" w:rsidP="005E7304">
      <w:pPr>
        <w:pStyle w:val="a0"/>
        <w:rPr>
          <w:rFonts w:ascii="Times New Roman Bold" w:hAnsi="Times New Roman Bold" w:cs="Times New Roman"/>
          <w:i w:val="0"/>
          <w:caps/>
          <w:szCs w:val="20"/>
        </w:rPr>
      </w:pPr>
      <w:r w:rsidRPr="005E7304">
        <w:rPr>
          <w:rFonts w:ascii="Times New Roman Bold" w:hAnsi="Times New Roman Bold" w:cs="Times New Roman"/>
          <w:i w:val="0"/>
          <w:caps/>
          <w:szCs w:val="20"/>
        </w:rPr>
        <w:t xml:space="preserve">Development of nuclear infrastructure </w:t>
      </w:r>
    </w:p>
    <w:p w:rsidR="005E7304" w:rsidRDefault="005E7304" w:rsidP="005E7304">
      <w:pPr>
        <w:pStyle w:val="a0"/>
        <w:rPr>
          <w:rFonts w:ascii="Times New Roman Bold" w:hAnsi="Times New Roman Bold" w:cs="Times New Roman"/>
          <w:i w:val="0"/>
          <w:caps/>
          <w:szCs w:val="20"/>
        </w:rPr>
      </w:pPr>
      <w:r w:rsidRPr="005E7304">
        <w:rPr>
          <w:rFonts w:ascii="Times New Roman Bold" w:hAnsi="Times New Roman Bold" w:cs="Times New Roman"/>
          <w:i w:val="0"/>
          <w:caps/>
          <w:szCs w:val="20"/>
        </w:rPr>
        <w:t xml:space="preserve">based on different contracting models </w:t>
      </w:r>
    </w:p>
    <w:p w:rsidR="005E7304" w:rsidRPr="005E7304" w:rsidRDefault="005E7304" w:rsidP="005E7304">
      <w:pPr>
        <w:pStyle w:val="a0"/>
        <w:rPr>
          <w:rFonts w:ascii="Times New Roman Bold" w:hAnsi="Times New Roman Bold" w:cs="Times New Roman"/>
          <w:i w:val="0"/>
          <w:caps/>
          <w:szCs w:val="20"/>
        </w:rPr>
      </w:pPr>
      <w:r w:rsidRPr="005E7304">
        <w:rPr>
          <w:rFonts w:ascii="Times New Roman Bold" w:hAnsi="Times New Roman Bold" w:cs="Times New Roman"/>
          <w:i w:val="0"/>
          <w:caps/>
          <w:szCs w:val="20"/>
        </w:rPr>
        <w:t>and risks assessment</w:t>
      </w:r>
    </w:p>
    <w:p w:rsidR="003B5E0E" w:rsidRDefault="005E7304" w:rsidP="00537496">
      <w:pPr>
        <w:pStyle w:val="Authornameandaffiliation"/>
      </w:pPr>
      <w:r>
        <w:t>Y. </w:t>
      </w:r>
      <w:r w:rsidRPr="005E7304">
        <w:t>Che</w:t>
      </w:r>
      <w:r>
        <w:t>rnyakhovskaya</w:t>
      </w:r>
    </w:p>
    <w:p w:rsidR="00FF386F" w:rsidRDefault="00AF1806" w:rsidP="00537496">
      <w:pPr>
        <w:pStyle w:val="Authornameandaffiliation"/>
      </w:pPr>
      <w:r>
        <w:t>Rusatom Service</w:t>
      </w:r>
      <w:r w:rsidRPr="00AF1806">
        <w:t xml:space="preserve"> </w:t>
      </w:r>
      <w:r>
        <w:t>JSC, Hungarian branch</w:t>
      </w:r>
    </w:p>
    <w:p w:rsidR="00FF386F" w:rsidRDefault="005E7304" w:rsidP="00537496">
      <w:pPr>
        <w:pStyle w:val="Authornameandaffiliation"/>
      </w:pPr>
      <w:proofErr w:type="spellStart"/>
      <w:r>
        <w:t>Paks</w:t>
      </w:r>
      <w:proofErr w:type="spellEnd"/>
      <w:r w:rsidR="00FF386F">
        <w:t xml:space="preserve">, </w:t>
      </w:r>
      <w:r>
        <w:t>Hungary</w:t>
      </w:r>
    </w:p>
    <w:p w:rsidR="00FF386F" w:rsidRDefault="00FF386F" w:rsidP="00537496">
      <w:pPr>
        <w:pStyle w:val="Authornameandaffiliation"/>
      </w:pPr>
      <w:r>
        <w:t xml:space="preserve">Email: </w:t>
      </w:r>
      <w:r w:rsidR="005E7304" w:rsidRPr="005E7304">
        <w:t>YVaChe</w:t>
      </w:r>
      <w:r w:rsidR="005E7304">
        <w:t>rnyakhovskaya@rusatomservice.ru</w:t>
      </w:r>
    </w:p>
    <w:p w:rsidR="00FF386F" w:rsidRDefault="00FF386F" w:rsidP="00537496">
      <w:pPr>
        <w:pStyle w:val="Authornameandaffiliation"/>
      </w:pPr>
    </w:p>
    <w:p w:rsidR="00FF386F" w:rsidRPr="00FF386F" w:rsidRDefault="005E7304" w:rsidP="00537496">
      <w:pPr>
        <w:pStyle w:val="Authornameandaffiliation"/>
      </w:pPr>
      <w:r>
        <w:t>Y. Cherevko</w:t>
      </w:r>
    </w:p>
    <w:p w:rsidR="00AF1806" w:rsidRDefault="00AF1806" w:rsidP="00AF1806">
      <w:pPr>
        <w:pStyle w:val="Authornameandaffiliation"/>
      </w:pPr>
      <w:r>
        <w:t>Rusatom Service</w:t>
      </w:r>
      <w:r w:rsidRPr="00AF1806">
        <w:t xml:space="preserve"> </w:t>
      </w:r>
      <w:r>
        <w:t>JSC</w:t>
      </w:r>
    </w:p>
    <w:p w:rsidR="00FF386F" w:rsidRPr="00FF386F" w:rsidRDefault="005E7304" w:rsidP="00537496">
      <w:pPr>
        <w:pStyle w:val="Authornameandaffiliation"/>
      </w:pPr>
      <w:r>
        <w:t>Moscow</w:t>
      </w:r>
      <w:r w:rsidR="00FF386F" w:rsidRPr="00FF386F">
        <w:t xml:space="preserve">, </w:t>
      </w:r>
      <w:r>
        <w:t>Russian Federation</w:t>
      </w:r>
    </w:p>
    <w:p w:rsidR="00FF386F" w:rsidRDefault="00FF386F" w:rsidP="00537496">
      <w:pPr>
        <w:pStyle w:val="Authornameandaffiliation"/>
      </w:pPr>
    </w:p>
    <w:p w:rsidR="00647F33" w:rsidRPr="00647F33" w:rsidRDefault="00647F33" w:rsidP="00537496">
      <w:pPr>
        <w:pStyle w:val="Authornameandaffiliation"/>
        <w:rPr>
          <w:b/>
        </w:rPr>
      </w:pPr>
      <w:r w:rsidRPr="00647F33">
        <w:rPr>
          <w:b/>
        </w:rPr>
        <w:t>Abstract</w:t>
      </w:r>
    </w:p>
    <w:p w:rsidR="00647F33" w:rsidRDefault="00647F33" w:rsidP="00537496">
      <w:pPr>
        <w:pStyle w:val="Authornameandaffiliation"/>
      </w:pPr>
    </w:p>
    <w:p w:rsidR="005E7304" w:rsidRDefault="005E7304" w:rsidP="005E7304">
      <w:pPr>
        <w:pStyle w:val="Abstracttext"/>
        <w:jc w:val="both"/>
      </w:pPr>
      <w:r w:rsidRPr="005E7304">
        <w:t xml:space="preserve">The scope of activities and responsibilities division for nuclear infrastructure development </w:t>
      </w:r>
      <w:r w:rsidR="0072752F">
        <w:t xml:space="preserve">between a recipient and a </w:t>
      </w:r>
      <w:proofErr w:type="gramStart"/>
      <w:r w:rsidR="0072752F">
        <w:t>vendor</w:t>
      </w:r>
      <w:proofErr w:type="gramEnd"/>
      <w:r w:rsidR="0072752F">
        <w:t xml:space="preserve"> countries </w:t>
      </w:r>
      <w:r w:rsidRPr="005E7304">
        <w:t>is impacted by a chosen deployment model of a SMR project, which is reflected in the set of the contractual arrangements between the project parties. The range of common approaches in an embarking country encompasses a turn-key and a concession (build–own–operate).</w:t>
      </w:r>
      <w:r>
        <w:t xml:space="preserve"> </w:t>
      </w:r>
      <w:r w:rsidRPr="005E7304">
        <w:t xml:space="preserve">It is possible to determine the optimal legal construction for appropriate risks management based on parties’ risk profile and ability to manage their risk. An insufficient </w:t>
      </w:r>
      <w:r w:rsidR="000D7444" w:rsidRPr="005E7304">
        <w:t xml:space="preserve">nuclear infrastructure </w:t>
      </w:r>
      <w:r w:rsidRPr="005E7304">
        <w:t xml:space="preserve">is a </w:t>
      </w:r>
      <w:r w:rsidR="003232E2">
        <w:t>trigger</w:t>
      </w:r>
      <w:r w:rsidR="003232E2" w:rsidRPr="005E7304">
        <w:t xml:space="preserve"> </w:t>
      </w:r>
      <w:r w:rsidRPr="005E7304">
        <w:t xml:space="preserve">for SMR budget overruns, schedule slippage, </w:t>
      </w:r>
      <w:r w:rsidR="007959CE">
        <w:t xml:space="preserve">as well as </w:t>
      </w:r>
      <w:r w:rsidR="00F26048" w:rsidRPr="005E7304">
        <w:t>licensing</w:t>
      </w:r>
      <w:r w:rsidRPr="005E7304">
        <w:t xml:space="preserve"> </w:t>
      </w:r>
      <w:r w:rsidR="007959CE" w:rsidRPr="005E7304">
        <w:t xml:space="preserve">and safety </w:t>
      </w:r>
      <w:r w:rsidRPr="005E7304">
        <w:t xml:space="preserve">challenges. The determination of relevant obligations division in the project is possible based on the results of the (pre-) feasibility study and </w:t>
      </w:r>
      <w:r w:rsidR="000D7444" w:rsidRPr="005E7304">
        <w:t xml:space="preserve">nuclear infrastructure </w:t>
      </w:r>
      <w:r w:rsidRPr="005E7304">
        <w:t>assessment.</w:t>
      </w:r>
      <w:r>
        <w:t xml:space="preserve"> </w:t>
      </w:r>
      <w:r w:rsidRPr="005E7304">
        <w:t xml:space="preserve">To optimize </w:t>
      </w:r>
      <w:r w:rsidR="000D7444" w:rsidRPr="005E7304">
        <w:t xml:space="preserve">nuclear infrastructure </w:t>
      </w:r>
      <w:r w:rsidRPr="005E7304">
        <w:t>for SMR projects in embarking countries, one of the backbone</w:t>
      </w:r>
      <w:r w:rsidRPr="005E7304" w:rsidDel="004316D8">
        <w:t xml:space="preserve"> </w:t>
      </w:r>
      <w:r w:rsidRPr="005E7304">
        <w:t xml:space="preserve">measures for </w:t>
      </w:r>
      <w:r w:rsidR="000D7444" w:rsidRPr="005E7304">
        <w:t xml:space="preserve">nuclear infrastructure </w:t>
      </w:r>
      <w:r w:rsidRPr="005E7304">
        <w:t xml:space="preserve">development is assistance from the vendor state from the beginning, including a bilateral </w:t>
      </w:r>
      <w:r w:rsidR="000D7444" w:rsidRPr="005E7304">
        <w:t xml:space="preserve">nuclear infrastructure </w:t>
      </w:r>
      <w:r w:rsidRPr="005E7304">
        <w:t>plan with fixed commitments of parties and cooperation between regulatory bodies on regulatory framework and safety assessment (pre-licensing).</w:t>
      </w:r>
    </w:p>
    <w:p w:rsidR="00647F33" w:rsidRDefault="00793B2B" w:rsidP="008C7C75">
      <w:pPr>
        <w:pStyle w:val="2"/>
        <w:numPr>
          <w:ilvl w:val="1"/>
          <w:numId w:val="5"/>
        </w:numPr>
      </w:pPr>
      <w:r>
        <w:t>NUCLEAR INFRASTRUCTURE AND GLOBAL NUCLEAR SAFETY REGIME</w:t>
      </w:r>
    </w:p>
    <w:p w:rsidR="002A46C2" w:rsidRDefault="002A46C2" w:rsidP="002A46C2">
      <w:pPr>
        <w:pStyle w:val="a1"/>
      </w:pPr>
      <w:r>
        <w:t>The implementation of the nuclear project takes place within the framework of global cooperation</w:t>
      </w:r>
      <w:r w:rsidR="008E5C6A">
        <w:t xml:space="preserve"> in the field of nuclear safety</w:t>
      </w:r>
      <w:r>
        <w:t>.</w:t>
      </w:r>
      <w:r w:rsidR="008E5C6A">
        <w:t xml:space="preserve"> Nonetheless the undisputable benefits nuclear energy brings it also bears potential </w:t>
      </w:r>
      <w:r w:rsidR="00F26048">
        <w:t xml:space="preserve">transboundary </w:t>
      </w:r>
      <w:r w:rsidR="008E5C6A">
        <w:t xml:space="preserve">risks, first and foremost from </w:t>
      </w:r>
      <w:r w:rsidR="008C7C75">
        <w:t xml:space="preserve">nuclear and radiation </w:t>
      </w:r>
      <w:r w:rsidR="008E5C6A">
        <w:t>safety</w:t>
      </w:r>
      <w:r w:rsidR="007959CE">
        <w:t xml:space="preserve"> </w:t>
      </w:r>
      <w:r w:rsidR="008E5C6A">
        <w:t xml:space="preserve">and </w:t>
      </w:r>
      <w:r w:rsidR="00A73D66">
        <w:t xml:space="preserve">national </w:t>
      </w:r>
      <w:r w:rsidR="008E5C6A">
        <w:t xml:space="preserve">economy perspective.  </w:t>
      </w:r>
    </w:p>
    <w:p w:rsidR="00EB356B" w:rsidRDefault="00151827" w:rsidP="00F2232F">
      <w:pPr>
        <w:pStyle w:val="a1"/>
      </w:pPr>
      <w:r>
        <w:t xml:space="preserve">Nuclear infrastructure </w:t>
      </w:r>
      <w:r w:rsidR="00A73D66">
        <w:t>lies</w:t>
      </w:r>
      <w:r w:rsidR="00A73D66" w:rsidRPr="00AB4AC5">
        <w:t xml:space="preserve"> at</w:t>
      </w:r>
      <w:r>
        <w:t xml:space="preserve"> the heart of the global nuclear safety regime</w:t>
      </w:r>
      <w:r w:rsidR="00A73D66">
        <w:t xml:space="preserve"> </w:t>
      </w:r>
      <w:r w:rsidR="00A73D66" w:rsidRPr="00AB4AC5">
        <w:t>[</w:t>
      </w:r>
      <w:r w:rsidR="00AB4AC5" w:rsidRPr="00AB4AC5">
        <w:t>1</w:t>
      </w:r>
      <w:r w:rsidR="00A73D66" w:rsidRPr="00AB4AC5">
        <w:t>]</w:t>
      </w:r>
      <w:r>
        <w:t xml:space="preserve">, therefore making a decision on nuclear project </w:t>
      </w:r>
      <w:r w:rsidR="007959CE">
        <w:t xml:space="preserve">demands </w:t>
      </w:r>
      <w:r>
        <w:t>justified analysis of nuclear infrastructure requirements that rise before the country making such a decision</w:t>
      </w:r>
      <w:r w:rsidR="007959CE">
        <w:t>. A</w:t>
      </w:r>
      <w:r>
        <w:t xml:space="preserve"> risk-oriented approach </w:t>
      </w:r>
      <w:r w:rsidR="007959CE">
        <w:t xml:space="preserve">should be applied </w:t>
      </w:r>
      <w:r>
        <w:t xml:space="preserve">towards the potential influence of the </w:t>
      </w:r>
      <w:r w:rsidR="008C7C75">
        <w:rPr>
          <w:lang w:val="en-US"/>
        </w:rPr>
        <w:t xml:space="preserve">nuclear technology </w:t>
      </w:r>
      <w:r w:rsidR="007959CE">
        <w:t xml:space="preserve">customer’s expectations and </w:t>
      </w:r>
      <w:r>
        <w:t xml:space="preserve">nuclear safety requirements on the project </w:t>
      </w:r>
      <w:r w:rsidR="007959CE">
        <w:t>feasibility</w:t>
      </w:r>
      <w:r>
        <w:t xml:space="preserve"> </w:t>
      </w:r>
      <w:r w:rsidR="009D72ED">
        <w:t>while</w:t>
      </w:r>
      <w:r>
        <w:t xml:space="preserve"> bearing </w:t>
      </w:r>
      <w:r w:rsidR="00CF45DE">
        <w:t>primary</w:t>
      </w:r>
      <w:r>
        <w:t xml:space="preserve"> safety significance in mind.</w:t>
      </w:r>
      <w:r w:rsidR="00EB356B" w:rsidRPr="00EB356B">
        <w:t xml:space="preserve"> </w:t>
      </w:r>
      <w:r w:rsidR="00EB356B">
        <w:t xml:space="preserve">Nuclear power plants </w:t>
      </w:r>
      <w:r w:rsidR="00A73D66">
        <w:t>are designed with</w:t>
      </w:r>
      <w:r w:rsidR="00EB356B">
        <w:t xml:space="preserve"> inherent safety characteristics. However, it is the national responsibility of the country deciding to pursue nuclear </w:t>
      </w:r>
      <w:r w:rsidR="007959CE">
        <w:t xml:space="preserve">energy </w:t>
      </w:r>
      <w:r w:rsidR="00EB356B">
        <w:t>path to develop the required nuclear infrastructure</w:t>
      </w:r>
      <w:r w:rsidR="00A73D66">
        <w:t xml:space="preserve"> which would support the nuclear project safe and efficient implementation. Among other issues, it encompasses development of </w:t>
      </w:r>
      <w:r w:rsidR="00EB356B">
        <w:t xml:space="preserve">an independent regulatory body, legal and regulatory framework, competent operator, safety culture, quality assurance tools and nuclear security </w:t>
      </w:r>
      <w:r w:rsidR="007959CE">
        <w:t xml:space="preserve">and safeguards </w:t>
      </w:r>
      <w:r w:rsidR="00EB356B">
        <w:t xml:space="preserve">infrastructure. Partially, formulation and division of those responsibilities is established in the set of contracting </w:t>
      </w:r>
      <w:r w:rsidR="00EB356B" w:rsidRPr="00AB4AC5">
        <w:t>arrangements between the nuclear project parties</w:t>
      </w:r>
      <w:r w:rsidR="005F26B6" w:rsidRPr="00AB4AC5">
        <w:t xml:space="preserve"> based on the preferred contracting model</w:t>
      </w:r>
      <w:r w:rsidR="00EB356B" w:rsidRPr="00AB4AC5">
        <w:t>.</w:t>
      </w:r>
    </w:p>
    <w:p w:rsidR="00EB356B" w:rsidRDefault="00EB356B" w:rsidP="00EB356B">
      <w:pPr>
        <w:pStyle w:val="a1"/>
      </w:pPr>
      <w:r>
        <w:t>Nuclear infrastructure and milestone approach concept was formed by the IAEA in 2007</w:t>
      </w:r>
      <w:r w:rsidR="004E3197">
        <w:t xml:space="preserve"> </w:t>
      </w:r>
      <w:r w:rsidR="004E3197" w:rsidRPr="00AB4AC5">
        <w:t>[</w:t>
      </w:r>
      <w:r w:rsidR="00AB4AC5" w:rsidRPr="00AB4AC5">
        <w:t>2</w:t>
      </w:r>
      <w:r w:rsidR="004E3197" w:rsidRPr="00AB4AC5">
        <w:t>]</w:t>
      </w:r>
      <w:r w:rsidR="007959CE">
        <w:t>. S</w:t>
      </w:r>
      <w:r>
        <w:t xml:space="preserve">ince then, when making a decision and developing </w:t>
      </w:r>
      <w:r w:rsidRPr="00AB4AC5">
        <w:t>a nuclear</w:t>
      </w:r>
      <w:r>
        <w:t xml:space="preserve"> project, countries evaluate the current stratus of nuclear infrastructure</w:t>
      </w:r>
      <w:r w:rsidR="00F2232F">
        <w:t xml:space="preserve"> and develop</w:t>
      </w:r>
      <w:r>
        <w:t xml:space="preserve"> it throughout the entire time of </w:t>
      </w:r>
      <w:r w:rsidR="00F2232F">
        <w:t xml:space="preserve">the </w:t>
      </w:r>
      <w:r>
        <w:t>nuclear project implementation</w:t>
      </w:r>
      <w:r w:rsidR="007959CE">
        <w:t xml:space="preserve"> and operation</w:t>
      </w:r>
      <w:r>
        <w:t>. The development of nuclear infrastructure is a continuous process of analysis and improvement.</w:t>
      </w:r>
      <w:r w:rsidR="00886A14">
        <w:t xml:space="preserve"> Nuclear infrastructure is an inherent framework for a nuclear facility project which contributes to achieving the highest level of safety (jointly with the nuclear technology itself). </w:t>
      </w:r>
    </w:p>
    <w:p w:rsidR="005F26B6" w:rsidRDefault="005F26B6" w:rsidP="005F26B6">
      <w:pPr>
        <w:pStyle w:val="a1"/>
      </w:pPr>
      <w:r>
        <w:t xml:space="preserve">After </w:t>
      </w:r>
      <w:r w:rsidRPr="00521F5E">
        <w:t xml:space="preserve">making a decision whether or not to introduce nuclear power, in order to </w:t>
      </w:r>
      <w:r w:rsidR="00EB356B" w:rsidRPr="00521F5E">
        <w:t xml:space="preserve">reach the second milestone </w:t>
      </w:r>
      <w:r w:rsidR="00F401B8">
        <w:t>of a nuclear infrastructure development for</w:t>
      </w:r>
      <w:r w:rsidRPr="00521F5E">
        <w:t xml:space="preserve"> </w:t>
      </w:r>
      <w:r w:rsidR="00886A14">
        <w:t>a nuclear facility</w:t>
      </w:r>
      <w:r w:rsidR="00886A14" w:rsidRPr="00521F5E">
        <w:t xml:space="preserve"> </w:t>
      </w:r>
      <w:r w:rsidRPr="00521F5E">
        <w:t xml:space="preserve">contracting and construction, a </w:t>
      </w:r>
      <w:r w:rsidR="008C7C75">
        <w:t xml:space="preserve">technology </w:t>
      </w:r>
      <w:r w:rsidR="00886A14">
        <w:t xml:space="preserve">recipient </w:t>
      </w:r>
      <w:r w:rsidRPr="00521F5E">
        <w:t>country needs</w:t>
      </w:r>
      <w:r w:rsidR="00EB356B" w:rsidRPr="00521F5E">
        <w:t xml:space="preserve"> to create a</w:t>
      </w:r>
      <w:r w:rsidRPr="00521F5E">
        <w:t xml:space="preserve"> set of safety requirements</w:t>
      </w:r>
      <w:r w:rsidR="00521F5E">
        <w:t xml:space="preserve"> for the project</w:t>
      </w:r>
      <w:r w:rsidRPr="00521F5E">
        <w:t>, licensing process</w:t>
      </w:r>
      <w:r w:rsidR="00521F5E">
        <w:t xml:space="preserve"> of the planned activities</w:t>
      </w:r>
      <w:r w:rsidRPr="00521F5E">
        <w:t>.</w:t>
      </w:r>
      <w:r w:rsidR="00521F5E">
        <w:t xml:space="preserve"> It should be taken into account, that d</w:t>
      </w:r>
      <w:r w:rsidRPr="00521F5E">
        <w:t>evelopment of a national position at the first stages</w:t>
      </w:r>
      <w:r w:rsidR="00521F5E" w:rsidRPr="00521F5E">
        <w:t xml:space="preserve">, the detailed elaboration </w:t>
      </w:r>
      <w:r w:rsidR="00521F5E" w:rsidRPr="00521F5E">
        <w:lastRenderedPageBreak/>
        <w:t>of the roadmap</w:t>
      </w:r>
      <w:r w:rsidR="00434BAA">
        <w:rPr>
          <w:rStyle w:val="af"/>
        </w:rPr>
        <w:footnoteReference w:id="2"/>
      </w:r>
      <w:r w:rsidR="00521F5E" w:rsidRPr="00521F5E">
        <w:t xml:space="preserve"> on the nuclear infrastructure </w:t>
      </w:r>
      <w:r w:rsidR="00F401B8">
        <w:t>enhancement</w:t>
      </w:r>
      <w:r w:rsidR="00521F5E" w:rsidRPr="00521F5E">
        <w:t>,</w:t>
      </w:r>
      <w:r w:rsidRPr="00521F5E">
        <w:t xml:space="preserve"> development </w:t>
      </w:r>
      <w:r w:rsidR="00F401B8">
        <w:t xml:space="preserve">of a </w:t>
      </w:r>
      <w:r w:rsidRPr="00521F5E">
        <w:t xml:space="preserve">national </w:t>
      </w:r>
      <w:r w:rsidR="00521F5E" w:rsidRPr="00521F5E">
        <w:t xml:space="preserve">nuclear fuel cycle </w:t>
      </w:r>
      <w:r w:rsidRPr="00521F5E">
        <w:t>strategy</w:t>
      </w:r>
      <w:r w:rsidR="00521F5E">
        <w:t>, HRD and regulatory strategy</w:t>
      </w:r>
      <w:r w:rsidRPr="00521F5E">
        <w:t xml:space="preserve"> would influence the </w:t>
      </w:r>
      <w:r w:rsidR="00CF45DE">
        <w:t>schedule</w:t>
      </w:r>
      <w:r w:rsidR="00521F5E" w:rsidRPr="00521F5E">
        <w:t xml:space="preserve"> of the project </w:t>
      </w:r>
      <w:r w:rsidR="00F401B8">
        <w:t>implementation</w:t>
      </w:r>
      <w:r w:rsidR="00F401B8" w:rsidRPr="00521F5E">
        <w:t xml:space="preserve"> </w:t>
      </w:r>
      <w:r w:rsidRPr="00521F5E">
        <w:t xml:space="preserve">and the </w:t>
      </w:r>
      <w:r w:rsidR="00521F5E">
        <w:t xml:space="preserve">further </w:t>
      </w:r>
      <w:r w:rsidRPr="00521F5E">
        <w:t xml:space="preserve">requirements </w:t>
      </w:r>
      <w:r w:rsidR="00886A14">
        <w:t>elaboration</w:t>
      </w:r>
      <w:r w:rsidR="00C64C6C">
        <w:t xml:space="preserve"> (as a requirements management system</w:t>
      </w:r>
      <w:r w:rsidR="00384658">
        <w:t xml:space="preserve"> </w:t>
      </w:r>
      <w:r w:rsidR="005F3CDE">
        <w:t xml:space="preserve">and configuration management system </w:t>
      </w:r>
      <w:r w:rsidR="00384658">
        <w:t xml:space="preserve">of a nuclear </w:t>
      </w:r>
      <w:r w:rsidR="00842CD0">
        <w:t>facility project management</w:t>
      </w:r>
      <w:r w:rsidR="00C64C6C">
        <w:t>)</w:t>
      </w:r>
      <w:r w:rsidR="00521F5E">
        <w:t>.</w:t>
      </w:r>
    </w:p>
    <w:p w:rsidR="00E25B68" w:rsidRDefault="00793B2B" w:rsidP="008C7C75">
      <w:pPr>
        <w:pStyle w:val="2"/>
        <w:numPr>
          <w:ilvl w:val="1"/>
          <w:numId w:val="5"/>
        </w:numPr>
      </w:pPr>
      <w:r>
        <w:t>RISKS</w:t>
      </w:r>
      <w:r w:rsidR="008959BB" w:rsidRPr="008959BB">
        <w:rPr>
          <w:lang w:val="en-US"/>
        </w:rPr>
        <w:t xml:space="preserve"> - </w:t>
      </w:r>
      <w:r w:rsidR="008959BB">
        <w:rPr>
          <w:lang w:val="en-US"/>
        </w:rPr>
        <w:t>ORIENTED</w:t>
      </w:r>
      <w:r>
        <w:t xml:space="preserve"> </w:t>
      </w:r>
      <w:r w:rsidR="008959BB">
        <w:t>APPROACH IN NUCLEAR INFRASTRUCTURE DEVELOPMENT</w:t>
      </w:r>
    </w:p>
    <w:p w:rsidR="00F2232F" w:rsidRDefault="00F2232F" w:rsidP="00793B2B">
      <w:pPr>
        <w:pStyle w:val="a1"/>
      </w:pPr>
      <w:r>
        <w:t xml:space="preserve">Many of the factors that will either facilitate or obstruct the deployment of nuclear power relate to infrastructure — </w:t>
      </w:r>
      <w:r w:rsidR="00886A14" w:rsidRPr="00AB4AC5">
        <w:t>regional</w:t>
      </w:r>
      <w:r w:rsidR="00886A14">
        <w:t>,</w:t>
      </w:r>
      <w:r w:rsidR="00886A14" w:rsidRPr="00AB4AC5">
        <w:t xml:space="preserve"> </w:t>
      </w:r>
      <w:r w:rsidRPr="00AB4AC5">
        <w:t>national and international [</w:t>
      </w:r>
      <w:r w:rsidR="00AB4AC5" w:rsidRPr="00AB4AC5">
        <w:t>3</w:t>
      </w:r>
      <w:r w:rsidRPr="00AB4AC5">
        <w:t>]</w:t>
      </w:r>
      <w:r>
        <w:t xml:space="preserve">. </w:t>
      </w:r>
      <w:r w:rsidR="00793B2B" w:rsidRPr="00793B2B">
        <w:t xml:space="preserve">In the absence of nuclear infrastructure development, starting from the early stage of a </w:t>
      </w:r>
      <w:r w:rsidR="00886A14">
        <w:t>nuclear facility</w:t>
      </w:r>
      <w:r w:rsidR="00886A14" w:rsidRPr="00793B2B">
        <w:t xml:space="preserve"> </w:t>
      </w:r>
      <w:r w:rsidR="00793B2B" w:rsidRPr="00793B2B">
        <w:t xml:space="preserve">project, risks arise in terms of delays in its implementation, in the timing of obtaining licences and permits, additional costs and etc. Lack of nuclear infrastructure assessment leads to the risk of </w:t>
      </w:r>
      <w:r w:rsidR="00571E6F">
        <w:t xml:space="preserve">compromising the safety, </w:t>
      </w:r>
      <w:r w:rsidR="00793B2B" w:rsidRPr="00793B2B">
        <w:t>project cost increase, reduced return on investment, and an increase in the project implementation period</w:t>
      </w:r>
      <w:r w:rsidR="00571E6F" w:rsidRPr="00571E6F">
        <w:rPr>
          <w:lang w:val="en-US"/>
        </w:rPr>
        <w:t xml:space="preserve"> (</w:t>
      </w:r>
      <w:r w:rsidR="00571E6F">
        <w:rPr>
          <w:lang w:val="en-US"/>
        </w:rPr>
        <w:t>a vicious cycle of mega-projects synergetic</w:t>
      </w:r>
      <w:r w:rsidR="00984C9F">
        <w:rPr>
          <w:lang w:val="en-US"/>
        </w:rPr>
        <w:t xml:space="preserve"> domino</w:t>
      </w:r>
      <w:r w:rsidR="00571E6F">
        <w:rPr>
          <w:lang w:val="en-US"/>
        </w:rPr>
        <w:t xml:space="preserve"> effect</w:t>
      </w:r>
      <w:r w:rsidR="00571E6F" w:rsidRPr="00571E6F">
        <w:rPr>
          <w:lang w:val="en-US"/>
        </w:rPr>
        <w:t>)</w:t>
      </w:r>
      <w:r w:rsidR="00793B2B" w:rsidRPr="00793B2B">
        <w:t xml:space="preserve">. </w:t>
      </w:r>
    </w:p>
    <w:p w:rsidR="00451626" w:rsidRPr="004F6C7F" w:rsidRDefault="00CF45DE" w:rsidP="00793B2B">
      <w:pPr>
        <w:pStyle w:val="a1"/>
        <w:rPr>
          <w:lang w:val="en-US"/>
        </w:rPr>
      </w:pPr>
      <w:r>
        <w:t xml:space="preserve">Regulatory framework development and requirements establishment is one the most significate issues influencing the nuclear project contracting cost and schedule (see Fig. 1). </w:t>
      </w:r>
      <w:r w:rsidR="004F6C7F">
        <w:t>When NPP/SMR negotiations start a reference plant is usually a</w:t>
      </w:r>
      <w:r w:rsidR="004F6C7F">
        <w:rPr>
          <w:lang w:val="en-US"/>
        </w:rPr>
        <w:t xml:space="preserve">n initial stage for discussion of customer’s expectations and functional demands. Usually it is the very early stage of negotiation which brings the highest portion of recipient </w:t>
      </w:r>
      <w:r w:rsidR="008C7C75">
        <w:rPr>
          <w:lang w:val="en-US"/>
        </w:rPr>
        <w:t>country regulatory</w:t>
      </w:r>
      <w:r w:rsidR="004F6C7F">
        <w:rPr>
          <w:lang w:val="en-US"/>
        </w:rPr>
        <w:t xml:space="preserve"> requirements which drives NPP/SMR design change and adaptation to the local conditions (first of all climate, seismic, legal and regulatory framework). Although the customer’s requirements are not large at numbers they may change a reference plant configuration rather dramatically. </w:t>
      </w:r>
      <w:r w:rsidR="009D7D73">
        <w:rPr>
          <w:lang w:val="en-US"/>
        </w:rPr>
        <w:t xml:space="preserve">According to cost estimate classification system of Association of Advancement of Cost Engineering, expected accuracy range for the initial project negotiation stage is extremely broad (so there is no opportunity to assess NPP/SMR cost correctly). </w:t>
      </w:r>
      <w:r w:rsidR="00647117">
        <w:rPr>
          <w:lang w:val="en-US"/>
        </w:rPr>
        <w:t xml:space="preserve">Gradually, when the customer’s requirements are implemented in the NPP/SMR configuration, especially after inclusion the particular industrial partners in the future cooperation model, the expected accuracy of the NPP/SMR cost assessment may achieve an affordable level. Nuclear infrastructure and regulatory framework immaturity drives uncertainties in the NPP/SMR project implementation and sustainability.  </w:t>
      </w:r>
      <w:r w:rsidR="004F6C7F">
        <w:rPr>
          <w:lang w:val="en-US"/>
        </w:rPr>
        <w:t xml:space="preserve">  </w:t>
      </w:r>
      <w:r w:rsidR="004F6C7F">
        <w:t xml:space="preserve"> </w:t>
      </w:r>
    </w:p>
    <w:p w:rsidR="00C71763" w:rsidRDefault="00CF45DE" w:rsidP="00793B2B">
      <w:pPr>
        <w:pStyle w:val="a1"/>
      </w:pPr>
      <w:r>
        <w:t>At the same time, t</w:t>
      </w:r>
      <w:r w:rsidR="00C71763">
        <w:t xml:space="preserve">en years of lessons learned in IAEA Integrated Nuclear Infrastructure Review (INIR) mission has shown that a lot of countries struggle with establishing a competent, effectively independent nuclear regulatory body and developing the regulatory framework </w:t>
      </w:r>
      <w:r w:rsidR="00C71763" w:rsidRPr="00AB4AC5">
        <w:t>[</w:t>
      </w:r>
      <w:r w:rsidR="00AB4AC5" w:rsidRPr="00AB4AC5">
        <w:t>4</w:t>
      </w:r>
      <w:r w:rsidR="00C71763" w:rsidRPr="00AB4AC5">
        <w:t>]</w:t>
      </w:r>
      <w:r w:rsidR="00C71763">
        <w:t xml:space="preserve">. </w:t>
      </w:r>
    </w:p>
    <w:p w:rsidR="00C71763" w:rsidRPr="00AB4AC5" w:rsidRDefault="00C71763" w:rsidP="00793B2B">
      <w:pPr>
        <w:pStyle w:val="a1"/>
        <w:rPr>
          <w:lang w:val="en-US"/>
        </w:rPr>
      </w:pPr>
    </w:p>
    <w:p w:rsidR="008959BB" w:rsidRPr="00F05F5C" w:rsidRDefault="00C73F00" w:rsidP="00443CEA">
      <w:pPr>
        <w:pStyle w:val="a1"/>
        <w:ind w:firstLine="0"/>
        <w:rPr>
          <w:lang w:val="ru-RU"/>
        </w:rPr>
      </w:pPr>
      <w:r>
        <w:rPr>
          <w:noProof/>
          <w:lang w:val="ru-RU" w:eastAsia="ru-RU"/>
        </w:rPr>
        <w:drawing>
          <wp:inline distT="0" distB="0" distL="0" distR="0">
            <wp:extent cx="5729605" cy="299847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2998470"/>
                    </a:xfrm>
                    <a:prstGeom prst="rect">
                      <a:avLst/>
                    </a:prstGeom>
                    <a:noFill/>
                    <a:ln>
                      <a:noFill/>
                    </a:ln>
                  </pic:spPr>
                </pic:pic>
              </a:graphicData>
            </a:graphic>
          </wp:inline>
        </w:drawing>
      </w:r>
    </w:p>
    <w:p w:rsidR="00C73F00" w:rsidRDefault="00C73F00" w:rsidP="00F05F5C">
      <w:pPr>
        <w:pStyle w:val="a7"/>
        <w:jc w:val="center"/>
        <w:rPr>
          <w:i/>
        </w:rPr>
      </w:pPr>
    </w:p>
    <w:p w:rsidR="00F05F5C" w:rsidRPr="00802381" w:rsidRDefault="00F05F5C" w:rsidP="00F05F5C">
      <w:pPr>
        <w:pStyle w:val="a7"/>
        <w:jc w:val="center"/>
        <w:rPr>
          <w:i/>
          <w:sz w:val="20"/>
        </w:rPr>
      </w:pPr>
      <w:r w:rsidRPr="00802381">
        <w:rPr>
          <w:i/>
        </w:rPr>
        <w:lastRenderedPageBreak/>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DB69CB">
        <w:rPr>
          <w:i/>
        </w:rPr>
        <w:t>Step-by-step impact of Customer’s requirements on NPP design configuration, deviations from the reference plant, NPP</w:t>
      </w:r>
      <w:r w:rsidR="00CE09C2">
        <w:rPr>
          <w:i/>
        </w:rPr>
        <w:t>/SMR</w:t>
      </w:r>
      <w:r w:rsidR="00DB69CB">
        <w:rPr>
          <w:i/>
        </w:rPr>
        <w:t xml:space="preserve"> project budget and accuracy of its assessment</w:t>
      </w:r>
      <w:r>
        <w:rPr>
          <w:i/>
        </w:rPr>
        <w:t>.</w:t>
      </w:r>
    </w:p>
    <w:p w:rsidR="00F05F5C" w:rsidRDefault="00F05F5C" w:rsidP="00C71763">
      <w:pPr>
        <w:pStyle w:val="a1"/>
        <w:rPr>
          <w:lang w:val="en-US"/>
        </w:rPr>
      </w:pPr>
    </w:p>
    <w:p w:rsidR="00C71763" w:rsidRDefault="00CF45DE" w:rsidP="00C71763">
      <w:pPr>
        <w:pStyle w:val="a1"/>
      </w:pPr>
      <w:r>
        <w:t>T</w:t>
      </w:r>
      <w:r w:rsidR="00C71763">
        <w:t xml:space="preserve">he following main issues can be identified within the </w:t>
      </w:r>
      <w:r>
        <w:t>national nuclear infrastructure</w:t>
      </w:r>
      <w:r w:rsidR="00E56955">
        <w:t xml:space="preserve"> </w:t>
      </w:r>
      <w:r w:rsidR="00C71763">
        <w:t xml:space="preserve">framework </w:t>
      </w:r>
      <w:r w:rsidR="00E56955">
        <w:t xml:space="preserve">affecting </w:t>
      </w:r>
      <w:r w:rsidR="00571E6F">
        <w:t xml:space="preserve">safety, </w:t>
      </w:r>
      <w:r w:rsidR="00DE2FAD">
        <w:t xml:space="preserve">schedule </w:t>
      </w:r>
      <w:r w:rsidR="00E56955">
        <w:t>and cost of the implementation of the nuclear project</w:t>
      </w:r>
      <w:r w:rsidR="00C71763">
        <w:t>:</w:t>
      </w:r>
    </w:p>
    <w:p w:rsidR="00E56955" w:rsidRDefault="00E56955" w:rsidP="00B830D4">
      <w:pPr>
        <w:pStyle w:val="ListNumbered"/>
      </w:pPr>
      <w:r>
        <w:t xml:space="preserve">absence of a full-fledged national regulatory framework, the requirements of which are harmonized with the safety requirements of the IAEA with a detailed procedure or guidance on the </w:t>
      </w:r>
      <w:r w:rsidR="007F080B">
        <w:t>explanation</w:t>
      </w:r>
      <w:r>
        <w:t xml:space="preserve"> of regulations, guidelines and standards for licensing nuclear energy use</w:t>
      </w:r>
      <w:r w:rsidR="006C559D">
        <w:t>. I</w:t>
      </w:r>
      <w:r>
        <w:t xml:space="preserve">n the most cases the </w:t>
      </w:r>
      <w:r w:rsidR="00BD3FFC">
        <w:t>Intergovernmental Agreements (IGA)</w:t>
      </w:r>
      <w:r>
        <w:t xml:space="preserve"> between the countries on cooperation in nuclear energy and </w:t>
      </w:r>
      <w:r w:rsidR="00984C9F">
        <w:t xml:space="preserve">a nuclear facility </w:t>
      </w:r>
      <w:r>
        <w:t xml:space="preserve">construction </w:t>
      </w:r>
      <w:r w:rsidRPr="00E56955">
        <w:t>contain</w:t>
      </w:r>
      <w:r w:rsidR="002F2293">
        <w:t>s</w:t>
      </w:r>
      <w:r w:rsidRPr="00E56955">
        <w:t xml:space="preserve"> provisions on the application of national standards and </w:t>
      </w:r>
      <w:r w:rsidR="006C559D">
        <w:t>regulatory</w:t>
      </w:r>
      <w:r w:rsidRPr="00E56955">
        <w:t xml:space="preserve"> requirements of the host party in the framework of licensing and implementation of the project</w:t>
      </w:r>
      <w:r w:rsidR="006C559D">
        <w:t>, which is not established</w:t>
      </w:r>
      <w:r w:rsidR="006C559D" w:rsidRPr="006C559D">
        <w:t xml:space="preserve"> </w:t>
      </w:r>
      <w:r w:rsidR="006C559D">
        <w:t>at the time of contracting</w:t>
      </w:r>
      <w:r w:rsidR="002F2293">
        <w:t xml:space="preserve"> for a new-comers’ case</w:t>
      </w:r>
      <w:r w:rsidR="006C559D">
        <w:t>;</w:t>
      </w:r>
    </w:p>
    <w:p w:rsidR="006C559D" w:rsidRDefault="006C559D" w:rsidP="00B830D4">
      <w:pPr>
        <w:pStyle w:val="ListNumbered"/>
      </w:pPr>
      <w:r>
        <w:t>lack of financing for the activities on nuclear infrastructure development, specifically for the regulatory framework and human resources development;</w:t>
      </w:r>
    </w:p>
    <w:p w:rsidR="006C559D" w:rsidRDefault="002F2293" w:rsidP="00B830D4">
      <w:pPr>
        <w:pStyle w:val="ListNumbered"/>
      </w:pPr>
      <w:proofErr w:type="gramStart"/>
      <w:r>
        <w:t>no</w:t>
      </w:r>
      <w:proofErr w:type="gramEnd"/>
      <w:r w:rsidR="006C559D">
        <w:t xml:space="preserve"> nuclear infrastructure roadmap </w:t>
      </w:r>
      <w:r>
        <w:t xml:space="preserve">available </w:t>
      </w:r>
      <w:r w:rsidR="006C559D">
        <w:t>with defined responsibilities of national authorities on nuclear infrastructure development.</w:t>
      </w:r>
    </w:p>
    <w:p w:rsidR="00C71763" w:rsidRDefault="00C71763" w:rsidP="00C71763">
      <w:pPr>
        <w:pStyle w:val="a1"/>
      </w:pPr>
      <w:r>
        <w:t>N</w:t>
      </w:r>
      <w:r w:rsidRPr="00793B2B">
        <w:t>uclear infrastructure assessment at early stages</w:t>
      </w:r>
      <w:r w:rsidR="002F2293">
        <w:t xml:space="preserve"> of NPP</w:t>
      </w:r>
      <w:r w:rsidR="007C6A53">
        <w:t>/SMR</w:t>
      </w:r>
      <w:r w:rsidR="002F2293">
        <w:t xml:space="preserve"> project planning</w:t>
      </w:r>
      <w:r w:rsidRPr="00793B2B">
        <w:t xml:space="preserve"> </w:t>
      </w:r>
      <w:r>
        <w:t>is a prerequisite for risks assessment and mitigation. First of all, it</w:t>
      </w:r>
      <w:r w:rsidRPr="00793B2B">
        <w:t xml:space="preserve"> would provide </w:t>
      </w:r>
      <w:r>
        <w:t>the country</w:t>
      </w:r>
      <w:r w:rsidRPr="00793B2B">
        <w:t xml:space="preserve"> with a certainty on the steps to be taken to fill in the gaps in the infrastructural environment or to bring the existing tools into line with the new goals of a new project, </w:t>
      </w:r>
      <w:r>
        <w:t xml:space="preserve">to plan and ensure availability of the necessary financing. Secondly, gradual development of a nuclear infrastructure based on the initial assessment would ensure timely establishment of effective and sufficient national legal and regulatory framework with </w:t>
      </w:r>
      <w:r>
        <w:rPr>
          <w:szCs w:val="28"/>
        </w:rPr>
        <w:t xml:space="preserve">requirements </w:t>
      </w:r>
      <w:r>
        <w:t>corresponding to the design features of the preferable nuclear facility and nuclear facility risks</w:t>
      </w:r>
      <w:r w:rsidRPr="00793B2B">
        <w:t>.</w:t>
      </w:r>
      <w:r>
        <w:t xml:space="preserve"> </w:t>
      </w:r>
      <w:r w:rsidR="006C559D">
        <w:t xml:space="preserve">Finally, it would assist in contract documents </w:t>
      </w:r>
      <w:r w:rsidR="00CF45DE">
        <w:t>formation</w:t>
      </w:r>
      <w:r w:rsidR="006C559D">
        <w:t xml:space="preserve"> with inclusion of responsibilities on nuclear infrastructure development and establishment of the regulatory framework applied to the project.</w:t>
      </w:r>
    </w:p>
    <w:p w:rsidR="001900B0" w:rsidRDefault="001900B0" w:rsidP="006C559D">
      <w:pPr>
        <w:pStyle w:val="a1"/>
      </w:pPr>
    </w:p>
    <w:p w:rsidR="001900B0" w:rsidRDefault="001900B0" w:rsidP="008C7C75">
      <w:pPr>
        <w:pStyle w:val="a1"/>
        <w:numPr>
          <w:ilvl w:val="1"/>
          <w:numId w:val="11"/>
        </w:numPr>
        <w:ind w:hanging="721"/>
        <w:rPr>
          <w:b/>
        </w:rPr>
      </w:pPr>
      <w:r w:rsidRPr="003E39F4">
        <w:rPr>
          <w:b/>
        </w:rPr>
        <w:t xml:space="preserve">Bilateral cooperation mode </w:t>
      </w:r>
    </w:p>
    <w:p w:rsidR="003E39F4" w:rsidRPr="003E39F4" w:rsidRDefault="003E39F4" w:rsidP="003E39F4">
      <w:pPr>
        <w:pStyle w:val="a1"/>
        <w:ind w:left="1288" w:firstLine="0"/>
        <w:rPr>
          <w:b/>
        </w:rPr>
      </w:pPr>
    </w:p>
    <w:p w:rsidR="006C559D" w:rsidRPr="00793B2B" w:rsidRDefault="00434BAA" w:rsidP="006C559D">
      <w:pPr>
        <w:pStyle w:val="a1"/>
      </w:pPr>
      <w:r>
        <w:t>B</w:t>
      </w:r>
      <w:r w:rsidRPr="00793B2B">
        <w:t xml:space="preserve">ased on </w:t>
      </w:r>
      <w:r w:rsidR="001900B0">
        <w:t xml:space="preserve">NPP project </w:t>
      </w:r>
      <w:r w:rsidRPr="00793B2B">
        <w:t xml:space="preserve">parties’ risk profile and ability to manage their risk </w:t>
      </w:r>
      <w:r>
        <w:t>i</w:t>
      </w:r>
      <w:r w:rsidR="006C559D" w:rsidRPr="00793B2B">
        <w:t>t is possible to determine the optimal set of contract documents and their content for appropriate risks management. According to the principle of “communicating vessels”</w:t>
      </w:r>
      <w:r w:rsidR="006C559D" w:rsidRPr="006C559D">
        <w:rPr>
          <w:vertAlign w:val="superscript"/>
        </w:rPr>
        <w:footnoteReference w:id="3"/>
      </w:r>
      <w:r w:rsidR="006C559D" w:rsidRPr="00793B2B">
        <w:t xml:space="preserve">, risks and means of managing them can be reflected both in a single fundamental agreement on a </w:t>
      </w:r>
      <w:r w:rsidR="00BD3FFC">
        <w:t>NPP</w:t>
      </w:r>
      <w:r w:rsidR="006C559D" w:rsidRPr="00793B2B">
        <w:t xml:space="preserve"> project or in a package of contract documents rigidly interconnected among each other according to the principle of hierarchy. In the </w:t>
      </w:r>
      <w:r w:rsidR="007226FE">
        <w:t xml:space="preserve">most spread </w:t>
      </w:r>
      <w:r w:rsidR="00C2263F">
        <w:t>second</w:t>
      </w:r>
      <w:r w:rsidR="00C2263F" w:rsidRPr="00793B2B">
        <w:t xml:space="preserve"> </w:t>
      </w:r>
      <w:r w:rsidR="006C559D" w:rsidRPr="00793B2B">
        <w:t xml:space="preserve">case, the higher-level agreements (first of all, </w:t>
      </w:r>
      <w:r w:rsidR="00BD3FFC">
        <w:t>IGA</w:t>
      </w:r>
      <w:r w:rsidR="006C559D" w:rsidRPr="00793B2B">
        <w:t xml:space="preserve">) define the key conditions and parameters of the </w:t>
      </w:r>
      <w:r w:rsidR="00BD3FFC">
        <w:t>NPP</w:t>
      </w:r>
      <w:r w:rsidR="006C559D" w:rsidRPr="00793B2B">
        <w:t xml:space="preserve"> project, which are subject to detail in the “lower-level” agreements at the level of organizations, and which could be supplemented by </w:t>
      </w:r>
      <w:r w:rsidR="00BD3FFC">
        <w:t>bilateral</w:t>
      </w:r>
      <w:r w:rsidR="006C559D" w:rsidRPr="00793B2B">
        <w:t xml:space="preserve"> </w:t>
      </w:r>
      <w:r w:rsidR="00BD3FFC">
        <w:t xml:space="preserve">nuclear </w:t>
      </w:r>
      <w:r w:rsidR="006C559D" w:rsidRPr="00793B2B">
        <w:t xml:space="preserve">infrastructure </w:t>
      </w:r>
      <w:r w:rsidR="00BD3FFC">
        <w:t>development plan</w:t>
      </w:r>
      <w:r w:rsidR="006C559D" w:rsidRPr="00793B2B">
        <w:t>, as well as by national policy and regulatory framework of the country where the project is being implemented</w:t>
      </w:r>
      <w:r w:rsidR="000D6BB5">
        <w:t xml:space="preserve"> (see Fig. 2)</w:t>
      </w:r>
      <w:r w:rsidR="006C559D" w:rsidRPr="00793B2B">
        <w:t>.</w:t>
      </w:r>
      <w:r w:rsidR="00C2263F" w:rsidRPr="00C2263F">
        <w:rPr>
          <w:lang w:val="en-US"/>
        </w:rPr>
        <w:t xml:space="preserve"> </w:t>
      </w:r>
      <w:r w:rsidR="00C2263F" w:rsidRPr="00601AC7">
        <w:rPr>
          <w:lang w:val="en-US"/>
        </w:rPr>
        <w:t xml:space="preserve">Elaborated hierarchy (“a pyramid”) of cooperation legal documents (memoranda, agreements, contacts, etc.) </w:t>
      </w:r>
      <w:r w:rsidR="005E4234">
        <w:rPr>
          <w:lang w:val="en-US"/>
        </w:rPr>
        <w:t>interrelated</w:t>
      </w:r>
      <w:r w:rsidR="00C2263F" w:rsidRPr="00601AC7">
        <w:rPr>
          <w:lang w:val="en-US"/>
        </w:rPr>
        <w:t xml:space="preserve"> in a manner of interconnected vessels is a pivotal tool for risk management and responsibilities division enabling finance raising to a new </w:t>
      </w:r>
      <w:r w:rsidR="00C2263F">
        <w:rPr>
          <w:lang w:val="en-US"/>
        </w:rPr>
        <w:t>NPP</w:t>
      </w:r>
      <w:r w:rsidR="007C6A53">
        <w:rPr>
          <w:lang w:val="en-US"/>
        </w:rPr>
        <w:t>/SMR</w:t>
      </w:r>
      <w:r w:rsidR="00C2263F">
        <w:rPr>
          <w:lang w:val="en-US"/>
        </w:rPr>
        <w:t xml:space="preserve"> project</w:t>
      </w:r>
      <w:r w:rsidR="00C2263F" w:rsidRPr="00601AC7">
        <w:rPr>
          <w:lang w:val="en-US"/>
        </w:rPr>
        <w:t xml:space="preserve">.  </w:t>
      </w:r>
    </w:p>
    <w:p w:rsidR="000D6BB5" w:rsidRDefault="000D6BB5" w:rsidP="006C559D">
      <w:pPr>
        <w:pStyle w:val="a1"/>
      </w:pPr>
    </w:p>
    <w:p w:rsidR="000D6BB5" w:rsidRDefault="004C1595" w:rsidP="004D7C02">
      <w:pPr>
        <w:pStyle w:val="a1"/>
        <w:ind w:firstLine="0"/>
      </w:pPr>
      <w:r>
        <w:rPr>
          <w:noProof/>
          <w:lang w:val="ru-RU" w:eastAsia="ru-RU"/>
        </w:rPr>
        <w:lastRenderedPageBreak/>
        <w:drawing>
          <wp:inline distT="0" distB="0" distL="0" distR="0">
            <wp:extent cx="5725795" cy="308800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795" cy="3088005"/>
                    </a:xfrm>
                    <a:prstGeom prst="rect">
                      <a:avLst/>
                    </a:prstGeom>
                    <a:noFill/>
                    <a:ln>
                      <a:noFill/>
                    </a:ln>
                  </pic:spPr>
                </pic:pic>
              </a:graphicData>
            </a:graphic>
          </wp:inline>
        </w:drawing>
      </w:r>
    </w:p>
    <w:p w:rsidR="000D6BB5" w:rsidRDefault="000D6BB5" w:rsidP="006C559D">
      <w:pPr>
        <w:pStyle w:val="a1"/>
      </w:pPr>
    </w:p>
    <w:p w:rsidR="002108BB" w:rsidRPr="009D6D43" w:rsidRDefault="000D6BB5" w:rsidP="002108BB">
      <w:pPr>
        <w:pStyle w:val="a7"/>
        <w:jc w:val="center"/>
        <w:rPr>
          <w:i/>
        </w:rPr>
      </w:pPr>
      <w:r w:rsidRPr="00802381">
        <w:rPr>
          <w:i/>
        </w:rPr>
        <w:t xml:space="preserve">FIG. </w:t>
      </w:r>
      <w:r>
        <w:rPr>
          <w:i/>
        </w:rPr>
        <w:t xml:space="preserve">2. </w:t>
      </w:r>
      <w:r w:rsidR="006511E8">
        <w:rPr>
          <w:i/>
        </w:rPr>
        <w:t>P</w:t>
      </w:r>
      <w:r w:rsidRPr="000D6BB5">
        <w:rPr>
          <w:i/>
        </w:rPr>
        <w:t xml:space="preserve">ossible </w:t>
      </w:r>
      <w:r w:rsidR="002108BB">
        <w:rPr>
          <w:i/>
        </w:rPr>
        <w:t>evolution</w:t>
      </w:r>
      <w:r w:rsidRPr="000D6BB5">
        <w:rPr>
          <w:i/>
        </w:rPr>
        <w:t xml:space="preserve"> of the legal structure of the </w:t>
      </w:r>
      <w:r w:rsidR="00B17299">
        <w:rPr>
          <w:i/>
        </w:rPr>
        <w:t>NPP/SMR</w:t>
      </w:r>
      <w:r w:rsidRPr="000D6BB5">
        <w:rPr>
          <w:i/>
        </w:rPr>
        <w:t xml:space="preserve"> project </w:t>
      </w:r>
      <w:r w:rsidR="00B17299">
        <w:rPr>
          <w:i/>
        </w:rPr>
        <w:t xml:space="preserve">(EPC/BOO options) </w:t>
      </w:r>
      <w:r w:rsidRPr="000D6BB5">
        <w:rPr>
          <w:i/>
        </w:rPr>
        <w:t xml:space="preserve">with specialized provisions for nuclear </w:t>
      </w:r>
      <w:r w:rsidR="00B17299">
        <w:rPr>
          <w:i/>
        </w:rPr>
        <w:t>infrastructure development</w:t>
      </w:r>
      <w:r w:rsidR="002108BB">
        <w:rPr>
          <w:i/>
        </w:rPr>
        <w:t xml:space="preserve"> (d</w:t>
      </w:r>
      <w:r w:rsidR="002108BB" w:rsidRPr="009D6D43">
        <w:rPr>
          <w:i/>
        </w:rPr>
        <w:t xml:space="preserve">ecomposition of essential conditions and parameters of a </w:t>
      </w:r>
      <w:r w:rsidR="002108BB">
        <w:rPr>
          <w:i/>
        </w:rPr>
        <w:t xml:space="preserve">NPP/SMR </w:t>
      </w:r>
      <w:r w:rsidR="002108BB" w:rsidRPr="009D6D43">
        <w:rPr>
          <w:i/>
        </w:rPr>
        <w:t xml:space="preserve">project, taking into account the </w:t>
      </w:r>
      <w:r w:rsidR="006511E8">
        <w:rPr>
          <w:i/>
        </w:rPr>
        <w:t>gap analysis</w:t>
      </w:r>
      <w:r w:rsidR="002108BB" w:rsidRPr="009D6D43">
        <w:rPr>
          <w:i/>
        </w:rPr>
        <w:t xml:space="preserve"> of nuclear infrastructure</w:t>
      </w:r>
      <w:r w:rsidR="002108BB">
        <w:rPr>
          <w:i/>
        </w:rPr>
        <w:t>)</w:t>
      </w:r>
      <w:r w:rsidR="002108BB" w:rsidRPr="009D6D43">
        <w:rPr>
          <w:i/>
        </w:rPr>
        <w:t>.</w:t>
      </w:r>
    </w:p>
    <w:p w:rsidR="002108BB" w:rsidRPr="009D6D43" w:rsidRDefault="002108BB" w:rsidP="002108BB">
      <w:pPr>
        <w:pStyle w:val="a1"/>
        <w:rPr>
          <w:lang w:val="en-US"/>
        </w:rPr>
      </w:pPr>
    </w:p>
    <w:p w:rsidR="001B7C89" w:rsidRPr="008C7C75" w:rsidRDefault="001B7C89" w:rsidP="001B7C89">
      <w:pPr>
        <w:pStyle w:val="a1"/>
      </w:pPr>
      <w:r w:rsidRPr="001B7C89">
        <w:t xml:space="preserve">- </w:t>
      </w:r>
      <w:r w:rsidRPr="008C7C75">
        <w:rPr>
          <w:i/>
        </w:rPr>
        <w:t>At the first stage</w:t>
      </w:r>
      <w:r w:rsidRPr="008C7C75">
        <w:t xml:space="preserve"> </w:t>
      </w:r>
      <w:r w:rsidRPr="008C7C75">
        <w:rPr>
          <w:lang w:val="en-US"/>
        </w:rPr>
        <w:t xml:space="preserve">of cooperation (FIG. 2) </w:t>
      </w:r>
      <w:r w:rsidRPr="008C7C75">
        <w:t xml:space="preserve">it is advisable to fix the obligations of the parties in </w:t>
      </w:r>
      <w:r w:rsidR="00CA0975" w:rsidRPr="008C7C75">
        <w:rPr>
          <w:lang w:val="en-US"/>
        </w:rPr>
        <w:t>a</w:t>
      </w:r>
      <w:r w:rsidRPr="008C7C75">
        <w:t xml:space="preserve"> Memorandum on the Implementation of the NPP project on the following decision making process and implementation of the NPP project.</w:t>
      </w:r>
    </w:p>
    <w:p w:rsidR="001B7C89" w:rsidRPr="008C7C75" w:rsidRDefault="001B7C89" w:rsidP="001B7C89">
      <w:pPr>
        <w:pStyle w:val="a1"/>
      </w:pPr>
      <w:r w:rsidRPr="008C7C75">
        <w:t xml:space="preserve">- </w:t>
      </w:r>
      <w:r w:rsidRPr="008C7C75">
        <w:rPr>
          <w:i/>
        </w:rPr>
        <w:t>At the second stage</w:t>
      </w:r>
      <w:r w:rsidRPr="008C7C75">
        <w:t xml:space="preserve"> three reports (feasibility study, risk matrix and nuclear infrastructure gap analysis plan) should be taken into account when making a Final Investment Decision, as well as form the foundation of documents being developed and subject to agreement during negotiations with partners </w:t>
      </w:r>
      <w:r w:rsidRPr="008C7C75">
        <w:rPr>
          <w:i/>
        </w:rPr>
        <w:t>at the third stage</w:t>
      </w:r>
      <w:r w:rsidRPr="008C7C75">
        <w:t xml:space="preserve"> (IGA) and a package of amendments proposal to the Host country legal and regulatory framework</w:t>
      </w:r>
      <w:r w:rsidR="00CA0975" w:rsidRPr="008C7C75">
        <w:t>.</w:t>
      </w:r>
    </w:p>
    <w:p w:rsidR="001B7C89" w:rsidRPr="008C7C75" w:rsidRDefault="001B7C89" w:rsidP="001B7C89">
      <w:pPr>
        <w:pStyle w:val="a1"/>
      </w:pPr>
      <w:r w:rsidRPr="008C7C75">
        <w:t xml:space="preserve">- </w:t>
      </w:r>
      <w:r w:rsidRPr="008C7C75">
        <w:rPr>
          <w:i/>
        </w:rPr>
        <w:t>At the third stage</w:t>
      </w:r>
      <w:r w:rsidRPr="008C7C75">
        <w:t xml:space="preserve"> it is important to fix the regulatory and licensing basis for obtaining the necessary licenses and permits for the NPP project</w:t>
      </w:r>
      <w:r w:rsidR="00CA0975" w:rsidRPr="008C7C75">
        <w:t>.</w:t>
      </w:r>
    </w:p>
    <w:p w:rsidR="001B7C89" w:rsidRPr="008C7C75" w:rsidRDefault="001B7C89" w:rsidP="001B7C89">
      <w:pPr>
        <w:pStyle w:val="a1"/>
      </w:pPr>
      <w:r w:rsidRPr="008C7C75">
        <w:t xml:space="preserve">- </w:t>
      </w:r>
      <w:r w:rsidRPr="008C7C75">
        <w:rPr>
          <w:i/>
        </w:rPr>
        <w:t>At the fourth stage</w:t>
      </w:r>
      <w:r w:rsidRPr="008C7C75">
        <w:t xml:space="preserve"> the Private party is to justify the target level of the electricity tariff of the NPP project, taking into account the capital and financing expenses, according to the legislation of the Host country (for handling </w:t>
      </w:r>
      <w:r w:rsidR="008C7C75">
        <w:t>spent nuclear fuel</w:t>
      </w:r>
      <w:r w:rsidRPr="008C7C75">
        <w:t xml:space="preserve"> and </w:t>
      </w:r>
      <w:r w:rsidR="008C7C75">
        <w:t>radioactive waste</w:t>
      </w:r>
      <w:r w:rsidRPr="008C7C75">
        <w:t xml:space="preserve">, emergency planning and response measures and other necessary funds). Such justification can be carried out by presenting </w:t>
      </w:r>
      <w:r w:rsidR="00CA0975" w:rsidRPr="008C7C75">
        <w:t>a</w:t>
      </w:r>
      <w:r w:rsidRPr="008C7C75">
        <w:t xml:space="preserve"> Business plan and/or </w:t>
      </w:r>
      <w:r w:rsidR="00CA0975" w:rsidRPr="008C7C75">
        <w:t>a</w:t>
      </w:r>
      <w:r w:rsidRPr="008C7C75">
        <w:t xml:space="preserve"> </w:t>
      </w:r>
      <w:proofErr w:type="gramStart"/>
      <w:r w:rsidRPr="008C7C75">
        <w:t>Financial</w:t>
      </w:r>
      <w:proofErr w:type="gramEnd"/>
      <w:r w:rsidRPr="008C7C75">
        <w:t xml:space="preserve"> model of the project. </w:t>
      </w:r>
    </w:p>
    <w:p w:rsidR="001B7C89" w:rsidRPr="008C7C75" w:rsidRDefault="001B7C89" w:rsidP="001B7C89">
      <w:pPr>
        <w:pStyle w:val="a1"/>
      </w:pPr>
      <w:r w:rsidRPr="008C7C75">
        <w:t xml:space="preserve">- </w:t>
      </w:r>
      <w:r w:rsidRPr="008C7C75">
        <w:rPr>
          <w:i/>
        </w:rPr>
        <w:t>At the fifth stage</w:t>
      </w:r>
      <w:r w:rsidRPr="008C7C75">
        <w:t xml:space="preserve"> the parties could arrange the signing of the HGA with the Project Company. However, this stage may be skipped, and the HGA provisions may be included in other contract;</w:t>
      </w:r>
    </w:p>
    <w:p w:rsidR="001B7C89" w:rsidRPr="008C7C75" w:rsidRDefault="001B7C89" w:rsidP="001B7C89">
      <w:pPr>
        <w:pStyle w:val="a1"/>
      </w:pPr>
      <w:r w:rsidRPr="008C7C75">
        <w:t xml:space="preserve">- </w:t>
      </w:r>
      <w:r w:rsidRPr="008C7C75">
        <w:rPr>
          <w:i/>
        </w:rPr>
        <w:t>At the sixth stage</w:t>
      </w:r>
      <w:r w:rsidRPr="008C7C75">
        <w:t xml:space="preserve"> the parties need to sign a package of contract documents between the Project Company and authorized organizations of the Host country</w:t>
      </w:r>
      <w:r w:rsidR="00CA0975" w:rsidRPr="008C7C75">
        <w:t>.</w:t>
      </w:r>
    </w:p>
    <w:p w:rsidR="001B7C89" w:rsidRPr="008C7C75" w:rsidRDefault="001B7C89" w:rsidP="001B7C89">
      <w:pPr>
        <w:pStyle w:val="a1"/>
      </w:pPr>
      <w:r w:rsidRPr="008C7C75">
        <w:t xml:space="preserve">- </w:t>
      </w:r>
      <w:r w:rsidRPr="008C7C75">
        <w:rPr>
          <w:i/>
        </w:rPr>
        <w:t>At the seventh stage</w:t>
      </w:r>
      <w:r w:rsidRPr="008C7C75">
        <w:t xml:space="preserve"> the parties can proceed to signing Financial and/or Credit Agreements</w:t>
      </w:r>
      <w:r w:rsidR="00CA0975" w:rsidRPr="008C7C75">
        <w:t xml:space="preserve"> as well as a NPP licensing</w:t>
      </w:r>
      <w:r w:rsidRPr="008C7C75">
        <w:t>.</w:t>
      </w:r>
    </w:p>
    <w:p w:rsidR="006C559D" w:rsidRDefault="001B7C89" w:rsidP="006C559D">
      <w:pPr>
        <w:pStyle w:val="a1"/>
      </w:pPr>
      <w:r w:rsidRPr="008C7C75">
        <w:t>Presented step-by-step approach contributes to diligent preparation of a NPP</w:t>
      </w:r>
      <w:r w:rsidR="008C7C75" w:rsidRPr="008C7C75">
        <w:t>/SMR</w:t>
      </w:r>
      <w:r w:rsidRPr="008C7C75">
        <w:t xml:space="preserve"> project with </w:t>
      </w:r>
      <w:r w:rsidR="00CA0975" w:rsidRPr="008C7C75">
        <w:t>a coherent nuclear infrastructure development</w:t>
      </w:r>
      <w:r w:rsidRPr="008C7C75">
        <w:t xml:space="preserve">. </w:t>
      </w:r>
      <w:r w:rsidR="006C559D" w:rsidRPr="008C7C75">
        <w:t xml:space="preserve">At the highest level documents </w:t>
      </w:r>
      <w:r w:rsidR="00BD3FFC" w:rsidRPr="008C7C75">
        <w:t>p</w:t>
      </w:r>
      <w:r w:rsidR="006C559D" w:rsidRPr="008C7C75">
        <w:t xml:space="preserve">arties could fix an obligation of the </w:t>
      </w:r>
      <w:r w:rsidR="00622B2A" w:rsidRPr="008C7C75">
        <w:t xml:space="preserve">recipient </w:t>
      </w:r>
      <w:r w:rsidR="006C559D" w:rsidRPr="008C7C75">
        <w:t xml:space="preserve">state to implement </w:t>
      </w:r>
      <w:r w:rsidR="00BD3FFC" w:rsidRPr="008C7C75">
        <w:t>the</w:t>
      </w:r>
      <w:r w:rsidR="006C559D" w:rsidRPr="008C7C75">
        <w:t xml:space="preserve"> </w:t>
      </w:r>
      <w:r w:rsidR="00BD3FFC" w:rsidRPr="008C7C75">
        <w:t>p</w:t>
      </w:r>
      <w:r w:rsidR="006C559D" w:rsidRPr="008C7C75">
        <w:t>lan of the nuclear</w:t>
      </w:r>
      <w:r w:rsidR="006C559D" w:rsidRPr="00793B2B">
        <w:t xml:space="preserve"> infrastructure </w:t>
      </w:r>
      <w:r w:rsidR="001A5A38">
        <w:rPr>
          <w:lang w:val="en-US"/>
        </w:rPr>
        <w:t xml:space="preserve">assessment and </w:t>
      </w:r>
      <w:r w:rsidR="006C559D" w:rsidRPr="008C7C75">
        <w:t xml:space="preserve">development, fix the regulatory and licensing basis for obtaining the necessary licenses and permits for the </w:t>
      </w:r>
      <w:r w:rsidR="00BD3FFC" w:rsidRPr="008C7C75">
        <w:t>NPP</w:t>
      </w:r>
      <w:r w:rsidR="007C6A53" w:rsidRPr="008C7C75">
        <w:t>/SMR</w:t>
      </w:r>
      <w:r w:rsidR="006C559D" w:rsidRPr="008C7C75">
        <w:t xml:space="preserve"> project (or agree on the other forms of safety assessment)</w:t>
      </w:r>
      <w:r w:rsidR="00622B2A" w:rsidRPr="008C7C75">
        <w:t xml:space="preserve"> with the vital facilitation on behalf of the NPP exporting state</w:t>
      </w:r>
      <w:r w:rsidR="006C559D" w:rsidRPr="008C7C75">
        <w:t>.</w:t>
      </w:r>
      <w:r w:rsidR="006C559D" w:rsidRPr="00793B2B">
        <w:t xml:space="preserve"> </w:t>
      </w:r>
    </w:p>
    <w:p w:rsidR="006C559D" w:rsidRPr="00793B2B" w:rsidRDefault="006C559D" w:rsidP="006C559D">
      <w:pPr>
        <w:pStyle w:val="a1"/>
      </w:pPr>
      <w:r w:rsidRPr="00793B2B">
        <w:t>The assistance in regulatory framework development is conducted though the separate agreement between the regulatory bodies</w:t>
      </w:r>
      <w:r w:rsidR="00145A3C">
        <w:t xml:space="preserve"> of the recipient and exporting states</w:t>
      </w:r>
      <w:r w:rsidR="00762803">
        <w:t xml:space="preserve"> (preferably at the 1</w:t>
      </w:r>
      <w:r w:rsidR="00762803" w:rsidRPr="00762803">
        <w:rPr>
          <w:vertAlign w:val="superscript"/>
        </w:rPr>
        <w:t>st</w:t>
      </w:r>
      <w:r w:rsidR="00762803">
        <w:t xml:space="preserve"> or 2</w:t>
      </w:r>
      <w:r w:rsidR="00762803" w:rsidRPr="00762803">
        <w:rPr>
          <w:vertAlign w:val="superscript"/>
        </w:rPr>
        <w:t>nd</w:t>
      </w:r>
      <w:r w:rsidR="00762803">
        <w:t xml:space="preserve"> cooperation stages according to FIG 2)</w:t>
      </w:r>
      <w:r w:rsidRPr="00793B2B">
        <w:t xml:space="preserve">. For instance, to ensure multifaceted approach in regulatory framework development, the regulatory </w:t>
      </w:r>
      <w:proofErr w:type="gramStart"/>
      <w:r w:rsidRPr="00793B2B">
        <w:t>bodies</w:t>
      </w:r>
      <w:proofErr w:type="gramEnd"/>
      <w:r w:rsidRPr="00793B2B">
        <w:t xml:space="preserve"> cooperation should include:</w:t>
      </w:r>
    </w:p>
    <w:p w:rsidR="006C559D" w:rsidRPr="00793B2B" w:rsidRDefault="006C559D" w:rsidP="006C559D">
      <w:pPr>
        <w:pStyle w:val="ListEmdash"/>
        <w:ind w:left="709"/>
      </w:pPr>
      <w:r>
        <w:lastRenderedPageBreak/>
        <w:t>transfer of regulatory safety documentation</w:t>
      </w:r>
      <w:r w:rsidR="00545F49">
        <w:t xml:space="preserve"> (norms and rules)</w:t>
      </w:r>
      <w:r>
        <w:t xml:space="preserve"> for its adoption before SMR commissioning,</w:t>
      </w:r>
      <w:r w:rsidRPr="00793B2B">
        <w:t xml:space="preserve"> which will facilitate the licensing process and is in line with the recommendations of the IAEA's international nuclear safety group </w:t>
      </w:r>
      <w:r w:rsidR="00BD3FFC">
        <w:t>[</w:t>
      </w:r>
      <w:r w:rsidR="00AB4AC5">
        <w:t>5</w:t>
      </w:r>
      <w:r w:rsidR="00BD3FFC">
        <w:t>]</w:t>
      </w:r>
      <w:r w:rsidRPr="00793B2B">
        <w:t>;</w:t>
      </w:r>
    </w:p>
    <w:p w:rsidR="006C559D" w:rsidRDefault="006C559D" w:rsidP="006C559D">
      <w:pPr>
        <w:pStyle w:val="ListEmdash"/>
        <w:ind w:left="709"/>
      </w:pPr>
      <w:r>
        <w:t>regulatory body personnel training, including training in relation to the regulatory safety documentation transferred;</w:t>
      </w:r>
    </w:p>
    <w:p w:rsidR="00545F49" w:rsidRPr="00793B2B" w:rsidRDefault="00545F49" w:rsidP="006C559D">
      <w:pPr>
        <w:pStyle w:val="ListEmdash"/>
        <w:ind w:left="709"/>
      </w:pPr>
      <w:r>
        <w:t>pre-licensing joint review of the preliminary safety analysis report (PSAR) with relevant consideration of the reference plant PSAR;</w:t>
      </w:r>
    </w:p>
    <w:p w:rsidR="006C559D" w:rsidRPr="00793B2B" w:rsidRDefault="006C559D" w:rsidP="006C559D">
      <w:pPr>
        <w:pStyle w:val="ListEmdash"/>
        <w:ind w:left="709"/>
      </w:pPr>
      <w:proofErr w:type="gramStart"/>
      <w:r>
        <w:t>participation</w:t>
      </w:r>
      <w:proofErr w:type="gramEnd"/>
      <w:r>
        <w:t xml:space="preserve"> of host state’s regulator in </w:t>
      </w:r>
      <w:r w:rsidRPr="00C56B91">
        <w:t>inspections</w:t>
      </w:r>
      <w:r w:rsidRPr="00793B2B">
        <w:t xml:space="preserve"> </w:t>
      </w:r>
      <w:r>
        <w:t xml:space="preserve">as </w:t>
      </w:r>
      <w:r w:rsidRPr="00ED254F">
        <w:t>observer</w:t>
      </w:r>
      <w:r>
        <w:t xml:space="preserve"> to the SMR reference facility in vendor’s country together with the vendor</w:t>
      </w:r>
      <w:r w:rsidR="006D3EF0">
        <w:t xml:space="preserve"> country</w:t>
      </w:r>
      <w:r>
        <w:t>’s regulator. The inspections check-lists could also be shortened to make inspections more adaptable to different cases but in line with safety principles.</w:t>
      </w:r>
    </w:p>
    <w:p w:rsidR="006C559D" w:rsidRDefault="006C559D" w:rsidP="006C559D">
      <w:pPr>
        <w:pStyle w:val="a1"/>
      </w:pPr>
      <w:r w:rsidRPr="00793B2B">
        <w:t xml:space="preserve">In general, IGAs or other forms of agreements may act as a mechanism for reducing the timeframe for the implementation of a </w:t>
      </w:r>
      <w:r w:rsidR="006A749E">
        <w:t>NPP</w:t>
      </w:r>
      <w:r w:rsidRPr="00793B2B">
        <w:t xml:space="preserve"> project with a fixed and clear allocation of responsibilities between the host country and the technology vendor country. </w:t>
      </w:r>
    </w:p>
    <w:p w:rsidR="00434BAA" w:rsidRPr="008C7C75" w:rsidRDefault="00434BAA" w:rsidP="00434BAA">
      <w:pPr>
        <w:pStyle w:val="a1"/>
        <w:rPr>
          <w:lang w:val="en-US"/>
        </w:rPr>
      </w:pPr>
      <w:r>
        <w:t>The bilateral</w:t>
      </w:r>
      <w:r w:rsidRPr="00793B2B">
        <w:t xml:space="preserve"> </w:t>
      </w:r>
      <w:r>
        <w:t xml:space="preserve">nuclear </w:t>
      </w:r>
      <w:r w:rsidRPr="00793B2B">
        <w:t xml:space="preserve">infrastructure </w:t>
      </w:r>
      <w:r>
        <w:t xml:space="preserve">development plan could be also used when developing the integrated working plan with the IAEA after the </w:t>
      </w:r>
      <w:r w:rsidR="006D3EF0">
        <w:t>Integrated Nuclear Infrastructure Review (</w:t>
      </w:r>
      <w:r>
        <w:t>INIR</w:t>
      </w:r>
      <w:r w:rsidR="006D3EF0">
        <w:t>)</w:t>
      </w:r>
      <w:r>
        <w:t xml:space="preserve"> mission, so that all the project parties could ensure that the activities planned are backed with the necessary assistance as from the vendor as from the IAEA.</w:t>
      </w:r>
      <w:r w:rsidRPr="00434BAA">
        <w:t xml:space="preserve"> </w:t>
      </w:r>
    </w:p>
    <w:p w:rsidR="00346349" w:rsidRDefault="00346349" w:rsidP="00434BAA">
      <w:pPr>
        <w:pStyle w:val="a1"/>
      </w:pPr>
    </w:p>
    <w:p w:rsidR="00346349" w:rsidRDefault="00346349" w:rsidP="008C7C75">
      <w:pPr>
        <w:pStyle w:val="a1"/>
        <w:numPr>
          <w:ilvl w:val="1"/>
          <w:numId w:val="11"/>
        </w:numPr>
        <w:ind w:hanging="721"/>
        <w:rPr>
          <w:b/>
        </w:rPr>
      </w:pPr>
      <w:r w:rsidRPr="003E39F4">
        <w:rPr>
          <w:b/>
        </w:rPr>
        <w:t xml:space="preserve">Multilateral cooperation mode </w:t>
      </w:r>
    </w:p>
    <w:p w:rsidR="003E39F4" w:rsidRPr="003E39F4" w:rsidRDefault="003E39F4" w:rsidP="003E39F4">
      <w:pPr>
        <w:pStyle w:val="a1"/>
        <w:ind w:left="1288" w:firstLine="0"/>
        <w:rPr>
          <w:b/>
        </w:rPr>
      </w:pPr>
    </w:p>
    <w:p w:rsidR="00434BAA" w:rsidRPr="008C7C75" w:rsidRDefault="00434BAA" w:rsidP="00434BAA">
      <w:pPr>
        <w:pStyle w:val="a1"/>
        <w:rPr>
          <w:lang w:val="en-US"/>
        </w:rPr>
      </w:pPr>
      <w:r>
        <w:t xml:space="preserve">Another example of the high level agreements with plans on nuclear infrastructure could be regional cooperation plans. </w:t>
      </w:r>
      <w:r w:rsidR="00D70A98">
        <w:t>For instance, in 2023 the Economic Counsel of the Commonwealth of Independent States (CIS) approved the programme of national nuclear infrastructures development and the plan of the programme implementation. Rusatom Service</w:t>
      </w:r>
      <w:r w:rsidR="00D70A98" w:rsidRPr="00AF1806">
        <w:t xml:space="preserve"> </w:t>
      </w:r>
      <w:r w:rsidR="00D70A98">
        <w:t xml:space="preserve">JSC, organisation of Rosatom State Corporation, has been appointed by the Economic Counsel as the organisation to assist CIS member states in the programme of national nuclear infrastructures development implementation based on the annual plans developed and agreed by the CIS Member States and the CIS Commission on nuclear energy use for peaceful purposes. This mechanism provides with the possibility to request the necessary assistance on nuclear infrastructure development at the regional level and share the experience and lessons learned. </w:t>
      </w:r>
      <w:r w:rsidR="008078EE">
        <w:t>Under umbrella of Economic Counsel of the CIS a Nuclear Regulatory Bodies Forum also functions as a cooperation platform.</w:t>
      </w:r>
    </w:p>
    <w:p w:rsidR="00434BAA" w:rsidRDefault="00434BAA" w:rsidP="00434BAA">
      <w:pPr>
        <w:pStyle w:val="a1"/>
      </w:pPr>
      <w:r>
        <w:t>I</w:t>
      </w:r>
      <w:r w:rsidRPr="00793B2B">
        <w:t>n the “lower-level” agreements at the level of organizations</w:t>
      </w:r>
      <w:r>
        <w:t xml:space="preserve"> the parties could stipulate the </w:t>
      </w:r>
      <w:r w:rsidR="0025348D">
        <w:t xml:space="preserve">rest of </w:t>
      </w:r>
      <w:r>
        <w:t xml:space="preserve">obligations of the parties with regards to the nuclear infrastructure development, including documentation development, at the level of the operating organisation. </w:t>
      </w:r>
    </w:p>
    <w:p w:rsidR="00521F5E" w:rsidRPr="00EE0041" w:rsidRDefault="001B446A" w:rsidP="008C7C75">
      <w:pPr>
        <w:pStyle w:val="2"/>
        <w:numPr>
          <w:ilvl w:val="1"/>
          <w:numId w:val="5"/>
        </w:numPr>
      </w:pPr>
      <w:r>
        <w:t xml:space="preserve">Impact of a NPP/SMR Project </w:t>
      </w:r>
      <w:r w:rsidR="00521F5E">
        <w:t>Deployment model on nuclear infrastructure</w:t>
      </w:r>
    </w:p>
    <w:p w:rsidR="00521F5E" w:rsidRPr="00793B2B" w:rsidRDefault="00521F5E" w:rsidP="003B4EA1">
      <w:pPr>
        <w:pStyle w:val="a1"/>
      </w:pPr>
      <w:r w:rsidRPr="00793B2B">
        <w:t xml:space="preserve">The scope of activities and issues to consider during nuclear infrastructure development would significantly rely on the chosen deployment model of a </w:t>
      </w:r>
      <w:r w:rsidR="003B74D3">
        <w:t>NPP/</w:t>
      </w:r>
      <w:r w:rsidR="000D7444">
        <w:t>SMR</w:t>
      </w:r>
      <w:r w:rsidRPr="00793B2B">
        <w:t xml:space="preserve"> project which is reflected in the set of the contractual arrangements between the project parties. The two most common approaches in an embarking country are turn-key (hereinafter referred to as EPC-contract) and build–own–operate (hereinafter referred to as BOO-project).</w:t>
      </w:r>
    </w:p>
    <w:p w:rsidR="00521F5E" w:rsidRPr="00793B2B" w:rsidRDefault="00521F5E" w:rsidP="003B4EA1">
      <w:pPr>
        <w:pStyle w:val="a1"/>
      </w:pPr>
      <w:r w:rsidRPr="00793B2B">
        <w:t xml:space="preserve">In the EPC model, a contractor takes overall responsibility for completing all parts and all phases of the project design and construction and the receiving party is responsible for </w:t>
      </w:r>
      <w:r w:rsidR="00282298">
        <w:t>NPP/</w:t>
      </w:r>
      <w:r w:rsidR="000D7444">
        <w:t>SMR</w:t>
      </w:r>
      <w:r w:rsidR="000D7444" w:rsidRPr="00793B2B">
        <w:t xml:space="preserve"> </w:t>
      </w:r>
      <w:r w:rsidRPr="00793B2B">
        <w:t>operation and decommissioning. Concerning nuclear infrastructure, while applying EPC model national authorities of the host state are responsible for the establishment of the nuclear infrastructure in full scope. This incorporates the national commitment to the programme, including stakeholder involvement, establishment of the legal and regulatory frameworks and development of the necessary policies and strategies for safety, security, safeguards, emergency preparedness and response, spent fuel, nuclear waste management, and decommissioning programme [</w:t>
      </w:r>
      <w:r w:rsidR="00AB4AC5">
        <w:t>6</w:t>
      </w:r>
      <w:r w:rsidRPr="00793B2B">
        <w:t>]. Still, the vendor state could share its expertise and thus provide substantial support to the recipient state in the field of nuclear infrastructure enhancement which can speed up the SMR project substantially in the field of all infrastructural issues.</w:t>
      </w:r>
    </w:p>
    <w:p w:rsidR="00521F5E" w:rsidRDefault="00521F5E" w:rsidP="003B4EA1">
      <w:pPr>
        <w:pStyle w:val="a1"/>
      </w:pPr>
      <w:r w:rsidRPr="00793B2B">
        <w:t xml:space="preserve">In the BOO structure, a private or non-private entity (the developer, SPV) is granted the right by the government to develop, finance, build, own, operate and maintain a nuclear facility for a specified period, during </w:t>
      </w:r>
      <w:r w:rsidRPr="00793B2B">
        <w:lastRenderedPageBreak/>
        <w:t>which the entity owns the project, retains the revenue, bears the associated risk [</w:t>
      </w:r>
      <w:r w:rsidR="00AB4AC5">
        <w:t>7</w:t>
      </w:r>
      <w:r w:rsidRPr="00793B2B">
        <w:t xml:space="preserve">]. Moreover, the host state receives the key value from the project electricity. The host state typically offers a power purchase agreement (hereinafter referred to as PPA) for a certain period to give visibility on the return on investment to the project developer </w:t>
      </w:r>
      <w:r w:rsidRPr="00AB4AC5">
        <w:t>[</w:t>
      </w:r>
      <w:r w:rsidR="00AB4AC5">
        <w:t>8</w:t>
      </w:r>
      <w:r w:rsidRPr="00793B2B">
        <w:t>]. BOO-model assumes the division of responsibilities between the project parties in nuclear infrastructure development with greater scope to be provided through support of the technology vendor and its national regulatory authorities.</w:t>
      </w:r>
    </w:p>
    <w:p w:rsidR="00BD3FFC" w:rsidRDefault="00793B2B" w:rsidP="00793B2B">
      <w:pPr>
        <w:pStyle w:val="a1"/>
      </w:pPr>
      <w:r w:rsidRPr="00793B2B">
        <w:t xml:space="preserve">The described </w:t>
      </w:r>
      <w:r w:rsidR="00BD3FFC">
        <w:t>BOO model (</w:t>
      </w:r>
      <w:r w:rsidRPr="00793B2B">
        <w:t xml:space="preserve">Maximum outsourcing scenario) has a potential to simplify the procedures of nuclear infrastructure development in the </w:t>
      </w:r>
      <w:r w:rsidR="00BD3FFC">
        <w:t>h</w:t>
      </w:r>
      <w:r w:rsidRPr="00793B2B">
        <w:t xml:space="preserve">ost </w:t>
      </w:r>
      <w:r w:rsidR="00BD3FFC">
        <w:t>s</w:t>
      </w:r>
      <w:r w:rsidRPr="00793B2B">
        <w:t xml:space="preserve">tate, also from the point of view of licensing, ensuring non-proliferation regime and so on. </w:t>
      </w:r>
    </w:p>
    <w:p w:rsidR="00793B2B" w:rsidRPr="00793B2B" w:rsidRDefault="00BD3FFC" w:rsidP="00793B2B">
      <w:pPr>
        <w:pStyle w:val="a1"/>
      </w:pPr>
      <w:r>
        <w:t xml:space="preserve">It is especially beneficial for floating nuclear power plants (FNPP) projects implementation. </w:t>
      </w:r>
      <w:r w:rsidR="00793B2B" w:rsidRPr="00793B2B">
        <w:t xml:space="preserve">Maximum outsourcing scenario in relation to </w:t>
      </w:r>
      <w:r>
        <w:t>FNPP</w:t>
      </w:r>
      <w:r w:rsidR="00793B2B" w:rsidRPr="00793B2B">
        <w:t xml:space="preserve"> creates the opportunity for the </w:t>
      </w:r>
      <w:r w:rsidR="00282298">
        <w:t>vendor</w:t>
      </w:r>
      <w:r w:rsidR="00282298" w:rsidRPr="00793B2B">
        <w:t xml:space="preserve"> </w:t>
      </w:r>
      <w:r>
        <w:t>s</w:t>
      </w:r>
      <w:r w:rsidR="00793B2B" w:rsidRPr="00793B2B">
        <w:t xml:space="preserve">tate to use its experience in operation of nuclear power plants and to extrapolate it to the </w:t>
      </w:r>
      <w:r>
        <w:t>h</w:t>
      </w:r>
      <w:r w:rsidR="00793B2B" w:rsidRPr="00793B2B">
        <w:t xml:space="preserve">ost </w:t>
      </w:r>
      <w:r>
        <w:t>s</w:t>
      </w:r>
      <w:r w:rsidR="00793B2B" w:rsidRPr="00793B2B">
        <w:t xml:space="preserve">tate. The latter one receives a reliable and stable (concerning the price of MW) source of energy in </w:t>
      </w:r>
      <w:r w:rsidR="00282298">
        <w:t>remot</w:t>
      </w:r>
      <w:r w:rsidR="008C7C75">
        <w:t>e</w:t>
      </w:r>
      <w:r w:rsidR="00793B2B" w:rsidRPr="00793B2B">
        <w:t xml:space="preserve"> locations swiftly. Issues of safety are ensured by an experienced operator. At the same time the </w:t>
      </w:r>
      <w:r>
        <w:t>h</w:t>
      </w:r>
      <w:r w:rsidR="00793B2B" w:rsidRPr="00793B2B">
        <w:t xml:space="preserve">ost </w:t>
      </w:r>
      <w:r>
        <w:t>s</w:t>
      </w:r>
      <w:r w:rsidR="00793B2B" w:rsidRPr="00793B2B">
        <w:t>tate saves the opportunity to control the operation and partially holds responsibility for it.</w:t>
      </w:r>
    </w:p>
    <w:p w:rsidR="00793B2B" w:rsidRPr="00793B2B" w:rsidRDefault="00793B2B" w:rsidP="00793B2B">
      <w:pPr>
        <w:pStyle w:val="a1"/>
      </w:pPr>
      <w:r w:rsidRPr="00793B2B">
        <w:t xml:space="preserve">It contributes to minimizing the scope of responsibilities of the host state in nuclear infrastructure development ensuring high level of nuclear safety at the same time. Within the host state would remain the following responsibilities in nuclear infrastructure development: </w:t>
      </w:r>
    </w:p>
    <w:p w:rsidR="00793B2B" w:rsidRPr="00793B2B" w:rsidRDefault="00793B2B" w:rsidP="00793B2B">
      <w:pPr>
        <w:pStyle w:val="ListEmdash"/>
        <w:ind w:left="709"/>
      </w:pPr>
      <w:r w:rsidRPr="00793B2B">
        <w:t xml:space="preserve">regulatory framework establishment and ensuring regulatory control by national independent regulatory authorities in the field of nuclear energy and in the field of maritime safety over activities related to compliance with nuclear and maritime safety requirements by national organizations involved in the Project implementation on the territory of the country of </w:t>
      </w:r>
      <w:r w:rsidR="00BD3FFC">
        <w:t>FNPP</w:t>
      </w:r>
      <w:r w:rsidRPr="00793B2B">
        <w:t xml:space="preserve"> location;</w:t>
      </w:r>
    </w:p>
    <w:p w:rsidR="00793B2B" w:rsidRPr="00793B2B" w:rsidRDefault="00793B2B" w:rsidP="00793B2B">
      <w:pPr>
        <w:pStyle w:val="ListEmdash"/>
        <w:ind w:left="709"/>
      </w:pPr>
      <w:r w:rsidRPr="00793B2B">
        <w:t xml:space="preserve">enhancement and maintenance of national emergency preparedness and response system, development and maintenance of Environmental Radiation Monitoring System; </w:t>
      </w:r>
    </w:p>
    <w:p w:rsidR="00793B2B" w:rsidRPr="00793B2B" w:rsidRDefault="00793B2B" w:rsidP="00793B2B">
      <w:pPr>
        <w:pStyle w:val="ListEmdash"/>
        <w:ind w:left="709"/>
      </w:pPr>
      <w:r w:rsidRPr="00793B2B">
        <w:t>establishing a system for informing the public about the safe use of nuclear energy and maintaining it at the required level;</w:t>
      </w:r>
    </w:p>
    <w:p w:rsidR="00793B2B" w:rsidRPr="00793B2B" w:rsidRDefault="00793B2B" w:rsidP="00793B2B">
      <w:pPr>
        <w:pStyle w:val="ListEmdash"/>
        <w:ind w:left="709"/>
      </w:pPr>
      <w:r w:rsidRPr="00793B2B">
        <w:t>ensuring compliance with international binding instruments in the field of physical protection of nuclear materials and nuclear facilities;</w:t>
      </w:r>
    </w:p>
    <w:p w:rsidR="00793B2B" w:rsidRPr="00793B2B" w:rsidRDefault="00793B2B" w:rsidP="00793B2B">
      <w:pPr>
        <w:pStyle w:val="ListEmdash"/>
        <w:ind w:left="709"/>
      </w:pPr>
      <w:r w:rsidRPr="00793B2B">
        <w:t>ensuring accounting and control system at the national level;</w:t>
      </w:r>
    </w:p>
    <w:p w:rsidR="0048220A" w:rsidRDefault="00793B2B" w:rsidP="00793B2B">
      <w:pPr>
        <w:pStyle w:val="ListEmdash"/>
        <w:ind w:left="709"/>
      </w:pPr>
      <w:r w:rsidRPr="00793B2B">
        <w:t>the necessary port infrastructure development to ensure radiation safety and radiation control</w:t>
      </w:r>
      <w:r w:rsidR="0048220A">
        <w:t>4</w:t>
      </w:r>
    </w:p>
    <w:p w:rsidR="00793B2B" w:rsidRPr="00793B2B" w:rsidRDefault="0048220A" w:rsidP="00793B2B">
      <w:pPr>
        <w:pStyle w:val="ListEmdash"/>
        <w:ind w:left="709"/>
      </w:pPr>
      <w:proofErr w:type="gramStart"/>
      <w:r>
        <w:t>grid</w:t>
      </w:r>
      <w:proofErr w:type="gramEnd"/>
      <w:r>
        <w:t xml:space="preserve"> system development, electricity tariff setting and a guarantee to purchase 100% of produced electricity of a FNPP</w:t>
      </w:r>
      <w:r w:rsidR="00793B2B" w:rsidRPr="00793B2B">
        <w:t xml:space="preserve">. </w:t>
      </w:r>
    </w:p>
    <w:p w:rsidR="00793B2B" w:rsidRPr="00793B2B" w:rsidRDefault="00793B2B" w:rsidP="00BD3FFC">
      <w:pPr>
        <w:pStyle w:val="a1"/>
      </w:pPr>
      <w:r w:rsidRPr="00793B2B">
        <w:t>The division of the responsibilities could be stated in the agreements between the project parties</w:t>
      </w:r>
      <w:r w:rsidR="00434BAA">
        <w:t xml:space="preserve"> and bilateral nuclear infrastructure development plans</w:t>
      </w:r>
      <w:r w:rsidRPr="00793B2B">
        <w:t xml:space="preserve">. </w:t>
      </w:r>
    </w:p>
    <w:p w:rsidR="003B4EA1" w:rsidRPr="00793B2B" w:rsidRDefault="003B4EA1" w:rsidP="008C7C75">
      <w:pPr>
        <w:pStyle w:val="2"/>
        <w:numPr>
          <w:ilvl w:val="1"/>
          <w:numId w:val="5"/>
        </w:numPr>
      </w:pPr>
      <w:r w:rsidRPr="00793B2B">
        <w:t xml:space="preserve">Ways to accelerate the development of nuclear infrastructure </w:t>
      </w:r>
      <w:r>
        <w:t xml:space="preserve">BASED ON </w:t>
      </w:r>
      <w:r w:rsidR="000032A3">
        <w:t xml:space="preserve">NPP/SMR projects </w:t>
      </w:r>
      <w:r>
        <w:t xml:space="preserve">CONTRACTING MODELS </w:t>
      </w:r>
    </w:p>
    <w:p w:rsidR="003B4EA1" w:rsidRPr="000D7444" w:rsidRDefault="003B4EA1" w:rsidP="000D7444">
      <w:pPr>
        <w:pStyle w:val="a1"/>
      </w:pPr>
      <w:r w:rsidRPr="000D7444">
        <w:t>T</w:t>
      </w:r>
      <w:r w:rsidRPr="00793B2B">
        <w:t xml:space="preserve">o accelerate the development of nuclear infrastructure </w:t>
      </w:r>
      <w:r w:rsidRPr="000D7444">
        <w:t xml:space="preserve">for international </w:t>
      </w:r>
      <w:r w:rsidR="000032A3">
        <w:t>NPP/</w:t>
      </w:r>
      <w:r w:rsidR="000D7444">
        <w:t>SMR</w:t>
      </w:r>
      <w:r w:rsidR="000D7444" w:rsidRPr="00793B2B">
        <w:t xml:space="preserve"> </w:t>
      </w:r>
      <w:r w:rsidRPr="000D7444">
        <w:t xml:space="preserve">projects in embarking countries </w:t>
      </w:r>
      <w:r w:rsidRPr="00793B2B">
        <w:t xml:space="preserve">based on different contracting models (BOO / EPC), </w:t>
      </w:r>
      <w:r w:rsidRPr="000D7444">
        <w:t>the backbone</w:t>
      </w:r>
      <w:r w:rsidRPr="000D7444" w:rsidDel="004316D8">
        <w:t xml:space="preserve"> </w:t>
      </w:r>
      <w:r w:rsidRPr="000D7444">
        <w:t xml:space="preserve">measures for </w:t>
      </w:r>
      <w:r w:rsidR="000D7444">
        <w:t>nuclear infrastructure</w:t>
      </w:r>
      <w:r w:rsidRPr="000D7444">
        <w:t xml:space="preserve"> development could be:</w:t>
      </w:r>
    </w:p>
    <w:p w:rsidR="00434BAA" w:rsidRPr="00793B2B" w:rsidRDefault="00434BAA" w:rsidP="00E76CF3">
      <w:pPr>
        <w:pStyle w:val="ListNumbered"/>
      </w:pPr>
      <w:r>
        <w:t>a</w:t>
      </w:r>
      <w:r w:rsidRPr="00793B2B">
        <w:t xml:space="preserve"> national strategy adoption and implementation for nuclear infrastructure development (integrated national nuclear infrastructure development plan coordinated with IAEA and supported by the vendor’s state resources) based on the national nuclear infrastructure assessment (including gap analysis and development of nuclear infrastructure </w:t>
      </w:r>
      <w:r>
        <w:t>r</w:t>
      </w:r>
      <w:r w:rsidRPr="00793B2B">
        <w:t>oadmap</w:t>
      </w:r>
      <w:r w:rsidR="005155DD" w:rsidRPr="00793B2B">
        <w:t>)</w:t>
      </w:r>
      <w:r w:rsidR="005155DD">
        <w:t>;</w:t>
      </w:r>
    </w:p>
    <w:p w:rsidR="003B4EA1" w:rsidRDefault="0025348D" w:rsidP="00E76CF3">
      <w:pPr>
        <w:pStyle w:val="ListNumbered"/>
      </w:pPr>
      <w:r>
        <w:t xml:space="preserve">breakdown of nuclear infrastructure development activities in </w:t>
      </w:r>
      <w:r w:rsidR="000D7444">
        <w:t>a</w:t>
      </w:r>
      <w:r w:rsidR="003B4EA1" w:rsidRPr="00793B2B">
        <w:t xml:space="preserve"> synchronized set of bilateral agreements between the </w:t>
      </w:r>
      <w:r>
        <w:t>c</w:t>
      </w:r>
      <w:r w:rsidR="003B4EA1" w:rsidRPr="00793B2B">
        <w:t xml:space="preserve">ustomer and SMR </w:t>
      </w:r>
      <w:r>
        <w:t>vendor</w:t>
      </w:r>
      <w:r w:rsidRPr="0025348D">
        <w:t xml:space="preserve"> </w:t>
      </w:r>
      <w:r w:rsidRPr="00793B2B">
        <w:t>with fixed commitments of parties</w:t>
      </w:r>
      <w:r>
        <w:t xml:space="preserve">, </w:t>
      </w:r>
      <w:r w:rsidR="003B4EA1" w:rsidRPr="00793B2B">
        <w:t>between regulatory authorities;</w:t>
      </w:r>
    </w:p>
    <w:p w:rsidR="0025348D" w:rsidRDefault="0025348D" w:rsidP="00E76CF3">
      <w:pPr>
        <w:pStyle w:val="ListNumbered"/>
      </w:pPr>
      <w:r>
        <w:t>use of bilateral</w:t>
      </w:r>
      <w:r w:rsidRPr="00793B2B">
        <w:t xml:space="preserve"> </w:t>
      </w:r>
      <w:r>
        <w:t xml:space="preserve">nuclear </w:t>
      </w:r>
      <w:r w:rsidRPr="00793B2B">
        <w:t xml:space="preserve">infrastructure </w:t>
      </w:r>
      <w:r>
        <w:t>development plan while developing the integrated working plan with the IAEA after the INIR mission;</w:t>
      </w:r>
    </w:p>
    <w:p w:rsidR="0025348D" w:rsidRPr="00793B2B" w:rsidRDefault="0025348D" w:rsidP="00E76CF3">
      <w:pPr>
        <w:pStyle w:val="ListNumbered"/>
      </w:pPr>
      <w:proofErr w:type="gramStart"/>
      <w:r w:rsidRPr="00793B2B">
        <w:t>high</w:t>
      </w:r>
      <w:proofErr w:type="gramEnd"/>
      <w:r w:rsidRPr="00793B2B">
        <w:t xml:space="preserve"> level of assistance from the vendor state in nuclear infrastructure development, including cooperation in the regulatory framework development and safety assessment. </w:t>
      </w:r>
      <w:r>
        <w:t>O</w:t>
      </w:r>
      <w:r w:rsidRPr="00793B2B">
        <w:t>ne could consider to include a vendor/technical consul</w:t>
      </w:r>
      <w:bookmarkStart w:id="0" w:name="_GoBack"/>
      <w:bookmarkEnd w:id="0"/>
      <w:r w:rsidRPr="00793B2B">
        <w:t xml:space="preserve">tant expert team in NEPIO for joint development of documents, </w:t>
      </w:r>
      <w:r w:rsidRPr="00793B2B">
        <w:lastRenderedPageBreak/>
        <w:t>assistance in nuclear infrastructure assessment and comprehensive report development. Decision-making is always left to the partner country. This would ensure expertise transfer in parallel with NEPIO personnel development through learning-by-doing and coaching</w:t>
      </w:r>
      <w:r>
        <w:t>.</w:t>
      </w:r>
    </w:p>
    <w:p w:rsidR="00793B2B" w:rsidRDefault="005155DD" w:rsidP="00537496">
      <w:pPr>
        <w:pStyle w:val="a1"/>
      </w:pPr>
      <w:r>
        <w:t xml:space="preserve">Well planned and transparent roadmap for nuclear infrastructure development contributes to </w:t>
      </w:r>
      <w:r w:rsidR="009A7045">
        <w:t xml:space="preserve">safety and commercial feasibility of the NPP/SMR projects thus </w:t>
      </w:r>
      <w:r w:rsidR="0097739D">
        <w:t xml:space="preserve">enhancing competitiveness of the nuclear power as an electricity generation source. </w:t>
      </w:r>
      <w:r w:rsidR="008173D4">
        <w:t xml:space="preserve">Only competitive NPP/SMR projects can facilitate achievement of sustainable development goals. </w:t>
      </w:r>
      <w:r w:rsidR="009A7045">
        <w:t xml:space="preserve"> </w:t>
      </w:r>
    </w:p>
    <w:p w:rsidR="00D26ADA" w:rsidRDefault="00D26ADA" w:rsidP="00537496">
      <w:pPr>
        <w:pStyle w:val="Otherunnumberedheadings"/>
      </w:pPr>
      <w:r>
        <w:t>References</w:t>
      </w:r>
    </w:p>
    <w:p w:rsidR="00AB4AC5" w:rsidRPr="00AB4AC5" w:rsidRDefault="00AB4AC5" w:rsidP="00AB4AC5">
      <w:pPr>
        <w:pStyle w:val="Referencelist"/>
      </w:pPr>
      <w:r>
        <w:t xml:space="preserve">IAEA, </w:t>
      </w:r>
      <w:r w:rsidRPr="00AB4AC5">
        <w:t>INSAG, Strengthening the Global Nuclear Safety Regime</w:t>
      </w:r>
      <w:r>
        <w:t>, ISAG-21, a report by the International Nuclear Safety Group, Vienna (2006)</w:t>
      </w:r>
    </w:p>
    <w:p w:rsidR="00AB4AC5" w:rsidRDefault="00AB4AC5" w:rsidP="00AB4AC5">
      <w:pPr>
        <w:pStyle w:val="Referencelist"/>
      </w:pPr>
      <w:r>
        <w:t xml:space="preserve">IAEA, </w:t>
      </w:r>
      <w:r w:rsidRPr="00AB4AC5">
        <w:t>Milestones in the Development of a National Infrastructure for Nuclear Powe</w:t>
      </w:r>
      <w:r>
        <w:t xml:space="preserve">r, </w:t>
      </w:r>
      <w:r w:rsidRPr="00AB4AC5">
        <w:t>IAEA Nuclear Energy Series No. NG-G-3.1 (Rev. 1)</w:t>
      </w:r>
      <w:r>
        <w:t>, Vienna (2015)</w:t>
      </w:r>
    </w:p>
    <w:p w:rsidR="00AB4AC5" w:rsidRDefault="00AB4AC5" w:rsidP="00AB4AC5">
      <w:pPr>
        <w:pStyle w:val="Referencelist"/>
      </w:pPr>
      <w:r w:rsidRPr="00AB4AC5">
        <w:t xml:space="preserve">IAEA, </w:t>
      </w:r>
      <w:r>
        <w:t>INPRO Methodology for Sustainability Assessment of Nuclear Energy Systems: Infrastructure,</w:t>
      </w:r>
      <w:r w:rsidRPr="00AB4AC5">
        <w:t xml:space="preserve"> INPRO manual, </w:t>
      </w:r>
      <w:r>
        <w:t>No. NG-T-3.12</w:t>
      </w:r>
      <w:r w:rsidRPr="00AB4AC5">
        <w:t>, Vienna (2014)</w:t>
      </w:r>
    </w:p>
    <w:p w:rsidR="00AB4AC5" w:rsidRPr="00AB4AC5" w:rsidRDefault="00AB4AC5" w:rsidP="00AB4AC5">
      <w:pPr>
        <w:pStyle w:val="Referencelist"/>
      </w:pPr>
      <w:r>
        <w:t xml:space="preserve">IAEA, </w:t>
      </w:r>
      <w:r w:rsidRPr="00AB4AC5">
        <w:t>Integrated Nuclear Infrastructure Review (INIR): Ten Years of Lessons Learned</w:t>
      </w:r>
      <w:r>
        <w:t xml:space="preserve">, </w:t>
      </w:r>
      <w:r w:rsidRPr="00AB4AC5">
        <w:t>IAEA-TECDOC-1947</w:t>
      </w:r>
      <w:r>
        <w:t>, Vienna (2021)</w:t>
      </w:r>
    </w:p>
    <w:p w:rsidR="00AB4AC5" w:rsidRPr="00AB4AC5" w:rsidRDefault="00AB4AC5" w:rsidP="00AB4AC5">
      <w:pPr>
        <w:pStyle w:val="Referencelist"/>
      </w:pPr>
      <w:r w:rsidRPr="00AB4AC5">
        <w:t xml:space="preserve">IAEA, INSAG, </w:t>
      </w:r>
      <w:r>
        <w:t xml:space="preserve">Licensing the First Nuclear Power Plant, </w:t>
      </w:r>
      <w:r w:rsidRPr="00AB4AC5">
        <w:t>INSAG-26</w:t>
      </w:r>
      <w:r>
        <w:t>,</w:t>
      </w:r>
      <w:r w:rsidRPr="00AB4AC5">
        <w:t xml:space="preserve"> </w:t>
      </w:r>
      <w:r>
        <w:t>a report by the International Nuclear Safety Group, Vienna (2012)</w:t>
      </w:r>
    </w:p>
    <w:p w:rsidR="00AB4AC5" w:rsidRPr="00AB4AC5" w:rsidRDefault="00AB4AC5" w:rsidP="00AB4AC5">
      <w:pPr>
        <w:pStyle w:val="Referencelist"/>
      </w:pPr>
      <w:r w:rsidRPr="00187673">
        <w:t>IAEA, Initiating Nuclear Power Programmes: Responsibilities and capabilities of Owners and Operators, IAEA Nuclear Energy Series No. NG</w:t>
      </w:r>
      <w:r w:rsidRPr="00AB4AC5">
        <w:t>-</w:t>
      </w:r>
      <w:r w:rsidRPr="00187673">
        <w:t>T</w:t>
      </w:r>
      <w:r w:rsidRPr="00AB4AC5">
        <w:t>-3.1 (</w:t>
      </w:r>
      <w:r w:rsidRPr="00187673">
        <w:t>Rev</w:t>
      </w:r>
      <w:r w:rsidRPr="00AB4AC5">
        <w:t xml:space="preserve">. 1), </w:t>
      </w:r>
      <w:r w:rsidRPr="00187673">
        <w:t>Vienna</w:t>
      </w:r>
      <w:r w:rsidRPr="00AB4AC5">
        <w:t xml:space="preserve"> (2020)</w:t>
      </w:r>
    </w:p>
    <w:p w:rsidR="00AB4AC5" w:rsidRPr="00187673" w:rsidRDefault="00AB4AC5" w:rsidP="00AB4AC5">
      <w:pPr>
        <w:pStyle w:val="Referencelist"/>
      </w:pPr>
      <w:r w:rsidRPr="00187673">
        <w:t>IAEA, Alternative Contracting and Ownership Approaches for New Nuclear Power Plants, IAEA-TECDOC-1750, Vienna (2014)</w:t>
      </w:r>
      <w:r w:rsidRPr="00AB4AC5">
        <w:t xml:space="preserve">, p. 53. “AKKUYU NPP project based on the BOO approach: Turkey”, A.S. </w:t>
      </w:r>
      <w:proofErr w:type="spellStart"/>
      <w:r w:rsidRPr="00AB4AC5">
        <w:t>Dedusenko</w:t>
      </w:r>
      <w:proofErr w:type="spellEnd"/>
      <w:r w:rsidRPr="00AB4AC5">
        <w:t xml:space="preserve">, T.V. Ivanov, U.V. Chernyakhovskaya, O. </w:t>
      </w:r>
      <w:proofErr w:type="spellStart"/>
      <w:r w:rsidRPr="00AB4AC5">
        <w:t>Ulasevich</w:t>
      </w:r>
      <w:proofErr w:type="spellEnd"/>
    </w:p>
    <w:p w:rsidR="00AB4AC5" w:rsidRPr="00187673" w:rsidRDefault="00AB4AC5" w:rsidP="00AB4AC5">
      <w:pPr>
        <w:pStyle w:val="Referencelist"/>
      </w:pPr>
      <w:r w:rsidRPr="00187673">
        <w:t>IAEA, Management of Nuclear Power Plant Projects, IAEA Nuclear Energy Series No. NG-T-1.6, Vienna (2020)</w:t>
      </w:r>
    </w:p>
    <w:p w:rsidR="00F45EEE" w:rsidRPr="005E7304" w:rsidRDefault="00F45EEE" w:rsidP="008C7C75">
      <w:pPr>
        <w:pStyle w:val="a1"/>
        <w:ind w:firstLine="0"/>
        <w:jc w:val="left"/>
        <w:rPr>
          <w:lang w:val="en-US"/>
        </w:rPr>
      </w:pPr>
    </w:p>
    <w:sectPr w:rsidR="00F45EEE" w:rsidRPr="005E7304"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7C" w:rsidRDefault="00640E7C">
      <w:r>
        <w:separator/>
      </w:r>
    </w:p>
  </w:endnote>
  <w:endnote w:type="continuationSeparator" w:id="0">
    <w:p w:rsidR="00640E7C" w:rsidRDefault="006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70" w:rsidRDefault="00E20E70">
    <w:pPr>
      <w:pStyle w:val="zyxClassification1"/>
    </w:pPr>
    <w:r>
      <w:fldChar w:fldCharType="begin"/>
    </w:r>
    <w:r>
      <w:instrText xml:space="preserve"> DOCPROPERTY "IaeaClassification"  \* MERGEFORMAT </w:instrText>
    </w:r>
    <w:r>
      <w:fldChar w:fldCharType="end"/>
    </w:r>
  </w:p>
  <w:p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70" w:rsidRDefault="00E20E70">
    <w:pPr>
      <w:pStyle w:val="zyxClassification1"/>
    </w:pPr>
    <w:r>
      <w:fldChar w:fldCharType="begin"/>
    </w:r>
    <w:r>
      <w:instrText xml:space="preserve"> DOCPROPERTY "IaeaClassification"  \* MERGEFORMAT </w:instrText>
    </w:r>
    <w:r>
      <w:fldChar w:fldCharType="end"/>
    </w:r>
  </w:p>
  <w:p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76CF3">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trPr>
        <w:cantSplit/>
      </w:trPr>
      <w:tc>
        <w:tcPr>
          <w:tcW w:w="4644" w:type="dxa"/>
        </w:tcPr>
        <w:p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7C" w:rsidRDefault="00640E7C">
      <w:r>
        <w:t>___________________________________________________________________________</w:t>
      </w:r>
    </w:p>
  </w:footnote>
  <w:footnote w:type="continuationSeparator" w:id="0">
    <w:p w:rsidR="00640E7C" w:rsidRDefault="00640E7C">
      <w:r>
        <w:t>___________________________________________________________________________</w:t>
      </w:r>
    </w:p>
  </w:footnote>
  <w:footnote w:type="continuationNotice" w:id="1">
    <w:p w:rsidR="00640E7C" w:rsidRDefault="00640E7C"/>
  </w:footnote>
  <w:footnote w:id="2">
    <w:p w:rsidR="00434BAA" w:rsidRPr="00434BAA" w:rsidRDefault="00434BAA" w:rsidP="00D70A98">
      <w:pPr>
        <w:pStyle w:val="aa"/>
        <w:tabs>
          <w:tab w:val="clear" w:pos="459"/>
          <w:tab w:val="left" w:pos="709"/>
        </w:tabs>
        <w:ind w:left="0"/>
      </w:pPr>
      <w:r>
        <w:rPr>
          <w:rStyle w:val="af"/>
        </w:rPr>
        <w:footnoteRef/>
      </w:r>
      <w:r>
        <w:t xml:space="preserve"> </w:t>
      </w:r>
      <w:r w:rsidRPr="00861277">
        <w:rPr>
          <w:sz w:val="16"/>
          <w:szCs w:val="12"/>
          <w:lang w:val="en-US"/>
        </w:rPr>
        <w:t>The roadmap is a top-level plan for the development of the NI issues in support of a nuclear project implementation, which specifies the priority NI development activities to be performed by the host country organizations/institutions, their deadlines and key stakeholders involved in the implementation of the activities.</w:t>
      </w:r>
    </w:p>
  </w:footnote>
  <w:footnote w:id="3">
    <w:p w:rsidR="006C559D" w:rsidRPr="00725464" w:rsidRDefault="006C559D" w:rsidP="006C559D">
      <w:pPr>
        <w:jc w:val="both"/>
        <w:rPr>
          <w:lang w:val="en-US"/>
        </w:rPr>
      </w:pPr>
      <w:r>
        <w:rPr>
          <w:rStyle w:val="af"/>
        </w:rPr>
        <w:footnoteRef/>
      </w:r>
      <w:r>
        <w:t xml:space="preserve"> </w:t>
      </w:r>
      <w:r w:rsidRPr="00793B2B">
        <w:rPr>
          <w:sz w:val="18"/>
          <w:lang w:val="en-US"/>
        </w:rPr>
        <w:t>Communicating vessels’ principle means that all project’s risks scope is split between the project’s participants and allocated accordingly in the responsibilities division matrix of the proj</w:t>
      </w:r>
      <w:r>
        <w:rPr>
          <w:sz w:val="18"/>
          <w:lang w:val="en-US"/>
        </w:rPr>
        <w:t xml:space="preserve">ect’s contractual arrangement.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F3" w:rsidRDefault="00CF7AF3" w:rsidP="00CF7AF3">
    <w:pPr>
      <w:pStyle w:val="Runninghead"/>
    </w:pPr>
    <w:r>
      <w:tab/>
      <w:t>IAEA-CN-123/45</w:t>
    </w:r>
  </w:p>
  <w:p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70" w:rsidRDefault="005E7304" w:rsidP="00B82FA5">
    <w:pPr>
      <w:pStyle w:val="Runninghead"/>
    </w:pPr>
    <w:r>
      <w:t>DR. YULIA CHERNYAKHOVSKAYA</w:t>
    </w:r>
    <w:r w:rsidR="00AC5A3A">
      <w:t xml:space="preserve"> and </w:t>
    </w:r>
    <w:r>
      <w:t>YULIA CHEREVKO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trPr>
        <w:cantSplit/>
        <w:trHeight w:val="716"/>
      </w:trPr>
      <w:tc>
        <w:tcPr>
          <w:tcW w:w="979" w:type="dxa"/>
          <w:vMerge w:val="restart"/>
        </w:tcPr>
        <w:p w:rsidR="00E20E70" w:rsidRDefault="00E20E70">
          <w:pPr>
            <w:spacing w:before="180"/>
            <w:ind w:left="17"/>
          </w:pPr>
        </w:p>
      </w:tc>
      <w:tc>
        <w:tcPr>
          <w:tcW w:w="3638" w:type="dxa"/>
          <w:vAlign w:val="bottom"/>
        </w:tcPr>
        <w:p w:rsidR="00E20E70" w:rsidRDefault="00E20E70">
          <w:pPr>
            <w:spacing w:after="20"/>
          </w:pPr>
        </w:p>
      </w:tc>
      <w:bookmarkStart w:id="1" w:name="DOC_bkmClassification1"/>
      <w:tc>
        <w:tcPr>
          <w:tcW w:w="5702" w:type="dxa"/>
          <w:vMerge w:val="restart"/>
          <w:tcMar>
            <w:right w:w="193"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E20E70" w:rsidRDefault="00E20E70">
          <w:pPr>
            <w:pStyle w:val="zyxConfid2Red"/>
          </w:pPr>
          <w:r>
            <w:fldChar w:fldCharType="begin"/>
          </w:r>
          <w:r>
            <w:instrText>DOCPROPERTY "IaeaClassification2"  \* MERGEFORMAT</w:instrText>
          </w:r>
          <w:r>
            <w:fldChar w:fldCharType="end"/>
          </w:r>
        </w:p>
      </w:tc>
    </w:tr>
    <w:tr w:rsidR="00E20E70">
      <w:trPr>
        <w:cantSplit/>
        <w:trHeight w:val="167"/>
      </w:trPr>
      <w:tc>
        <w:tcPr>
          <w:tcW w:w="979" w:type="dxa"/>
          <w:vMerge/>
        </w:tcPr>
        <w:p w:rsidR="00E20E70" w:rsidRDefault="00E20E70">
          <w:pPr>
            <w:spacing w:before="57"/>
          </w:pPr>
        </w:p>
      </w:tc>
      <w:tc>
        <w:tcPr>
          <w:tcW w:w="3638" w:type="dxa"/>
          <w:vAlign w:val="bottom"/>
        </w:tcPr>
        <w:p w:rsidR="00E20E70" w:rsidRDefault="00E20E70">
          <w:pPr>
            <w:pStyle w:val="9"/>
            <w:spacing w:before="0" w:after="10"/>
          </w:pPr>
        </w:p>
      </w:tc>
      <w:tc>
        <w:tcPr>
          <w:tcW w:w="5702" w:type="dxa"/>
          <w:vMerge/>
          <w:vAlign w:val="bottom"/>
        </w:tcPr>
        <w:p w:rsidR="00E20E70" w:rsidRDefault="00E20E70">
          <w:pPr>
            <w:pStyle w:val="9"/>
            <w:spacing w:before="0" w:after="10"/>
          </w:pPr>
        </w:p>
      </w:tc>
    </w:tr>
  </w:tbl>
  <w:p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5FD"/>
    <w:multiLevelType w:val="multilevel"/>
    <w:tmpl w:val="D540851A"/>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6648" w:hanging="108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8864" w:hanging="1440"/>
      </w:pPr>
      <w:rPr>
        <w:rFont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DB108EB"/>
    <w:multiLevelType w:val="hybridMultilevel"/>
    <w:tmpl w:val="A73410FE"/>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1E85147"/>
    <w:multiLevelType w:val="multilevel"/>
    <w:tmpl w:val="CD5E0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7"/>
  </w:num>
  <w:num w:numId="2">
    <w:abstractNumId w:val="4"/>
  </w:num>
  <w:num w:numId="3">
    <w:abstractNumId w:val="5"/>
  </w:num>
  <w:num w:numId="4">
    <w:abstractNumId w:val="1"/>
  </w:num>
  <w:num w:numId="5">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10"/>
  </w:num>
  <w:num w:numId="7">
    <w:abstractNumId w:val="2"/>
  </w:num>
  <w:num w:numId="8">
    <w:abstractNumId w:val="3"/>
  </w:num>
  <w:num w:numId="9">
    <w:abstractNumId w:val="6"/>
  </w:num>
  <w:num w:numId="10">
    <w:abstractNumId w:val="8"/>
  </w:num>
  <w:num w:numId="11">
    <w:abstractNumId w:val="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2A3"/>
    <w:rsid w:val="000229AB"/>
    <w:rsid w:val="0002569A"/>
    <w:rsid w:val="00037321"/>
    <w:rsid w:val="00045703"/>
    <w:rsid w:val="00091B0C"/>
    <w:rsid w:val="000A0299"/>
    <w:rsid w:val="000C6F25"/>
    <w:rsid w:val="000D27D1"/>
    <w:rsid w:val="000D6BB5"/>
    <w:rsid w:val="000D7444"/>
    <w:rsid w:val="000F7E94"/>
    <w:rsid w:val="001119D6"/>
    <w:rsid w:val="00113100"/>
    <w:rsid w:val="001308F2"/>
    <w:rsid w:val="001313E8"/>
    <w:rsid w:val="001409A3"/>
    <w:rsid w:val="00145A3C"/>
    <w:rsid w:val="00151827"/>
    <w:rsid w:val="001900B0"/>
    <w:rsid w:val="001A09A1"/>
    <w:rsid w:val="001A5A38"/>
    <w:rsid w:val="001A6990"/>
    <w:rsid w:val="001B446A"/>
    <w:rsid w:val="001B7C89"/>
    <w:rsid w:val="001C58F5"/>
    <w:rsid w:val="001D05BE"/>
    <w:rsid w:val="001D5CEE"/>
    <w:rsid w:val="001F02FE"/>
    <w:rsid w:val="002071D9"/>
    <w:rsid w:val="002108BB"/>
    <w:rsid w:val="002222D1"/>
    <w:rsid w:val="0025348D"/>
    <w:rsid w:val="00256822"/>
    <w:rsid w:val="0026525A"/>
    <w:rsid w:val="00274790"/>
    <w:rsid w:val="00282298"/>
    <w:rsid w:val="00285755"/>
    <w:rsid w:val="002A1F9C"/>
    <w:rsid w:val="002A46C2"/>
    <w:rsid w:val="002B29C2"/>
    <w:rsid w:val="002C4208"/>
    <w:rsid w:val="002D1C81"/>
    <w:rsid w:val="002F2293"/>
    <w:rsid w:val="003232E2"/>
    <w:rsid w:val="00346349"/>
    <w:rsid w:val="00352DE1"/>
    <w:rsid w:val="003728E6"/>
    <w:rsid w:val="00384658"/>
    <w:rsid w:val="003B417B"/>
    <w:rsid w:val="003B4EA1"/>
    <w:rsid w:val="003B5E0E"/>
    <w:rsid w:val="003B74D3"/>
    <w:rsid w:val="003D255A"/>
    <w:rsid w:val="003D3953"/>
    <w:rsid w:val="003E39F4"/>
    <w:rsid w:val="003F0195"/>
    <w:rsid w:val="00416949"/>
    <w:rsid w:val="00434BAA"/>
    <w:rsid w:val="004370D8"/>
    <w:rsid w:val="00443CEA"/>
    <w:rsid w:val="00451626"/>
    <w:rsid w:val="00472C43"/>
    <w:rsid w:val="0048220A"/>
    <w:rsid w:val="004A08A9"/>
    <w:rsid w:val="004A7B8A"/>
    <w:rsid w:val="004C1595"/>
    <w:rsid w:val="004D7C02"/>
    <w:rsid w:val="004E3197"/>
    <w:rsid w:val="004F6C7F"/>
    <w:rsid w:val="005155DD"/>
    <w:rsid w:val="00521F5E"/>
    <w:rsid w:val="00537496"/>
    <w:rsid w:val="00544ED3"/>
    <w:rsid w:val="00545F49"/>
    <w:rsid w:val="00571E6F"/>
    <w:rsid w:val="0058477B"/>
    <w:rsid w:val="0058654F"/>
    <w:rsid w:val="00596ACA"/>
    <w:rsid w:val="005E39BC"/>
    <w:rsid w:val="005E4234"/>
    <w:rsid w:val="005E7304"/>
    <w:rsid w:val="005F00A0"/>
    <w:rsid w:val="005F26B6"/>
    <w:rsid w:val="005F3CDE"/>
    <w:rsid w:val="00603662"/>
    <w:rsid w:val="00622B2A"/>
    <w:rsid w:val="00640E7C"/>
    <w:rsid w:val="00647117"/>
    <w:rsid w:val="00647F33"/>
    <w:rsid w:val="006511E8"/>
    <w:rsid w:val="00662532"/>
    <w:rsid w:val="00683944"/>
    <w:rsid w:val="006A749E"/>
    <w:rsid w:val="006B2274"/>
    <w:rsid w:val="006C559D"/>
    <w:rsid w:val="006D3EF0"/>
    <w:rsid w:val="00702A44"/>
    <w:rsid w:val="00717C6F"/>
    <w:rsid w:val="007226FE"/>
    <w:rsid w:val="0072752F"/>
    <w:rsid w:val="007445DA"/>
    <w:rsid w:val="00754204"/>
    <w:rsid w:val="00762803"/>
    <w:rsid w:val="00777F1A"/>
    <w:rsid w:val="00793B2B"/>
    <w:rsid w:val="007959CE"/>
    <w:rsid w:val="007B4FD1"/>
    <w:rsid w:val="007C6A53"/>
    <w:rsid w:val="007F080B"/>
    <w:rsid w:val="00802381"/>
    <w:rsid w:val="008078EE"/>
    <w:rsid w:val="008173D4"/>
    <w:rsid w:val="00842CD0"/>
    <w:rsid w:val="00883848"/>
    <w:rsid w:val="00886A14"/>
    <w:rsid w:val="008959BB"/>
    <w:rsid w:val="00897ED5"/>
    <w:rsid w:val="008B6BB9"/>
    <w:rsid w:val="008C7C75"/>
    <w:rsid w:val="008E5C6A"/>
    <w:rsid w:val="00911543"/>
    <w:rsid w:val="009519C9"/>
    <w:rsid w:val="0097469E"/>
    <w:rsid w:val="0097739D"/>
    <w:rsid w:val="00982E3F"/>
    <w:rsid w:val="00984C9F"/>
    <w:rsid w:val="009A7045"/>
    <w:rsid w:val="009D0B86"/>
    <w:rsid w:val="009D6D43"/>
    <w:rsid w:val="009D72ED"/>
    <w:rsid w:val="009D7D73"/>
    <w:rsid w:val="009E0D5B"/>
    <w:rsid w:val="009E1558"/>
    <w:rsid w:val="00A42898"/>
    <w:rsid w:val="00A73D66"/>
    <w:rsid w:val="00AB4AC5"/>
    <w:rsid w:val="00AB6ACE"/>
    <w:rsid w:val="00AC5A3A"/>
    <w:rsid w:val="00AF1806"/>
    <w:rsid w:val="00B17299"/>
    <w:rsid w:val="00B602F2"/>
    <w:rsid w:val="00B621B1"/>
    <w:rsid w:val="00B82FA5"/>
    <w:rsid w:val="00BD1400"/>
    <w:rsid w:val="00BD3FFC"/>
    <w:rsid w:val="00BD605C"/>
    <w:rsid w:val="00BE2A76"/>
    <w:rsid w:val="00C2263F"/>
    <w:rsid w:val="00C64C6C"/>
    <w:rsid w:val="00C65E60"/>
    <w:rsid w:val="00C662D5"/>
    <w:rsid w:val="00C71763"/>
    <w:rsid w:val="00C73F00"/>
    <w:rsid w:val="00C93B9A"/>
    <w:rsid w:val="00CA0975"/>
    <w:rsid w:val="00CE09C2"/>
    <w:rsid w:val="00CE5A52"/>
    <w:rsid w:val="00CF184E"/>
    <w:rsid w:val="00CF45DE"/>
    <w:rsid w:val="00CF7AF3"/>
    <w:rsid w:val="00D10AEC"/>
    <w:rsid w:val="00D26ADA"/>
    <w:rsid w:val="00D35A78"/>
    <w:rsid w:val="00D555A1"/>
    <w:rsid w:val="00D64DC2"/>
    <w:rsid w:val="00D70A98"/>
    <w:rsid w:val="00DA46CA"/>
    <w:rsid w:val="00DB49F2"/>
    <w:rsid w:val="00DB69CB"/>
    <w:rsid w:val="00DE2FAD"/>
    <w:rsid w:val="00DF21EB"/>
    <w:rsid w:val="00E061DA"/>
    <w:rsid w:val="00E20E70"/>
    <w:rsid w:val="00E24AC8"/>
    <w:rsid w:val="00E25B68"/>
    <w:rsid w:val="00E56955"/>
    <w:rsid w:val="00E76CF3"/>
    <w:rsid w:val="00E8163C"/>
    <w:rsid w:val="00E84003"/>
    <w:rsid w:val="00EB356B"/>
    <w:rsid w:val="00EC10FC"/>
    <w:rsid w:val="00EE0041"/>
    <w:rsid w:val="00EE29B9"/>
    <w:rsid w:val="00F004EE"/>
    <w:rsid w:val="00F05F5C"/>
    <w:rsid w:val="00F177FD"/>
    <w:rsid w:val="00F2232F"/>
    <w:rsid w:val="00F25BD0"/>
    <w:rsid w:val="00F26048"/>
    <w:rsid w:val="00F401B8"/>
    <w:rsid w:val="00F42E23"/>
    <w:rsid w:val="00F45EEE"/>
    <w:rsid w:val="00F51E9C"/>
    <w:rsid w:val="00F523CA"/>
    <w:rsid w:val="00F7011B"/>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99" w:qFormat="1"/>
    <w:lsdException w:name="header" w:locked="0" w:uiPriority="0"/>
    <w:lsdException w:name="footer" w:locked="0" w:uiPriority="99"/>
    <w:lsdException w:name="caption" w:locked="0"/>
    <w:lsdException w:name="footnote reference" w:locked="0" w:uiPriority="99"/>
    <w:lsdException w:name="List Bullet" w:locked="0"/>
    <w:lsdException w:name="Title" w:locked="0" w:uiPriority="10" w:qFormat="1"/>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HTML Preformatted" w:semiHidden="1" w:uiPriority="99" w:unhideWhenUsed="1"/>
    <w:lsdException w:name="Normal Table" w:locked="0" w:semiHidden="1" w:uiPriority="0"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6"/>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aliases w:val="Car,single space,Текст сноски-FN,footnote text,Footnote Text Char Знак Знак,Footnote Text Char Знак,Table_Footnote_last,Сноска,Текст сноски Знак1 Знак,Текст сноски Знак Знак Знак,Текст сноски Знак1 Знак Знак Знак,Schriftart: 9 pt"/>
    <w:link w:val="ab"/>
    <w:uiPriority w:val="99"/>
    <w:qFormat/>
    <w:locked/>
    <w:pPr>
      <w:tabs>
        <w:tab w:val="left" w:pos="459"/>
      </w:tabs>
      <w:spacing w:before="142"/>
      <w:ind w:left="459"/>
      <w:jc w:val="both"/>
    </w:pPr>
    <w:rPr>
      <w:sz w:val="18"/>
      <w:lang w:eastAsia="en-US"/>
    </w:rPr>
  </w:style>
  <w:style w:type="paragraph" w:styleId="ac">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7"/>
      </w:numPr>
    </w:pPr>
  </w:style>
  <w:style w:type="paragraph" w:customStyle="1" w:styleId="ListNumbered">
    <w:name w:val="List Numbered"/>
    <w:basedOn w:val="a1"/>
    <w:uiPriority w:val="5"/>
    <w:qFormat/>
    <w:locked/>
    <w:rsid w:val="00717C6F"/>
    <w:pPr>
      <w:numPr>
        <w:numId w:val="8"/>
      </w:numPr>
    </w:pPr>
  </w:style>
  <w:style w:type="paragraph" w:styleId="ad">
    <w:name w:val="Title"/>
    <w:link w:val="ae"/>
    <w:uiPriority w:val="10"/>
    <w:qFormat/>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f">
    <w:name w:val="footnote reference"/>
    <w:aliases w:val="Знак сноски 1,зс,Знак сноски-FN,Ciae niinee-FN,Referencia nota al pie,fr,Used by Word for Help footnote symbols,Ciae niinee 1,number,Footnote reference number,Footnote symbol,note TESI,-E Fußnotenzeichen,SUPERS,Footnote Reference_LVL6"/>
    <w:basedOn w:val="a2"/>
    <w:uiPriority w:val="99"/>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f0">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1">
    <w:name w:val="Balloon Text"/>
    <w:basedOn w:val="a"/>
    <w:link w:val="af2"/>
    <w:uiPriority w:val="49"/>
    <w:locked/>
    <w:rsid w:val="005F00A0"/>
    <w:rPr>
      <w:rFonts w:ascii="Tahoma" w:hAnsi="Tahoma" w:cs="Tahoma"/>
      <w:sz w:val="16"/>
      <w:szCs w:val="16"/>
    </w:rPr>
  </w:style>
  <w:style w:type="character" w:customStyle="1" w:styleId="af2">
    <w:name w:val="Текст выноски Знак"/>
    <w:basedOn w:val="a2"/>
    <w:link w:val="af1"/>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customStyle="1" w:styleId="ae">
    <w:name w:val="Заголовок Знак"/>
    <w:basedOn w:val="a2"/>
    <w:link w:val="ad"/>
    <w:uiPriority w:val="10"/>
    <w:rsid w:val="00793B2B"/>
    <w:rPr>
      <w:rFonts w:ascii="Arial" w:hAnsi="Arial" w:cs="Arial"/>
      <w:bCs/>
      <w:sz w:val="42"/>
      <w:szCs w:val="32"/>
      <w:lang w:eastAsia="en-US"/>
    </w:rPr>
  </w:style>
  <w:style w:type="paragraph" w:styleId="af3">
    <w:name w:val="List Paragraph"/>
    <w:aliases w:val="Resume Title,Citation List,Indent Paragraph,Bullets,Figure_name,List Paragraph1,Bullet- First level,Report Para,List Paragraph11,Number Bullets,heading 4,Graphic,Ha,Bullets1,List_Paragraph,Multilevel para_II,List Paragraph (numbered (a))"/>
    <w:basedOn w:val="a"/>
    <w:link w:val="af4"/>
    <w:uiPriority w:val="34"/>
    <w:qFormat/>
    <w:locked/>
    <w:rsid w:val="00793B2B"/>
    <w:pPr>
      <w:overflowPunct/>
      <w:autoSpaceDE/>
      <w:autoSpaceDN/>
      <w:adjustRightInd/>
      <w:spacing w:before="120" w:after="60"/>
      <w:ind w:left="720"/>
      <w:contextualSpacing/>
      <w:jc w:val="both"/>
      <w:textAlignment w:val="auto"/>
    </w:pPr>
    <w:rPr>
      <w:rFonts w:eastAsiaTheme="minorHAnsi" w:cstheme="minorBidi"/>
      <w:sz w:val="20"/>
      <w:szCs w:val="22"/>
      <w:lang w:val="es-ES"/>
    </w:rPr>
  </w:style>
  <w:style w:type="character" w:customStyle="1" w:styleId="ab">
    <w:name w:val="Текст сноски Знак"/>
    <w:aliases w:val="Car Знак,single space Знак,Текст сноски-FN Знак,footnote text Знак,Footnote Text Char Знак Знак Знак,Footnote Text Char Знак Знак1,Table_Footnote_last Знак,Сноска Знак,Текст сноски Знак1 Знак Знак,Текст сноски Знак Знак Знак Знак"/>
    <w:basedOn w:val="a2"/>
    <w:link w:val="aa"/>
    <w:uiPriority w:val="99"/>
    <w:rsid w:val="00793B2B"/>
    <w:rPr>
      <w:sz w:val="18"/>
      <w:lang w:eastAsia="en-US"/>
    </w:rPr>
  </w:style>
  <w:style w:type="character" w:customStyle="1" w:styleId="af4">
    <w:name w:val="Абзац списка Знак"/>
    <w:aliases w:val="Resume Title Знак,Citation List Знак,Indent Paragraph Знак,Bullets Знак,Figure_name Знак,List Paragraph1 Знак,Bullet- First level Знак,Report Para Знак,List Paragraph11 Знак,Number Bullets Знак,heading 4 Знак,Graphic Знак,Ha Знак"/>
    <w:link w:val="af3"/>
    <w:uiPriority w:val="34"/>
    <w:qFormat/>
    <w:rsid w:val="00793B2B"/>
    <w:rPr>
      <w:rFonts w:eastAsiaTheme="minorHAnsi" w:cstheme="minorBidi"/>
      <w:szCs w:val="22"/>
      <w:lang w:val="es-ES" w:eastAsia="en-US"/>
    </w:rPr>
  </w:style>
  <w:style w:type="paragraph" w:customStyle="1" w:styleId="Style1">
    <w:name w:val="Style1"/>
    <w:basedOn w:val="a"/>
    <w:link w:val="Style1Char"/>
    <w:uiPriority w:val="99"/>
    <w:rsid w:val="00793B2B"/>
    <w:pPr>
      <w:widowControl w:val="0"/>
      <w:overflowPunct/>
      <w:spacing w:line="360" w:lineRule="exact"/>
      <w:jc w:val="right"/>
      <w:textAlignment w:val="auto"/>
    </w:pPr>
    <w:rPr>
      <w:sz w:val="24"/>
      <w:szCs w:val="24"/>
      <w:lang w:val="ru-RU" w:eastAsia="ru-RU"/>
    </w:rPr>
  </w:style>
  <w:style w:type="character" w:customStyle="1" w:styleId="Style1Char">
    <w:name w:val="Style1 Char"/>
    <w:link w:val="Style1"/>
    <w:uiPriority w:val="99"/>
    <w:rsid w:val="00793B2B"/>
    <w:rPr>
      <w:sz w:val="24"/>
      <w:szCs w:val="24"/>
      <w:lang w:val="ru-RU" w:eastAsia="ru-RU"/>
    </w:rPr>
  </w:style>
  <w:style w:type="character" w:styleId="af5">
    <w:name w:val="Hyperlink"/>
    <w:basedOn w:val="a2"/>
    <w:uiPriority w:val="99"/>
    <w:unhideWhenUsed/>
    <w:locked/>
    <w:rsid w:val="00AB4AC5"/>
    <w:rPr>
      <w:color w:val="0000FF"/>
      <w:u w:val="single"/>
    </w:rPr>
  </w:style>
  <w:style w:type="paragraph" w:styleId="HTML">
    <w:name w:val="HTML Preformatted"/>
    <w:basedOn w:val="a"/>
    <w:link w:val="HTML0"/>
    <w:uiPriority w:val="99"/>
    <w:semiHidden/>
    <w:unhideWhenUsed/>
    <w:locked/>
    <w:rsid w:val="000D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ru-RU" w:eastAsia="ru-RU"/>
    </w:rPr>
  </w:style>
  <w:style w:type="character" w:customStyle="1" w:styleId="HTML0">
    <w:name w:val="Стандартный HTML Знак"/>
    <w:basedOn w:val="a2"/>
    <w:link w:val="HTML"/>
    <w:uiPriority w:val="99"/>
    <w:semiHidden/>
    <w:rsid w:val="000D6BB5"/>
    <w:rPr>
      <w:rFonts w:ascii="Courier New" w:hAnsi="Courier New" w:cs="Courier New"/>
      <w:lang w:val="ru-RU" w:eastAsia="ru-RU"/>
    </w:rPr>
  </w:style>
  <w:style w:type="character" w:customStyle="1" w:styleId="y2iqfc">
    <w:name w:val="y2iqfc"/>
    <w:basedOn w:val="a2"/>
    <w:rsid w:val="000D6BB5"/>
  </w:style>
  <w:style w:type="character" w:styleId="af6">
    <w:name w:val="annotation reference"/>
    <w:basedOn w:val="a2"/>
    <w:uiPriority w:val="49"/>
    <w:locked/>
    <w:rsid w:val="008C7C75"/>
    <w:rPr>
      <w:sz w:val="16"/>
      <w:szCs w:val="16"/>
    </w:rPr>
  </w:style>
  <w:style w:type="paragraph" w:styleId="af7">
    <w:name w:val="annotation text"/>
    <w:basedOn w:val="a"/>
    <w:link w:val="af8"/>
    <w:uiPriority w:val="49"/>
    <w:locked/>
    <w:rsid w:val="008C7C75"/>
    <w:rPr>
      <w:sz w:val="20"/>
    </w:rPr>
  </w:style>
  <w:style w:type="character" w:customStyle="1" w:styleId="af8">
    <w:name w:val="Текст примечания Знак"/>
    <w:basedOn w:val="a2"/>
    <w:link w:val="af7"/>
    <w:uiPriority w:val="49"/>
    <w:rsid w:val="008C7C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4124">
      <w:bodyDiv w:val="1"/>
      <w:marLeft w:val="0"/>
      <w:marRight w:val="0"/>
      <w:marTop w:val="0"/>
      <w:marBottom w:val="0"/>
      <w:divBdr>
        <w:top w:val="none" w:sz="0" w:space="0" w:color="auto"/>
        <w:left w:val="none" w:sz="0" w:space="0" w:color="auto"/>
        <w:bottom w:val="none" w:sz="0" w:space="0" w:color="auto"/>
        <w:right w:val="none" w:sz="0" w:space="0" w:color="auto"/>
      </w:divBdr>
    </w:div>
    <w:div w:id="1231578591">
      <w:bodyDiv w:val="1"/>
      <w:marLeft w:val="0"/>
      <w:marRight w:val="0"/>
      <w:marTop w:val="0"/>
      <w:marBottom w:val="0"/>
      <w:divBdr>
        <w:top w:val="none" w:sz="0" w:space="0" w:color="auto"/>
        <w:left w:val="none" w:sz="0" w:space="0" w:color="auto"/>
        <w:bottom w:val="none" w:sz="0" w:space="0" w:color="auto"/>
        <w:right w:val="none" w:sz="0" w:space="0" w:color="auto"/>
      </w:divBdr>
    </w:div>
    <w:div w:id="1377270023">
      <w:bodyDiv w:val="1"/>
      <w:marLeft w:val="0"/>
      <w:marRight w:val="0"/>
      <w:marTop w:val="0"/>
      <w:marBottom w:val="0"/>
      <w:divBdr>
        <w:top w:val="none" w:sz="0" w:space="0" w:color="auto"/>
        <w:left w:val="none" w:sz="0" w:space="0" w:color="auto"/>
        <w:bottom w:val="none" w:sz="0" w:space="0" w:color="auto"/>
        <w:right w:val="none" w:sz="0" w:space="0" w:color="auto"/>
      </w:divBdr>
    </w:div>
    <w:div w:id="1504012599">
      <w:bodyDiv w:val="1"/>
      <w:marLeft w:val="0"/>
      <w:marRight w:val="0"/>
      <w:marTop w:val="0"/>
      <w:marBottom w:val="0"/>
      <w:divBdr>
        <w:top w:val="none" w:sz="0" w:space="0" w:color="auto"/>
        <w:left w:val="none" w:sz="0" w:space="0" w:color="auto"/>
        <w:bottom w:val="none" w:sz="0" w:space="0" w:color="auto"/>
        <w:right w:val="none" w:sz="0" w:space="0" w:color="auto"/>
      </w:divBdr>
    </w:div>
    <w:div w:id="1661812084">
      <w:bodyDiv w:val="1"/>
      <w:marLeft w:val="0"/>
      <w:marRight w:val="0"/>
      <w:marTop w:val="0"/>
      <w:marBottom w:val="0"/>
      <w:divBdr>
        <w:top w:val="none" w:sz="0" w:space="0" w:color="auto"/>
        <w:left w:val="none" w:sz="0" w:space="0" w:color="auto"/>
        <w:bottom w:val="none" w:sz="0" w:space="0" w:color="auto"/>
        <w:right w:val="none" w:sz="0" w:space="0" w:color="auto"/>
      </w:divBdr>
    </w:div>
    <w:div w:id="17057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93B616DF-5A1C-49BE-9F2B-9D442557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3</TotalTime>
  <Pages>7</Pages>
  <Words>3413</Words>
  <Characters>20418</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Черевко Юлия Андреевна</cp:lastModifiedBy>
  <cp:revision>4</cp:revision>
  <cp:lastPrinted>2024-03-19T13:52:00Z</cp:lastPrinted>
  <dcterms:created xsi:type="dcterms:W3CDTF">2024-06-13T14:17:00Z</dcterms:created>
  <dcterms:modified xsi:type="dcterms:W3CDTF">2024-06-13T14:21:00Z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