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2A03" w14:textId="1C845771" w:rsidR="00E20E70" w:rsidRPr="00683813" w:rsidRDefault="00094011" w:rsidP="00537496">
      <w:pPr>
        <w:pStyle w:val="Heading1"/>
      </w:pPr>
      <w:r w:rsidRPr="00683813">
        <w:t xml:space="preserve">BULK RADIOACTIVE RESIDUALS FROM </w:t>
      </w:r>
      <w:r w:rsidRPr="00683813">
        <w:br/>
        <w:t xml:space="preserve">CYCLOTRON DECOMMISSIONING IN THE </w:t>
      </w:r>
      <w:r w:rsidRPr="00683813">
        <w:br/>
        <w:t>NETHERLANDS</w:t>
      </w:r>
    </w:p>
    <w:p w14:paraId="529429EE" w14:textId="640F30FD" w:rsidR="003B5E0E" w:rsidRPr="00683813" w:rsidRDefault="00094011" w:rsidP="00537496">
      <w:pPr>
        <w:pStyle w:val="Subtitle"/>
      </w:pPr>
      <w:r w:rsidRPr="00683813">
        <w:t>An opportunity for recycling through conditional clearance</w:t>
      </w:r>
    </w:p>
    <w:p w14:paraId="19195FDD" w14:textId="77777777" w:rsidR="00802381" w:rsidRPr="00683813" w:rsidRDefault="00802381" w:rsidP="00537496">
      <w:pPr>
        <w:pStyle w:val="Authornameandaffiliation"/>
      </w:pPr>
    </w:p>
    <w:p w14:paraId="7D7F50F0" w14:textId="5875C4BF" w:rsidR="003B5E0E" w:rsidRPr="00683813" w:rsidRDefault="00FF386F" w:rsidP="00537496">
      <w:pPr>
        <w:pStyle w:val="Authornameandaffiliation"/>
      </w:pPr>
      <w:r w:rsidRPr="00683813">
        <w:t>A.</w:t>
      </w:r>
      <w:r w:rsidR="00094011" w:rsidRPr="00683813">
        <w:t>C</w:t>
      </w:r>
      <w:r w:rsidR="00537496" w:rsidRPr="00683813">
        <w:t>.</w:t>
      </w:r>
      <w:r w:rsidRPr="00683813">
        <w:t xml:space="preserve"> </w:t>
      </w:r>
      <w:r w:rsidR="00094011" w:rsidRPr="00683813">
        <w:t>HENGEVELD</w:t>
      </w:r>
    </w:p>
    <w:p w14:paraId="1850F51C" w14:textId="3382D392" w:rsidR="00FF386F" w:rsidRPr="00683813" w:rsidRDefault="00F36518" w:rsidP="00537496">
      <w:pPr>
        <w:pStyle w:val="Authornameandaffiliation"/>
      </w:pPr>
      <w:r w:rsidRPr="00683813">
        <w:t xml:space="preserve">National </w:t>
      </w:r>
      <w:r w:rsidR="00094011" w:rsidRPr="00683813">
        <w:t>Institute for Public Health and the Environment</w:t>
      </w:r>
      <w:r w:rsidRPr="00683813">
        <w:t xml:space="preserve"> (RIVM)</w:t>
      </w:r>
    </w:p>
    <w:p w14:paraId="74D7F8A1" w14:textId="42B4BD45" w:rsidR="00FF386F" w:rsidRPr="00683813" w:rsidRDefault="00094011" w:rsidP="00537496">
      <w:pPr>
        <w:pStyle w:val="Authornameandaffiliation"/>
      </w:pPr>
      <w:proofErr w:type="spellStart"/>
      <w:r w:rsidRPr="00683813">
        <w:t>Bilthoven</w:t>
      </w:r>
      <w:proofErr w:type="spellEnd"/>
      <w:r w:rsidR="00FF386F" w:rsidRPr="00683813">
        <w:t xml:space="preserve">, </w:t>
      </w:r>
      <w:r w:rsidRPr="00683813">
        <w:t>the Netherlands</w:t>
      </w:r>
    </w:p>
    <w:p w14:paraId="1C6A20F1" w14:textId="57E84934" w:rsidR="00FF386F" w:rsidRPr="00683813" w:rsidRDefault="00FF386F" w:rsidP="00537496">
      <w:pPr>
        <w:pStyle w:val="Authornameandaffiliation"/>
      </w:pPr>
      <w:r w:rsidRPr="00683813">
        <w:t xml:space="preserve">Email: </w:t>
      </w:r>
      <w:r w:rsidR="00094011" w:rsidRPr="00683813">
        <w:t>adriaan.hengeveld</w:t>
      </w:r>
      <w:r w:rsidRPr="00683813">
        <w:t>@</w:t>
      </w:r>
      <w:r w:rsidR="00094011" w:rsidRPr="00683813">
        <w:t>rivm.nl</w:t>
      </w:r>
    </w:p>
    <w:p w14:paraId="2E7E78F8" w14:textId="77777777" w:rsidR="00FF386F" w:rsidRPr="00683813" w:rsidRDefault="00FF386F" w:rsidP="00537496">
      <w:pPr>
        <w:pStyle w:val="Authornameandaffiliation"/>
      </w:pPr>
    </w:p>
    <w:p w14:paraId="44F39D82" w14:textId="676E9405" w:rsidR="00FF386F" w:rsidRPr="00683813" w:rsidRDefault="00094011" w:rsidP="00537496">
      <w:pPr>
        <w:pStyle w:val="Authornameandaffiliation"/>
      </w:pPr>
      <w:r w:rsidRPr="00683813">
        <w:t>P.</w:t>
      </w:r>
      <w:r w:rsidR="00212A79" w:rsidRPr="00683813">
        <w:t>D.</w:t>
      </w:r>
      <w:r w:rsidRPr="00683813">
        <w:t>B.M. BEKHUIS</w:t>
      </w:r>
    </w:p>
    <w:p w14:paraId="213818B7" w14:textId="71794FBD" w:rsidR="00094011" w:rsidRPr="00683813" w:rsidRDefault="00F36518" w:rsidP="00094011">
      <w:pPr>
        <w:pStyle w:val="Authornameandaffiliation"/>
      </w:pPr>
      <w:r w:rsidRPr="00683813">
        <w:t xml:space="preserve">National </w:t>
      </w:r>
      <w:r w:rsidR="00094011" w:rsidRPr="00683813">
        <w:t>Institute for Public Health and the Environment</w:t>
      </w:r>
      <w:r w:rsidRPr="00683813">
        <w:t xml:space="preserve"> (RIVM)</w:t>
      </w:r>
    </w:p>
    <w:p w14:paraId="58AAEF6D" w14:textId="77777777" w:rsidR="00094011" w:rsidRPr="00683813" w:rsidRDefault="00094011" w:rsidP="00094011">
      <w:pPr>
        <w:pStyle w:val="Authornameandaffiliation"/>
      </w:pPr>
      <w:proofErr w:type="spellStart"/>
      <w:r w:rsidRPr="00683813">
        <w:t>Bilthoven</w:t>
      </w:r>
      <w:proofErr w:type="spellEnd"/>
      <w:r w:rsidRPr="00683813">
        <w:t>, the Netherlands</w:t>
      </w:r>
    </w:p>
    <w:p w14:paraId="00019388" w14:textId="77777777" w:rsidR="00FF386F" w:rsidRPr="00683813" w:rsidRDefault="00FF386F" w:rsidP="00537496">
      <w:pPr>
        <w:pStyle w:val="Authornameandaffiliation"/>
      </w:pPr>
    </w:p>
    <w:p w14:paraId="57857091" w14:textId="77777777" w:rsidR="00647F33" w:rsidRPr="00683813" w:rsidRDefault="00647F33" w:rsidP="00537496">
      <w:pPr>
        <w:pStyle w:val="Authornameandaffiliation"/>
        <w:rPr>
          <w:b/>
        </w:rPr>
      </w:pPr>
      <w:r w:rsidRPr="00683813">
        <w:rPr>
          <w:b/>
        </w:rPr>
        <w:t>Abstract</w:t>
      </w:r>
    </w:p>
    <w:p w14:paraId="353C524E" w14:textId="77777777" w:rsidR="00647F33" w:rsidRPr="00683813" w:rsidRDefault="00647F33" w:rsidP="00537496">
      <w:pPr>
        <w:pStyle w:val="Authornameandaffiliation"/>
      </w:pPr>
    </w:p>
    <w:p w14:paraId="662E43B0" w14:textId="149698C2" w:rsidR="00647F33" w:rsidRPr="00AE5690" w:rsidRDefault="00540F8A" w:rsidP="00537496">
      <w:pPr>
        <w:pStyle w:val="Abstracttext"/>
      </w:pPr>
      <w:r w:rsidRPr="00AE5690">
        <w:t>In the coming years and decades, growth in demand for PET radionuclides and associated growth in</w:t>
      </w:r>
      <w:r w:rsidR="00041830" w:rsidRPr="00AE5690">
        <w:t xml:space="preserve"> </w:t>
      </w:r>
      <w:r w:rsidRPr="00AE5690">
        <w:t xml:space="preserve">cyclotron commissioning and decommissioning activity is expected. Decommissioning of cyclotron facilities leads to the generation of radioactive waste in different shapes. In the context of ambitions toward a circular economy, it is important to know the </w:t>
      </w:r>
      <w:r w:rsidR="000E01FC" w:rsidRPr="00AE5690">
        <w:t>activity</w:t>
      </w:r>
      <w:r w:rsidR="0026782D">
        <w:t xml:space="preserve"> </w:t>
      </w:r>
      <w:r w:rsidR="00286F8E">
        <w:t>concentration</w:t>
      </w:r>
      <w:r w:rsidR="00C83091">
        <w:t>s</w:t>
      </w:r>
      <w:r w:rsidR="000E01FC" w:rsidRPr="00AE5690">
        <w:t xml:space="preserve"> </w:t>
      </w:r>
      <w:r w:rsidR="00C83091">
        <w:t>in</w:t>
      </w:r>
      <w:r w:rsidR="00C83091" w:rsidRPr="00AE5690">
        <w:t xml:space="preserve"> </w:t>
      </w:r>
      <w:r w:rsidRPr="00AE5690">
        <w:t>decommissioning</w:t>
      </w:r>
      <w:r w:rsidR="00C83091">
        <w:t xml:space="preserve"> residual</w:t>
      </w:r>
      <w:r w:rsidRPr="00AE5690">
        <w:t xml:space="preserve"> material </w:t>
      </w:r>
      <w:r w:rsidR="000E01FC" w:rsidRPr="00AE5690">
        <w:t>such that it</w:t>
      </w:r>
      <w:r w:rsidR="00AE5690">
        <w:t>s fitness for recycling</w:t>
      </w:r>
      <w:r w:rsidR="000E01FC" w:rsidRPr="00AE5690">
        <w:t xml:space="preserve"> may be judged</w:t>
      </w:r>
      <w:r w:rsidR="001C61B0" w:rsidRPr="00AE5690">
        <w:t xml:space="preserve">. </w:t>
      </w:r>
      <w:r w:rsidR="00041830" w:rsidRPr="00AE5690">
        <w:t xml:space="preserve">One potential avenue toward recycling is conditional clearance. An inventory of radionuclide production cyclotrons in the Netherlands was made, along with an estimate of ‘activated mass’ of decommissioning waste per cyclotron. A literature study was performed in order to assess expected activity levels in cyclotron metals, bunker concrete and reinforcement steel after radionuclide production cyclotron decommissioning. These materials were all found likely to qualify for conditional clearance after five years post-shutdown. Applied to the Dutch situation, conditional clearance could </w:t>
      </w:r>
      <w:r w:rsidR="00AE5690" w:rsidRPr="00AE5690">
        <w:t>lead to</w:t>
      </w:r>
      <w:r w:rsidR="00041830" w:rsidRPr="00AE5690">
        <w:t xml:space="preserve"> recycling of </w:t>
      </w:r>
      <w:r w:rsidR="00AE5690" w:rsidRPr="00AE5690">
        <w:t xml:space="preserve">five to seven </w:t>
      </w:r>
      <w:r w:rsidR="00C85003">
        <w:t>metric kilotons</w:t>
      </w:r>
      <w:r w:rsidR="00AE5690" w:rsidRPr="00AE5690">
        <w:t xml:space="preserve"> of </w:t>
      </w:r>
      <w:r w:rsidR="00077E1F">
        <w:t xml:space="preserve">cyclotron decommissioning </w:t>
      </w:r>
      <w:r w:rsidR="00AE5690" w:rsidRPr="00AE5690">
        <w:t xml:space="preserve">material that would otherwise have to be stored in a conventional </w:t>
      </w:r>
      <w:r w:rsidR="00EC34E3">
        <w:t xml:space="preserve">radioactive waste </w:t>
      </w:r>
      <w:r w:rsidR="00AE5690" w:rsidRPr="00AE5690">
        <w:t xml:space="preserve">storage </w:t>
      </w:r>
      <w:r w:rsidR="00EC34E3">
        <w:t>facility</w:t>
      </w:r>
      <w:r w:rsidR="00AE5690" w:rsidRPr="00AE5690">
        <w:t>.</w:t>
      </w:r>
    </w:p>
    <w:p w14:paraId="17E7B079" w14:textId="77777777" w:rsidR="00647F33" w:rsidRPr="00683813" w:rsidRDefault="00F523CA" w:rsidP="00537496">
      <w:pPr>
        <w:pStyle w:val="Heading2"/>
        <w:numPr>
          <w:ilvl w:val="1"/>
          <w:numId w:val="10"/>
        </w:numPr>
        <w:rPr>
          <w:lang w:val="en-US"/>
        </w:rPr>
      </w:pPr>
      <w:r w:rsidRPr="00683813">
        <w:rPr>
          <w:lang w:val="en-US"/>
        </w:rPr>
        <w:t>INTRODUCTION</w:t>
      </w:r>
    </w:p>
    <w:p w14:paraId="5091A4F6" w14:textId="6840FF20" w:rsidR="00570BE4" w:rsidRPr="00683813" w:rsidRDefault="00A915AF" w:rsidP="00537496">
      <w:pPr>
        <w:pStyle w:val="BodyText"/>
        <w:rPr>
          <w:lang w:val="en-US"/>
        </w:rPr>
      </w:pPr>
      <w:r w:rsidRPr="00683813">
        <w:rPr>
          <w:lang w:val="en-US"/>
        </w:rPr>
        <w:t xml:space="preserve">Cyclotron-manufactured radionuclides play a significant role in modern nuclear medicine. The number of PET-scans </w:t>
      </w:r>
      <w:r w:rsidR="00BB3110" w:rsidRPr="00683813">
        <w:rPr>
          <w:lang w:val="en-US"/>
        </w:rPr>
        <w:t xml:space="preserve">performed in the Netherlands has risen by 75% since 1991 </w:t>
      </w:r>
      <w:r w:rsidR="00201D34" w:rsidRPr="00683813">
        <w:rPr>
          <w:lang w:val="en-US"/>
        </w:rPr>
        <w:fldChar w:fldCharType="begin"/>
      </w:r>
      <w:r w:rsidR="00201D34" w:rsidRPr="00683813">
        <w:rPr>
          <w:lang w:val="en-US"/>
        </w:rPr>
        <w:instrText xml:space="preserve"> ADDIN EN.CITE &lt;EndNote&gt;&lt;Cite&gt;&lt;Author&gt;RIVM&lt;/Author&gt;&lt;Year&gt;2021&lt;/Year&gt;&lt;RecNum&gt;40&lt;/RecNum&gt;&lt;DisplayText&gt;[1]&lt;/DisplayText&gt;&lt;record&gt;&lt;rec-number&gt;40&lt;/rec-number&gt;&lt;foreign-keys&gt;&lt;key app="EN" db-id="5saed0xvzv9sz3et5fqvz29i0ftadf2wd50r" timestamp="1674463815"&gt;40&lt;/key&gt;&lt;/foreign-keys&gt;&lt;ref-type name="Web Page"&gt;12&lt;/ref-type&gt;&lt;contributors&gt;&lt;authors&gt;&lt;author&gt;RIVM&lt;/author&gt;&lt;/authors&gt;&lt;/contributors&gt;&lt;titles&gt;&lt;title&gt;Trend in het aantal nucleair geneeskundige onderzoeken&lt;/title&gt;&lt;/titles&gt;&lt;number&gt;23/01/2023&lt;/number&gt;&lt;dates&gt;&lt;year&gt;2021&lt;/year&gt;&lt;pub-dates&gt;&lt;date&gt;2021&lt;/date&gt;&lt;/pub-dates&gt;&lt;/dates&gt;&lt;publisher&gt;Rijksinstituut voor Volksgezondheid en Milieu&lt;/publisher&gt;&lt;urls&gt;&lt;related-urls&gt;&lt;url&gt;https://www.rivm.nl/medische-stralingstoepassingen/trends-en-stand-van-zaken/diagnostiek/nucleaire-geneeskunde/trend-in-aantal-nucleair-geneeskundige-onderzoeken&lt;/url&gt;&lt;/related-urls&gt;&lt;/urls&gt;&lt;/record&gt;&lt;/Cite&gt;&lt;/EndNote&gt;</w:instrText>
      </w:r>
      <w:r w:rsidR="00201D34" w:rsidRPr="00683813">
        <w:rPr>
          <w:lang w:val="en-US"/>
        </w:rPr>
        <w:fldChar w:fldCharType="separate"/>
      </w:r>
      <w:r w:rsidR="00201D34" w:rsidRPr="00683813">
        <w:rPr>
          <w:noProof/>
          <w:lang w:val="en-US"/>
        </w:rPr>
        <w:t>[1]</w:t>
      </w:r>
      <w:r w:rsidR="00201D34" w:rsidRPr="00683813">
        <w:rPr>
          <w:lang w:val="en-US"/>
        </w:rPr>
        <w:fldChar w:fldCharType="end"/>
      </w:r>
      <w:r w:rsidR="00BB3110" w:rsidRPr="00683813">
        <w:rPr>
          <w:lang w:val="en-US"/>
        </w:rPr>
        <w:t xml:space="preserve"> and is expected to rise further both domestically and worldwide</w:t>
      </w:r>
      <w:r w:rsidR="00201D34" w:rsidRPr="00683813">
        <w:rPr>
          <w:lang w:val="en-US"/>
        </w:rPr>
        <w:t xml:space="preserve"> </w:t>
      </w:r>
      <w:r w:rsidR="00201D34" w:rsidRPr="00683813">
        <w:rPr>
          <w:lang w:val="en-US"/>
        </w:rPr>
        <w:fldChar w:fldCharType="begin"/>
      </w:r>
      <w:r w:rsidR="00201D34" w:rsidRPr="00683813">
        <w:rPr>
          <w:lang w:val="en-US"/>
        </w:rPr>
        <w:instrText xml:space="preserve"> ADDIN EN.CITE &lt;EndNote&gt;&lt;Cite&gt;&lt;Author&gt;Boudewijns&lt;/Author&gt;&lt;Year&gt;2019&lt;/Year&gt;&lt;RecNum&gt;41&lt;/RecNum&gt;&lt;DisplayText&gt;[2, 3]&lt;/DisplayText&gt;&lt;record&gt;&lt;rec-number&gt;41&lt;/rec-number&gt;&lt;foreign-keys&gt;&lt;key app="EN" db-id="5saed0xvzv9sz3et5fqvz29i0ftadf2wd50r" timestamp="1674464121"&gt;41&lt;/key&gt;&lt;/foreign-keys&gt;&lt;ref-type name="Report"&gt;27&lt;/ref-type&gt;&lt;contributors&gt;&lt;authors&gt;&lt;author&gt;Boudewijns, L.H.A.&lt;/author&gt;&lt;author&gt;de Waard, I.R.&lt;/author&gt;&lt;/authors&gt;&lt;/contributors&gt;&lt;titles&gt;&lt;title&gt;Recente ontwikkelingen in medische stralingstoepassingen&lt;/title&gt;&lt;/titles&gt;&lt;dates&gt;&lt;year&gt;2019&lt;/year&gt;&lt;/dates&gt;&lt;publisher&gt;RIVM&lt;/publisher&gt;&lt;isbn&gt;Rapportnummer 2019-0129&lt;/isbn&gt;&lt;urls&gt;&lt;/urls&gt;&lt;electronic-resource-num&gt;10.21945&lt;/electronic-resource-num&gt;&lt;/record&gt;&lt;/Cite&gt;&lt;Cite&gt;&lt;Author&gt;Schmor&lt;/Author&gt;&lt;Year&gt;2011&lt;/Year&gt;&lt;RecNum&gt;13&lt;/RecNum&gt;&lt;record&gt;&lt;rec-number&gt;13&lt;/rec-number&gt;&lt;foreign-keys&gt;&lt;key app="EN" db-id="5saed0xvzv9sz3et5fqvz29i0ftadf2wd50r" timestamp="1663854176"&gt;13&lt;/key&gt;&lt;/foreign-keys&gt;&lt;ref-type name="Journal Article"&gt;17&lt;/ref-type&gt;&lt;contributors&gt;&lt;authors&gt;&lt;author&gt;Schmor, Paul&lt;/author&gt;&lt;/authors&gt;&lt;/contributors&gt;&lt;titles&gt;&lt;title&gt;Review of cyclotrons for the production of radioactive isotopes for medical and industrial applications&lt;/title&gt;&lt;secondary-title&gt;Reviews Of Accelerator Science And Technology: Volume 4: Accelerator Applications in Industry and the Environment&lt;/secondary-title&gt;&lt;/titles&gt;&lt;periodical&gt;&lt;full-title&gt;Reviews Of Accelerator Science And Technology: Volume 4: Accelerator Applications in Industry and the Environment&lt;/full-title&gt;&lt;/periodical&gt;&lt;pages&gt;103-116&lt;/pages&gt;&lt;dates&gt;&lt;year&gt;2011&lt;/year&gt;&lt;/dates&gt;&lt;urls&gt;&lt;/urls&gt;&lt;/record&gt;&lt;/Cite&gt;&lt;/EndNote&gt;</w:instrText>
      </w:r>
      <w:r w:rsidR="00201D34" w:rsidRPr="00683813">
        <w:rPr>
          <w:lang w:val="en-US"/>
        </w:rPr>
        <w:fldChar w:fldCharType="separate"/>
      </w:r>
      <w:r w:rsidR="00201D34" w:rsidRPr="00683813">
        <w:rPr>
          <w:noProof/>
          <w:lang w:val="en-US"/>
        </w:rPr>
        <w:t>[2, 3]</w:t>
      </w:r>
      <w:r w:rsidR="00201D34" w:rsidRPr="00683813">
        <w:rPr>
          <w:lang w:val="en-US"/>
        </w:rPr>
        <w:fldChar w:fldCharType="end"/>
      </w:r>
      <w:r w:rsidR="00BB3110" w:rsidRPr="00683813">
        <w:rPr>
          <w:lang w:val="en-US"/>
        </w:rPr>
        <w:t xml:space="preserve">. Increasing demand of cyclotron-produced radionuclides </w:t>
      </w:r>
      <w:r w:rsidR="00B33E21" w:rsidRPr="00683813">
        <w:rPr>
          <w:lang w:val="en-US"/>
        </w:rPr>
        <w:t>will likely – at least in part – be met</w:t>
      </w:r>
      <w:r w:rsidR="00BB3110" w:rsidRPr="00683813">
        <w:rPr>
          <w:lang w:val="en-US"/>
        </w:rPr>
        <w:t xml:space="preserve"> by modernization of cyclotron</w:t>
      </w:r>
      <w:r w:rsidR="00B33E21" w:rsidRPr="00683813">
        <w:rPr>
          <w:lang w:val="en-US"/>
        </w:rPr>
        <w:t xml:space="preserve"> facilities, replacing machines by newer models that have higher production output. </w:t>
      </w:r>
      <w:r w:rsidR="00E001F0" w:rsidRPr="00683813">
        <w:rPr>
          <w:lang w:val="en-US"/>
        </w:rPr>
        <w:t>C</w:t>
      </w:r>
      <w:r w:rsidR="00B33E21" w:rsidRPr="00683813">
        <w:rPr>
          <w:lang w:val="en-US"/>
        </w:rPr>
        <w:t>yclotron facilities that were commissioned thirty to forty years ago are likely nearing the end of their economic lifespan. Both factors combine to outline a context where decommissioning of cyclotron facilities</w:t>
      </w:r>
      <w:r w:rsidR="007902A6" w:rsidRPr="00683813">
        <w:rPr>
          <w:lang w:val="en-US"/>
        </w:rPr>
        <w:t xml:space="preserve"> is expected to be a growing concern in the coming years</w:t>
      </w:r>
      <w:r w:rsidR="00201D34" w:rsidRPr="00683813">
        <w:rPr>
          <w:lang w:val="en-US"/>
        </w:rPr>
        <w:t xml:space="preserve"> </w:t>
      </w:r>
      <w:r w:rsidR="00201D34" w:rsidRPr="00683813">
        <w:rPr>
          <w:lang w:val="en-US"/>
        </w:rPr>
        <w:fldChar w:fldCharType="begin"/>
      </w:r>
      <w:r w:rsidR="00201D34" w:rsidRPr="00683813">
        <w:rPr>
          <w:lang w:val="en-US"/>
        </w:rPr>
        <w:instrText xml:space="preserve"> ADDIN EN.CITE &lt;EndNote&gt;&lt;Cite&gt;&lt;Author&gt;SCK-CEN&lt;/Author&gt;&lt;Year&gt;2023&lt;/Year&gt;&lt;RecNum&gt;59&lt;/RecNum&gt;&lt;DisplayText&gt;[4]&lt;/DisplayText&gt;&lt;record&gt;&lt;rec-number&gt;59&lt;/rec-number&gt;&lt;foreign-keys&gt;&lt;key app="EN" db-id="5saed0xvzv9sz3et5fqvz29i0ftadf2wd50r" timestamp="1678960918"&gt;59&lt;/key&gt;&lt;/foreign-keys&gt;&lt;ref-type name="Web Page"&gt;12&lt;/ref-type&gt;&lt;contributors&gt;&lt;authors&gt;&lt;author&gt;SCK-CEN&lt;/author&gt;&lt;/authors&gt;&lt;/contributors&gt;&lt;titles&gt;&lt;title&gt;Vijf Belgische bedrijven richten CYCLADE op: expertisecentrum voor de ontmanteling van versnellers en cyclotrons&lt;/title&gt;&lt;/titles&gt;&lt;number&gt;16/03/2023&lt;/number&gt;&lt;dates&gt;&lt;year&gt;2023&lt;/year&gt;&lt;pub-dates&gt;&lt;date&gt;2023&lt;/date&gt;&lt;/pub-dates&gt;&lt;/dates&gt;&lt;publisher&gt;SCK CEN&lt;/publisher&gt;&lt;urls&gt;&lt;related-urls&gt;&lt;url&gt;https://www.sckcen.be/nl/nieuws/vijf-belgische-bedrijven-richten-cyclade-op-expertisecentrum-voor-de-ontmanteling-van-versnellers-en-cyclotrons&lt;/url&gt;&lt;/related-urls&gt;&lt;/urls&gt;&lt;/record&gt;&lt;/Cite&gt;&lt;/EndNote&gt;</w:instrText>
      </w:r>
      <w:r w:rsidR="00201D34" w:rsidRPr="00683813">
        <w:rPr>
          <w:lang w:val="en-US"/>
        </w:rPr>
        <w:fldChar w:fldCharType="separate"/>
      </w:r>
      <w:r w:rsidR="00201D34" w:rsidRPr="00683813">
        <w:rPr>
          <w:noProof/>
          <w:lang w:val="en-US"/>
        </w:rPr>
        <w:t>[4]</w:t>
      </w:r>
      <w:r w:rsidR="00201D34" w:rsidRPr="00683813">
        <w:rPr>
          <w:lang w:val="en-US"/>
        </w:rPr>
        <w:fldChar w:fldCharType="end"/>
      </w:r>
      <w:r w:rsidR="007902A6" w:rsidRPr="00683813">
        <w:rPr>
          <w:lang w:val="en-US"/>
        </w:rPr>
        <w:t xml:space="preserve">. </w:t>
      </w:r>
    </w:p>
    <w:p w14:paraId="5F40100C" w14:textId="330D56D2" w:rsidR="00C619AE" w:rsidRPr="00683813" w:rsidRDefault="007E644B" w:rsidP="00537496">
      <w:pPr>
        <w:pStyle w:val="BodyText"/>
        <w:rPr>
          <w:lang w:val="en-US"/>
        </w:rPr>
      </w:pPr>
      <w:r w:rsidRPr="00683813">
        <w:rPr>
          <w:lang w:val="en-US"/>
        </w:rPr>
        <w:t>As a by-product of cyclotron operation, nearby material is expected to be radiologically activated. This includes the machine itself, as well as the concrete bunker</w:t>
      </w:r>
      <w:r w:rsidR="00095CE2" w:rsidRPr="00683813">
        <w:rPr>
          <w:lang w:val="en-US"/>
        </w:rPr>
        <w:t xml:space="preserve"> that generally surrounds cyclotrons.</w:t>
      </w:r>
      <w:r w:rsidR="00FE53E6" w:rsidRPr="00683813">
        <w:rPr>
          <w:lang w:val="en-US"/>
        </w:rPr>
        <w:t xml:space="preserve"> </w:t>
      </w:r>
      <w:r w:rsidR="00DE3702" w:rsidRPr="00683813">
        <w:rPr>
          <w:lang w:val="en-US"/>
        </w:rPr>
        <w:t xml:space="preserve">Residual cyclotron decommissioning materials – ‘residuals’ hereafter - </w:t>
      </w:r>
      <w:r w:rsidR="00FE53E6" w:rsidRPr="00683813">
        <w:rPr>
          <w:lang w:val="en-US"/>
        </w:rPr>
        <w:t xml:space="preserve">may be activated in a range of multiple orders of magnitude, depending on a variety of factors. Activation is achieved by irradiation of materials by either primary </w:t>
      </w:r>
      <w:r w:rsidR="00010E95" w:rsidRPr="00683813">
        <w:rPr>
          <w:lang w:val="en-US"/>
        </w:rPr>
        <w:t xml:space="preserve">or secondary particles. </w:t>
      </w:r>
    </w:p>
    <w:p w14:paraId="28F4BCAE" w14:textId="6B67626D" w:rsidR="007902A6" w:rsidRPr="00683813" w:rsidRDefault="00472794" w:rsidP="00537496">
      <w:pPr>
        <w:pStyle w:val="BodyText"/>
        <w:rPr>
          <w:lang w:val="en-US"/>
        </w:rPr>
      </w:pPr>
      <w:r w:rsidRPr="00683813">
        <w:rPr>
          <w:lang w:val="en-US"/>
        </w:rPr>
        <w:t>Primary particles in r</w:t>
      </w:r>
      <w:r w:rsidR="00010E95" w:rsidRPr="00683813">
        <w:rPr>
          <w:lang w:val="en-US"/>
        </w:rPr>
        <w:t xml:space="preserve">adionuclide-producing cyclotrons </w:t>
      </w:r>
      <w:r w:rsidRPr="00683813">
        <w:rPr>
          <w:lang w:val="en-US"/>
        </w:rPr>
        <w:t xml:space="preserve">are </w:t>
      </w:r>
      <w:r w:rsidR="00DE3702" w:rsidRPr="00683813">
        <w:rPr>
          <w:lang w:val="en-US"/>
        </w:rPr>
        <w:t>usually</w:t>
      </w:r>
      <w:r w:rsidRPr="00683813">
        <w:rPr>
          <w:rStyle w:val="FootnoteReference"/>
          <w:lang w:val="en-US"/>
        </w:rPr>
        <w:footnoteReference w:id="2"/>
      </w:r>
      <w:r w:rsidRPr="00683813">
        <w:rPr>
          <w:lang w:val="en-US"/>
        </w:rPr>
        <w:t xml:space="preserve"> </w:t>
      </w:r>
      <w:r w:rsidR="00DE3702" w:rsidRPr="00683813">
        <w:rPr>
          <w:lang w:val="en-US"/>
        </w:rPr>
        <w:t xml:space="preserve">protons </w:t>
      </w:r>
      <w:r w:rsidR="00C71CE4" w:rsidRPr="00683813">
        <w:rPr>
          <w:lang w:val="en-US"/>
        </w:rPr>
        <w:t xml:space="preserve">that are accelerated to an energy where a nuclear interaction with a target is </w:t>
      </w:r>
      <w:r w:rsidR="00CE31AF" w:rsidRPr="00683813">
        <w:rPr>
          <w:lang w:val="en-US"/>
        </w:rPr>
        <w:t>favorable</w:t>
      </w:r>
      <w:r w:rsidR="00C71CE4" w:rsidRPr="00683813">
        <w:rPr>
          <w:lang w:val="en-US"/>
        </w:rPr>
        <w:t xml:space="preserve">. </w:t>
      </w:r>
      <w:r w:rsidR="00C619AE" w:rsidRPr="00683813">
        <w:rPr>
          <w:lang w:val="en-US"/>
        </w:rPr>
        <w:t>On the way to the target, primary particles may be lost through interaction with cyclotron components such as the vacuum chamber or attenuators. Protons can interact with different metals such as steel or copper to produce a host of exotic radionuclides that are mostly short-lived (T</w:t>
      </w:r>
      <w:r w:rsidR="00C619AE" w:rsidRPr="00683813">
        <w:rPr>
          <w:vertAlign w:val="subscript"/>
          <w:lang w:val="en-US"/>
        </w:rPr>
        <w:t>1/2</w:t>
      </w:r>
      <w:r w:rsidR="00C619AE" w:rsidRPr="00683813">
        <w:rPr>
          <w:lang w:val="en-US"/>
        </w:rPr>
        <w:t xml:space="preserve"> &lt; </w:t>
      </w:r>
      <w:r w:rsidR="00D0760A" w:rsidRPr="00683813">
        <w:rPr>
          <w:lang w:val="en-US"/>
        </w:rPr>
        <w:t xml:space="preserve">30 </w:t>
      </w:r>
      <w:r w:rsidR="00C619AE" w:rsidRPr="00683813">
        <w:rPr>
          <w:lang w:val="en-US"/>
        </w:rPr>
        <w:t>days).</w:t>
      </w:r>
      <w:r w:rsidR="007D0256" w:rsidRPr="00683813">
        <w:rPr>
          <w:lang w:val="en-US"/>
        </w:rPr>
        <w:t xml:space="preserve"> In these reactions, secondary particles such as neutrons can also be created. These can in turn activate nearby material.</w:t>
      </w:r>
      <w:r w:rsidR="00C619AE" w:rsidRPr="00683813">
        <w:rPr>
          <w:lang w:val="en-US"/>
        </w:rPr>
        <w:t xml:space="preserve"> In the cyclotron components that experience primary (proton) activation, activities are generally high, but the quantity of activated material is low.  </w:t>
      </w:r>
    </w:p>
    <w:p w14:paraId="265198B6" w14:textId="021C87AB" w:rsidR="00C619AE" w:rsidRPr="00683813" w:rsidRDefault="00C619AE" w:rsidP="00537496">
      <w:pPr>
        <w:pStyle w:val="BodyText"/>
        <w:rPr>
          <w:lang w:val="en-US"/>
        </w:rPr>
      </w:pPr>
      <w:r w:rsidRPr="00683813">
        <w:rPr>
          <w:lang w:val="en-US"/>
        </w:rPr>
        <w:t xml:space="preserve">If primary particles are not lost on the way, nuclear reactions </w:t>
      </w:r>
      <w:r w:rsidR="007D0256" w:rsidRPr="00683813">
        <w:rPr>
          <w:lang w:val="en-US"/>
        </w:rPr>
        <w:t xml:space="preserve">are triggered in the cyclotron targets, generating the desired radionuclides. In this reaction, secondary particles are usually created that can also activate </w:t>
      </w:r>
      <w:r w:rsidR="007D0256" w:rsidRPr="00683813">
        <w:rPr>
          <w:lang w:val="en-US"/>
        </w:rPr>
        <w:lastRenderedPageBreak/>
        <w:t xml:space="preserve">surrounding materials. </w:t>
      </w:r>
      <w:r w:rsidR="00293F2D" w:rsidRPr="00683813">
        <w:rPr>
          <w:lang w:val="en-US"/>
        </w:rPr>
        <w:t xml:space="preserve">The most popular reaction for the production of </w:t>
      </w:r>
      <w:r w:rsidR="0086396A" w:rsidRPr="00683813">
        <w:rPr>
          <w:vertAlign w:val="superscript"/>
          <w:lang w:val="en-US"/>
        </w:rPr>
        <w:t>18</w:t>
      </w:r>
      <w:r w:rsidR="00293F2D" w:rsidRPr="00683813">
        <w:rPr>
          <w:lang w:val="en-US"/>
        </w:rPr>
        <w:t>F</w:t>
      </w:r>
      <w:r w:rsidR="00293F2D" w:rsidRPr="00683813">
        <w:rPr>
          <w:vertAlign w:val="superscript"/>
          <w:lang w:val="en-US"/>
        </w:rPr>
        <w:t xml:space="preserve"> </w:t>
      </w:r>
      <w:r w:rsidR="00293F2D" w:rsidRPr="00683813">
        <w:rPr>
          <w:lang w:val="en-US"/>
        </w:rPr>
        <w:t xml:space="preserve">is an example: </w:t>
      </w:r>
      <w:r w:rsidR="007D0256" w:rsidRPr="00683813">
        <w:rPr>
          <w:lang w:val="en-US"/>
        </w:rPr>
        <w:t xml:space="preserve"> </w:t>
      </w:r>
      <w:r w:rsidR="0086396A" w:rsidRPr="00683813">
        <w:rPr>
          <w:vertAlign w:val="superscript"/>
          <w:lang w:val="en-US"/>
        </w:rPr>
        <w:t>15</w:t>
      </w:r>
      <w:r w:rsidR="00293F2D" w:rsidRPr="00683813">
        <w:rPr>
          <w:lang w:val="en-US"/>
        </w:rPr>
        <w:t>O</w:t>
      </w:r>
      <w:r w:rsidR="0086396A" w:rsidRPr="00683813">
        <w:rPr>
          <w:lang w:val="en-US"/>
        </w:rPr>
        <w:t xml:space="preserve"> </w:t>
      </w:r>
      <w:r w:rsidR="00293F2D" w:rsidRPr="00683813">
        <w:rPr>
          <w:lang w:val="en-US"/>
        </w:rPr>
        <w:t>(</w:t>
      </w:r>
      <w:proofErr w:type="spellStart"/>
      <w:r w:rsidR="00293F2D" w:rsidRPr="00683813">
        <w:rPr>
          <w:lang w:val="en-US"/>
        </w:rPr>
        <w:t>p,n</w:t>
      </w:r>
      <w:proofErr w:type="spellEnd"/>
      <w:r w:rsidR="00293F2D" w:rsidRPr="00683813">
        <w:rPr>
          <w:lang w:val="en-US"/>
        </w:rPr>
        <w:t>)</w:t>
      </w:r>
      <w:r w:rsidR="0086396A" w:rsidRPr="00683813">
        <w:rPr>
          <w:vertAlign w:val="superscript"/>
          <w:lang w:val="en-US"/>
        </w:rPr>
        <w:t xml:space="preserve"> 18</w:t>
      </w:r>
      <w:r w:rsidR="00293F2D" w:rsidRPr="00683813">
        <w:rPr>
          <w:lang w:val="en-US"/>
        </w:rPr>
        <w:t xml:space="preserve"> F. </w:t>
      </w:r>
      <w:r w:rsidR="00C43592" w:rsidRPr="00683813">
        <w:rPr>
          <w:lang w:val="en-US"/>
        </w:rPr>
        <w:t>Neutrons that are generated in either the cyclotron machine or</w:t>
      </w:r>
      <w:r w:rsidR="00E001F0" w:rsidRPr="00683813">
        <w:rPr>
          <w:lang w:val="en-US"/>
        </w:rPr>
        <w:t xml:space="preserve"> in</w:t>
      </w:r>
      <w:r w:rsidR="00C43592" w:rsidRPr="00683813">
        <w:rPr>
          <w:lang w:val="en-US"/>
        </w:rPr>
        <w:t xml:space="preserve"> the targets can activate material in the environment to a much greater distance than beam loss protons, leading to a higher quantity of material that is however activated to a lesser degree. Half-lives of </w:t>
      </w:r>
      <w:r w:rsidR="00BD69B7" w:rsidRPr="00683813">
        <w:rPr>
          <w:lang w:val="en-US"/>
        </w:rPr>
        <w:t xml:space="preserve">neutron activated nuclides can be very short, however </w:t>
      </w:r>
      <w:r w:rsidR="00C43592" w:rsidRPr="00683813">
        <w:rPr>
          <w:lang w:val="en-US"/>
        </w:rPr>
        <w:t xml:space="preserve">certain neutron activation products in steel, copper, and concrete </w:t>
      </w:r>
      <w:r w:rsidR="00E001F0" w:rsidRPr="00683813">
        <w:rPr>
          <w:lang w:val="en-US"/>
        </w:rPr>
        <w:t xml:space="preserve">have half-lives </w:t>
      </w:r>
      <w:r w:rsidR="00C43592" w:rsidRPr="00683813">
        <w:rPr>
          <w:lang w:val="en-US"/>
        </w:rPr>
        <w:t xml:space="preserve">on the order of years </w:t>
      </w:r>
      <w:r w:rsidR="0067069C" w:rsidRPr="00683813">
        <w:rPr>
          <w:lang w:val="en-US"/>
        </w:rPr>
        <w:t xml:space="preserve">to decades. These </w:t>
      </w:r>
      <w:r w:rsidR="0033703B" w:rsidRPr="00683813">
        <w:rPr>
          <w:lang w:val="en-US"/>
        </w:rPr>
        <w:t xml:space="preserve">activated </w:t>
      </w:r>
      <w:r w:rsidR="0067069C" w:rsidRPr="00683813">
        <w:rPr>
          <w:lang w:val="en-US"/>
        </w:rPr>
        <w:t xml:space="preserve">residuals – which are present in bulk quantities - can constitute a challenge in terms of radioactive waste management for cyclotron decommissioning projects. </w:t>
      </w:r>
    </w:p>
    <w:p w14:paraId="10E6BD05" w14:textId="40A18150" w:rsidR="0067069C" w:rsidRPr="00683813" w:rsidRDefault="0067069C" w:rsidP="00537496">
      <w:pPr>
        <w:pStyle w:val="BodyText"/>
        <w:rPr>
          <w:highlight w:val="lightGray"/>
          <w:lang w:val="en-US"/>
        </w:rPr>
      </w:pPr>
      <w:r w:rsidRPr="00683813">
        <w:rPr>
          <w:lang w:val="en-US"/>
        </w:rPr>
        <w:t>This paper attempts to clarify what quantities of radioactive bulk residuals to expect from cyclotron decommissioning, as well as the expected radioactivity content of these residuals.</w:t>
      </w:r>
      <w:r w:rsidR="00590197" w:rsidRPr="00683813">
        <w:rPr>
          <w:lang w:val="en-US"/>
        </w:rPr>
        <w:t xml:space="preserve"> A preliminary assessment is made whether these materials may qualify for </w:t>
      </w:r>
      <w:r w:rsidR="000E01FC">
        <w:rPr>
          <w:lang w:val="en-US"/>
        </w:rPr>
        <w:t>conditional clearance</w:t>
      </w:r>
      <w:r w:rsidR="00590197" w:rsidRPr="00683813">
        <w:rPr>
          <w:lang w:val="en-US"/>
        </w:rPr>
        <w:t xml:space="preserve"> such that they may be recycled</w:t>
      </w:r>
      <w:r w:rsidR="00A761ED" w:rsidRPr="00683813">
        <w:rPr>
          <w:lang w:val="en-US"/>
        </w:rPr>
        <w:t xml:space="preserve"> </w:t>
      </w:r>
      <w:r w:rsidR="0065413C" w:rsidRPr="00683813">
        <w:rPr>
          <w:lang w:val="en-US"/>
        </w:rPr>
        <w:t>under condi</w:t>
      </w:r>
      <w:r w:rsidR="00256E3D" w:rsidRPr="00683813">
        <w:rPr>
          <w:lang w:val="en-US"/>
        </w:rPr>
        <w:t>t</w:t>
      </w:r>
      <w:r w:rsidR="0065413C" w:rsidRPr="00683813">
        <w:rPr>
          <w:lang w:val="en-US"/>
        </w:rPr>
        <w:t>ions where</w:t>
      </w:r>
      <w:r w:rsidR="00A761ED" w:rsidRPr="00683813">
        <w:rPr>
          <w:lang w:val="en-US"/>
        </w:rPr>
        <w:t xml:space="preserve"> the radiological risks to individuals caused by the practice are sufficiently low</w:t>
      </w:r>
      <w:r w:rsidR="00D03CF7">
        <w:rPr>
          <w:lang w:val="en-US"/>
        </w:rPr>
        <w:t xml:space="preserve"> </w:t>
      </w:r>
      <w:r w:rsidR="00D03CF7">
        <w:rPr>
          <w:lang w:val="en-US"/>
        </w:rPr>
        <w:fldChar w:fldCharType="begin"/>
      </w:r>
      <w:r w:rsidR="00D03CF7">
        <w:rPr>
          <w:lang w:val="en-US"/>
        </w:rPr>
        <w:instrText xml:space="preserve"> ADDIN EN.CITE &lt;EndNote&gt;&lt;Cite&gt;&lt;Author&gt;BSS&lt;/Author&gt;&lt;Year&gt;2013&lt;/Year&gt;&lt;RecNum&gt;68&lt;/RecNum&gt;&lt;DisplayText&gt;[5]&lt;/DisplayText&gt;&lt;record&gt;&lt;rec-number&gt;68&lt;/rec-number&gt;&lt;foreign-keys&gt;&lt;key app="EN" db-id="5saed0xvzv9sz3et5fqvz29i0ftadf2wd50r" timestamp="1692796570"&gt;68&lt;/key&gt;&lt;/foreign-keys&gt;&lt;ref-type name="Government Document"&gt;46&lt;/ref-type&gt;&lt;contributors&gt;&lt;authors&gt;&lt;author&gt;BSS, VII.3.a&lt;/author&gt;&lt;/authors&gt;&lt;/contributors&gt;&lt;titles&gt;&lt;title&gt;Euratom 2013/59&lt;/title&gt;&lt;/titles&gt;&lt;dates&gt;&lt;year&gt;2013&lt;/year&gt;&lt;/dates&gt;&lt;publisher&gt;European Council&lt;/publisher&gt;&lt;urls&gt;&lt;/urls&gt;&lt;/record&gt;&lt;/Cite&gt;&lt;/EndNote&gt;</w:instrText>
      </w:r>
      <w:r w:rsidR="00D03CF7">
        <w:rPr>
          <w:lang w:val="en-US"/>
        </w:rPr>
        <w:fldChar w:fldCharType="separate"/>
      </w:r>
      <w:r w:rsidR="00D03CF7">
        <w:rPr>
          <w:noProof/>
          <w:lang w:val="en-US"/>
        </w:rPr>
        <w:t>[5]</w:t>
      </w:r>
      <w:r w:rsidR="00D03CF7">
        <w:rPr>
          <w:lang w:val="en-US"/>
        </w:rPr>
        <w:fldChar w:fldCharType="end"/>
      </w:r>
      <w:r w:rsidR="00590197" w:rsidRPr="00683813">
        <w:rPr>
          <w:lang w:val="en-US"/>
        </w:rPr>
        <w:t xml:space="preserve">. </w:t>
      </w:r>
      <w:r w:rsidR="00386677" w:rsidRPr="00683813">
        <w:rPr>
          <w:lang w:val="en-US"/>
        </w:rPr>
        <w:t>Finally</w:t>
      </w:r>
      <w:r w:rsidR="00E001F0" w:rsidRPr="00683813">
        <w:rPr>
          <w:lang w:val="en-US"/>
        </w:rPr>
        <w:t>,</w:t>
      </w:r>
      <w:r w:rsidR="00386677" w:rsidRPr="00683813">
        <w:rPr>
          <w:lang w:val="en-US"/>
        </w:rPr>
        <w:t xml:space="preserve"> options for </w:t>
      </w:r>
      <w:r w:rsidR="00E001F0" w:rsidRPr="00683813">
        <w:rPr>
          <w:lang w:val="en-US"/>
        </w:rPr>
        <w:t>reduced generation</w:t>
      </w:r>
      <w:r w:rsidR="00386677" w:rsidRPr="00683813">
        <w:rPr>
          <w:lang w:val="en-US"/>
        </w:rPr>
        <w:t xml:space="preserve"> of </w:t>
      </w:r>
      <w:r w:rsidR="00E001F0" w:rsidRPr="00683813">
        <w:rPr>
          <w:lang w:val="en-US"/>
        </w:rPr>
        <w:t xml:space="preserve">radioactive </w:t>
      </w:r>
      <w:r w:rsidR="00386677" w:rsidRPr="00683813">
        <w:rPr>
          <w:lang w:val="en-US"/>
        </w:rPr>
        <w:t xml:space="preserve">waste in the future are given. </w:t>
      </w:r>
    </w:p>
    <w:p w14:paraId="51EC0D42" w14:textId="67871A7E" w:rsidR="00E25B68" w:rsidRPr="00683813" w:rsidRDefault="00056930" w:rsidP="0026525A">
      <w:pPr>
        <w:pStyle w:val="Heading2"/>
        <w:numPr>
          <w:ilvl w:val="1"/>
          <w:numId w:val="10"/>
        </w:numPr>
        <w:rPr>
          <w:lang w:val="en-US"/>
        </w:rPr>
      </w:pPr>
      <w:r w:rsidRPr="00683813">
        <w:rPr>
          <w:lang w:val="en-US"/>
        </w:rPr>
        <w:t>MATERIALS AND METHODS</w:t>
      </w:r>
    </w:p>
    <w:p w14:paraId="5782C948" w14:textId="041DB1A5" w:rsidR="00AB72A1" w:rsidRPr="00683813" w:rsidRDefault="00F50CBF" w:rsidP="000A2990">
      <w:pPr>
        <w:pStyle w:val="BodyText"/>
        <w:rPr>
          <w:lang w:val="en-US"/>
        </w:rPr>
      </w:pPr>
      <w:r w:rsidRPr="00683813">
        <w:rPr>
          <w:lang w:val="en-US"/>
        </w:rPr>
        <w:t xml:space="preserve">A literature search was performed in PubMed </w:t>
      </w:r>
      <w:r w:rsidR="00CE31AF" w:rsidRPr="00683813">
        <w:rPr>
          <w:lang w:val="en-US"/>
        </w:rPr>
        <w:t>utilizing</w:t>
      </w:r>
      <w:r w:rsidRPr="00683813">
        <w:rPr>
          <w:lang w:val="en-US"/>
        </w:rPr>
        <w:t xml:space="preserve"> the search terms ‘decommissioning accelerator’ and ‘decommissioning cyclotron’. The resulting bibliography was searched for information on </w:t>
      </w:r>
      <w:r w:rsidR="00C83091">
        <w:rPr>
          <w:lang w:val="en-US"/>
        </w:rPr>
        <w:t>activity concentrations</w:t>
      </w:r>
      <w:r w:rsidRPr="00683813">
        <w:rPr>
          <w:lang w:val="en-US"/>
        </w:rPr>
        <w:t xml:space="preserve"> in </w:t>
      </w:r>
      <w:r w:rsidR="00DE3702" w:rsidRPr="00683813">
        <w:rPr>
          <w:lang w:val="en-US"/>
        </w:rPr>
        <w:t>residuals</w:t>
      </w:r>
      <w:r w:rsidRPr="00683813">
        <w:rPr>
          <w:lang w:val="en-US"/>
        </w:rPr>
        <w:t xml:space="preserve">. </w:t>
      </w:r>
      <w:r w:rsidR="00C03352" w:rsidRPr="00683813">
        <w:rPr>
          <w:lang w:val="en-US"/>
        </w:rPr>
        <w:t>Technical information and characteristics of international cyclotrons</w:t>
      </w:r>
      <w:r w:rsidR="00414C7C" w:rsidRPr="00683813">
        <w:rPr>
          <w:lang w:val="en-US"/>
        </w:rPr>
        <w:t xml:space="preserve"> that was</w:t>
      </w:r>
      <w:r w:rsidR="005D7025" w:rsidRPr="00683813">
        <w:rPr>
          <w:lang w:val="en-US"/>
        </w:rPr>
        <w:t xml:space="preserve"> relevant to the activation of decommissioning residuals was recorded from these sources</w:t>
      </w:r>
      <w:r w:rsidR="00C03352" w:rsidRPr="00683813">
        <w:rPr>
          <w:lang w:val="en-US"/>
        </w:rPr>
        <w:t>.</w:t>
      </w:r>
      <w:r w:rsidR="00AE6924" w:rsidRPr="00683813">
        <w:rPr>
          <w:lang w:val="en-US"/>
        </w:rPr>
        <w:t xml:space="preserve"> The number of isotope production cyclotrons in the Netherlands, as well as their characteristics and technical information was</w:t>
      </w:r>
      <w:r w:rsidR="000B5840" w:rsidRPr="00683813">
        <w:rPr>
          <w:lang w:val="en-US"/>
        </w:rPr>
        <w:t xml:space="preserve"> obtained from </w:t>
      </w:r>
      <w:r w:rsidR="00AA5DBA" w:rsidRPr="00683813">
        <w:rPr>
          <w:lang w:val="en-US"/>
        </w:rPr>
        <w:t xml:space="preserve">permits, as well as online information and </w:t>
      </w:r>
      <w:r w:rsidR="00964C6E" w:rsidRPr="00683813">
        <w:rPr>
          <w:lang w:val="en-US"/>
        </w:rPr>
        <w:t xml:space="preserve">communication with cyclotron operators. </w:t>
      </w:r>
      <w:r w:rsidR="000258C2" w:rsidRPr="00683813">
        <w:rPr>
          <w:lang w:val="en-US"/>
        </w:rPr>
        <w:t>Cyclotrons with a maximum proton energy of less than 8 MeV were not included in the analysis; these do not require a decommissioning plan as per Dutch law</w:t>
      </w:r>
      <w:r w:rsidR="00FD3682">
        <w:rPr>
          <w:lang w:val="en-US"/>
        </w:rPr>
        <w:t xml:space="preserve"> </w:t>
      </w:r>
      <w:r w:rsidR="00FD3682">
        <w:rPr>
          <w:lang w:val="en-US"/>
        </w:rPr>
        <w:fldChar w:fldCharType="begin"/>
      </w:r>
      <w:r w:rsidR="00FD3682">
        <w:rPr>
          <w:lang w:val="en-US"/>
        </w:rPr>
        <w:instrText xml:space="preserve"> ADDIN EN.CITE &lt;EndNote&gt;&lt;Cite&gt;&lt;Author&gt;Bbs&lt;/Author&gt;&lt;Year&gt;2017&lt;/Year&gt;&lt;RecNum&gt;26&lt;/RecNum&gt;&lt;DisplayText&gt;[6]&lt;/DisplayText&gt;&lt;record&gt;&lt;rec-number&gt;26&lt;/rec-number&gt;&lt;foreign-keys&gt;&lt;key app="EN" db-id="5saed0xvzv9sz3et5fqvz29i0ftadf2wd50r" timestamp="1664269571"&gt;26&lt;/key&gt;&lt;/foreign-keys&gt;&lt;ref-type name="Government Document"&gt;46&lt;/ref-type&gt;&lt;contributors&gt;&lt;authors&gt;&lt;author&gt;Bbs, 10.8&lt;/author&gt;&lt;/authors&gt;&lt;/contributors&gt;&lt;titles&gt;&lt;title&gt;Besluit basisveiligheidsnormen stralingsbescherming, artikel 10.8&lt;/title&gt;&lt;/titles&gt;&lt;pages&gt;1-416&lt;/pages&gt;&lt;volume&gt;404&lt;/volume&gt;&lt;dates&gt;&lt;year&gt;2017&lt;/year&gt;&lt;/dates&gt;&lt;pub-location&gt;Den Haag&lt;/pub-location&gt;&lt;publisher&gt;Staatsblad van het Koninkrijk der Nederlanden&lt;/publisher&gt;&lt;urls&gt;&lt;/urls&gt;&lt;/record&gt;&lt;/Cite&gt;&lt;/EndNote&gt;</w:instrText>
      </w:r>
      <w:r w:rsidR="00FD3682">
        <w:rPr>
          <w:lang w:val="en-US"/>
        </w:rPr>
        <w:fldChar w:fldCharType="separate"/>
      </w:r>
      <w:r w:rsidR="00FD3682">
        <w:rPr>
          <w:noProof/>
          <w:lang w:val="en-US"/>
        </w:rPr>
        <w:t>[6]</w:t>
      </w:r>
      <w:r w:rsidR="00FD3682">
        <w:rPr>
          <w:lang w:val="en-US"/>
        </w:rPr>
        <w:fldChar w:fldCharType="end"/>
      </w:r>
      <w:r w:rsidR="00957CB7" w:rsidRPr="00683813">
        <w:rPr>
          <w:lang w:val="en-US"/>
        </w:rPr>
        <w:t xml:space="preserve">. </w:t>
      </w:r>
    </w:p>
    <w:p w14:paraId="0ABCAF6E" w14:textId="7C983288" w:rsidR="00590AA5" w:rsidRPr="00683813" w:rsidRDefault="00590AA5" w:rsidP="000A2990">
      <w:pPr>
        <w:pStyle w:val="BodyText"/>
        <w:rPr>
          <w:lang w:val="en-US"/>
        </w:rPr>
      </w:pPr>
      <w:r w:rsidRPr="00683813">
        <w:rPr>
          <w:lang w:val="en-US"/>
        </w:rPr>
        <w:t>The resulting information was used to group cyclotrons in three categories (A, B, and C) based on the dominant physical process</w:t>
      </w:r>
      <w:r w:rsidR="00957CB7" w:rsidRPr="00683813">
        <w:rPr>
          <w:lang w:val="en-US"/>
        </w:rPr>
        <w:t xml:space="preserve"> of radionuclide production</w:t>
      </w:r>
      <w:r w:rsidRPr="00683813">
        <w:rPr>
          <w:lang w:val="en-US"/>
        </w:rPr>
        <w:t xml:space="preserve"> (represented by accelerated proton energy E</w:t>
      </w:r>
      <w:r w:rsidRPr="00683813">
        <w:rPr>
          <w:vertAlign w:val="subscript"/>
          <w:lang w:val="en-US"/>
        </w:rPr>
        <w:t>p</w:t>
      </w:r>
      <w:r w:rsidRPr="00683813">
        <w:rPr>
          <w:lang w:val="en-US"/>
        </w:rPr>
        <w:t>) and expected volume of activated bulk residual material</w:t>
      </w:r>
      <w:r w:rsidR="002764CE" w:rsidRPr="00683813">
        <w:rPr>
          <w:lang w:val="en-US"/>
        </w:rPr>
        <w:t xml:space="preserve">. </w:t>
      </w:r>
      <w:r w:rsidR="0023386E" w:rsidRPr="00683813">
        <w:rPr>
          <w:lang w:val="en-US"/>
        </w:rPr>
        <w:t xml:space="preserve">Moreover, cyclotrons </w:t>
      </w:r>
      <w:r w:rsidR="00957CB7" w:rsidRPr="00683813">
        <w:rPr>
          <w:lang w:val="en-US"/>
        </w:rPr>
        <w:t>belonging to</w:t>
      </w:r>
      <w:r w:rsidR="0023386E" w:rsidRPr="00683813">
        <w:rPr>
          <w:lang w:val="en-US"/>
        </w:rPr>
        <w:t xml:space="preserve"> category C were divided in two types based on </w:t>
      </w:r>
      <w:r w:rsidR="00B3296C" w:rsidRPr="00683813">
        <w:rPr>
          <w:lang w:val="en-US"/>
        </w:rPr>
        <w:t xml:space="preserve">the </w:t>
      </w:r>
      <w:r w:rsidR="0023386E" w:rsidRPr="00683813">
        <w:rPr>
          <w:lang w:val="en-US"/>
        </w:rPr>
        <w:t>construction period</w:t>
      </w:r>
      <w:r w:rsidR="00B3296C" w:rsidRPr="00683813">
        <w:rPr>
          <w:lang w:val="en-US"/>
        </w:rPr>
        <w:t xml:space="preserve"> of the facility</w:t>
      </w:r>
      <w:r w:rsidR="0023386E" w:rsidRPr="00683813">
        <w:rPr>
          <w:lang w:val="en-US"/>
        </w:rPr>
        <w:t xml:space="preserve">. </w:t>
      </w:r>
      <w:r w:rsidR="002764CE" w:rsidRPr="00683813">
        <w:rPr>
          <w:lang w:val="en-US"/>
        </w:rPr>
        <w:t>Where available, typical on-target beam current was recorded</w:t>
      </w:r>
      <w:r w:rsidR="00957CB7" w:rsidRPr="00683813">
        <w:rPr>
          <w:lang w:val="en-US"/>
        </w:rPr>
        <w:t>.</w:t>
      </w:r>
    </w:p>
    <w:p w14:paraId="7D9A2C29" w14:textId="189D4F1B" w:rsidR="00DB345D" w:rsidRPr="00683813" w:rsidRDefault="00311943" w:rsidP="000A2990">
      <w:pPr>
        <w:pStyle w:val="BodyText"/>
        <w:rPr>
          <w:lang w:val="en-US"/>
        </w:rPr>
      </w:pPr>
      <w:r w:rsidRPr="00683813">
        <w:rPr>
          <w:lang w:val="en-US"/>
        </w:rPr>
        <w:t xml:space="preserve">Bulk residual material was defined </w:t>
      </w:r>
      <w:r w:rsidR="00C76854" w:rsidRPr="00683813">
        <w:rPr>
          <w:lang w:val="en-US"/>
        </w:rPr>
        <w:t>as</w:t>
      </w:r>
      <w:r w:rsidRPr="00683813">
        <w:rPr>
          <w:lang w:val="en-US"/>
        </w:rPr>
        <w:t xml:space="preserve"> residual material with a mass of above one thousand kilograms</w:t>
      </w:r>
      <w:r w:rsidRPr="00683813">
        <w:rPr>
          <w:rStyle w:val="FootnoteReference"/>
          <w:lang w:val="en-US"/>
        </w:rPr>
        <w:footnoteReference w:id="3"/>
      </w:r>
      <w:r w:rsidRPr="00683813">
        <w:rPr>
          <w:lang w:val="en-US"/>
        </w:rPr>
        <w:t xml:space="preserve">. </w:t>
      </w:r>
      <w:r w:rsidR="006D3ECD" w:rsidRPr="00683813">
        <w:rPr>
          <w:lang w:val="en-US"/>
        </w:rPr>
        <w:t xml:space="preserve">Activated </w:t>
      </w:r>
      <w:r w:rsidRPr="00683813">
        <w:rPr>
          <w:lang w:val="en-US"/>
        </w:rPr>
        <w:t xml:space="preserve">bulk </w:t>
      </w:r>
      <w:r w:rsidR="006D3ECD" w:rsidRPr="00683813">
        <w:rPr>
          <w:lang w:val="en-US"/>
        </w:rPr>
        <w:t>residual material</w:t>
      </w:r>
      <w:r w:rsidRPr="00683813">
        <w:rPr>
          <w:lang w:val="en-US"/>
        </w:rPr>
        <w:t xml:space="preserve"> was </w:t>
      </w:r>
      <w:r w:rsidR="006D3ECD" w:rsidRPr="00683813">
        <w:rPr>
          <w:lang w:val="en-US"/>
        </w:rPr>
        <w:t xml:space="preserve">estimated to be composed of material from the cyclotron machine itself and from the concrete walls, ceiling and floor of the cyclotron </w:t>
      </w:r>
      <w:r w:rsidR="00CE32E4">
        <w:rPr>
          <w:lang w:val="en-US"/>
        </w:rPr>
        <w:t>bunker</w:t>
      </w:r>
      <w:r w:rsidR="00CE32E4" w:rsidRPr="00683813">
        <w:rPr>
          <w:lang w:val="en-US"/>
        </w:rPr>
        <w:t xml:space="preserve"> </w:t>
      </w:r>
      <w:r w:rsidR="006D3ECD" w:rsidRPr="00683813">
        <w:rPr>
          <w:lang w:val="en-US"/>
        </w:rPr>
        <w:t xml:space="preserve">and (potentially) target </w:t>
      </w:r>
      <w:r w:rsidR="00CE32E4">
        <w:rPr>
          <w:lang w:val="en-US"/>
        </w:rPr>
        <w:t>bunkers</w:t>
      </w:r>
      <w:r w:rsidR="006D3ECD" w:rsidRPr="00683813">
        <w:rPr>
          <w:lang w:val="en-US"/>
        </w:rPr>
        <w:t xml:space="preserve">. </w:t>
      </w:r>
      <w:r w:rsidR="00DB345D" w:rsidRPr="00683813">
        <w:rPr>
          <w:lang w:val="en-US"/>
        </w:rPr>
        <w:t xml:space="preserve">Additionally, metal reinforcement bars present in walls and floors may be activated and must therefore be taken into account. </w:t>
      </w:r>
      <w:r w:rsidR="007D120F" w:rsidRPr="00683813">
        <w:rPr>
          <w:lang w:val="en-US"/>
        </w:rPr>
        <w:t xml:space="preserve">Activated mass was estimated for </w:t>
      </w:r>
      <w:r w:rsidR="00434EE4" w:rsidRPr="00683813">
        <w:rPr>
          <w:lang w:val="en-US"/>
        </w:rPr>
        <w:t xml:space="preserve">all </w:t>
      </w:r>
      <w:r w:rsidR="007D120F" w:rsidRPr="00683813">
        <w:rPr>
          <w:lang w:val="en-US"/>
        </w:rPr>
        <w:t>types of cyclotron bunker facility</w:t>
      </w:r>
      <w:r w:rsidR="00434EE4" w:rsidRPr="00683813">
        <w:rPr>
          <w:lang w:val="en-US"/>
        </w:rPr>
        <w:t xml:space="preserve"> corresponding to the </w:t>
      </w:r>
      <w:r w:rsidR="007D120F" w:rsidRPr="00683813">
        <w:rPr>
          <w:lang w:val="en-US"/>
        </w:rPr>
        <w:t xml:space="preserve">three </w:t>
      </w:r>
      <w:r w:rsidR="00434EE4" w:rsidRPr="00683813">
        <w:rPr>
          <w:lang w:val="en-US"/>
        </w:rPr>
        <w:t xml:space="preserve">different </w:t>
      </w:r>
      <w:r w:rsidR="007D120F" w:rsidRPr="00683813">
        <w:rPr>
          <w:lang w:val="en-US"/>
        </w:rPr>
        <w:t>cyclotron categories.</w:t>
      </w:r>
    </w:p>
    <w:p w14:paraId="6DA4E523" w14:textId="7AC81322" w:rsidR="006D3ECD" w:rsidRPr="00683813" w:rsidRDefault="00F31163" w:rsidP="000A2990">
      <w:pPr>
        <w:pStyle w:val="BodyText"/>
        <w:rPr>
          <w:lang w:val="en-US"/>
        </w:rPr>
      </w:pPr>
      <w:r w:rsidRPr="00683813">
        <w:rPr>
          <w:lang w:val="en-US"/>
        </w:rPr>
        <w:t xml:space="preserve">The </w:t>
      </w:r>
      <w:r w:rsidR="00B2528B" w:rsidRPr="00683813">
        <w:rPr>
          <w:lang w:val="en-US"/>
        </w:rPr>
        <w:t xml:space="preserve">cyclotron machine </w:t>
      </w:r>
      <w:r w:rsidR="00DE052E" w:rsidRPr="00683813">
        <w:rPr>
          <w:lang w:val="en-US"/>
        </w:rPr>
        <w:t xml:space="preserve">component of the activated mass </w:t>
      </w:r>
      <w:r w:rsidRPr="00683813">
        <w:rPr>
          <w:lang w:val="en-US"/>
        </w:rPr>
        <w:t>was estimated on the basis of cyclotron</w:t>
      </w:r>
      <w:r w:rsidR="00834A50" w:rsidRPr="00683813">
        <w:rPr>
          <w:lang w:val="en-US"/>
        </w:rPr>
        <w:t xml:space="preserve"> </w:t>
      </w:r>
      <w:r w:rsidRPr="00683813">
        <w:rPr>
          <w:lang w:val="en-US"/>
        </w:rPr>
        <w:t>characteristics and dimensions, as obtained from manufacturers</w:t>
      </w:r>
      <w:r w:rsidR="000A784C" w:rsidRPr="00683813">
        <w:rPr>
          <w:lang w:val="en-US"/>
        </w:rPr>
        <w:t xml:space="preserve"> </w:t>
      </w:r>
      <w:r w:rsidR="000A784C" w:rsidRPr="00683813">
        <w:rPr>
          <w:lang w:val="en-US"/>
        </w:rPr>
        <w:fldChar w:fldCharType="begin"/>
      </w:r>
      <w:r w:rsidR="00D03CF7">
        <w:rPr>
          <w:lang w:val="en-US"/>
        </w:rPr>
        <w:instrText xml:space="preserve"> ADDIN EN.CITE &lt;EndNote&gt;&lt;Cite&gt;&lt;Author&gt;IBA&lt;/Author&gt;&lt;Year&gt;2010&lt;/Year&gt;&lt;RecNum&gt;44&lt;/RecNum&gt;&lt;DisplayText&gt;[7-10]&lt;/DisplayText&gt;&lt;record&gt;&lt;rec-number&gt;44&lt;/rec-number&gt;&lt;foreign-keys&gt;&lt;key app="EN" db-id="5saed0xvzv9sz3et5fqvz29i0ftadf2wd50r" timestamp="1675066045"&gt;44&lt;/key&gt;&lt;/foreign-keys&gt;&lt;ref-type name="Catalog"&gt;8&lt;/ref-type&gt;&lt;contributors&gt;&lt;authors&gt;&lt;author&gt;IBA&lt;/author&gt;&lt;/authors&gt;&lt;/contributors&gt;&lt;titles&gt;&lt;title&gt;CYCLONE 30 Brochure&lt;/title&gt;&lt;/titles&gt;&lt;dates&gt;&lt;year&gt;2010&lt;/year&gt;&lt;/dates&gt;&lt;urls&gt;&lt;/urls&gt;&lt;/record&gt;&lt;/Cite&gt;&lt;Cite&gt;&lt;Author&gt;IBA&lt;/Author&gt;&lt;Year&gt;2022&lt;/Year&gt;&lt;RecNum&gt;45&lt;/RecNum&gt;&lt;record&gt;&lt;rec-number&gt;45&lt;/rec-number&gt;&lt;foreign-keys&gt;&lt;key app="EN" db-id="5saed0xvzv9sz3et5fqvz29i0ftadf2wd50r" timestamp="1675066221"&gt;45&lt;/key&gt;&lt;/foreign-keys&gt;&lt;ref-type name="Catalog"&gt;8&lt;/ref-type&gt;&lt;contributors&gt;&lt;authors&gt;&lt;author&gt;IBA&lt;/author&gt;&lt;/authors&gt;&lt;/contributors&gt;&lt;titles&gt;&lt;title&gt;CYCLONE KEY Brochure&lt;/title&gt;&lt;/titles&gt;&lt;dates&gt;&lt;year&gt;2022&lt;/year&gt;&lt;/dates&gt;&lt;urls&gt;&lt;/urls&gt;&lt;/record&gt;&lt;/Cite&gt;&lt;Cite&gt;&lt;Author&gt;IBA&lt;/Author&gt;&lt;Year&gt;2022&lt;/Year&gt;&lt;RecNum&gt;47&lt;/RecNum&gt;&lt;record&gt;&lt;rec-number&gt;47&lt;/rec-number&gt;&lt;foreign-keys&gt;&lt;key app="EN" db-id="5saed0xvzv9sz3et5fqvz29i0ftadf2wd50r" timestamp="1675066222"&gt;47&lt;/key&gt;&lt;/foreign-keys&gt;&lt;ref-type name="Catalog"&gt;8&lt;/ref-type&gt;&lt;contributors&gt;&lt;authors&gt;&lt;author&gt;IBA&lt;/author&gt;&lt;/authors&gt;&lt;/contributors&gt;&lt;titles&gt;&lt;title&gt;CYCLONE KIUBE Brochure&lt;/title&gt;&lt;/titles&gt;&lt;dates&gt;&lt;year&gt;2022&lt;/year&gt;&lt;/dates&gt;&lt;urls&gt;&lt;/urls&gt;&lt;/record&gt;&lt;/Cite&gt;&lt;Cite&gt;&lt;Author&gt;Siemens&lt;/Author&gt;&lt;Year&gt;2011&lt;/Year&gt;&lt;RecNum&gt;48&lt;/RecNum&gt;&lt;record&gt;&lt;rec-number&gt;48&lt;/rec-number&gt;&lt;foreign-keys&gt;&lt;key app="EN" db-id="5saed0xvzv9sz3et5fqvz29i0ftadf2wd50r" timestamp="1675066301"&gt;48&lt;/key&gt;&lt;/foreign-keys&gt;&lt;ref-type name="Catalog"&gt;8&lt;/ref-type&gt;&lt;contributors&gt;&lt;authors&gt;&lt;author&gt;Siemens&lt;/author&gt;&lt;/authors&gt;&lt;/contributors&gt;&lt;titles&gt;&lt;title&gt;Siemens ECLIPSE Brochure&lt;/title&gt;&lt;/titles&gt;&lt;dates&gt;&lt;year&gt;2011&lt;/year&gt;&lt;/dates&gt;&lt;urls&gt;&lt;/urls&gt;&lt;/record&gt;&lt;/Cite&gt;&lt;/EndNote&gt;</w:instrText>
      </w:r>
      <w:r w:rsidR="000A784C" w:rsidRPr="00683813">
        <w:rPr>
          <w:lang w:val="en-US"/>
        </w:rPr>
        <w:fldChar w:fldCharType="separate"/>
      </w:r>
      <w:r w:rsidR="00D03CF7">
        <w:rPr>
          <w:noProof/>
          <w:lang w:val="en-US"/>
        </w:rPr>
        <w:t>[7-10]</w:t>
      </w:r>
      <w:r w:rsidR="000A784C" w:rsidRPr="00683813">
        <w:rPr>
          <w:lang w:val="en-US"/>
        </w:rPr>
        <w:fldChar w:fldCharType="end"/>
      </w:r>
      <w:r w:rsidRPr="00683813">
        <w:rPr>
          <w:lang w:val="en-US"/>
        </w:rPr>
        <w:t xml:space="preserve">. </w:t>
      </w:r>
      <w:r w:rsidR="00834A50" w:rsidRPr="00683813">
        <w:rPr>
          <w:lang w:val="en-US"/>
        </w:rPr>
        <w:t>A</w:t>
      </w:r>
      <w:r w:rsidR="00F15C30" w:rsidRPr="00683813">
        <w:rPr>
          <w:lang w:val="en-US"/>
        </w:rPr>
        <w:t xml:space="preserve"> simplification was made</w:t>
      </w:r>
      <w:r w:rsidR="00311B50" w:rsidRPr="00683813">
        <w:rPr>
          <w:lang w:val="en-US"/>
        </w:rPr>
        <w:t xml:space="preserve"> </w:t>
      </w:r>
      <w:r w:rsidR="00834A50" w:rsidRPr="00683813">
        <w:rPr>
          <w:lang w:val="en-US"/>
        </w:rPr>
        <w:t>by estimating a</w:t>
      </w:r>
      <w:r w:rsidR="00F15C30" w:rsidRPr="00683813">
        <w:rPr>
          <w:lang w:val="en-US"/>
        </w:rPr>
        <w:t xml:space="preserve"> contribution of ninety percent of the total cyclotron mass to be due to the magnet yokes, with the remaining ten percent estimated due to the magnet coils.</w:t>
      </w:r>
      <w:r w:rsidR="000F7C1E" w:rsidRPr="00683813">
        <w:rPr>
          <w:lang w:val="en-US"/>
        </w:rPr>
        <w:t xml:space="preserve"> The complete mass of the cyclotron machine was assumed to be activated.</w:t>
      </w:r>
      <w:r w:rsidR="007D120F" w:rsidRPr="00683813">
        <w:rPr>
          <w:lang w:val="en-US"/>
        </w:rPr>
        <w:t xml:space="preserve"> </w:t>
      </w:r>
    </w:p>
    <w:p w14:paraId="0CC3B124" w14:textId="41028A18" w:rsidR="00DB345D" w:rsidRPr="00683813" w:rsidRDefault="00DB345D" w:rsidP="000A2990">
      <w:pPr>
        <w:pStyle w:val="BodyText"/>
        <w:rPr>
          <w:lang w:val="en-US"/>
        </w:rPr>
      </w:pPr>
      <w:r w:rsidRPr="00683813">
        <w:rPr>
          <w:lang w:val="en-US"/>
        </w:rPr>
        <w:t xml:space="preserve">Activated mass of bunker concrete was estimated </w:t>
      </w:r>
      <w:r w:rsidR="00590AA5" w:rsidRPr="00683813">
        <w:rPr>
          <w:lang w:val="en-US"/>
        </w:rPr>
        <w:t>assuming</w:t>
      </w:r>
      <w:r w:rsidR="00DE2FD1" w:rsidRPr="00683813">
        <w:rPr>
          <w:lang w:val="en-US"/>
        </w:rPr>
        <w:t xml:space="preserve"> bunker dimensions as obtained from manufacturers</w:t>
      </w:r>
      <w:r w:rsidR="00590AA5" w:rsidRPr="00683813">
        <w:rPr>
          <w:lang w:val="en-US"/>
        </w:rPr>
        <w:t xml:space="preserve"> </w:t>
      </w:r>
      <w:r w:rsidRPr="00683813">
        <w:rPr>
          <w:lang w:val="en-US"/>
        </w:rPr>
        <w:t xml:space="preserve">for </w:t>
      </w:r>
      <w:r w:rsidR="007B3DF3" w:rsidRPr="00683813">
        <w:rPr>
          <w:lang w:val="en-US"/>
        </w:rPr>
        <w:t xml:space="preserve">two of the </w:t>
      </w:r>
      <w:r w:rsidR="00590AA5" w:rsidRPr="00683813">
        <w:rPr>
          <w:lang w:val="en-US"/>
        </w:rPr>
        <w:t>cyclotron facility types</w:t>
      </w:r>
      <w:r w:rsidR="007B3DF3" w:rsidRPr="00683813">
        <w:rPr>
          <w:lang w:val="en-US"/>
        </w:rPr>
        <w:t xml:space="preserve"> corresponding to  </w:t>
      </w:r>
      <w:r w:rsidR="00590AA5" w:rsidRPr="00683813">
        <w:rPr>
          <w:lang w:val="en-US"/>
        </w:rPr>
        <w:t xml:space="preserve">cyclotron </w:t>
      </w:r>
      <w:r w:rsidR="007B3DF3" w:rsidRPr="00683813">
        <w:rPr>
          <w:lang w:val="en-US"/>
        </w:rPr>
        <w:t>categories</w:t>
      </w:r>
      <w:r w:rsidR="00CF62B4" w:rsidRPr="00683813">
        <w:rPr>
          <w:lang w:val="en-US"/>
        </w:rPr>
        <w:t xml:space="preserve"> A and B</w:t>
      </w:r>
      <w:r w:rsidR="007B3DF3" w:rsidRPr="00683813">
        <w:rPr>
          <w:lang w:val="en-US"/>
        </w:rPr>
        <w:t xml:space="preserve">. </w:t>
      </w:r>
      <w:r w:rsidR="000F7C1E" w:rsidRPr="00683813">
        <w:rPr>
          <w:lang w:val="en-US"/>
        </w:rPr>
        <w:t xml:space="preserve"> For the two types of category C, dimensions of two Dutch sites visited by the authors were taken to be representative. Activation of concrete is limited to the inner 50 </w:t>
      </w:r>
      <w:r w:rsidR="00CE31AF" w:rsidRPr="00683813">
        <w:rPr>
          <w:lang w:val="en-US"/>
        </w:rPr>
        <w:t>centimeters</w:t>
      </w:r>
      <w:r w:rsidR="000F7C1E" w:rsidRPr="00683813">
        <w:rPr>
          <w:lang w:val="en-US"/>
        </w:rPr>
        <w:t xml:space="preserve"> in cyclotron (and target) bunkers</w:t>
      </w:r>
      <w:r w:rsidR="003A36A0">
        <w:rPr>
          <w:lang w:val="en-US"/>
        </w:rPr>
        <w:t xml:space="preserve"> </w:t>
      </w:r>
      <w:r w:rsidR="003A36A0">
        <w:rPr>
          <w:lang w:val="en-US"/>
        </w:rPr>
        <w:fldChar w:fldCharType="begin"/>
      </w:r>
      <w:r w:rsidR="003A36A0">
        <w:rPr>
          <w:lang w:val="en-US"/>
        </w:rPr>
        <w:instrText xml:space="preserve"> ADDIN EN.CITE &lt;EndNote&gt;&lt;Cite&gt;&lt;Author&gt;Kimura&lt;/Author&gt;&lt;Year&gt;1994&lt;/Year&gt;&lt;RecNum&gt;9&lt;/RecNum&gt;&lt;DisplayText&gt;[11]&lt;/DisplayText&gt;&lt;record&gt;&lt;rec-number&gt;9&lt;/rec-number&gt;&lt;foreign-keys&gt;&lt;key app="EN" db-id="5saed0xvzv9sz3et5fqvz29i0ftadf2wd50r" timestamp="1663847911"&gt;9&lt;/key&gt;&lt;/foreign-keys&gt;&lt;ref-type name="Journal Article"&gt;17&lt;/ref-type&gt;&lt;contributors&gt;&lt;authors&gt;&lt;author&gt;Kimura, Kenichi&lt;/author&gt;&lt;author&gt;Ishikawa, Toshio&lt;/author&gt;&lt;author&gt;Kinno, Masaharu&lt;/author&gt;&lt;author&gt;Yamadera, Akira&lt;/author&gt;&lt;author&gt;Nakamura, Takashi&lt;/author&gt;&lt;/authors&gt;&lt;/contributors&gt;&lt;titles&gt;&lt;title&gt;Residual long-lived radioactivity distribution in the inner concrete wall of a cyclotron vault&lt;/title&gt;&lt;secondary-title&gt;Health physics&lt;/secondary-title&gt;&lt;/titles&gt;&lt;periodical&gt;&lt;full-title&gt;Health physics&lt;/full-title&gt;&lt;/periodical&gt;&lt;pages&gt;621-631&lt;/pages&gt;&lt;volume&gt;67&lt;/volume&gt;&lt;number&gt;6&lt;/number&gt;&lt;dates&gt;&lt;year&gt;1994&lt;/year&gt;&lt;/dates&gt;&lt;isbn&gt;0017-9078&lt;/isbn&gt;&lt;urls&gt;&lt;/urls&gt;&lt;/record&gt;&lt;/Cite&gt;&lt;/EndNote&gt;</w:instrText>
      </w:r>
      <w:r w:rsidR="003A36A0">
        <w:rPr>
          <w:lang w:val="en-US"/>
        </w:rPr>
        <w:fldChar w:fldCharType="separate"/>
      </w:r>
      <w:r w:rsidR="003A36A0">
        <w:rPr>
          <w:noProof/>
          <w:lang w:val="en-US"/>
        </w:rPr>
        <w:t>[11]</w:t>
      </w:r>
      <w:r w:rsidR="003A36A0">
        <w:rPr>
          <w:lang w:val="en-US"/>
        </w:rPr>
        <w:fldChar w:fldCharType="end"/>
      </w:r>
      <w:r w:rsidR="000F7C1E" w:rsidRPr="00683813">
        <w:rPr>
          <w:lang w:val="en-US"/>
        </w:rPr>
        <w:t xml:space="preserve">. For </w:t>
      </w:r>
      <w:r w:rsidR="00B25CF3" w:rsidRPr="00683813">
        <w:rPr>
          <w:lang w:val="en-US"/>
        </w:rPr>
        <w:t>all cyclotron categories</w:t>
      </w:r>
      <w:r w:rsidR="000F7C1E" w:rsidRPr="00683813">
        <w:rPr>
          <w:lang w:val="en-US"/>
        </w:rPr>
        <w:t xml:space="preserve">, activated mass was calculated </w:t>
      </w:r>
      <w:r w:rsidR="00C72959" w:rsidRPr="00683813">
        <w:rPr>
          <w:lang w:val="en-US"/>
        </w:rPr>
        <w:t>as this inner shell with corresponding dimensions, with concrete assumed to be ordinary (Portland) concrete with a density of 235</w:t>
      </w:r>
      <w:r w:rsidR="00B25CF3" w:rsidRPr="00683813">
        <w:rPr>
          <w:lang w:val="en-US"/>
        </w:rPr>
        <w:t>0</w:t>
      </w:r>
      <w:r w:rsidR="00C72959" w:rsidRPr="00683813">
        <w:rPr>
          <w:lang w:val="en-US"/>
        </w:rPr>
        <w:t xml:space="preserve"> kg/</w:t>
      </w:r>
      <w:r w:rsidR="00B25CF3" w:rsidRPr="00683813">
        <w:rPr>
          <w:lang w:val="en-US"/>
        </w:rPr>
        <w:t>m</w:t>
      </w:r>
      <w:r w:rsidR="00B25CF3" w:rsidRPr="00683813">
        <w:rPr>
          <w:vertAlign w:val="superscript"/>
          <w:lang w:val="en-US"/>
        </w:rPr>
        <w:t>3</w:t>
      </w:r>
      <w:r w:rsidR="00C72959" w:rsidRPr="00683813">
        <w:rPr>
          <w:lang w:val="en-US"/>
        </w:rPr>
        <w:t xml:space="preserve">. </w:t>
      </w:r>
    </w:p>
    <w:p w14:paraId="77BA189D" w14:textId="72EEFC22" w:rsidR="007D120F" w:rsidRPr="00683813" w:rsidRDefault="007D120F" w:rsidP="000A2990">
      <w:pPr>
        <w:pStyle w:val="BodyText"/>
        <w:rPr>
          <w:lang w:val="en-US"/>
        </w:rPr>
      </w:pPr>
      <w:r w:rsidRPr="00683813">
        <w:rPr>
          <w:lang w:val="en-US"/>
        </w:rPr>
        <w:t>Activated mass of reinforcement steel was estimated</w:t>
      </w:r>
      <w:r w:rsidR="00CC25D7" w:rsidRPr="00683813">
        <w:rPr>
          <w:lang w:val="en-US"/>
        </w:rPr>
        <w:t xml:space="preserve"> </w:t>
      </w:r>
      <w:r w:rsidR="007B104B" w:rsidRPr="00683813">
        <w:rPr>
          <w:lang w:val="en-US"/>
        </w:rPr>
        <w:t xml:space="preserve">as 2.5 % of activated mass of concrete. This number was </w:t>
      </w:r>
      <w:r w:rsidR="00B65AFB" w:rsidRPr="00683813">
        <w:rPr>
          <w:lang w:val="en-US"/>
        </w:rPr>
        <w:t>modified</w:t>
      </w:r>
      <w:r w:rsidR="007B104B" w:rsidRPr="00683813">
        <w:rPr>
          <w:lang w:val="en-US"/>
        </w:rPr>
        <w:t xml:space="preserve"> from a study </w:t>
      </w:r>
      <w:r w:rsidR="000A784C" w:rsidRPr="00683813">
        <w:rPr>
          <w:lang w:val="en-US"/>
        </w:rPr>
        <w:fldChar w:fldCharType="begin"/>
      </w:r>
      <w:r w:rsidR="003A36A0">
        <w:rPr>
          <w:lang w:val="en-US"/>
        </w:rPr>
        <w:instrText xml:space="preserve"> ADDIN EN.CITE &lt;EndNote&gt;&lt;Cite&gt;&lt;Author&gt;Vrije Universiteit Brussel&lt;/Author&gt;&lt;Year&gt;1999&lt;/Year&gt;&lt;RecNum&gt;1&lt;/RecNum&gt;&lt;DisplayText&gt;[12]&lt;/DisplayText&gt;&lt;record&gt;&lt;rec-number&gt;1&lt;/rec-number&gt;&lt;foreign-keys&gt;&lt;key app="EN" db-id="5saed0xvzv9sz3et5fqvz29i0ftadf2wd50r" timestamp="1663831710"&gt;1&lt;/key&gt;&lt;/foreign-keys&gt;&lt;ref-type name="Report"&gt;27&lt;/ref-type&gt;&lt;contributors&gt;&lt;authors&gt;&lt;author&gt;Vrije Universiteit Brussel, &lt;/author&gt;&lt;/authors&gt;&lt;/contributors&gt;&lt;titles&gt;&lt;title&gt;Evaluation of the radiological and economic consequences of decommissioning particle accelerators&lt;/title&gt;&lt;/titles&gt;&lt;dates&gt;&lt;year&gt;1999&lt;/year&gt;&lt;/dates&gt;&lt;publisher&gt;European Commission&lt;/publisher&gt;&lt;isbn&gt;EUR 19151&lt;/isbn&gt;&lt;urls&gt;&lt;/urls&gt;&lt;/record&gt;&lt;/Cite&gt;&lt;/EndNote&gt;</w:instrText>
      </w:r>
      <w:r w:rsidR="000A784C" w:rsidRPr="00683813">
        <w:rPr>
          <w:lang w:val="en-US"/>
        </w:rPr>
        <w:fldChar w:fldCharType="separate"/>
      </w:r>
      <w:r w:rsidR="003A36A0">
        <w:rPr>
          <w:noProof/>
          <w:lang w:val="en-US"/>
        </w:rPr>
        <w:t>[12]</w:t>
      </w:r>
      <w:r w:rsidR="000A784C" w:rsidRPr="00683813">
        <w:rPr>
          <w:lang w:val="en-US"/>
        </w:rPr>
        <w:fldChar w:fldCharType="end"/>
      </w:r>
      <w:r w:rsidR="007B104B" w:rsidRPr="00683813">
        <w:rPr>
          <w:lang w:val="en-US"/>
        </w:rPr>
        <w:t xml:space="preserve"> to reflect Dutch facilities, where use of a single reinforcement mat in the activated 50 cm layer is common. For cyclotrons in category A, </w:t>
      </w:r>
      <w:r w:rsidR="00B65AFB" w:rsidRPr="00683813">
        <w:rPr>
          <w:lang w:val="en-US"/>
        </w:rPr>
        <w:t>reinforcement steel is generally not present</w:t>
      </w:r>
      <w:r w:rsidR="007B104B" w:rsidRPr="00683813">
        <w:rPr>
          <w:lang w:val="en-US"/>
        </w:rPr>
        <w:t xml:space="preserve">. </w:t>
      </w:r>
    </w:p>
    <w:p w14:paraId="18A69F42" w14:textId="6A616610" w:rsidR="001B797D" w:rsidRPr="00683813" w:rsidRDefault="00C83091" w:rsidP="00AE6924">
      <w:pPr>
        <w:pStyle w:val="BodyText"/>
        <w:rPr>
          <w:lang w:val="en-US"/>
        </w:rPr>
      </w:pPr>
      <w:bookmarkStart w:id="0" w:name="_Hlk140756463"/>
      <w:r>
        <w:rPr>
          <w:lang w:val="en-US"/>
        </w:rPr>
        <w:lastRenderedPageBreak/>
        <w:t>Activity concentration</w:t>
      </w:r>
      <w:r w:rsidR="00B65AFB" w:rsidRPr="00683813">
        <w:rPr>
          <w:lang w:val="en-US"/>
        </w:rPr>
        <w:t xml:space="preserve"> in materials was obtained from the literature. </w:t>
      </w:r>
      <w:r w:rsidR="004E08CC" w:rsidRPr="00683813">
        <w:rPr>
          <w:lang w:val="en-US"/>
        </w:rPr>
        <w:t xml:space="preserve">Where possible, average </w:t>
      </w:r>
      <w:r>
        <w:rPr>
          <w:lang w:val="en-US"/>
        </w:rPr>
        <w:t>activity concentration</w:t>
      </w:r>
      <w:r w:rsidR="004E08CC" w:rsidRPr="00683813">
        <w:rPr>
          <w:lang w:val="en-US"/>
        </w:rPr>
        <w:t xml:space="preserve"> for a material was calculated</w:t>
      </w:r>
      <w:r w:rsidR="00BD4316">
        <w:rPr>
          <w:lang w:val="en-US"/>
        </w:rPr>
        <w:t xml:space="preserve"> per cyclotron facility</w:t>
      </w:r>
      <w:r w:rsidR="004E08CC" w:rsidRPr="00683813">
        <w:rPr>
          <w:lang w:val="en-US"/>
        </w:rPr>
        <w:t xml:space="preserve">. When only single values were given for a material in the facility as a whole, these were assumed to be representative for the full activated mass of that material. </w:t>
      </w:r>
      <w:r>
        <w:rPr>
          <w:lang w:val="en-US"/>
        </w:rPr>
        <w:t>Activity concentration</w:t>
      </w:r>
      <w:r w:rsidR="004E08CC" w:rsidRPr="00683813">
        <w:rPr>
          <w:lang w:val="en-US"/>
        </w:rPr>
        <w:t xml:space="preserve"> numbers were scaled </w:t>
      </w:r>
      <w:r w:rsidR="00483654" w:rsidRPr="00683813">
        <w:rPr>
          <w:lang w:val="en-US"/>
        </w:rPr>
        <w:t>back to the year of</w:t>
      </w:r>
      <w:r w:rsidR="004E08CC" w:rsidRPr="00683813">
        <w:rPr>
          <w:lang w:val="en-US"/>
        </w:rPr>
        <w:t xml:space="preserve"> end of </w:t>
      </w:r>
      <w:r w:rsidR="00483654" w:rsidRPr="00683813">
        <w:rPr>
          <w:lang w:val="en-US"/>
        </w:rPr>
        <w:t xml:space="preserve">cyclotron </w:t>
      </w:r>
      <w:r w:rsidR="004E08CC" w:rsidRPr="00683813">
        <w:rPr>
          <w:lang w:val="en-US"/>
        </w:rPr>
        <w:t>operation</w:t>
      </w:r>
      <w:r w:rsidR="00483654" w:rsidRPr="00683813">
        <w:rPr>
          <w:lang w:val="en-US"/>
        </w:rPr>
        <w:t>, as well as to the fifth year post-shutdown</w:t>
      </w:r>
      <w:r w:rsidR="004E08CC" w:rsidRPr="00683813">
        <w:rPr>
          <w:lang w:val="en-US"/>
        </w:rPr>
        <w:t xml:space="preserve">. </w:t>
      </w:r>
      <w:r>
        <w:rPr>
          <w:lang w:val="en-US"/>
        </w:rPr>
        <w:t>Activity concentration</w:t>
      </w:r>
      <w:r w:rsidR="00E62672" w:rsidRPr="00683813">
        <w:rPr>
          <w:lang w:val="en-US"/>
        </w:rPr>
        <w:t xml:space="preserve"> was</w:t>
      </w:r>
      <w:r w:rsidR="000C78BC" w:rsidRPr="00683813">
        <w:rPr>
          <w:lang w:val="en-US"/>
        </w:rPr>
        <w:t xml:space="preserve"> recorded or</w:t>
      </w:r>
      <w:r w:rsidR="00E62672" w:rsidRPr="00683813">
        <w:rPr>
          <w:lang w:val="en-US"/>
        </w:rPr>
        <w:t xml:space="preserve"> calculated for ‘relevant radionuclides’, which were defined for the study to be those that</w:t>
      </w:r>
      <w:r w:rsidR="00BC4670" w:rsidRPr="00683813">
        <w:rPr>
          <w:lang w:val="en-US"/>
        </w:rPr>
        <w:t xml:space="preserve"> have a half-life greater than thirty days and </w:t>
      </w:r>
      <w:r w:rsidR="00916B4F">
        <w:rPr>
          <w:lang w:val="en-US"/>
        </w:rPr>
        <w:t xml:space="preserve">of which measured </w:t>
      </w:r>
      <w:r>
        <w:rPr>
          <w:lang w:val="en-US"/>
        </w:rPr>
        <w:t>activity concentrations</w:t>
      </w:r>
      <w:r w:rsidR="00916B4F" w:rsidRPr="00683813">
        <w:rPr>
          <w:lang w:val="en-US"/>
        </w:rPr>
        <w:t xml:space="preserve"> </w:t>
      </w:r>
      <w:r w:rsidR="00E62672" w:rsidRPr="00683813">
        <w:rPr>
          <w:lang w:val="en-US"/>
        </w:rPr>
        <w:t>were reported multiple times (more than once) in the literature.</w:t>
      </w:r>
      <w:r w:rsidR="00A00076" w:rsidRPr="00683813">
        <w:rPr>
          <w:lang w:val="en-US"/>
        </w:rPr>
        <w:t xml:space="preserve"> Reinforcement steel formed </w:t>
      </w:r>
      <w:r w:rsidR="00184351" w:rsidRPr="00683813">
        <w:rPr>
          <w:lang w:val="en-US"/>
        </w:rPr>
        <w:t>an</w:t>
      </w:r>
      <w:r w:rsidR="00A00076" w:rsidRPr="00683813">
        <w:rPr>
          <w:lang w:val="en-US"/>
        </w:rPr>
        <w:t xml:space="preserve"> exception to this rule as only one study reporting </w:t>
      </w:r>
      <w:r>
        <w:rPr>
          <w:lang w:val="en-US"/>
        </w:rPr>
        <w:t>activity concentrations</w:t>
      </w:r>
      <w:r w:rsidR="00A00076" w:rsidRPr="00683813">
        <w:rPr>
          <w:lang w:val="en-US"/>
        </w:rPr>
        <w:t xml:space="preserve"> for reinforcement steel was found.</w:t>
      </w:r>
      <w:r w:rsidR="001B797D" w:rsidRPr="00683813">
        <w:rPr>
          <w:lang w:val="en-US"/>
        </w:rPr>
        <w:t xml:space="preserve"> </w:t>
      </w:r>
    </w:p>
    <w:p w14:paraId="46C66AEE" w14:textId="07FCB990" w:rsidR="00E62672" w:rsidRPr="00683813" w:rsidRDefault="001B797D" w:rsidP="00AE6924">
      <w:pPr>
        <w:pStyle w:val="BodyText"/>
        <w:rPr>
          <w:lang w:val="en-US"/>
        </w:rPr>
      </w:pPr>
      <w:r w:rsidRPr="00683813">
        <w:rPr>
          <w:lang w:val="en-US"/>
        </w:rPr>
        <w:t xml:space="preserve">The method employed for the </w:t>
      </w:r>
      <w:r w:rsidR="00C42BDB">
        <w:rPr>
          <w:lang w:val="en-US"/>
        </w:rPr>
        <w:t>classification for</w:t>
      </w:r>
      <w:r w:rsidRPr="00683813">
        <w:rPr>
          <w:lang w:val="en-US"/>
        </w:rPr>
        <w:t xml:space="preserve"> clearance is analogous to the procedure for clearance as stipulated by Dutch legislation</w:t>
      </w:r>
      <w:r w:rsidR="00FD3682">
        <w:rPr>
          <w:lang w:val="en-US"/>
        </w:rPr>
        <w:t xml:space="preserve"> </w:t>
      </w:r>
      <w:r w:rsidR="00FD3682">
        <w:rPr>
          <w:lang w:val="en-US"/>
        </w:rPr>
        <w:fldChar w:fldCharType="begin"/>
      </w:r>
      <w:r w:rsidR="00FD3682">
        <w:rPr>
          <w:lang w:val="en-US"/>
        </w:rPr>
        <w:instrText xml:space="preserve"> ADDIN EN.CITE &lt;EndNote&gt;&lt;Cite&gt;&lt;Author&gt;Bbs&lt;/Author&gt;&lt;Year&gt;2017&lt;/Year&gt;&lt;RecNum&gt;67&lt;/RecNum&gt;&lt;DisplayText&gt;[13]&lt;/DisplayText&gt;&lt;record&gt;&lt;rec-number&gt;67&lt;/rec-number&gt;&lt;foreign-keys&gt;&lt;key app="EN" db-id="5saed0xvzv9sz3et5fqvz29i0ftadf2wd50r" timestamp="1692796073"&gt;67&lt;/key&gt;&lt;/foreign-keys&gt;&lt;ref-type name="Government Document"&gt;46&lt;/ref-type&gt;&lt;contributors&gt;&lt;authors&gt;&lt;author&gt;Bbs, 3.17.2&lt;/author&gt;&lt;/authors&gt;&lt;/contributors&gt;&lt;titles&gt;&lt;title&gt;Besluit basisveiligheidsnormen stralingsbescherming, artikel 3.17, lid 2&lt;/title&gt;&lt;/titles&gt;&lt;pages&gt;1-416&lt;/pages&gt;&lt;volume&gt;404&lt;/volume&gt;&lt;dates&gt;&lt;year&gt;2017&lt;/year&gt;&lt;/dates&gt;&lt;pub-location&gt;Den Haag&lt;/pub-location&gt;&lt;publisher&gt;Staatsblad van het Koninkrijk der Nederlanden&lt;/publisher&gt;&lt;urls&gt;&lt;/urls&gt;&lt;/record&gt;&lt;/Cite&gt;&lt;/EndNote&gt;</w:instrText>
      </w:r>
      <w:r w:rsidR="00FD3682">
        <w:rPr>
          <w:lang w:val="en-US"/>
        </w:rPr>
        <w:fldChar w:fldCharType="separate"/>
      </w:r>
      <w:r w:rsidR="00FD3682">
        <w:rPr>
          <w:noProof/>
          <w:lang w:val="en-US"/>
        </w:rPr>
        <w:t>[13]</w:t>
      </w:r>
      <w:r w:rsidR="00FD3682">
        <w:rPr>
          <w:lang w:val="en-US"/>
        </w:rPr>
        <w:fldChar w:fldCharType="end"/>
      </w:r>
      <w:r w:rsidRPr="00683813">
        <w:rPr>
          <w:lang w:val="en-US"/>
        </w:rPr>
        <w:t xml:space="preserve">. </w:t>
      </w:r>
      <w:r w:rsidR="001A6EF6" w:rsidRPr="00683813">
        <w:rPr>
          <w:lang w:val="en-US"/>
        </w:rPr>
        <w:t>For every cyclotron facility, r</w:t>
      </w:r>
      <w:r w:rsidR="000679E0" w:rsidRPr="00683813">
        <w:rPr>
          <w:lang w:val="en-US"/>
        </w:rPr>
        <w:t xml:space="preserve">elevant radionuclides’ </w:t>
      </w:r>
      <w:r w:rsidR="00C83091">
        <w:rPr>
          <w:lang w:val="en-US"/>
        </w:rPr>
        <w:t>activity concentrations</w:t>
      </w:r>
      <w:r w:rsidRPr="00683813">
        <w:rPr>
          <w:lang w:val="en-US"/>
        </w:rPr>
        <w:t xml:space="preserve"> were weighted by nuclide-specific clearance </w:t>
      </w:r>
      <w:r w:rsidR="00B208BB" w:rsidRPr="00683813">
        <w:rPr>
          <w:lang w:val="en-US"/>
        </w:rPr>
        <w:t>levels</w:t>
      </w:r>
      <w:r w:rsidRPr="00683813">
        <w:rPr>
          <w:lang w:val="en-US"/>
        </w:rPr>
        <w:t xml:space="preserve"> and summed to </w:t>
      </w:r>
      <w:r w:rsidR="000679E0" w:rsidRPr="00683813">
        <w:rPr>
          <w:lang w:val="en-US"/>
        </w:rPr>
        <w:t xml:space="preserve">combine into a single-valued weighted sum of </w:t>
      </w:r>
      <w:r w:rsidR="00C83091">
        <w:rPr>
          <w:lang w:val="en-US"/>
        </w:rPr>
        <w:t>activity concentrations</w:t>
      </w:r>
      <w:r w:rsidR="00ED247F" w:rsidRPr="00683813">
        <w:rPr>
          <w:lang w:val="en-US"/>
        </w:rPr>
        <w:t xml:space="preserve"> (hence</w:t>
      </w:r>
      <w:r w:rsidR="000D1BAC" w:rsidRPr="00683813">
        <w:rPr>
          <w:lang w:val="en-US"/>
        </w:rPr>
        <w:t>forth</w:t>
      </w:r>
      <w:r w:rsidR="00ED247F" w:rsidRPr="00683813">
        <w:rPr>
          <w:lang w:val="en-US"/>
        </w:rPr>
        <w:t xml:space="preserve"> ‘clearance factor’)</w:t>
      </w:r>
      <w:r w:rsidR="000679E0" w:rsidRPr="00683813">
        <w:rPr>
          <w:lang w:val="en-US"/>
        </w:rPr>
        <w:t xml:space="preserve"> for each of the materials</w:t>
      </w:r>
      <w:r w:rsidRPr="00683813">
        <w:rPr>
          <w:lang w:val="en-US"/>
        </w:rPr>
        <w:t xml:space="preserve">. </w:t>
      </w:r>
      <w:r w:rsidR="00ED247F" w:rsidRPr="00683813">
        <w:rPr>
          <w:lang w:val="en-US"/>
        </w:rPr>
        <w:t>Following the same legislation, material qualifies for generic clearance with a clearance factor below 1.</w:t>
      </w:r>
      <w:r w:rsidR="00343727" w:rsidRPr="00683813">
        <w:rPr>
          <w:lang w:val="en-US"/>
        </w:rPr>
        <w:t xml:space="preserve"> Based on the </w:t>
      </w:r>
      <w:r w:rsidR="00ED247F" w:rsidRPr="00683813">
        <w:rPr>
          <w:lang w:val="en-US"/>
        </w:rPr>
        <w:t>clearance factor</w:t>
      </w:r>
      <w:r w:rsidR="00343727" w:rsidRPr="00683813">
        <w:rPr>
          <w:lang w:val="en-US"/>
        </w:rPr>
        <w:t xml:space="preserve">, the material of each cyclotron was </w:t>
      </w:r>
      <w:r w:rsidR="002F6193" w:rsidRPr="00683813">
        <w:rPr>
          <w:lang w:val="en-US"/>
        </w:rPr>
        <w:t>grouped into three classes: class I, where the clearance factor is below 1, class II, where the clearance factor is above 1 but below 100, and class III, where the clearance factor is above 100.</w:t>
      </w:r>
      <w:r w:rsidR="001537F9" w:rsidRPr="00683813">
        <w:rPr>
          <w:lang w:val="en-US"/>
        </w:rPr>
        <w:t xml:space="preserve"> Class II materials were assumed to</w:t>
      </w:r>
      <w:r w:rsidR="008D65E8" w:rsidRPr="00683813">
        <w:rPr>
          <w:lang w:val="en-US"/>
        </w:rPr>
        <w:t xml:space="preserve"> potentially</w:t>
      </w:r>
      <w:r w:rsidR="001537F9" w:rsidRPr="00683813">
        <w:rPr>
          <w:lang w:val="en-US"/>
        </w:rPr>
        <w:t xml:space="preserve"> qualify for </w:t>
      </w:r>
      <w:r w:rsidR="000E01FC">
        <w:rPr>
          <w:lang w:val="en-US"/>
        </w:rPr>
        <w:t>conditional clearance</w:t>
      </w:r>
      <w:bookmarkEnd w:id="0"/>
      <w:r w:rsidR="001537F9" w:rsidRPr="00683813">
        <w:rPr>
          <w:lang w:val="en-US"/>
        </w:rPr>
        <w:t xml:space="preserve">. </w:t>
      </w:r>
    </w:p>
    <w:p w14:paraId="73E6966B" w14:textId="2F2A30A0" w:rsidR="00AE6924" w:rsidRPr="00683813" w:rsidRDefault="00AE6924" w:rsidP="00AE6924">
      <w:pPr>
        <w:pStyle w:val="BodyText"/>
        <w:rPr>
          <w:lang w:val="en-US"/>
        </w:rPr>
      </w:pPr>
      <w:r w:rsidRPr="00683813">
        <w:rPr>
          <w:lang w:val="en-US"/>
        </w:rPr>
        <w:t xml:space="preserve">The material classification was used to </w:t>
      </w:r>
      <w:r w:rsidR="00695F9C" w:rsidRPr="00683813">
        <w:rPr>
          <w:lang w:val="en-US"/>
        </w:rPr>
        <w:t xml:space="preserve">identify </w:t>
      </w:r>
      <w:r w:rsidR="001747E1" w:rsidRPr="00683813">
        <w:rPr>
          <w:lang w:val="en-US"/>
        </w:rPr>
        <w:t xml:space="preserve">whether the activated mass </w:t>
      </w:r>
      <w:r w:rsidRPr="00683813">
        <w:rPr>
          <w:lang w:val="en-US"/>
        </w:rPr>
        <w:t xml:space="preserve">could qualify for </w:t>
      </w:r>
      <w:r w:rsidR="000E01FC">
        <w:rPr>
          <w:lang w:val="en-US"/>
        </w:rPr>
        <w:t>conditional clearance</w:t>
      </w:r>
      <w:r w:rsidRPr="00683813">
        <w:rPr>
          <w:lang w:val="en-US"/>
        </w:rPr>
        <w:t>, thus being ‘saved’ from the generic radioactive waste disposal routes</w:t>
      </w:r>
      <w:r w:rsidR="00BF51D3" w:rsidRPr="00683813">
        <w:rPr>
          <w:lang w:val="en-US"/>
        </w:rPr>
        <w:t>. This was done for a single cyclotron in every category as defined in the paper, as well as for the full cyclotron inventory of the Netherlands</w:t>
      </w:r>
      <w:r w:rsidR="00BF51D3" w:rsidRPr="00683813">
        <w:rPr>
          <w:rStyle w:val="FootnoteReference"/>
          <w:lang w:val="en-US"/>
        </w:rPr>
        <w:footnoteReference w:id="4"/>
      </w:r>
      <w:r w:rsidRPr="00683813">
        <w:rPr>
          <w:lang w:val="en-US"/>
        </w:rPr>
        <w:t xml:space="preserve">. </w:t>
      </w:r>
    </w:p>
    <w:p w14:paraId="0F033135" w14:textId="55C0522E" w:rsidR="00EE0041" w:rsidRPr="00683813" w:rsidRDefault="00056930" w:rsidP="0026525A">
      <w:pPr>
        <w:pStyle w:val="Heading2"/>
        <w:numPr>
          <w:ilvl w:val="1"/>
          <w:numId w:val="10"/>
        </w:numPr>
        <w:rPr>
          <w:lang w:val="en-US"/>
        </w:rPr>
      </w:pPr>
      <w:r w:rsidRPr="00683813">
        <w:rPr>
          <w:lang w:val="en-US"/>
        </w:rPr>
        <w:t>RESULTS</w:t>
      </w:r>
    </w:p>
    <w:p w14:paraId="4ECFD0F6" w14:textId="37F1C4A5" w:rsidR="00C9064C" w:rsidRDefault="000258C2" w:rsidP="000636F8">
      <w:pPr>
        <w:pStyle w:val="BodyText"/>
        <w:rPr>
          <w:lang w:val="en-US"/>
        </w:rPr>
      </w:pPr>
      <w:r w:rsidRPr="00683813">
        <w:rPr>
          <w:lang w:val="en-US"/>
        </w:rPr>
        <w:t xml:space="preserve">Three cyclotron categories were defined: cyclotrons in category A are those with a maximum proton energy of less than 18 MeV (though usually </w:t>
      </w:r>
      <w:r w:rsidR="007A4149" w:rsidRPr="00683813">
        <w:rPr>
          <w:lang w:val="en-US"/>
        </w:rPr>
        <w:t>in the range of 11-14 MeV)</w:t>
      </w:r>
      <w:r w:rsidRPr="00683813">
        <w:rPr>
          <w:lang w:val="en-US"/>
        </w:rPr>
        <w:t xml:space="preserve"> that are equipped with self-shielding on the machine. </w:t>
      </w:r>
      <w:r w:rsidR="001D6AB4" w:rsidRPr="00683813">
        <w:rPr>
          <w:lang w:val="en-US"/>
        </w:rPr>
        <w:t xml:space="preserve">Cyclotrons in category A are used for production of </w:t>
      </w:r>
      <w:r w:rsidR="001D6AB4" w:rsidRPr="00683813">
        <w:rPr>
          <w:vertAlign w:val="superscript"/>
          <w:lang w:val="en-US"/>
        </w:rPr>
        <w:t>18</w:t>
      </w:r>
      <w:r w:rsidR="001D6AB4" w:rsidRPr="00683813">
        <w:rPr>
          <w:lang w:val="en-US"/>
        </w:rPr>
        <w:t xml:space="preserve">F, but they are also used for </w:t>
      </w:r>
      <w:r w:rsidR="001D6AB4" w:rsidRPr="00683813">
        <w:rPr>
          <w:vertAlign w:val="superscript"/>
          <w:lang w:val="en-US"/>
        </w:rPr>
        <w:t>11</w:t>
      </w:r>
      <w:r w:rsidR="001D6AB4" w:rsidRPr="00683813">
        <w:rPr>
          <w:lang w:val="en-US"/>
        </w:rPr>
        <w:t xml:space="preserve">C, </w:t>
      </w:r>
      <w:r w:rsidR="001D6AB4" w:rsidRPr="00683813">
        <w:rPr>
          <w:vertAlign w:val="superscript"/>
          <w:lang w:val="en-US"/>
        </w:rPr>
        <w:t>13</w:t>
      </w:r>
      <w:r w:rsidR="001D6AB4" w:rsidRPr="00683813">
        <w:rPr>
          <w:lang w:val="en-US"/>
        </w:rPr>
        <w:t xml:space="preserve">N, and </w:t>
      </w:r>
      <w:r w:rsidR="001D6AB4" w:rsidRPr="00683813">
        <w:rPr>
          <w:vertAlign w:val="superscript"/>
          <w:lang w:val="en-US"/>
        </w:rPr>
        <w:t>15</w:t>
      </w:r>
      <w:r w:rsidR="001D6AB4" w:rsidRPr="00683813">
        <w:rPr>
          <w:lang w:val="en-US"/>
        </w:rPr>
        <w:t xml:space="preserve">O. </w:t>
      </w:r>
      <w:r w:rsidRPr="00683813">
        <w:rPr>
          <w:lang w:val="en-US"/>
        </w:rPr>
        <w:t xml:space="preserve">Three cyclotrons in category A were found to be present in the Netherlands. Category B was defined as containing cyclotrons with a maximum </w:t>
      </w:r>
      <w:r w:rsidR="007A4149" w:rsidRPr="00683813">
        <w:rPr>
          <w:lang w:val="en-US"/>
        </w:rPr>
        <w:t>proton energy of 18 MeV that have no self-shielding on the machine.</w:t>
      </w:r>
      <w:r w:rsidR="00D27B84" w:rsidRPr="00683813">
        <w:rPr>
          <w:lang w:val="en-US"/>
        </w:rPr>
        <w:t xml:space="preserve"> These are the most popular cyclotrons for production of </w:t>
      </w:r>
      <w:r w:rsidR="0086396A" w:rsidRPr="00683813">
        <w:rPr>
          <w:vertAlign w:val="superscript"/>
          <w:lang w:val="en-US"/>
        </w:rPr>
        <w:t>18</w:t>
      </w:r>
      <w:r w:rsidR="00D27B84" w:rsidRPr="00683813">
        <w:rPr>
          <w:lang w:val="en-US"/>
        </w:rPr>
        <w:t>F, counting six cyclotrons in the Netherlands.</w:t>
      </w:r>
      <w:r w:rsidR="007A4149" w:rsidRPr="00683813">
        <w:rPr>
          <w:lang w:val="en-US"/>
        </w:rPr>
        <w:t xml:space="preserve"> Category C was defined as containing cyclotron with a maximum proton energy of 30 MeV. </w:t>
      </w:r>
      <w:r w:rsidR="0086396A" w:rsidRPr="00683813">
        <w:rPr>
          <w:lang w:val="en-US"/>
        </w:rPr>
        <w:t xml:space="preserve">Cyclotrons in category C are generally used to produce predominantly </w:t>
      </w:r>
      <w:r w:rsidR="0086396A" w:rsidRPr="00683813">
        <w:rPr>
          <w:vertAlign w:val="superscript"/>
          <w:lang w:val="en-US"/>
        </w:rPr>
        <w:t>123</w:t>
      </w:r>
      <w:r w:rsidR="0086396A" w:rsidRPr="00683813">
        <w:rPr>
          <w:lang w:val="en-US"/>
        </w:rPr>
        <w:t xml:space="preserve">I. </w:t>
      </w:r>
      <w:r w:rsidR="007A4149" w:rsidRPr="00683813">
        <w:rPr>
          <w:lang w:val="en-US"/>
        </w:rPr>
        <w:t xml:space="preserve">These cyclotrons are equipped with separate bunkers for the irradiation targets. </w:t>
      </w:r>
      <w:r w:rsidR="008B1839" w:rsidRPr="00683813">
        <w:rPr>
          <w:lang w:val="en-US"/>
        </w:rPr>
        <w:t xml:space="preserve">Category C was further divided into two types: older models (from before 1990) are generally larger than newer models: both the </w:t>
      </w:r>
      <w:r w:rsidR="00187867" w:rsidRPr="00683813">
        <w:rPr>
          <w:lang w:val="en-US"/>
        </w:rPr>
        <w:t xml:space="preserve">mass of the </w:t>
      </w:r>
      <w:r w:rsidR="008B1839" w:rsidRPr="00683813">
        <w:rPr>
          <w:lang w:val="en-US"/>
        </w:rPr>
        <w:t xml:space="preserve">cyclotron machine itself as well as the mass of </w:t>
      </w:r>
      <w:r w:rsidR="00A80173">
        <w:rPr>
          <w:lang w:val="en-US"/>
        </w:rPr>
        <w:t xml:space="preserve">the material constituting the </w:t>
      </w:r>
      <w:r w:rsidR="008B1839" w:rsidRPr="00683813">
        <w:rPr>
          <w:lang w:val="en-US"/>
        </w:rPr>
        <w:t>cyclotron and target bunkers are substantially higher</w:t>
      </w:r>
      <w:r w:rsidR="00187867" w:rsidRPr="00683813">
        <w:rPr>
          <w:lang w:val="en-US"/>
        </w:rPr>
        <w:t xml:space="preserve">. </w:t>
      </w:r>
      <w:r w:rsidR="00C9064C" w:rsidRPr="00683813">
        <w:rPr>
          <w:lang w:val="en-US"/>
        </w:rPr>
        <w:t xml:space="preserve">Typical on-target beam currents for the three cyclotron categories are shown in Figure 1. </w:t>
      </w:r>
    </w:p>
    <w:p w14:paraId="55933022" w14:textId="77777777" w:rsidR="009A3E20" w:rsidRPr="00683813" w:rsidRDefault="009A3E20" w:rsidP="000636F8">
      <w:pPr>
        <w:pStyle w:val="BodyText"/>
        <w:rPr>
          <w:lang w:val="en-US"/>
        </w:rPr>
      </w:pPr>
    </w:p>
    <w:p w14:paraId="15903D78" w14:textId="7AE6011C" w:rsidR="00C9064C" w:rsidRPr="00683813" w:rsidRDefault="009A3E20" w:rsidP="00DD1BA9">
      <w:pPr>
        <w:pStyle w:val="BodyText"/>
        <w:jc w:val="center"/>
        <w:rPr>
          <w:lang w:val="en-US"/>
        </w:rPr>
      </w:pPr>
      <w:r>
        <w:rPr>
          <w:noProof/>
          <w:sz w:val="16"/>
          <w:szCs w:val="16"/>
          <w:lang w:val="en-US"/>
        </w:rPr>
        <w:lastRenderedPageBreak/>
        <w:drawing>
          <wp:inline distT="0" distB="0" distL="0" distR="0" wp14:anchorId="64C597FD" wp14:editId="517E39F9">
            <wp:extent cx="3600000" cy="3600000"/>
            <wp:effectExtent l="0" t="0" r="635" b="635"/>
            <wp:docPr id="5" name="Picture 5"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lines and numb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14:paraId="5992DEBD" w14:textId="27E8FE95" w:rsidR="00C9064C" w:rsidRPr="00683813" w:rsidRDefault="00C9064C" w:rsidP="00663946">
      <w:pPr>
        <w:pStyle w:val="Caption"/>
        <w:rPr>
          <w:i/>
          <w:iCs/>
          <w:sz w:val="20"/>
        </w:rPr>
      </w:pPr>
      <w:r w:rsidRPr="00683813">
        <w:rPr>
          <w:i/>
        </w:rPr>
        <w:t>FIG. 1. Typical beam current on target for</w:t>
      </w:r>
      <w:r w:rsidR="00E014DF">
        <w:rPr>
          <w:i/>
        </w:rPr>
        <w:t xml:space="preserve"> three categories of </w:t>
      </w:r>
      <w:r w:rsidRPr="00683813">
        <w:rPr>
          <w:i/>
        </w:rPr>
        <w:t xml:space="preserve"> isotope production cyclotrons. The beam current is the</w:t>
      </w:r>
      <w:r w:rsidR="00E42BC1" w:rsidRPr="00683813">
        <w:rPr>
          <w:i/>
        </w:rPr>
        <w:t xml:space="preserve"> cyclotron-specific</w:t>
      </w:r>
      <w:r w:rsidR="00A5163E">
        <w:rPr>
          <w:i/>
        </w:rPr>
        <w:t>,</w:t>
      </w:r>
      <w:r w:rsidRPr="00683813">
        <w:rPr>
          <w:i/>
        </w:rPr>
        <w:t xml:space="preserve"> typically used instantaneous beam current, shown only for what is assumed to be the dominant production reaction: the production of </w:t>
      </w:r>
      <w:r w:rsidRPr="00683813">
        <w:rPr>
          <w:i/>
          <w:iCs/>
          <w:vertAlign w:val="superscript"/>
        </w:rPr>
        <w:t>18</w:t>
      </w:r>
      <w:r w:rsidRPr="00683813">
        <w:rPr>
          <w:i/>
          <w:iCs/>
        </w:rPr>
        <w:t>F</w:t>
      </w:r>
      <w:r w:rsidRPr="00683813">
        <w:t xml:space="preserve"> </w:t>
      </w:r>
      <w:r w:rsidRPr="00683813">
        <w:rPr>
          <w:i/>
          <w:iCs/>
        </w:rPr>
        <w:t xml:space="preserve">for cyclotron categories </w:t>
      </w:r>
      <w:r w:rsidR="00575BDD" w:rsidRPr="00683813">
        <w:rPr>
          <w:i/>
          <w:iCs/>
        </w:rPr>
        <w:t>A</w:t>
      </w:r>
      <w:r w:rsidRPr="00683813">
        <w:rPr>
          <w:i/>
          <w:iCs/>
        </w:rPr>
        <w:t xml:space="preserve"> and </w:t>
      </w:r>
      <w:r w:rsidR="00575BDD" w:rsidRPr="00683813">
        <w:rPr>
          <w:i/>
          <w:iCs/>
        </w:rPr>
        <w:t>B</w:t>
      </w:r>
      <w:r w:rsidRPr="00683813">
        <w:rPr>
          <w:i/>
          <w:iCs/>
        </w:rPr>
        <w:t xml:space="preserve">, and the production of </w:t>
      </w:r>
      <w:r w:rsidRPr="00683813">
        <w:rPr>
          <w:i/>
          <w:iCs/>
          <w:vertAlign w:val="superscript"/>
        </w:rPr>
        <w:t>123</w:t>
      </w:r>
      <w:r w:rsidRPr="00683813">
        <w:rPr>
          <w:i/>
          <w:iCs/>
        </w:rPr>
        <w:t>I</w:t>
      </w:r>
      <w:r w:rsidR="005F4DDF" w:rsidRPr="00683813">
        <w:rPr>
          <w:i/>
          <w:iCs/>
        </w:rPr>
        <w:t xml:space="preserve"> for category C</w:t>
      </w:r>
      <w:r w:rsidRPr="00683813">
        <w:rPr>
          <w:i/>
          <w:iCs/>
        </w:rPr>
        <w:t>.</w:t>
      </w:r>
    </w:p>
    <w:p w14:paraId="5F56930C" w14:textId="77777777" w:rsidR="00C9064C" w:rsidRPr="00683813" w:rsidRDefault="00C9064C" w:rsidP="000636F8">
      <w:pPr>
        <w:pStyle w:val="BodyText"/>
        <w:rPr>
          <w:lang w:val="en-US"/>
        </w:rPr>
      </w:pPr>
    </w:p>
    <w:p w14:paraId="67611C41" w14:textId="5B395914" w:rsidR="000636F8" w:rsidRPr="00683813" w:rsidRDefault="00187867" w:rsidP="000636F8">
      <w:pPr>
        <w:pStyle w:val="BodyText"/>
        <w:rPr>
          <w:lang w:val="en-US"/>
        </w:rPr>
      </w:pPr>
      <w:r w:rsidRPr="00683813">
        <w:rPr>
          <w:lang w:val="en-US"/>
        </w:rPr>
        <w:t xml:space="preserve">Estimated activated mass for all cyclotron categories are given in </w:t>
      </w:r>
      <w:r w:rsidR="00073A46" w:rsidRPr="00683813">
        <w:rPr>
          <w:lang w:val="en-US"/>
        </w:rPr>
        <w:t>T</w:t>
      </w:r>
      <w:r w:rsidRPr="00683813">
        <w:rPr>
          <w:lang w:val="en-US"/>
        </w:rPr>
        <w:t xml:space="preserve">able 1. </w:t>
      </w:r>
      <w:r w:rsidR="00A9437E">
        <w:rPr>
          <w:lang w:val="en-US"/>
        </w:rPr>
        <w:t>Three</w:t>
      </w:r>
      <w:r w:rsidR="00F6236F" w:rsidRPr="00683813">
        <w:rPr>
          <w:lang w:val="en-US"/>
        </w:rPr>
        <w:t xml:space="preserve"> </w:t>
      </w:r>
      <w:r w:rsidRPr="00683813">
        <w:rPr>
          <w:lang w:val="en-US"/>
        </w:rPr>
        <w:t xml:space="preserve">category C </w:t>
      </w:r>
      <w:r w:rsidR="00F6236F" w:rsidRPr="00683813">
        <w:rPr>
          <w:lang w:val="en-US"/>
        </w:rPr>
        <w:t xml:space="preserve">cyclotrons </w:t>
      </w:r>
      <w:r w:rsidRPr="00683813">
        <w:rPr>
          <w:lang w:val="en-US"/>
        </w:rPr>
        <w:t xml:space="preserve">are </w:t>
      </w:r>
      <w:r w:rsidR="00F6236F" w:rsidRPr="00683813">
        <w:rPr>
          <w:lang w:val="en-US"/>
        </w:rPr>
        <w:t xml:space="preserve">in operation in the Netherlands, </w:t>
      </w:r>
      <w:r w:rsidRPr="00683813">
        <w:rPr>
          <w:lang w:val="en-US"/>
        </w:rPr>
        <w:t>and there are</w:t>
      </w:r>
      <w:r w:rsidR="00F6236F" w:rsidRPr="00683813">
        <w:rPr>
          <w:lang w:val="en-US"/>
        </w:rPr>
        <w:t xml:space="preserve"> two that have been inactive for many years. </w:t>
      </w:r>
    </w:p>
    <w:p w14:paraId="7613A629" w14:textId="77777777" w:rsidR="00D951FE" w:rsidRPr="00683813" w:rsidRDefault="00D951FE" w:rsidP="000636F8">
      <w:pPr>
        <w:pStyle w:val="BodyText"/>
        <w:rPr>
          <w:lang w:val="en-US"/>
        </w:rPr>
      </w:pPr>
    </w:p>
    <w:p w14:paraId="4883606D" w14:textId="0A0ED9A8" w:rsidR="00D951FE" w:rsidRPr="00683813" w:rsidRDefault="00D951FE" w:rsidP="00D951FE">
      <w:pPr>
        <w:pStyle w:val="BodyText"/>
        <w:ind w:firstLine="0"/>
        <w:rPr>
          <w:lang w:val="en-US"/>
        </w:rPr>
      </w:pPr>
      <w:r w:rsidRPr="00683813">
        <w:rPr>
          <w:lang w:val="en-US"/>
        </w:rPr>
        <w:t>TABLE 1.</w:t>
      </w:r>
      <w:r w:rsidRPr="00683813">
        <w:rPr>
          <w:lang w:val="en-US"/>
        </w:rPr>
        <w:tab/>
        <w:t>ACTIVATED MASS</w:t>
      </w:r>
      <w:r w:rsidR="00A9437E">
        <w:rPr>
          <w:lang w:val="en-US"/>
        </w:rPr>
        <w:t xml:space="preserve"> PER CYCLOTRON</w:t>
      </w:r>
      <w:r w:rsidRPr="00683813">
        <w:rPr>
          <w:lang w:val="en-US"/>
        </w:rPr>
        <w:t xml:space="preserve"> FOR THREE CYCLOTRON CATEGORIES</w:t>
      </w:r>
    </w:p>
    <w:p w14:paraId="731708D7" w14:textId="77777777" w:rsidR="00D951FE" w:rsidRPr="00683813" w:rsidRDefault="00D951FE" w:rsidP="00D951FE">
      <w:pPr>
        <w:pStyle w:val="BodyText"/>
        <w:rPr>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1381"/>
        <w:gridCol w:w="2019"/>
        <w:gridCol w:w="1619"/>
        <w:gridCol w:w="2086"/>
      </w:tblGrid>
      <w:tr w:rsidR="002F1CA8" w:rsidRPr="00683813" w14:paraId="18A0C473" w14:textId="70ED3981" w:rsidTr="00D951FE">
        <w:trPr>
          <w:jc w:val="center"/>
        </w:trPr>
        <w:tc>
          <w:tcPr>
            <w:tcW w:w="0" w:type="auto"/>
            <w:tcBorders>
              <w:top w:val="single" w:sz="4" w:space="0" w:color="auto"/>
              <w:bottom w:val="single" w:sz="4" w:space="0" w:color="auto"/>
            </w:tcBorders>
          </w:tcPr>
          <w:p w14:paraId="55BB18BD" w14:textId="0C530023" w:rsidR="00D951FE" w:rsidRPr="00683813" w:rsidRDefault="00D951FE" w:rsidP="00860554">
            <w:pPr>
              <w:pStyle w:val="BodyText"/>
              <w:ind w:firstLine="0"/>
              <w:rPr>
                <w:lang w:val="en-US"/>
              </w:rPr>
            </w:pPr>
            <w:r w:rsidRPr="00683813">
              <w:rPr>
                <w:lang w:val="en-US"/>
              </w:rPr>
              <w:t>Cyclotron category</w:t>
            </w:r>
          </w:p>
        </w:tc>
        <w:tc>
          <w:tcPr>
            <w:tcW w:w="0" w:type="auto"/>
            <w:tcBorders>
              <w:top w:val="single" w:sz="4" w:space="0" w:color="auto"/>
              <w:bottom w:val="single" w:sz="4" w:space="0" w:color="auto"/>
            </w:tcBorders>
          </w:tcPr>
          <w:p w14:paraId="05B0F596" w14:textId="77B7BB0C" w:rsidR="00D951FE" w:rsidRPr="00683813" w:rsidRDefault="00D951FE" w:rsidP="00860554">
            <w:pPr>
              <w:pStyle w:val="BodyText"/>
              <w:ind w:firstLine="0"/>
              <w:jc w:val="center"/>
              <w:rPr>
                <w:lang w:val="en-US"/>
              </w:rPr>
            </w:pPr>
            <w:r w:rsidRPr="00683813">
              <w:rPr>
                <w:lang w:val="en-US"/>
              </w:rPr>
              <w:t>Metal (10</w:t>
            </w:r>
            <w:r w:rsidRPr="00683813">
              <w:rPr>
                <w:vertAlign w:val="superscript"/>
                <w:lang w:val="en-US"/>
              </w:rPr>
              <w:t>3</w:t>
            </w:r>
            <w:r w:rsidRPr="00683813">
              <w:rPr>
                <w:lang w:val="en-US"/>
              </w:rPr>
              <w:t xml:space="preserve"> kg)</w:t>
            </w:r>
          </w:p>
        </w:tc>
        <w:tc>
          <w:tcPr>
            <w:tcW w:w="0" w:type="auto"/>
            <w:tcBorders>
              <w:top w:val="single" w:sz="4" w:space="0" w:color="auto"/>
              <w:bottom w:val="single" w:sz="4" w:space="0" w:color="auto"/>
            </w:tcBorders>
          </w:tcPr>
          <w:p w14:paraId="3B1A81FF" w14:textId="2BE09179" w:rsidR="00D951FE" w:rsidRPr="00683813" w:rsidRDefault="00D951FE" w:rsidP="00860554">
            <w:pPr>
              <w:pStyle w:val="BodyText"/>
              <w:ind w:firstLine="0"/>
              <w:jc w:val="center"/>
              <w:rPr>
                <w:lang w:val="en-US"/>
              </w:rPr>
            </w:pPr>
            <w:r w:rsidRPr="00683813">
              <w:rPr>
                <w:lang w:val="en-US"/>
              </w:rPr>
              <w:t>Self-shielding (10</w:t>
            </w:r>
            <w:r w:rsidRPr="00683813">
              <w:rPr>
                <w:vertAlign w:val="superscript"/>
                <w:lang w:val="en-US"/>
              </w:rPr>
              <w:t xml:space="preserve">3 </w:t>
            </w:r>
            <w:r w:rsidRPr="00683813">
              <w:rPr>
                <w:lang w:val="en-US"/>
              </w:rPr>
              <w:t>kg)</w:t>
            </w:r>
          </w:p>
        </w:tc>
        <w:tc>
          <w:tcPr>
            <w:tcW w:w="0" w:type="auto"/>
            <w:tcBorders>
              <w:top w:val="single" w:sz="4" w:space="0" w:color="auto"/>
              <w:bottom w:val="single" w:sz="4" w:space="0" w:color="auto"/>
            </w:tcBorders>
          </w:tcPr>
          <w:p w14:paraId="70CA36AF" w14:textId="769B78AC" w:rsidR="00D951FE" w:rsidRPr="00683813" w:rsidRDefault="00D951FE" w:rsidP="00860554">
            <w:pPr>
              <w:pStyle w:val="BodyText"/>
              <w:ind w:firstLine="0"/>
              <w:jc w:val="center"/>
              <w:rPr>
                <w:lang w:val="en-US"/>
              </w:rPr>
            </w:pPr>
            <w:r w:rsidRPr="00683813">
              <w:rPr>
                <w:lang w:val="en-US"/>
              </w:rPr>
              <w:t>Concrete (10</w:t>
            </w:r>
            <w:r w:rsidRPr="00683813">
              <w:rPr>
                <w:vertAlign w:val="superscript"/>
                <w:lang w:val="en-US"/>
              </w:rPr>
              <w:t xml:space="preserve">3 </w:t>
            </w:r>
            <w:r w:rsidRPr="00683813">
              <w:rPr>
                <w:lang w:val="en-US"/>
              </w:rPr>
              <w:t>kg)</w:t>
            </w:r>
          </w:p>
        </w:tc>
        <w:tc>
          <w:tcPr>
            <w:tcW w:w="0" w:type="auto"/>
            <w:tcBorders>
              <w:top w:val="single" w:sz="4" w:space="0" w:color="auto"/>
              <w:bottom w:val="single" w:sz="4" w:space="0" w:color="auto"/>
            </w:tcBorders>
          </w:tcPr>
          <w:p w14:paraId="57C400A0" w14:textId="355A5F12" w:rsidR="00D951FE" w:rsidRPr="00683813" w:rsidRDefault="00D951FE" w:rsidP="00860554">
            <w:pPr>
              <w:pStyle w:val="BodyText"/>
              <w:ind w:firstLine="0"/>
              <w:jc w:val="center"/>
              <w:rPr>
                <w:lang w:val="en-US"/>
              </w:rPr>
            </w:pPr>
            <w:r w:rsidRPr="00683813">
              <w:rPr>
                <w:lang w:val="en-US"/>
              </w:rPr>
              <w:t>Reinforcement (</w:t>
            </w:r>
            <w:r w:rsidR="002F1CA8" w:rsidRPr="00683813">
              <w:rPr>
                <w:lang w:val="en-US"/>
              </w:rPr>
              <w:t>10</w:t>
            </w:r>
            <w:r w:rsidR="002F1CA8" w:rsidRPr="00683813">
              <w:rPr>
                <w:vertAlign w:val="superscript"/>
                <w:lang w:val="en-US"/>
              </w:rPr>
              <w:t xml:space="preserve">3 </w:t>
            </w:r>
            <w:r w:rsidRPr="00683813">
              <w:rPr>
                <w:lang w:val="en-US"/>
              </w:rPr>
              <w:t>kg)</w:t>
            </w:r>
          </w:p>
        </w:tc>
      </w:tr>
      <w:tr w:rsidR="002F1CA8" w:rsidRPr="00683813" w14:paraId="4C08CC2A" w14:textId="1558D038" w:rsidTr="00D951FE">
        <w:trPr>
          <w:jc w:val="center"/>
        </w:trPr>
        <w:tc>
          <w:tcPr>
            <w:tcW w:w="0" w:type="auto"/>
            <w:tcBorders>
              <w:top w:val="single" w:sz="4" w:space="0" w:color="auto"/>
            </w:tcBorders>
          </w:tcPr>
          <w:p w14:paraId="6A9D2067" w14:textId="39BE422D" w:rsidR="00D951FE" w:rsidRPr="00683813" w:rsidRDefault="00D951FE" w:rsidP="00860554">
            <w:pPr>
              <w:pStyle w:val="BodyText"/>
              <w:ind w:firstLine="0"/>
              <w:rPr>
                <w:lang w:val="en-US"/>
              </w:rPr>
            </w:pPr>
            <w:r w:rsidRPr="00683813">
              <w:rPr>
                <w:lang w:val="en-US"/>
              </w:rPr>
              <w:t>A</w:t>
            </w:r>
          </w:p>
        </w:tc>
        <w:tc>
          <w:tcPr>
            <w:tcW w:w="0" w:type="auto"/>
            <w:tcBorders>
              <w:top w:val="single" w:sz="4" w:space="0" w:color="auto"/>
            </w:tcBorders>
          </w:tcPr>
          <w:p w14:paraId="28F10B34" w14:textId="26C75FFA" w:rsidR="00D951FE" w:rsidRPr="00683813" w:rsidRDefault="002F1CA8" w:rsidP="00860554">
            <w:pPr>
              <w:pStyle w:val="BodyText"/>
              <w:ind w:firstLine="0"/>
              <w:jc w:val="center"/>
              <w:rPr>
                <w:lang w:val="en-US"/>
              </w:rPr>
            </w:pPr>
            <w:r w:rsidRPr="00683813">
              <w:rPr>
                <w:lang w:val="en-US"/>
              </w:rPr>
              <w:t>10 - 20</w:t>
            </w:r>
          </w:p>
        </w:tc>
        <w:tc>
          <w:tcPr>
            <w:tcW w:w="0" w:type="auto"/>
            <w:tcBorders>
              <w:top w:val="single" w:sz="4" w:space="0" w:color="auto"/>
            </w:tcBorders>
          </w:tcPr>
          <w:p w14:paraId="480FBEE4" w14:textId="0736A7BF" w:rsidR="00D951FE" w:rsidRPr="00683813" w:rsidRDefault="002F1CA8" w:rsidP="00860554">
            <w:pPr>
              <w:pStyle w:val="BodyText"/>
              <w:ind w:firstLine="0"/>
              <w:jc w:val="center"/>
              <w:rPr>
                <w:lang w:val="en-US"/>
              </w:rPr>
            </w:pPr>
            <w:r w:rsidRPr="00683813">
              <w:rPr>
                <w:lang w:val="en-US"/>
              </w:rPr>
              <w:t>0 - 50</w:t>
            </w:r>
          </w:p>
        </w:tc>
        <w:tc>
          <w:tcPr>
            <w:tcW w:w="0" w:type="auto"/>
            <w:tcBorders>
              <w:top w:val="single" w:sz="4" w:space="0" w:color="auto"/>
            </w:tcBorders>
          </w:tcPr>
          <w:p w14:paraId="42478010" w14:textId="7F390DF6" w:rsidR="00D951FE" w:rsidRPr="00683813" w:rsidRDefault="002F1CA8" w:rsidP="00860554">
            <w:pPr>
              <w:pStyle w:val="BodyText"/>
              <w:ind w:firstLine="0"/>
              <w:jc w:val="center"/>
              <w:rPr>
                <w:lang w:val="en-US"/>
              </w:rPr>
            </w:pPr>
            <w:r w:rsidRPr="00683813">
              <w:rPr>
                <w:lang w:val="en-US"/>
              </w:rPr>
              <w:t>160 - 310</w:t>
            </w:r>
          </w:p>
        </w:tc>
        <w:tc>
          <w:tcPr>
            <w:tcW w:w="0" w:type="auto"/>
            <w:tcBorders>
              <w:top w:val="single" w:sz="4" w:space="0" w:color="auto"/>
            </w:tcBorders>
          </w:tcPr>
          <w:p w14:paraId="0B38C2DF" w14:textId="4AD983C3" w:rsidR="00D951FE" w:rsidRPr="00683813" w:rsidRDefault="002F1CA8" w:rsidP="00860554">
            <w:pPr>
              <w:pStyle w:val="BodyText"/>
              <w:ind w:firstLine="0"/>
              <w:jc w:val="center"/>
              <w:rPr>
                <w:lang w:val="en-US"/>
              </w:rPr>
            </w:pPr>
            <w:r w:rsidRPr="00683813">
              <w:rPr>
                <w:lang w:val="en-US"/>
              </w:rPr>
              <w:t>0</w:t>
            </w:r>
          </w:p>
        </w:tc>
      </w:tr>
      <w:tr w:rsidR="002F1CA8" w:rsidRPr="00683813" w14:paraId="7BE175A8" w14:textId="1B98A647" w:rsidTr="00D951FE">
        <w:trPr>
          <w:jc w:val="center"/>
        </w:trPr>
        <w:tc>
          <w:tcPr>
            <w:tcW w:w="0" w:type="auto"/>
          </w:tcPr>
          <w:p w14:paraId="088D45BF" w14:textId="54AADDC1" w:rsidR="00D951FE" w:rsidRPr="00683813" w:rsidRDefault="00D951FE" w:rsidP="00860554">
            <w:pPr>
              <w:pStyle w:val="BodyText"/>
              <w:ind w:firstLine="0"/>
              <w:rPr>
                <w:lang w:val="en-US"/>
              </w:rPr>
            </w:pPr>
            <w:r w:rsidRPr="00683813">
              <w:rPr>
                <w:lang w:val="en-US"/>
              </w:rPr>
              <w:t>B</w:t>
            </w:r>
          </w:p>
        </w:tc>
        <w:tc>
          <w:tcPr>
            <w:tcW w:w="0" w:type="auto"/>
          </w:tcPr>
          <w:p w14:paraId="2EB965BD" w14:textId="29EB013D" w:rsidR="00D951FE" w:rsidRPr="00683813" w:rsidRDefault="002F1CA8" w:rsidP="00860554">
            <w:pPr>
              <w:pStyle w:val="BodyText"/>
              <w:ind w:firstLine="0"/>
              <w:jc w:val="center"/>
              <w:rPr>
                <w:lang w:val="en-US"/>
              </w:rPr>
            </w:pPr>
            <w:r w:rsidRPr="00683813">
              <w:rPr>
                <w:lang w:val="en-US"/>
              </w:rPr>
              <w:t>20</w:t>
            </w:r>
          </w:p>
        </w:tc>
        <w:tc>
          <w:tcPr>
            <w:tcW w:w="0" w:type="auto"/>
          </w:tcPr>
          <w:p w14:paraId="6AB77354" w14:textId="379B45CC" w:rsidR="00D951FE" w:rsidRPr="00683813" w:rsidRDefault="002F1CA8" w:rsidP="00860554">
            <w:pPr>
              <w:pStyle w:val="BodyText"/>
              <w:ind w:firstLine="0"/>
              <w:jc w:val="center"/>
              <w:rPr>
                <w:lang w:val="en-US"/>
              </w:rPr>
            </w:pPr>
            <w:r w:rsidRPr="00683813">
              <w:rPr>
                <w:lang w:val="en-US"/>
              </w:rPr>
              <w:t>0</w:t>
            </w:r>
          </w:p>
        </w:tc>
        <w:tc>
          <w:tcPr>
            <w:tcW w:w="0" w:type="auto"/>
          </w:tcPr>
          <w:p w14:paraId="1980C3BA" w14:textId="26F15938" w:rsidR="00D951FE" w:rsidRPr="00683813" w:rsidRDefault="002F1CA8" w:rsidP="00860554">
            <w:pPr>
              <w:pStyle w:val="BodyText"/>
              <w:ind w:firstLine="0"/>
              <w:jc w:val="center"/>
              <w:rPr>
                <w:lang w:val="en-US"/>
              </w:rPr>
            </w:pPr>
            <w:r w:rsidRPr="00683813">
              <w:rPr>
                <w:lang w:val="en-US"/>
              </w:rPr>
              <w:t>110</w:t>
            </w:r>
          </w:p>
        </w:tc>
        <w:tc>
          <w:tcPr>
            <w:tcW w:w="0" w:type="auto"/>
          </w:tcPr>
          <w:p w14:paraId="4A2FAD49" w14:textId="13F88446" w:rsidR="00D951FE" w:rsidRPr="00683813" w:rsidRDefault="002F1CA8" w:rsidP="00860554">
            <w:pPr>
              <w:pStyle w:val="BodyText"/>
              <w:ind w:firstLine="0"/>
              <w:jc w:val="center"/>
              <w:rPr>
                <w:lang w:val="en-US"/>
              </w:rPr>
            </w:pPr>
            <w:r w:rsidRPr="00683813">
              <w:rPr>
                <w:lang w:val="en-US"/>
              </w:rPr>
              <w:t>3</w:t>
            </w:r>
          </w:p>
        </w:tc>
      </w:tr>
      <w:tr w:rsidR="002F1CA8" w:rsidRPr="00683813" w14:paraId="4E2F8694" w14:textId="2217ABE7" w:rsidTr="00D951FE">
        <w:trPr>
          <w:jc w:val="center"/>
        </w:trPr>
        <w:tc>
          <w:tcPr>
            <w:tcW w:w="0" w:type="auto"/>
          </w:tcPr>
          <w:p w14:paraId="136BABFD" w14:textId="42720525" w:rsidR="00D951FE" w:rsidRPr="00683813" w:rsidRDefault="00D951FE" w:rsidP="00860554">
            <w:pPr>
              <w:pStyle w:val="BodyText"/>
              <w:ind w:firstLine="0"/>
              <w:rPr>
                <w:lang w:val="en-US"/>
              </w:rPr>
            </w:pPr>
            <w:r w:rsidRPr="00683813">
              <w:rPr>
                <w:lang w:val="en-US"/>
              </w:rPr>
              <w:t xml:space="preserve">C – old </w:t>
            </w:r>
          </w:p>
        </w:tc>
        <w:tc>
          <w:tcPr>
            <w:tcW w:w="0" w:type="auto"/>
          </w:tcPr>
          <w:p w14:paraId="24B1C96D" w14:textId="78105590" w:rsidR="00D951FE" w:rsidRPr="00683813" w:rsidRDefault="002F1CA8" w:rsidP="00860554">
            <w:pPr>
              <w:pStyle w:val="BodyText"/>
              <w:ind w:firstLine="0"/>
              <w:jc w:val="center"/>
              <w:rPr>
                <w:lang w:val="en-US"/>
              </w:rPr>
            </w:pPr>
            <w:r w:rsidRPr="00683813">
              <w:rPr>
                <w:lang w:val="en-US"/>
              </w:rPr>
              <w:t>100</w:t>
            </w:r>
          </w:p>
        </w:tc>
        <w:tc>
          <w:tcPr>
            <w:tcW w:w="0" w:type="auto"/>
          </w:tcPr>
          <w:p w14:paraId="45BF57FE" w14:textId="054B15E5" w:rsidR="00D951FE" w:rsidRPr="00683813" w:rsidRDefault="002F1CA8" w:rsidP="00860554">
            <w:pPr>
              <w:pStyle w:val="BodyText"/>
              <w:ind w:firstLine="0"/>
              <w:jc w:val="center"/>
              <w:rPr>
                <w:lang w:val="en-US"/>
              </w:rPr>
            </w:pPr>
            <w:r w:rsidRPr="00683813">
              <w:rPr>
                <w:lang w:val="en-US"/>
              </w:rPr>
              <w:t>0</w:t>
            </w:r>
          </w:p>
        </w:tc>
        <w:tc>
          <w:tcPr>
            <w:tcW w:w="0" w:type="auto"/>
          </w:tcPr>
          <w:p w14:paraId="53891D22" w14:textId="121A753A" w:rsidR="00D951FE" w:rsidRPr="00683813" w:rsidRDefault="002F1CA8" w:rsidP="00860554">
            <w:pPr>
              <w:pStyle w:val="BodyText"/>
              <w:ind w:firstLine="0"/>
              <w:jc w:val="center"/>
              <w:rPr>
                <w:lang w:val="en-US"/>
              </w:rPr>
            </w:pPr>
            <w:r w:rsidRPr="00683813">
              <w:rPr>
                <w:lang w:val="en-US"/>
              </w:rPr>
              <w:t>1400</w:t>
            </w:r>
          </w:p>
        </w:tc>
        <w:tc>
          <w:tcPr>
            <w:tcW w:w="0" w:type="auto"/>
          </w:tcPr>
          <w:p w14:paraId="012A835B" w14:textId="0AFE7F8A" w:rsidR="00D951FE" w:rsidRPr="00683813" w:rsidRDefault="002F1CA8" w:rsidP="00860554">
            <w:pPr>
              <w:pStyle w:val="BodyText"/>
              <w:ind w:firstLine="0"/>
              <w:jc w:val="center"/>
              <w:rPr>
                <w:lang w:val="en-US"/>
              </w:rPr>
            </w:pPr>
            <w:r w:rsidRPr="00683813">
              <w:rPr>
                <w:lang w:val="en-US"/>
              </w:rPr>
              <w:t>35</w:t>
            </w:r>
          </w:p>
        </w:tc>
      </w:tr>
      <w:tr w:rsidR="00D951FE" w:rsidRPr="00683813" w14:paraId="2111BE4F" w14:textId="77777777" w:rsidTr="00D951FE">
        <w:trPr>
          <w:jc w:val="center"/>
        </w:trPr>
        <w:tc>
          <w:tcPr>
            <w:tcW w:w="0" w:type="auto"/>
          </w:tcPr>
          <w:p w14:paraId="327714D9" w14:textId="19BAED66" w:rsidR="00D951FE" w:rsidRPr="00683813" w:rsidRDefault="00D951FE" w:rsidP="00860554">
            <w:pPr>
              <w:pStyle w:val="BodyText"/>
              <w:ind w:firstLine="0"/>
              <w:rPr>
                <w:lang w:val="en-US"/>
              </w:rPr>
            </w:pPr>
            <w:r w:rsidRPr="00683813">
              <w:rPr>
                <w:lang w:val="en-US"/>
              </w:rPr>
              <w:t xml:space="preserve">C – modern </w:t>
            </w:r>
          </w:p>
        </w:tc>
        <w:tc>
          <w:tcPr>
            <w:tcW w:w="0" w:type="auto"/>
          </w:tcPr>
          <w:p w14:paraId="1D67988F" w14:textId="534B2804" w:rsidR="00D951FE" w:rsidRPr="00683813" w:rsidRDefault="002F1CA8" w:rsidP="00860554">
            <w:pPr>
              <w:pStyle w:val="BodyText"/>
              <w:ind w:firstLine="0"/>
              <w:jc w:val="center"/>
              <w:rPr>
                <w:lang w:val="en-US"/>
              </w:rPr>
            </w:pPr>
            <w:r w:rsidRPr="00683813">
              <w:rPr>
                <w:lang w:val="en-US"/>
              </w:rPr>
              <w:t>50</w:t>
            </w:r>
          </w:p>
        </w:tc>
        <w:tc>
          <w:tcPr>
            <w:tcW w:w="0" w:type="auto"/>
          </w:tcPr>
          <w:p w14:paraId="2A54639E" w14:textId="2C93B002" w:rsidR="00D951FE" w:rsidRPr="00683813" w:rsidRDefault="002F1CA8" w:rsidP="00860554">
            <w:pPr>
              <w:pStyle w:val="BodyText"/>
              <w:ind w:firstLine="0"/>
              <w:jc w:val="center"/>
              <w:rPr>
                <w:lang w:val="en-US"/>
              </w:rPr>
            </w:pPr>
            <w:r w:rsidRPr="00683813">
              <w:rPr>
                <w:lang w:val="en-US"/>
              </w:rPr>
              <w:t>0</w:t>
            </w:r>
          </w:p>
        </w:tc>
        <w:tc>
          <w:tcPr>
            <w:tcW w:w="0" w:type="auto"/>
          </w:tcPr>
          <w:p w14:paraId="027E6AAF" w14:textId="411FC0D2" w:rsidR="00D951FE" w:rsidRPr="00683813" w:rsidRDefault="002F1CA8" w:rsidP="00860554">
            <w:pPr>
              <w:pStyle w:val="BodyText"/>
              <w:ind w:firstLine="0"/>
              <w:jc w:val="center"/>
              <w:rPr>
                <w:lang w:val="en-US"/>
              </w:rPr>
            </w:pPr>
            <w:r w:rsidRPr="00683813">
              <w:rPr>
                <w:lang w:val="en-US"/>
              </w:rPr>
              <w:t>600</w:t>
            </w:r>
          </w:p>
        </w:tc>
        <w:tc>
          <w:tcPr>
            <w:tcW w:w="0" w:type="auto"/>
          </w:tcPr>
          <w:p w14:paraId="46CF7D96" w14:textId="2FD4F6A4" w:rsidR="00D951FE" w:rsidRPr="00683813" w:rsidRDefault="002F1CA8" w:rsidP="00860554">
            <w:pPr>
              <w:pStyle w:val="BodyText"/>
              <w:ind w:firstLine="0"/>
              <w:jc w:val="center"/>
              <w:rPr>
                <w:lang w:val="en-US"/>
              </w:rPr>
            </w:pPr>
            <w:r w:rsidRPr="00683813">
              <w:rPr>
                <w:lang w:val="en-US"/>
              </w:rPr>
              <w:t>15</w:t>
            </w:r>
          </w:p>
        </w:tc>
      </w:tr>
    </w:tbl>
    <w:p w14:paraId="7FBB1E39" w14:textId="77777777" w:rsidR="00D951FE" w:rsidRPr="00683813" w:rsidRDefault="00D951FE" w:rsidP="000636F8">
      <w:pPr>
        <w:pStyle w:val="BodyText"/>
        <w:rPr>
          <w:lang w:val="en-US"/>
        </w:rPr>
      </w:pPr>
    </w:p>
    <w:p w14:paraId="094DF617" w14:textId="7CFC766A" w:rsidR="008E5AFD" w:rsidRPr="00683813" w:rsidRDefault="008E5AFD" w:rsidP="000636F8">
      <w:pPr>
        <w:pStyle w:val="BodyText"/>
        <w:rPr>
          <w:lang w:val="en-US"/>
        </w:rPr>
      </w:pPr>
      <w:r w:rsidRPr="00683813">
        <w:rPr>
          <w:lang w:val="en-US"/>
        </w:rPr>
        <w:t>Relevant radionuclides</w:t>
      </w:r>
      <w:r w:rsidR="000C78BC" w:rsidRPr="00683813">
        <w:rPr>
          <w:lang w:val="en-US"/>
        </w:rPr>
        <w:t xml:space="preserve"> were identified per type of waste material. In metals belonging to the cyclotron machine,</w:t>
      </w:r>
      <w:r w:rsidR="00BC4670" w:rsidRPr="00683813">
        <w:rPr>
          <w:lang w:val="en-US"/>
        </w:rPr>
        <w:t xml:space="preserve"> </w:t>
      </w:r>
      <w:r w:rsidR="00BC4670" w:rsidRPr="00683813">
        <w:rPr>
          <w:vertAlign w:val="superscript"/>
          <w:lang w:val="en-US"/>
        </w:rPr>
        <w:t>54</w:t>
      </w:r>
      <w:r w:rsidR="00BC4670" w:rsidRPr="00683813">
        <w:rPr>
          <w:lang w:val="en-US"/>
        </w:rPr>
        <w:t xml:space="preserve">Mn, </w:t>
      </w:r>
      <w:r w:rsidR="00BC4670" w:rsidRPr="00683813">
        <w:rPr>
          <w:vertAlign w:val="superscript"/>
          <w:lang w:val="en-US"/>
        </w:rPr>
        <w:t>60</w:t>
      </w:r>
      <w:r w:rsidR="00BC4670" w:rsidRPr="00683813">
        <w:rPr>
          <w:lang w:val="en-US"/>
        </w:rPr>
        <w:t xml:space="preserve">Co, and </w:t>
      </w:r>
      <w:r w:rsidR="00BC4670" w:rsidRPr="00683813">
        <w:rPr>
          <w:vertAlign w:val="superscript"/>
          <w:lang w:val="en-US"/>
        </w:rPr>
        <w:t>63</w:t>
      </w:r>
      <w:r w:rsidR="00BC4670" w:rsidRPr="00683813">
        <w:rPr>
          <w:lang w:val="en-US"/>
        </w:rPr>
        <w:t>Ni</w:t>
      </w:r>
      <w:r w:rsidR="000C78BC" w:rsidRPr="00683813">
        <w:rPr>
          <w:lang w:val="en-US"/>
        </w:rPr>
        <w:t xml:space="preserve"> were identified as relevant radionuclides. </w:t>
      </w:r>
      <w:r w:rsidR="00BC4670" w:rsidRPr="00683813">
        <w:rPr>
          <w:lang w:val="en-US"/>
        </w:rPr>
        <w:t xml:space="preserve">In bunker concrete, the relevant radionuclides were found to consist of </w:t>
      </w:r>
      <w:r w:rsidR="00BC4670" w:rsidRPr="00683813">
        <w:rPr>
          <w:vertAlign w:val="superscript"/>
          <w:lang w:val="en-US"/>
        </w:rPr>
        <w:t>54</w:t>
      </w:r>
      <w:r w:rsidR="00BC4670" w:rsidRPr="00683813">
        <w:rPr>
          <w:lang w:val="en-US"/>
        </w:rPr>
        <w:t xml:space="preserve">Mn, </w:t>
      </w:r>
      <w:r w:rsidR="00BC4670" w:rsidRPr="00683813">
        <w:rPr>
          <w:vertAlign w:val="superscript"/>
          <w:lang w:val="en-US"/>
        </w:rPr>
        <w:t>60</w:t>
      </w:r>
      <w:r w:rsidR="00BC4670" w:rsidRPr="00683813">
        <w:rPr>
          <w:lang w:val="en-US"/>
        </w:rPr>
        <w:t xml:space="preserve">Co, and </w:t>
      </w:r>
      <w:r w:rsidR="00BC4670" w:rsidRPr="00683813">
        <w:rPr>
          <w:vertAlign w:val="superscript"/>
          <w:lang w:val="en-US"/>
        </w:rPr>
        <w:t>134</w:t>
      </w:r>
      <w:r w:rsidR="00BC4670" w:rsidRPr="00683813">
        <w:rPr>
          <w:lang w:val="en-US"/>
        </w:rPr>
        <w:t xml:space="preserve">Cs, </w:t>
      </w:r>
      <w:r w:rsidR="00BC4670" w:rsidRPr="00683813">
        <w:rPr>
          <w:vertAlign w:val="superscript"/>
          <w:lang w:val="en-US"/>
        </w:rPr>
        <w:t>152</w:t>
      </w:r>
      <w:r w:rsidR="00BC4670" w:rsidRPr="00683813">
        <w:rPr>
          <w:lang w:val="en-US"/>
        </w:rPr>
        <w:t xml:space="preserve">Eu, and </w:t>
      </w:r>
      <w:r w:rsidR="00BC4670" w:rsidRPr="00683813">
        <w:rPr>
          <w:vertAlign w:val="superscript"/>
          <w:lang w:val="en-US"/>
        </w:rPr>
        <w:t>154</w:t>
      </w:r>
      <w:r w:rsidR="00BC4670" w:rsidRPr="00683813">
        <w:rPr>
          <w:lang w:val="en-US"/>
        </w:rPr>
        <w:t>Eu.</w:t>
      </w:r>
      <w:r w:rsidR="00A00076" w:rsidRPr="00683813">
        <w:rPr>
          <w:lang w:val="en-US"/>
        </w:rPr>
        <w:t xml:space="preserve"> Relevant radionuclides in reinforcement steel were </w:t>
      </w:r>
      <w:r w:rsidR="00A00076" w:rsidRPr="00683813">
        <w:rPr>
          <w:vertAlign w:val="superscript"/>
          <w:lang w:val="en-US"/>
        </w:rPr>
        <w:t>54</w:t>
      </w:r>
      <w:r w:rsidR="00A00076" w:rsidRPr="00683813">
        <w:rPr>
          <w:lang w:val="en-US"/>
        </w:rPr>
        <w:t xml:space="preserve">Mn and </w:t>
      </w:r>
      <w:r w:rsidR="00A00076" w:rsidRPr="00683813">
        <w:rPr>
          <w:vertAlign w:val="superscript"/>
          <w:lang w:val="en-US"/>
        </w:rPr>
        <w:t>60</w:t>
      </w:r>
      <w:r w:rsidR="00A00076" w:rsidRPr="00683813">
        <w:rPr>
          <w:lang w:val="en-US"/>
        </w:rPr>
        <w:t xml:space="preserve">Co. </w:t>
      </w:r>
      <w:r w:rsidR="001B797D" w:rsidRPr="00683813">
        <w:rPr>
          <w:lang w:val="en-US"/>
        </w:rPr>
        <w:t xml:space="preserve">The </w:t>
      </w:r>
      <w:r w:rsidR="00B208BB" w:rsidRPr="00683813">
        <w:rPr>
          <w:lang w:val="en-US"/>
        </w:rPr>
        <w:t xml:space="preserve">clearance levels – as obtained from the Dutch legislation - for the relevant radionuclides are shown in Table </w:t>
      </w:r>
      <w:r w:rsidR="00073A46" w:rsidRPr="00683813">
        <w:rPr>
          <w:lang w:val="en-US"/>
        </w:rPr>
        <w:t>2</w:t>
      </w:r>
      <w:r w:rsidR="00B208BB" w:rsidRPr="00683813">
        <w:rPr>
          <w:lang w:val="en-US"/>
        </w:rPr>
        <w:t>.</w:t>
      </w:r>
    </w:p>
    <w:p w14:paraId="60AB4422" w14:textId="77777777" w:rsidR="000C78BC" w:rsidRPr="00683813" w:rsidRDefault="000C78BC" w:rsidP="000636F8">
      <w:pPr>
        <w:pStyle w:val="BodyText"/>
        <w:rPr>
          <w:lang w:val="en-US"/>
        </w:rPr>
      </w:pPr>
    </w:p>
    <w:p w14:paraId="7BBAA7F1" w14:textId="3C0A3D7F" w:rsidR="00B208BB" w:rsidRPr="00683813" w:rsidRDefault="00B208BB" w:rsidP="00B208BB">
      <w:pPr>
        <w:pStyle w:val="BodyText"/>
        <w:ind w:firstLine="0"/>
        <w:rPr>
          <w:lang w:val="en-US"/>
        </w:rPr>
      </w:pPr>
      <w:r w:rsidRPr="00683813">
        <w:rPr>
          <w:lang w:val="en-US"/>
        </w:rPr>
        <w:t xml:space="preserve">TABLE </w:t>
      </w:r>
      <w:r w:rsidR="00187867" w:rsidRPr="00683813">
        <w:rPr>
          <w:lang w:val="en-US"/>
        </w:rPr>
        <w:t>2</w:t>
      </w:r>
      <w:r w:rsidRPr="00683813">
        <w:rPr>
          <w:lang w:val="en-US"/>
        </w:rPr>
        <w:t>.</w:t>
      </w:r>
      <w:r w:rsidRPr="00683813">
        <w:rPr>
          <w:lang w:val="en-US"/>
        </w:rPr>
        <w:tab/>
        <w:t>CLEARANCE LEVELS OF RELEVANT RADIONUCLIDES</w:t>
      </w:r>
    </w:p>
    <w:p w14:paraId="42C9CC80" w14:textId="77777777" w:rsidR="00B208BB" w:rsidRPr="00683813" w:rsidRDefault="00B208BB" w:rsidP="00B208BB">
      <w:pPr>
        <w:pStyle w:val="BodyText"/>
        <w:rPr>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2227"/>
        <w:gridCol w:w="2760"/>
      </w:tblGrid>
      <w:tr w:rsidR="00B208BB" w:rsidRPr="00683813" w14:paraId="362D3BEB" w14:textId="77777777" w:rsidTr="002B0414">
        <w:trPr>
          <w:jc w:val="center"/>
        </w:trPr>
        <w:tc>
          <w:tcPr>
            <w:tcW w:w="0" w:type="auto"/>
            <w:tcBorders>
              <w:top w:val="single" w:sz="4" w:space="0" w:color="auto"/>
              <w:bottom w:val="single" w:sz="4" w:space="0" w:color="auto"/>
            </w:tcBorders>
          </w:tcPr>
          <w:p w14:paraId="52B71F65" w14:textId="59E6AF89" w:rsidR="00B208BB" w:rsidRPr="00683813" w:rsidRDefault="00CC6A5A" w:rsidP="00860554">
            <w:pPr>
              <w:pStyle w:val="BodyText"/>
              <w:ind w:firstLine="0"/>
              <w:rPr>
                <w:lang w:val="en-US"/>
              </w:rPr>
            </w:pPr>
            <w:r w:rsidRPr="00683813">
              <w:rPr>
                <w:lang w:val="en-US"/>
              </w:rPr>
              <w:t>Radionuclide</w:t>
            </w:r>
          </w:p>
        </w:tc>
        <w:tc>
          <w:tcPr>
            <w:tcW w:w="0" w:type="auto"/>
            <w:tcBorders>
              <w:top w:val="single" w:sz="4" w:space="0" w:color="auto"/>
              <w:bottom w:val="single" w:sz="4" w:space="0" w:color="auto"/>
            </w:tcBorders>
          </w:tcPr>
          <w:p w14:paraId="563C37D0" w14:textId="1FA3FE82" w:rsidR="00B208BB" w:rsidRPr="00683813" w:rsidRDefault="00CC6A5A" w:rsidP="00860554">
            <w:pPr>
              <w:pStyle w:val="BodyText"/>
              <w:ind w:firstLine="0"/>
              <w:jc w:val="center"/>
              <w:rPr>
                <w:lang w:val="en-US"/>
              </w:rPr>
            </w:pPr>
            <w:r w:rsidRPr="00683813">
              <w:rPr>
                <w:lang w:val="en-US"/>
              </w:rPr>
              <w:t>Clearance level (</w:t>
            </w:r>
            <w:proofErr w:type="spellStart"/>
            <w:r w:rsidRPr="00683813">
              <w:rPr>
                <w:lang w:val="en-US"/>
              </w:rPr>
              <w:t>kBq</w:t>
            </w:r>
            <w:proofErr w:type="spellEnd"/>
            <w:r w:rsidRPr="00683813">
              <w:rPr>
                <w:lang w:val="en-US"/>
              </w:rPr>
              <w:t>/kg)</w:t>
            </w:r>
          </w:p>
        </w:tc>
        <w:tc>
          <w:tcPr>
            <w:tcW w:w="0" w:type="auto"/>
            <w:tcBorders>
              <w:top w:val="single" w:sz="4" w:space="0" w:color="auto"/>
              <w:bottom w:val="single" w:sz="4" w:space="0" w:color="auto"/>
            </w:tcBorders>
          </w:tcPr>
          <w:p w14:paraId="5F360366" w14:textId="5DCFA840" w:rsidR="00B208BB" w:rsidRPr="00683813" w:rsidRDefault="00CC6A5A" w:rsidP="00860554">
            <w:pPr>
              <w:pStyle w:val="BodyText"/>
              <w:ind w:firstLine="0"/>
              <w:jc w:val="center"/>
              <w:rPr>
                <w:lang w:val="en-US"/>
              </w:rPr>
            </w:pPr>
            <w:r w:rsidRPr="00683813">
              <w:rPr>
                <w:lang w:val="en-US"/>
              </w:rPr>
              <w:t>Present in materials</w:t>
            </w:r>
          </w:p>
        </w:tc>
      </w:tr>
      <w:tr w:rsidR="00B208BB" w:rsidRPr="00683813" w14:paraId="67A27AFC" w14:textId="77777777" w:rsidTr="002B0414">
        <w:trPr>
          <w:jc w:val="center"/>
        </w:trPr>
        <w:tc>
          <w:tcPr>
            <w:tcW w:w="0" w:type="auto"/>
            <w:tcBorders>
              <w:top w:val="single" w:sz="4" w:space="0" w:color="auto"/>
            </w:tcBorders>
          </w:tcPr>
          <w:p w14:paraId="00607460" w14:textId="10ACABFE" w:rsidR="00B208BB" w:rsidRPr="00683813" w:rsidRDefault="00CC6A5A" w:rsidP="00860554">
            <w:pPr>
              <w:pStyle w:val="BodyText"/>
              <w:ind w:firstLine="0"/>
              <w:rPr>
                <w:lang w:val="en-US"/>
              </w:rPr>
            </w:pPr>
            <w:r w:rsidRPr="00683813">
              <w:rPr>
                <w:vertAlign w:val="superscript"/>
                <w:lang w:val="en-US"/>
              </w:rPr>
              <w:t>54</w:t>
            </w:r>
            <w:r w:rsidRPr="00683813">
              <w:rPr>
                <w:lang w:val="en-US"/>
              </w:rPr>
              <w:t>Mn</w:t>
            </w:r>
          </w:p>
        </w:tc>
        <w:tc>
          <w:tcPr>
            <w:tcW w:w="0" w:type="auto"/>
            <w:tcBorders>
              <w:top w:val="single" w:sz="4" w:space="0" w:color="auto"/>
            </w:tcBorders>
          </w:tcPr>
          <w:p w14:paraId="0F5D3DBA" w14:textId="377B66D9" w:rsidR="00B208BB" w:rsidRPr="00683813" w:rsidRDefault="00CC6A5A" w:rsidP="00860554">
            <w:pPr>
              <w:pStyle w:val="BodyText"/>
              <w:ind w:firstLine="0"/>
              <w:jc w:val="center"/>
              <w:rPr>
                <w:lang w:val="en-US"/>
              </w:rPr>
            </w:pPr>
            <w:r w:rsidRPr="00683813">
              <w:rPr>
                <w:lang w:val="en-US"/>
              </w:rPr>
              <w:t xml:space="preserve">1.00 </w:t>
            </w:r>
            <w:r w:rsidRPr="00683813">
              <w:rPr>
                <w:lang w:val="en-US"/>
              </w:rPr>
              <w:sym w:font="Wingdings" w:char="F09E"/>
            </w:r>
            <w:r w:rsidRPr="00683813">
              <w:rPr>
                <w:lang w:val="en-US"/>
              </w:rPr>
              <w:t xml:space="preserve"> 10</w:t>
            </w:r>
            <w:r w:rsidRPr="00683813">
              <w:rPr>
                <w:vertAlign w:val="superscript"/>
                <w:lang w:val="en-US"/>
              </w:rPr>
              <w:t>-1</w:t>
            </w:r>
          </w:p>
        </w:tc>
        <w:tc>
          <w:tcPr>
            <w:tcW w:w="0" w:type="auto"/>
            <w:tcBorders>
              <w:top w:val="single" w:sz="4" w:space="0" w:color="auto"/>
            </w:tcBorders>
          </w:tcPr>
          <w:p w14:paraId="0715BA8E" w14:textId="06697145" w:rsidR="00B208BB" w:rsidRPr="00683813" w:rsidRDefault="002B0414" w:rsidP="00860554">
            <w:pPr>
              <w:pStyle w:val="BodyText"/>
              <w:ind w:firstLine="0"/>
              <w:jc w:val="center"/>
              <w:rPr>
                <w:lang w:val="en-US"/>
              </w:rPr>
            </w:pPr>
            <w:r w:rsidRPr="00683813">
              <w:rPr>
                <w:lang w:val="en-US"/>
              </w:rPr>
              <w:t>Metals, concrete, reinforcement</w:t>
            </w:r>
          </w:p>
        </w:tc>
      </w:tr>
      <w:tr w:rsidR="00B208BB" w:rsidRPr="00683813" w14:paraId="69498D76" w14:textId="77777777" w:rsidTr="002B0414">
        <w:trPr>
          <w:jc w:val="center"/>
        </w:trPr>
        <w:tc>
          <w:tcPr>
            <w:tcW w:w="0" w:type="auto"/>
          </w:tcPr>
          <w:p w14:paraId="5F54F7AF" w14:textId="2A52CDDE" w:rsidR="00B208BB" w:rsidRPr="00683813" w:rsidRDefault="00CC6A5A" w:rsidP="00860554">
            <w:pPr>
              <w:pStyle w:val="BodyText"/>
              <w:ind w:firstLine="0"/>
              <w:rPr>
                <w:lang w:val="en-US"/>
              </w:rPr>
            </w:pPr>
            <w:r w:rsidRPr="00683813">
              <w:rPr>
                <w:vertAlign w:val="superscript"/>
                <w:lang w:val="en-US"/>
              </w:rPr>
              <w:t>60</w:t>
            </w:r>
            <w:r w:rsidRPr="00683813">
              <w:rPr>
                <w:lang w:val="en-US"/>
              </w:rPr>
              <w:t>Co</w:t>
            </w:r>
          </w:p>
        </w:tc>
        <w:tc>
          <w:tcPr>
            <w:tcW w:w="0" w:type="auto"/>
          </w:tcPr>
          <w:p w14:paraId="59AED455" w14:textId="73798295" w:rsidR="00B208BB" w:rsidRPr="00683813" w:rsidRDefault="002B0414" w:rsidP="00860554">
            <w:pPr>
              <w:pStyle w:val="BodyText"/>
              <w:ind w:firstLine="0"/>
              <w:jc w:val="center"/>
              <w:rPr>
                <w:lang w:val="en-US"/>
              </w:rPr>
            </w:pPr>
            <w:r w:rsidRPr="00683813">
              <w:rPr>
                <w:lang w:val="en-US"/>
              </w:rPr>
              <w:t xml:space="preserve">1.00 </w:t>
            </w:r>
            <w:r w:rsidRPr="00683813">
              <w:rPr>
                <w:lang w:val="en-US"/>
              </w:rPr>
              <w:sym w:font="Wingdings" w:char="F09E"/>
            </w:r>
            <w:r w:rsidRPr="00683813">
              <w:rPr>
                <w:lang w:val="en-US"/>
              </w:rPr>
              <w:t xml:space="preserve"> 10</w:t>
            </w:r>
            <w:r w:rsidRPr="00683813">
              <w:rPr>
                <w:vertAlign w:val="superscript"/>
                <w:lang w:val="en-US"/>
              </w:rPr>
              <w:t>-1</w:t>
            </w:r>
          </w:p>
        </w:tc>
        <w:tc>
          <w:tcPr>
            <w:tcW w:w="0" w:type="auto"/>
          </w:tcPr>
          <w:p w14:paraId="23149FF7" w14:textId="58EE68ED" w:rsidR="00B208BB" w:rsidRPr="00683813" w:rsidRDefault="002B0414" w:rsidP="00860554">
            <w:pPr>
              <w:pStyle w:val="BodyText"/>
              <w:ind w:firstLine="0"/>
              <w:jc w:val="center"/>
              <w:rPr>
                <w:lang w:val="en-US"/>
              </w:rPr>
            </w:pPr>
            <w:r w:rsidRPr="00683813">
              <w:rPr>
                <w:lang w:val="en-US"/>
              </w:rPr>
              <w:t>Metals, concrete, reinforcement</w:t>
            </w:r>
          </w:p>
        </w:tc>
      </w:tr>
      <w:tr w:rsidR="00CC6A5A" w:rsidRPr="00683813" w14:paraId="6A073697" w14:textId="77777777" w:rsidTr="002B0414">
        <w:trPr>
          <w:jc w:val="center"/>
        </w:trPr>
        <w:tc>
          <w:tcPr>
            <w:tcW w:w="0" w:type="auto"/>
          </w:tcPr>
          <w:p w14:paraId="7D470DE5" w14:textId="728194FF" w:rsidR="00CC6A5A" w:rsidRPr="00683813" w:rsidRDefault="00CC6A5A" w:rsidP="00860554">
            <w:pPr>
              <w:pStyle w:val="BodyText"/>
              <w:ind w:firstLine="0"/>
              <w:rPr>
                <w:lang w:val="en-US"/>
              </w:rPr>
            </w:pPr>
            <w:r w:rsidRPr="00683813">
              <w:rPr>
                <w:vertAlign w:val="superscript"/>
                <w:lang w:val="en-US"/>
              </w:rPr>
              <w:t>63</w:t>
            </w:r>
            <w:r w:rsidRPr="00683813">
              <w:rPr>
                <w:lang w:val="en-US"/>
              </w:rPr>
              <w:t>Ni</w:t>
            </w:r>
          </w:p>
        </w:tc>
        <w:tc>
          <w:tcPr>
            <w:tcW w:w="0" w:type="auto"/>
          </w:tcPr>
          <w:p w14:paraId="29ED1436" w14:textId="00699DA0" w:rsidR="00CC6A5A" w:rsidRPr="00683813" w:rsidRDefault="002B0414" w:rsidP="00860554">
            <w:pPr>
              <w:pStyle w:val="BodyText"/>
              <w:ind w:firstLine="0"/>
              <w:jc w:val="center"/>
              <w:rPr>
                <w:lang w:val="en-US"/>
              </w:rPr>
            </w:pPr>
            <w:r w:rsidRPr="00683813">
              <w:rPr>
                <w:lang w:val="en-US"/>
              </w:rPr>
              <w:t xml:space="preserve">1.00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072D2593" w14:textId="749993AF" w:rsidR="00CC6A5A" w:rsidRPr="00683813" w:rsidRDefault="002B0414" w:rsidP="00860554">
            <w:pPr>
              <w:pStyle w:val="BodyText"/>
              <w:ind w:firstLine="0"/>
              <w:jc w:val="center"/>
              <w:rPr>
                <w:lang w:val="en-US"/>
              </w:rPr>
            </w:pPr>
            <w:r w:rsidRPr="00683813">
              <w:rPr>
                <w:lang w:val="en-US"/>
              </w:rPr>
              <w:t>Metals</w:t>
            </w:r>
          </w:p>
        </w:tc>
      </w:tr>
      <w:tr w:rsidR="00CC6A5A" w:rsidRPr="00683813" w14:paraId="4CE2D949" w14:textId="77777777" w:rsidTr="002B0414">
        <w:trPr>
          <w:jc w:val="center"/>
        </w:trPr>
        <w:tc>
          <w:tcPr>
            <w:tcW w:w="0" w:type="auto"/>
          </w:tcPr>
          <w:p w14:paraId="11DFBD9A" w14:textId="1FE7CB81" w:rsidR="00CC6A5A" w:rsidRPr="00683813" w:rsidRDefault="00CC6A5A" w:rsidP="00860554">
            <w:pPr>
              <w:pStyle w:val="BodyText"/>
              <w:ind w:firstLine="0"/>
              <w:rPr>
                <w:lang w:val="en-US"/>
              </w:rPr>
            </w:pPr>
            <w:r w:rsidRPr="00683813">
              <w:rPr>
                <w:vertAlign w:val="superscript"/>
                <w:lang w:val="en-US"/>
              </w:rPr>
              <w:t>134</w:t>
            </w:r>
            <w:r w:rsidRPr="00683813">
              <w:rPr>
                <w:lang w:val="en-US"/>
              </w:rPr>
              <w:t>Cs</w:t>
            </w:r>
          </w:p>
        </w:tc>
        <w:tc>
          <w:tcPr>
            <w:tcW w:w="0" w:type="auto"/>
          </w:tcPr>
          <w:p w14:paraId="4F79778A" w14:textId="1793815F" w:rsidR="00CC6A5A" w:rsidRPr="00683813" w:rsidRDefault="002B0414" w:rsidP="00860554">
            <w:pPr>
              <w:pStyle w:val="BodyText"/>
              <w:ind w:firstLine="0"/>
              <w:jc w:val="center"/>
              <w:rPr>
                <w:lang w:val="en-US"/>
              </w:rPr>
            </w:pPr>
            <w:r w:rsidRPr="00683813">
              <w:rPr>
                <w:lang w:val="en-US"/>
              </w:rPr>
              <w:t xml:space="preserve">1.00 </w:t>
            </w:r>
            <w:r w:rsidRPr="00683813">
              <w:rPr>
                <w:lang w:val="en-US"/>
              </w:rPr>
              <w:sym w:font="Wingdings" w:char="F09E"/>
            </w:r>
            <w:r w:rsidRPr="00683813">
              <w:rPr>
                <w:lang w:val="en-US"/>
              </w:rPr>
              <w:t xml:space="preserve"> 10</w:t>
            </w:r>
            <w:r w:rsidRPr="00683813">
              <w:rPr>
                <w:vertAlign w:val="superscript"/>
                <w:lang w:val="en-US"/>
              </w:rPr>
              <w:t>-1</w:t>
            </w:r>
          </w:p>
        </w:tc>
        <w:tc>
          <w:tcPr>
            <w:tcW w:w="0" w:type="auto"/>
          </w:tcPr>
          <w:p w14:paraId="01EBC4A0" w14:textId="321E4756" w:rsidR="00CC6A5A" w:rsidRPr="00683813" w:rsidRDefault="002B0414" w:rsidP="00860554">
            <w:pPr>
              <w:pStyle w:val="BodyText"/>
              <w:ind w:firstLine="0"/>
              <w:jc w:val="center"/>
              <w:rPr>
                <w:lang w:val="en-US"/>
              </w:rPr>
            </w:pPr>
            <w:r w:rsidRPr="00683813">
              <w:rPr>
                <w:lang w:val="en-US"/>
              </w:rPr>
              <w:t>Concrete</w:t>
            </w:r>
          </w:p>
        </w:tc>
      </w:tr>
      <w:tr w:rsidR="00CC6A5A" w:rsidRPr="00683813" w14:paraId="3906D06D" w14:textId="77777777" w:rsidTr="002B0414">
        <w:trPr>
          <w:jc w:val="center"/>
        </w:trPr>
        <w:tc>
          <w:tcPr>
            <w:tcW w:w="0" w:type="auto"/>
          </w:tcPr>
          <w:p w14:paraId="0F7F82DC" w14:textId="26D0225F" w:rsidR="00CC6A5A" w:rsidRPr="00683813" w:rsidRDefault="00CC6A5A" w:rsidP="00860554">
            <w:pPr>
              <w:pStyle w:val="BodyText"/>
              <w:ind w:firstLine="0"/>
              <w:rPr>
                <w:lang w:val="en-US"/>
              </w:rPr>
            </w:pPr>
            <w:r w:rsidRPr="00683813">
              <w:rPr>
                <w:vertAlign w:val="superscript"/>
                <w:lang w:val="en-US"/>
              </w:rPr>
              <w:t>152</w:t>
            </w:r>
            <w:r w:rsidRPr="00683813">
              <w:rPr>
                <w:lang w:val="en-US"/>
              </w:rPr>
              <w:t>Eu</w:t>
            </w:r>
          </w:p>
        </w:tc>
        <w:tc>
          <w:tcPr>
            <w:tcW w:w="0" w:type="auto"/>
          </w:tcPr>
          <w:p w14:paraId="29CBDCDC" w14:textId="10D6DB14" w:rsidR="00CC6A5A" w:rsidRPr="00683813" w:rsidRDefault="002B0414" w:rsidP="00860554">
            <w:pPr>
              <w:pStyle w:val="BodyText"/>
              <w:ind w:firstLine="0"/>
              <w:jc w:val="center"/>
              <w:rPr>
                <w:lang w:val="en-US"/>
              </w:rPr>
            </w:pPr>
            <w:r w:rsidRPr="00683813">
              <w:rPr>
                <w:lang w:val="en-US"/>
              </w:rPr>
              <w:t xml:space="preserve">1.00 </w:t>
            </w:r>
            <w:r w:rsidRPr="00683813">
              <w:rPr>
                <w:lang w:val="en-US"/>
              </w:rPr>
              <w:sym w:font="Wingdings" w:char="F09E"/>
            </w:r>
            <w:r w:rsidRPr="00683813">
              <w:rPr>
                <w:lang w:val="en-US"/>
              </w:rPr>
              <w:t xml:space="preserve"> 10</w:t>
            </w:r>
            <w:r w:rsidRPr="00683813">
              <w:rPr>
                <w:vertAlign w:val="superscript"/>
                <w:lang w:val="en-US"/>
              </w:rPr>
              <w:t>-1</w:t>
            </w:r>
          </w:p>
        </w:tc>
        <w:tc>
          <w:tcPr>
            <w:tcW w:w="0" w:type="auto"/>
          </w:tcPr>
          <w:p w14:paraId="0CE49A79" w14:textId="042A2DCB" w:rsidR="00CC6A5A" w:rsidRPr="00683813" w:rsidRDefault="002B0414" w:rsidP="00860554">
            <w:pPr>
              <w:pStyle w:val="BodyText"/>
              <w:ind w:firstLine="0"/>
              <w:jc w:val="center"/>
              <w:rPr>
                <w:lang w:val="en-US"/>
              </w:rPr>
            </w:pPr>
            <w:r w:rsidRPr="00683813">
              <w:rPr>
                <w:lang w:val="en-US"/>
              </w:rPr>
              <w:t>Concrete</w:t>
            </w:r>
          </w:p>
        </w:tc>
      </w:tr>
      <w:tr w:rsidR="00CC6A5A" w:rsidRPr="00683813" w14:paraId="4E8F2F21" w14:textId="77777777" w:rsidTr="002B0414">
        <w:trPr>
          <w:jc w:val="center"/>
        </w:trPr>
        <w:tc>
          <w:tcPr>
            <w:tcW w:w="0" w:type="auto"/>
          </w:tcPr>
          <w:p w14:paraId="555CA6A6" w14:textId="763A854C" w:rsidR="00CC6A5A" w:rsidRPr="00683813" w:rsidRDefault="00CC6A5A" w:rsidP="00860554">
            <w:pPr>
              <w:pStyle w:val="BodyText"/>
              <w:ind w:firstLine="0"/>
              <w:rPr>
                <w:vertAlign w:val="superscript"/>
                <w:lang w:val="en-US"/>
              </w:rPr>
            </w:pPr>
            <w:r w:rsidRPr="00683813">
              <w:rPr>
                <w:vertAlign w:val="superscript"/>
                <w:lang w:val="en-US"/>
              </w:rPr>
              <w:t>154</w:t>
            </w:r>
            <w:r w:rsidRPr="00683813">
              <w:rPr>
                <w:lang w:val="en-US"/>
              </w:rPr>
              <w:t>Eu</w:t>
            </w:r>
          </w:p>
        </w:tc>
        <w:tc>
          <w:tcPr>
            <w:tcW w:w="0" w:type="auto"/>
          </w:tcPr>
          <w:p w14:paraId="5E720C1D" w14:textId="1D9F3F45" w:rsidR="00CC6A5A" w:rsidRPr="00683813" w:rsidRDefault="002B0414" w:rsidP="00860554">
            <w:pPr>
              <w:pStyle w:val="BodyText"/>
              <w:ind w:firstLine="0"/>
              <w:jc w:val="center"/>
              <w:rPr>
                <w:lang w:val="en-US"/>
              </w:rPr>
            </w:pPr>
            <w:r w:rsidRPr="00683813">
              <w:rPr>
                <w:lang w:val="en-US"/>
              </w:rPr>
              <w:t xml:space="preserve">1.00 </w:t>
            </w:r>
            <w:r w:rsidRPr="00683813">
              <w:rPr>
                <w:lang w:val="en-US"/>
              </w:rPr>
              <w:sym w:font="Wingdings" w:char="F09E"/>
            </w:r>
            <w:r w:rsidRPr="00683813">
              <w:rPr>
                <w:lang w:val="en-US"/>
              </w:rPr>
              <w:t xml:space="preserve"> 10</w:t>
            </w:r>
            <w:r w:rsidRPr="00683813">
              <w:rPr>
                <w:vertAlign w:val="superscript"/>
                <w:lang w:val="en-US"/>
              </w:rPr>
              <w:t>-1</w:t>
            </w:r>
          </w:p>
        </w:tc>
        <w:tc>
          <w:tcPr>
            <w:tcW w:w="0" w:type="auto"/>
          </w:tcPr>
          <w:p w14:paraId="58479E42" w14:textId="1F34E2EF" w:rsidR="00CC6A5A" w:rsidRPr="00683813" w:rsidRDefault="002B0414" w:rsidP="00860554">
            <w:pPr>
              <w:pStyle w:val="BodyText"/>
              <w:ind w:firstLine="0"/>
              <w:jc w:val="center"/>
              <w:rPr>
                <w:lang w:val="en-US"/>
              </w:rPr>
            </w:pPr>
            <w:r w:rsidRPr="00683813">
              <w:rPr>
                <w:lang w:val="en-US"/>
              </w:rPr>
              <w:t>Concrete</w:t>
            </w:r>
          </w:p>
        </w:tc>
      </w:tr>
    </w:tbl>
    <w:p w14:paraId="62A8FAC7" w14:textId="77777777" w:rsidR="002F1CA8" w:rsidRPr="00683813" w:rsidRDefault="002F1CA8" w:rsidP="00277A6E">
      <w:pPr>
        <w:pStyle w:val="BodyText"/>
        <w:ind w:firstLine="0"/>
        <w:rPr>
          <w:lang w:val="en-US"/>
        </w:rPr>
      </w:pPr>
    </w:p>
    <w:p w14:paraId="0E191BDA" w14:textId="394DF131" w:rsidR="002F1CA8" w:rsidRPr="003E02C6" w:rsidRDefault="00C83091" w:rsidP="00C9064C">
      <w:pPr>
        <w:pStyle w:val="BodyText"/>
        <w:rPr>
          <w:lang w:val="en-US"/>
        </w:rPr>
      </w:pPr>
      <w:r>
        <w:rPr>
          <w:lang w:val="en-US"/>
        </w:rPr>
        <w:lastRenderedPageBreak/>
        <w:t>Activity concentrations</w:t>
      </w:r>
      <w:r w:rsidR="001C2848" w:rsidRPr="00683813">
        <w:rPr>
          <w:lang w:val="en-US"/>
        </w:rPr>
        <w:t xml:space="preserve"> in metals are shown in Table 3</w:t>
      </w:r>
      <w:r w:rsidR="006249A9" w:rsidRPr="00683813">
        <w:rPr>
          <w:lang w:val="en-US"/>
        </w:rPr>
        <w:t>.</w:t>
      </w:r>
      <w:r w:rsidR="003E02C6">
        <w:rPr>
          <w:lang w:val="en-US"/>
        </w:rPr>
        <w:t xml:space="preserve"> In cases where the reference is followed by a </w:t>
      </w:r>
      <w:r w:rsidR="003E02C6">
        <w:rPr>
          <w:b/>
          <w:bCs/>
          <w:lang w:val="en-US"/>
        </w:rPr>
        <w:t>bold</w:t>
      </w:r>
      <w:r w:rsidR="003E02C6">
        <w:rPr>
          <w:lang w:val="en-US"/>
        </w:rPr>
        <w:t xml:space="preserve"> number, we refer to different cyclotrons that were reported on in the same reference. Not all references have reported </w:t>
      </w:r>
      <w:r>
        <w:rPr>
          <w:lang w:val="en-US"/>
        </w:rPr>
        <w:t>activity concentration</w:t>
      </w:r>
      <w:r w:rsidR="003E02C6">
        <w:rPr>
          <w:lang w:val="en-US"/>
        </w:rPr>
        <w:t xml:space="preserve"> values on all relevant radionuclides; in those cases, entries in the table were left blank.</w:t>
      </w:r>
    </w:p>
    <w:p w14:paraId="778E21E5" w14:textId="77777777" w:rsidR="002F1CA8" w:rsidRPr="00683813" w:rsidRDefault="002F1CA8" w:rsidP="00277A6E">
      <w:pPr>
        <w:pStyle w:val="BodyText"/>
        <w:ind w:firstLine="0"/>
        <w:rPr>
          <w:lang w:val="en-US"/>
        </w:rPr>
      </w:pPr>
    </w:p>
    <w:p w14:paraId="6093B356" w14:textId="7E2ABB6A" w:rsidR="00277A6E" w:rsidRPr="00683813" w:rsidRDefault="00277A6E" w:rsidP="00277A6E">
      <w:pPr>
        <w:pStyle w:val="BodyText"/>
        <w:ind w:firstLine="0"/>
        <w:rPr>
          <w:lang w:val="en-US"/>
        </w:rPr>
      </w:pPr>
      <w:r w:rsidRPr="00683813">
        <w:rPr>
          <w:lang w:val="en-US"/>
        </w:rPr>
        <w:t xml:space="preserve">TABLE </w:t>
      </w:r>
      <w:r w:rsidR="00187867" w:rsidRPr="00683813">
        <w:rPr>
          <w:lang w:val="en-US"/>
        </w:rPr>
        <w:t>3</w:t>
      </w:r>
      <w:r w:rsidRPr="00683813">
        <w:rPr>
          <w:lang w:val="en-US"/>
        </w:rPr>
        <w:t>.</w:t>
      </w:r>
      <w:r w:rsidRPr="00683813">
        <w:rPr>
          <w:lang w:val="en-US"/>
        </w:rPr>
        <w:tab/>
      </w:r>
      <w:r w:rsidR="00C83091">
        <w:rPr>
          <w:lang w:val="en-US"/>
        </w:rPr>
        <w:t>ACTIVITY CONCENTRATIONS</w:t>
      </w:r>
      <w:r w:rsidRPr="00683813">
        <w:rPr>
          <w:lang w:val="en-US"/>
        </w:rPr>
        <w:t xml:space="preserve"> IN METALS, 0 YEARS AFTER CYCLOTRON STOP</w:t>
      </w:r>
    </w:p>
    <w:p w14:paraId="1D53D64B" w14:textId="77777777" w:rsidR="00277A6E" w:rsidRPr="00683813" w:rsidRDefault="00277A6E" w:rsidP="00277A6E">
      <w:pPr>
        <w:pStyle w:val="BodyText"/>
        <w:rPr>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1027"/>
        <w:gridCol w:w="2046"/>
        <w:gridCol w:w="2002"/>
        <w:gridCol w:w="1968"/>
      </w:tblGrid>
      <w:tr w:rsidR="00660983" w:rsidRPr="00683813" w14:paraId="15684583" w14:textId="73EB8E82" w:rsidTr="00642589">
        <w:trPr>
          <w:jc w:val="center"/>
        </w:trPr>
        <w:tc>
          <w:tcPr>
            <w:tcW w:w="0" w:type="auto"/>
            <w:tcBorders>
              <w:top w:val="single" w:sz="4" w:space="0" w:color="auto"/>
              <w:bottom w:val="single" w:sz="4" w:space="0" w:color="auto"/>
            </w:tcBorders>
          </w:tcPr>
          <w:p w14:paraId="3450ABE0" w14:textId="3509BC6E" w:rsidR="00277A6E" w:rsidRPr="00683813" w:rsidRDefault="00277A6E" w:rsidP="00860554">
            <w:pPr>
              <w:pStyle w:val="BodyText"/>
              <w:ind w:firstLine="0"/>
              <w:rPr>
                <w:lang w:val="en-US"/>
              </w:rPr>
            </w:pPr>
            <w:r w:rsidRPr="00683813">
              <w:rPr>
                <w:lang w:val="en-US"/>
              </w:rPr>
              <w:t>Cyclotron category</w:t>
            </w:r>
          </w:p>
        </w:tc>
        <w:tc>
          <w:tcPr>
            <w:tcW w:w="0" w:type="auto"/>
            <w:tcBorders>
              <w:top w:val="single" w:sz="4" w:space="0" w:color="auto"/>
              <w:bottom w:val="single" w:sz="4" w:space="0" w:color="auto"/>
            </w:tcBorders>
          </w:tcPr>
          <w:p w14:paraId="15DE85CC" w14:textId="2C0E5F48" w:rsidR="00277A6E" w:rsidRPr="00683813" w:rsidRDefault="00277A6E" w:rsidP="00860554">
            <w:pPr>
              <w:pStyle w:val="BodyText"/>
              <w:ind w:firstLine="0"/>
              <w:jc w:val="center"/>
              <w:rPr>
                <w:lang w:val="en-US"/>
              </w:rPr>
            </w:pPr>
            <w:r w:rsidRPr="00683813">
              <w:rPr>
                <w:lang w:val="en-US"/>
              </w:rPr>
              <w:t>Reference</w:t>
            </w:r>
          </w:p>
        </w:tc>
        <w:tc>
          <w:tcPr>
            <w:tcW w:w="0" w:type="auto"/>
            <w:tcBorders>
              <w:top w:val="single" w:sz="4" w:space="0" w:color="auto"/>
              <w:bottom w:val="single" w:sz="4" w:space="0" w:color="auto"/>
            </w:tcBorders>
          </w:tcPr>
          <w:p w14:paraId="14BF9949" w14:textId="14749110" w:rsidR="00277A6E" w:rsidRPr="00683813" w:rsidRDefault="00642589" w:rsidP="00860554">
            <w:pPr>
              <w:pStyle w:val="BodyText"/>
              <w:ind w:firstLine="0"/>
              <w:jc w:val="center"/>
              <w:rPr>
                <w:lang w:val="en-US"/>
              </w:rPr>
            </w:pPr>
            <w:r w:rsidRPr="00683813">
              <w:rPr>
                <w:vertAlign w:val="superscript"/>
                <w:lang w:val="en-US"/>
              </w:rPr>
              <w:t>54</w:t>
            </w:r>
            <w:r w:rsidRPr="00683813">
              <w:rPr>
                <w:lang w:val="en-US"/>
              </w:rPr>
              <w:t>Mn activity (</w:t>
            </w:r>
            <w:proofErr w:type="spellStart"/>
            <w:r w:rsidRPr="00683813">
              <w:rPr>
                <w:lang w:val="en-US"/>
              </w:rPr>
              <w:t>kBq</w:t>
            </w:r>
            <w:proofErr w:type="spellEnd"/>
            <w:r w:rsidRPr="00683813">
              <w:rPr>
                <w:lang w:val="en-US"/>
              </w:rPr>
              <w:t>/kg)</w:t>
            </w:r>
          </w:p>
        </w:tc>
        <w:tc>
          <w:tcPr>
            <w:tcW w:w="0" w:type="auto"/>
            <w:tcBorders>
              <w:top w:val="single" w:sz="4" w:space="0" w:color="auto"/>
              <w:bottom w:val="single" w:sz="4" w:space="0" w:color="auto"/>
            </w:tcBorders>
          </w:tcPr>
          <w:p w14:paraId="363FD852" w14:textId="5FAA2F0E" w:rsidR="00277A6E" w:rsidRPr="00683813" w:rsidRDefault="00642589" w:rsidP="00860554">
            <w:pPr>
              <w:pStyle w:val="BodyText"/>
              <w:ind w:firstLine="0"/>
              <w:jc w:val="center"/>
              <w:rPr>
                <w:lang w:val="en-US"/>
              </w:rPr>
            </w:pPr>
            <w:r w:rsidRPr="00683813">
              <w:rPr>
                <w:vertAlign w:val="superscript"/>
                <w:lang w:val="en-US"/>
              </w:rPr>
              <w:t>60</w:t>
            </w:r>
            <w:r w:rsidRPr="00683813">
              <w:rPr>
                <w:lang w:val="en-US"/>
              </w:rPr>
              <w:t>Co activity (</w:t>
            </w:r>
            <w:proofErr w:type="spellStart"/>
            <w:r w:rsidRPr="00683813">
              <w:rPr>
                <w:lang w:val="en-US"/>
              </w:rPr>
              <w:t>kBq</w:t>
            </w:r>
            <w:proofErr w:type="spellEnd"/>
            <w:r w:rsidRPr="00683813">
              <w:rPr>
                <w:lang w:val="en-US"/>
              </w:rPr>
              <w:t>/kg)</w:t>
            </w:r>
          </w:p>
        </w:tc>
        <w:tc>
          <w:tcPr>
            <w:tcW w:w="0" w:type="auto"/>
            <w:tcBorders>
              <w:top w:val="single" w:sz="4" w:space="0" w:color="auto"/>
              <w:bottom w:val="single" w:sz="4" w:space="0" w:color="auto"/>
            </w:tcBorders>
          </w:tcPr>
          <w:p w14:paraId="263FA5A7" w14:textId="461507D4" w:rsidR="00277A6E" w:rsidRPr="00683813" w:rsidRDefault="00642589" w:rsidP="00860554">
            <w:pPr>
              <w:pStyle w:val="BodyText"/>
              <w:ind w:firstLine="0"/>
              <w:jc w:val="center"/>
              <w:rPr>
                <w:lang w:val="en-US"/>
              </w:rPr>
            </w:pPr>
            <w:r w:rsidRPr="00683813">
              <w:rPr>
                <w:vertAlign w:val="superscript"/>
                <w:lang w:val="en-US"/>
              </w:rPr>
              <w:t>63</w:t>
            </w:r>
            <w:r w:rsidRPr="00683813">
              <w:rPr>
                <w:lang w:val="en-US"/>
              </w:rPr>
              <w:t>Ni activity (</w:t>
            </w:r>
            <w:proofErr w:type="spellStart"/>
            <w:r w:rsidRPr="00683813">
              <w:rPr>
                <w:lang w:val="en-US"/>
              </w:rPr>
              <w:t>kBq</w:t>
            </w:r>
            <w:proofErr w:type="spellEnd"/>
            <w:r w:rsidRPr="00683813">
              <w:rPr>
                <w:lang w:val="en-US"/>
              </w:rPr>
              <w:t>/kg)</w:t>
            </w:r>
          </w:p>
        </w:tc>
      </w:tr>
      <w:tr w:rsidR="00660983" w:rsidRPr="00683813" w14:paraId="63A5EE80" w14:textId="21B8CB8A" w:rsidTr="00642589">
        <w:trPr>
          <w:jc w:val="center"/>
        </w:trPr>
        <w:tc>
          <w:tcPr>
            <w:tcW w:w="0" w:type="auto"/>
            <w:tcBorders>
              <w:top w:val="single" w:sz="4" w:space="0" w:color="auto"/>
            </w:tcBorders>
          </w:tcPr>
          <w:p w14:paraId="5C3F6AB6" w14:textId="5FA0B2AF" w:rsidR="00277A6E" w:rsidRPr="00683813" w:rsidRDefault="00642589" w:rsidP="00860554">
            <w:pPr>
              <w:pStyle w:val="BodyText"/>
              <w:ind w:firstLine="0"/>
              <w:rPr>
                <w:lang w:val="en-US"/>
              </w:rPr>
            </w:pPr>
            <w:r w:rsidRPr="00683813">
              <w:rPr>
                <w:lang w:val="en-US"/>
              </w:rPr>
              <w:t>A</w:t>
            </w:r>
          </w:p>
        </w:tc>
        <w:tc>
          <w:tcPr>
            <w:tcW w:w="0" w:type="auto"/>
            <w:tcBorders>
              <w:top w:val="single" w:sz="4" w:space="0" w:color="auto"/>
            </w:tcBorders>
          </w:tcPr>
          <w:p w14:paraId="07EDA3D5" w14:textId="4B8F1279" w:rsidR="00277A6E" w:rsidRPr="00683813" w:rsidRDefault="00660983" w:rsidP="00860554">
            <w:pPr>
              <w:pStyle w:val="BodyText"/>
              <w:ind w:firstLine="0"/>
              <w:jc w:val="center"/>
              <w:rPr>
                <w:lang w:val="en-US"/>
              </w:rPr>
            </w:pPr>
            <w:r w:rsidRPr="00683813">
              <w:rPr>
                <w:lang w:val="en-US"/>
              </w:rPr>
              <w:fldChar w:fldCharType="begin"/>
            </w:r>
            <w:r w:rsidR="00FD3682">
              <w:rPr>
                <w:lang w:val="en-US"/>
              </w:rPr>
              <w:instrText xml:space="preserve"> ADDIN EN.CITE &lt;EndNote&gt;&lt;Cite&gt;&lt;Author&gt;Calandrino&lt;/Author&gt;&lt;Year&gt;2006&lt;/Year&gt;&lt;RecNum&gt;10&lt;/RecNum&gt;&lt;DisplayText&gt;[14]&lt;/DisplayText&gt;&lt;record&gt;&lt;rec-number&gt;10&lt;/rec-number&gt;&lt;foreign-keys&gt;&lt;key app="EN" db-id="5saed0xvzv9sz3et5fqvz29i0ftadf2wd50r" timestamp="1663848056"&gt;10&lt;/key&gt;&lt;/foreign-keys&gt;&lt;ref-type name="Journal Article"&gt;17&lt;/ref-type&gt;&lt;contributors&gt;&lt;authors&gt;&lt;author&gt;Calandrino, R&lt;/author&gt;&lt;author&gt;Del Vecchio, A&lt;/author&gt;&lt;author&gt;Savi, A&lt;/author&gt;&lt;author&gt;Todde, S&lt;/author&gt;&lt;author&gt;Griffoni, V&lt;/author&gt;&lt;author&gt;Brambilla, S&lt;/author&gt;&lt;author&gt;Parisi, R&lt;/author&gt;&lt;author&gt;Simone, G&lt;/author&gt;&lt;author&gt;Fazio, F&lt;/author&gt;&lt;/authors&gt;&lt;/contributors&gt;&lt;titles&gt;&lt;title&gt;Decommissioning procedures for an 11 MeV self-shielded medical cyclotron after 16 years of working time&lt;/title&gt;&lt;secondary-title&gt;Health physics&lt;/secondary-title&gt;&lt;/titles&gt;&lt;periodical&gt;&lt;full-title&gt;Health physics&lt;/full-title&gt;&lt;/periodical&gt;&lt;pages&gt;588-596&lt;/pages&gt;&lt;volume&gt;90&lt;/volume&gt;&lt;number&gt;6&lt;/number&gt;&lt;dates&gt;&lt;year&gt;2006&lt;/year&gt;&lt;/dates&gt;&lt;isbn&gt;0017-9078&lt;/isbn&gt;&lt;urls&gt;&lt;/urls&gt;&lt;/record&gt;&lt;/Cite&gt;&lt;/EndNote&gt;</w:instrText>
            </w:r>
            <w:r w:rsidRPr="00683813">
              <w:rPr>
                <w:lang w:val="en-US"/>
              </w:rPr>
              <w:fldChar w:fldCharType="separate"/>
            </w:r>
            <w:r w:rsidR="00FD3682">
              <w:rPr>
                <w:noProof/>
                <w:lang w:val="en-US"/>
              </w:rPr>
              <w:t>[14]</w:t>
            </w:r>
            <w:r w:rsidRPr="00683813">
              <w:rPr>
                <w:lang w:val="en-US"/>
              </w:rPr>
              <w:fldChar w:fldCharType="end"/>
            </w:r>
          </w:p>
        </w:tc>
        <w:tc>
          <w:tcPr>
            <w:tcW w:w="0" w:type="auto"/>
            <w:tcBorders>
              <w:top w:val="single" w:sz="4" w:space="0" w:color="auto"/>
            </w:tcBorders>
          </w:tcPr>
          <w:p w14:paraId="42B2E271" w14:textId="04B3B2EE" w:rsidR="00277A6E" w:rsidRPr="00683813" w:rsidRDefault="00277A6E" w:rsidP="00860554">
            <w:pPr>
              <w:pStyle w:val="BodyText"/>
              <w:ind w:firstLine="0"/>
              <w:jc w:val="center"/>
              <w:rPr>
                <w:lang w:val="en-US"/>
              </w:rPr>
            </w:pPr>
          </w:p>
        </w:tc>
        <w:tc>
          <w:tcPr>
            <w:tcW w:w="0" w:type="auto"/>
            <w:tcBorders>
              <w:top w:val="single" w:sz="4" w:space="0" w:color="auto"/>
            </w:tcBorders>
          </w:tcPr>
          <w:p w14:paraId="10AEFB9E" w14:textId="74CD5BE5" w:rsidR="00277A6E" w:rsidRPr="00683813" w:rsidRDefault="00642589" w:rsidP="00860554">
            <w:pPr>
              <w:pStyle w:val="BodyText"/>
              <w:ind w:firstLine="0"/>
              <w:jc w:val="center"/>
              <w:rPr>
                <w:lang w:val="en-US"/>
              </w:rPr>
            </w:pPr>
            <w:r w:rsidRPr="00683813">
              <w:rPr>
                <w:lang w:val="en-US"/>
              </w:rPr>
              <w:t>0</w:t>
            </w:r>
          </w:p>
        </w:tc>
        <w:tc>
          <w:tcPr>
            <w:tcW w:w="0" w:type="auto"/>
            <w:tcBorders>
              <w:top w:val="single" w:sz="4" w:space="0" w:color="auto"/>
            </w:tcBorders>
          </w:tcPr>
          <w:p w14:paraId="362BA290" w14:textId="054B4E1D" w:rsidR="00277A6E" w:rsidRPr="00683813" w:rsidRDefault="00642589" w:rsidP="00860554">
            <w:pPr>
              <w:pStyle w:val="BodyText"/>
              <w:ind w:firstLine="0"/>
              <w:jc w:val="center"/>
              <w:rPr>
                <w:lang w:val="en-US"/>
              </w:rPr>
            </w:pPr>
            <w:r w:rsidRPr="00683813">
              <w:rPr>
                <w:lang w:val="en-US"/>
              </w:rPr>
              <w:t>1</w:t>
            </w:r>
          </w:p>
        </w:tc>
      </w:tr>
      <w:tr w:rsidR="00660983" w:rsidRPr="00683813" w14:paraId="6AEEAD08" w14:textId="4C833A16" w:rsidTr="00642589">
        <w:trPr>
          <w:jc w:val="center"/>
        </w:trPr>
        <w:tc>
          <w:tcPr>
            <w:tcW w:w="0" w:type="auto"/>
          </w:tcPr>
          <w:p w14:paraId="6FBBA274" w14:textId="75415713" w:rsidR="00277A6E" w:rsidRPr="00683813" w:rsidRDefault="00642589" w:rsidP="00860554">
            <w:pPr>
              <w:pStyle w:val="BodyText"/>
              <w:ind w:firstLine="0"/>
              <w:rPr>
                <w:lang w:val="en-US"/>
              </w:rPr>
            </w:pPr>
            <w:r w:rsidRPr="00683813">
              <w:rPr>
                <w:lang w:val="en-US"/>
              </w:rPr>
              <w:t>A</w:t>
            </w:r>
          </w:p>
        </w:tc>
        <w:tc>
          <w:tcPr>
            <w:tcW w:w="0" w:type="auto"/>
          </w:tcPr>
          <w:p w14:paraId="0C5422F2" w14:textId="16800FDE" w:rsidR="00277A6E" w:rsidRPr="00683813" w:rsidRDefault="00660983" w:rsidP="00860554">
            <w:pPr>
              <w:pStyle w:val="BodyText"/>
              <w:ind w:firstLine="0"/>
              <w:jc w:val="center"/>
              <w:rPr>
                <w:b/>
                <w:bCs/>
                <w:lang w:val="en-US"/>
              </w:rPr>
            </w:pPr>
            <w:r w:rsidRPr="00683813">
              <w:rPr>
                <w:lang w:val="en-US"/>
              </w:rPr>
              <w:fldChar w:fldCharType="begin"/>
            </w:r>
            <w:r w:rsidR="00FD3682">
              <w:rPr>
                <w:lang w:val="en-US"/>
              </w:rPr>
              <w:instrText xml:space="preserve"> ADDIN EN.CITE &lt;EndNote&gt;&lt;Cite&gt;&lt;Author&gt;Toyoda&lt;/Author&gt;&lt;Year&gt;2018&lt;/Year&gt;&lt;RecNum&gt;17&lt;/RecNum&gt;&lt;DisplayText&gt;[15]&lt;/DisplayText&gt;&lt;record&gt;&lt;rec-number&gt;17&lt;/rec-number&gt;&lt;foreign-keys&gt;&lt;key app="EN" db-id="5saed0xvzv9sz3et5fqvz29i0ftadf2wd50r" timestamp="1663928695"&gt;17&lt;/key&gt;&lt;/foreign-keys&gt;&lt;ref-type name="Conference Proceedings"&gt;10&lt;/ref-type&gt;&lt;contributors&gt;&lt;authors&gt;&lt;author&gt;Toyoda, A&lt;/author&gt;&lt;author&gt;Yoshida, G&lt;/author&gt;&lt;author&gt;Matsumura, H&lt;/author&gt;&lt;author&gt;Masumoto, K&lt;/author&gt;&lt;author&gt;Nakabayashi, T&lt;/author&gt;&lt;author&gt;Yagishita, T&lt;/author&gt;&lt;author&gt;Sasaki, H&lt;/author&gt;&lt;/authors&gt;&lt;/contributors&gt;&lt;titles&gt;&lt;title&gt;Evaluation of induced activity in various components of a PET-cyclotron&lt;/title&gt;&lt;secondary-title&gt;Journal of Physics: Conference Series&lt;/secondary-title&gt;&lt;/titles&gt;&lt;dates&gt;&lt;year&gt;2018&lt;/year&gt;&lt;/dates&gt;&lt;isbn&gt;1742-6596&lt;/isbn&gt;&lt;urls&gt;&lt;/urls&gt;&lt;/record&gt;&lt;/Cite&gt;&lt;/EndNote&gt;</w:instrText>
            </w:r>
            <w:r w:rsidRPr="00683813">
              <w:rPr>
                <w:lang w:val="en-US"/>
              </w:rPr>
              <w:fldChar w:fldCharType="separate"/>
            </w:r>
            <w:r w:rsidR="00FD3682">
              <w:rPr>
                <w:noProof/>
                <w:lang w:val="en-US"/>
              </w:rPr>
              <w:t>[15]</w:t>
            </w:r>
            <w:r w:rsidRPr="00683813">
              <w:rPr>
                <w:lang w:val="en-US"/>
              </w:rPr>
              <w:fldChar w:fldCharType="end"/>
            </w:r>
            <w:r w:rsidRPr="00683813">
              <w:rPr>
                <w:lang w:val="en-US"/>
              </w:rPr>
              <w:t xml:space="preserve"> </w:t>
            </w:r>
            <w:r w:rsidRPr="00683813">
              <w:rPr>
                <w:b/>
                <w:bCs/>
                <w:lang w:val="en-US"/>
              </w:rPr>
              <w:t>1</w:t>
            </w:r>
          </w:p>
        </w:tc>
        <w:tc>
          <w:tcPr>
            <w:tcW w:w="0" w:type="auto"/>
          </w:tcPr>
          <w:p w14:paraId="12CD597C" w14:textId="350073FF" w:rsidR="00277A6E" w:rsidRPr="00683813" w:rsidRDefault="00642589" w:rsidP="00860554">
            <w:pPr>
              <w:pStyle w:val="BodyText"/>
              <w:ind w:firstLine="0"/>
              <w:jc w:val="center"/>
              <w:rPr>
                <w:lang w:val="en-US"/>
              </w:rPr>
            </w:pPr>
            <w:r w:rsidRPr="00683813">
              <w:rPr>
                <w:lang w:val="en-US"/>
              </w:rPr>
              <w:t>5</w:t>
            </w:r>
          </w:p>
        </w:tc>
        <w:tc>
          <w:tcPr>
            <w:tcW w:w="0" w:type="auto"/>
          </w:tcPr>
          <w:p w14:paraId="6CB8E623" w14:textId="6D6EBFB9" w:rsidR="00277A6E" w:rsidRPr="00683813" w:rsidRDefault="00642589" w:rsidP="00860554">
            <w:pPr>
              <w:pStyle w:val="BodyText"/>
              <w:ind w:firstLine="0"/>
              <w:jc w:val="center"/>
              <w:rPr>
                <w:lang w:val="en-US"/>
              </w:rPr>
            </w:pPr>
            <w:r w:rsidRPr="00683813">
              <w:rPr>
                <w:lang w:val="en-US"/>
              </w:rPr>
              <w:t>1</w:t>
            </w:r>
          </w:p>
        </w:tc>
        <w:tc>
          <w:tcPr>
            <w:tcW w:w="0" w:type="auto"/>
          </w:tcPr>
          <w:p w14:paraId="30D8C56D" w14:textId="77777777" w:rsidR="00277A6E" w:rsidRPr="00683813" w:rsidRDefault="00277A6E" w:rsidP="00860554">
            <w:pPr>
              <w:pStyle w:val="BodyText"/>
              <w:ind w:firstLine="0"/>
              <w:jc w:val="center"/>
              <w:rPr>
                <w:lang w:val="en-US"/>
              </w:rPr>
            </w:pPr>
          </w:p>
        </w:tc>
      </w:tr>
      <w:tr w:rsidR="00660983" w:rsidRPr="00683813" w14:paraId="3C98625F" w14:textId="11E106DB" w:rsidTr="00642589">
        <w:trPr>
          <w:jc w:val="center"/>
        </w:trPr>
        <w:tc>
          <w:tcPr>
            <w:tcW w:w="0" w:type="auto"/>
          </w:tcPr>
          <w:p w14:paraId="6170F494" w14:textId="0A2CABDE" w:rsidR="00277A6E" w:rsidRPr="00683813" w:rsidRDefault="00642589" w:rsidP="00860554">
            <w:pPr>
              <w:pStyle w:val="BodyText"/>
              <w:ind w:firstLine="0"/>
              <w:rPr>
                <w:lang w:val="en-US"/>
              </w:rPr>
            </w:pPr>
            <w:r w:rsidRPr="00683813">
              <w:rPr>
                <w:lang w:val="en-US"/>
              </w:rPr>
              <w:t>A</w:t>
            </w:r>
          </w:p>
        </w:tc>
        <w:tc>
          <w:tcPr>
            <w:tcW w:w="0" w:type="auto"/>
          </w:tcPr>
          <w:p w14:paraId="4563C887" w14:textId="659D48E0" w:rsidR="00277A6E" w:rsidRPr="00683813" w:rsidRDefault="00660983" w:rsidP="00860554">
            <w:pPr>
              <w:pStyle w:val="BodyText"/>
              <w:ind w:firstLine="0"/>
              <w:jc w:val="center"/>
              <w:rPr>
                <w:lang w:val="en-US"/>
              </w:rPr>
            </w:pPr>
            <w:r w:rsidRPr="00683813">
              <w:rPr>
                <w:lang w:val="en-US"/>
              </w:rPr>
              <w:fldChar w:fldCharType="begin"/>
            </w:r>
            <w:r w:rsidR="00FD3682">
              <w:rPr>
                <w:lang w:val="en-US"/>
              </w:rPr>
              <w:instrText xml:space="preserve"> ADDIN EN.CITE &lt;EndNote&gt;&lt;Cite&gt;&lt;Author&gt;Calandrino&lt;/Author&gt;&lt;Year&gt;2021&lt;/Year&gt;&lt;RecNum&gt;11&lt;/RecNum&gt;&lt;DisplayText&gt;[16]&lt;/DisplayText&gt;&lt;record&gt;&lt;rec-number&gt;11&lt;/rec-number&gt;&lt;foreign-keys&gt;&lt;key app="EN" db-id="5saed0xvzv9sz3et5fqvz29i0ftadf2wd50r" timestamp="1663848123"&gt;11&lt;/key&gt;&lt;/foreign-keys&gt;&lt;ref-type name="Journal Article"&gt;17&lt;/ref-type&gt;&lt;contributors&gt;&lt;authors&gt;&lt;author&gt;Calandrino, Riccardo&lt;/author&gt;&lt;author&gt;Manenti, Simone&lt;/author&gt;&lt;author&gt;Groppi, Flavia&lt;/author&gt;&lt;author&gt;Broggi, Francesco&lt;/author&gt;&lt;author&gt;Bergamaschi, Carlo&lt;/author&gt;&lt;author&gt;Ferrari, Andrea&lt;/author&gt;&lt;author&gt;Manenti, Simona&lt;/author&gt;&lt;author&gt;Nizzi, Massimiliano&lt;/author&gt;&lt;author&gt;Loria, Alessandro&lt;/author&gt;&lt;author&gt;Del Vecchio, Antonella&lt;/author&gt;&lt;/authors&gt;&lt;/contributors&gt;&lt;titles&gt;&lt;title&gt;Decommissioning procedure and induced activation levels, calculations and measurements in an 18 MeV medical cyclotron&lt;/title&gt;&lt;secondary-title&gt;Journal of Radiological Protection&lt;/secondary-title&gt;&lt;/titles&gt;&lt;periodical&gt;&lt;full-title&gt;Journal of Radiological Protection&lt;/full-title&gt;&lt;/periodical&gt;&lt;volume&gt;41&lt;/volume&gt;&lt;number&gt;4&lt;/number&gt;&lt;dates&gt;&lt;year&gt;2021&lt;/year&gt;&lt;/dates&gt;&lt;isbn&gt;0952-4746&lt;/isbn&gt;&lt;urls&gt;&lt;/urls&gt;&lt;/record&gt;&lt;/Cite&gt;&lt;/EndNote&gt;</w:instrText>
            </w:r>
            <w:r w:rsidRPr="00683813">
              <w:rPr>
                <w:lang w:val="en-US"/>
              </w:rPr>
              <w:fldChar w:fldCharType="separate"/>
            </w:r>
            <w:r w:rsidR="00FD3682">
              <w:rPr>
                <w:noProof/>
                <w:lang w:val="en-US"/>
              </w:rPr>
              <w:t>[16]</w:t>
            </w:r>
            <w:r w:rsidRPr="00683813">
              <w:rPr>
                <w:lang w:val="en-US"/>
              </w:rPr>
              <w:fldChar w:fldCharType="end"/>
            </w:r>
          </w:p>
        </w:tc>
        <w:tc>
          <w:tcPr>
            <w:tcW w:w="0" w:type="auto"/>
          </w:tcPr>
          <w:p w14:paraId="2010B910" w14:textId="4CBDFDFD" w:rsidR="00277A6E" w:rsidRPr="00683813" w:rsidRDefault="00642589" w:rsidP="00860554">
            <w:pPr>
              <w:pStyle w:val="BodyText"/>
              <w:ind w:firstLine="0"/>
              <w:jc w:val="center"/>
              <w:rPr>
                <w:lang w:val="en-US"/>
              </w:rPr>
            </w:pPr>
            <w:r w:rsidRPr="00683813">
              <w:rPr>
                <w:lang w:val="en-US"/>
              </w:rPr>
              <w:t>9</w:t>
            </w:r>
          </w:p>
        </w:tc>
        <w:tc>
          <w:tcPr>
            <w:tcW w:w="0" w:type="auto"/>
          </w:tcPr>
          <w:p w14:paraId="1DB493EB" w14:textId="2FC5AE66" w:rsidR="00277A6E" w:rsidRPr="00683813" w:rsidRDefault="00642589" w:rsidP="00860554">
            <w:pPr>
              <w:pStyle w:val="BodyText"/>
              <w:ind w:firstLine="0"/>
              <w:jc w:val="center"/>
              <w:rPr>
                <w:lang w:val="en-US"/>
              </w:rPr>
            </w:pPr>
            <w:r w:rsidRPr="00683813">
              <w:rPr>
                <w:lang w:val="en-US"/>
              </w:rPr>
              <w:t>2</w:t>
            </w:r>
          </w:p>
        </w:tc>
        <w:tc>
          <w:tcPr>
            <w:tcW w:w="0" w:type="auto"/>
          </w:tcPr>
          <w:p w14:paraId="26782FD4" w14:textId="65E00937" w:rsidR="00277A6E" w:rsidRPr="00683813" w:rsidRDefault="00642589" w:rsidP="00860554">
            <w:pPr>
              <w:pStyle w:val="BodyText"/>
              <w:ind w:firstLine="0"/>
              <w:jc w:val="center"/>
              <w:rPr>
                <w:lang w:val="en-US"/>
              </w:rPr>
            </w:pPr>
            <w:r w:rsidRPr="00683813">
              <w:rPr>
                <w:lang w:val="en-US"/>
              </w:rPr>
              <w:t>30</w:t>
            </w:r>
          </w:p>
        </w:tc>
      </w:tr>
      <w:tr w:rsidR="00660983" w:rsidRPr="00683813" w14:paraId="2ECD7601" w14:textId="5FB965BA" w:rsidTr="00642589">
        <w:trPr>
          <w:jc w:val="center"/>
        </w:trPr>
        <w:tc>
          <w:tcPr>
            <w:tcW w:w="0" w:type="auto"/>
          </w:tcPr>
          <w:p w14:paraId="3D029BE5" w14:textId="7FD94400" w:rsidR="00277A6E" w:rsidRPr="00683813" w:rsidRDefault="00642589" w:rsidP="00860554">
            <w:pPr>
              <w:pStyle w:val="BodyText"/>
              <w:ind w:firstLine="0"/>
              <w:rPr>
                <w:lang w:val="en-US"/>
              </w:rPr>
            </w:pPr>
            <w:r w:rsidRPr="00683813">
              <w:rPr>
                <w:lang w:val="en-US"/>
              </w:rPr>
              <w:t>B</w:t>
            </w:r>
          </w:p>
        </w:tc>
        <w:tc>
          <w:tcPr>
            <w:tcW w:w="0" w:type="auto"/>
          </w:tcPr>
          <w:p w14:paraId="282381AD" w14:textId="2E157F5B" w:rsidR="00277A6E" w:rsidRPr="00683813" w:rsidRDefault="00660983" w:rsidP="00860554">
            <w:pPr>
              <w:pStyle w:val="BodyText"/>
              <w:ind w:firstLine="0"/>
              <w:jc w:val="center"/>
              <w:rPr>
                <w:b/>
                <w:bCs/>
                <w:lang w:val="en-US"/>
              </w:rPr>
            </w:pPr>
            <w:r w:rsidRPr="00683813">
              <w:rPr>
                <w:lang w:val="en-US"/>
              </w:rPr>
              <w:fldChar w:fldCharType="begin"/>
            </w:r>
            <w:r w:rsidR="00FD3682">
              <w:rPr>
                <w:lang w:val="en-US"/>
              </w:rPr>
              <w:instrText xml:space="preserve"> ADDIN EN.CITE &lt;EndNote&gt;&lt;Cite&gt;&lt;Author&gt;Toyoda&lt;/Author&gt;&lt;Year&gt;2018&lt;/Year&gt;&lt;RecNum&gt;17&lt;/RecNum&gt;&lt;DisplayText&gt;[15]&lt;/DisplayText&gt;&lt;record&gt;&lt;rec-number&gt;17&lt;/rec-number&gt;&lt;foreign-keys&gt;&lt;key app="EN" db-id="5saed0xvzv9sz3et5fqvz29i0ftadf2wd50r" timestamp="1663928695"&gt;17&lt;/key&gt;&lt;/foreign-keys&gt;&lt;ref-type name="Conference Proceedings"&gt;10&lt;/ref-type&gt;&lt;contributors&gt;&lt;authors&gt;&lt;author&gt;Toyoda, A&lt;/author&gt;&lt;author&gt;Yoshida, G&lt;/author&gt;&lt;author&gt;Matsumura, H&lt;/author&gt;&lt;author&gt;Masumoto, K&lt;/author&gt;&lt;author&gt;Nakabayashi, T&lt;/author&gt;&lt;author&gt;Yagishita, T&lt;/author&gt;&lt;author&gt;Sasaki, H&lt;/author&gt;&lt;/authors&gt;&lt;/contributors&gt;&lt;titles&gt;&lt;title&gt;Evaluation of induced activity in various components of a PET-cyclotron&lt;/title&gt;&lt;secondary-title&gt;Journal of Physics: Conference Series&lt;/secondary-title&gt;&lt;/titles&gt;&lt;dates&gt;&lt;year&gt;2018&lt;/year&gt;&lt;/dates&gt;&lt;isbn&gt;1742-6596&lt;/isbn&gt;&lt;urls&gt;&lt;/urls&gt;&lt;/record&gt;&lt;/Cite&gt;&lt;/EndNote&gt;</w:instrText>
            </w:r>
            <w:r w:rsidRPr="00683813">
              <w:rPr>
                <w:lang w:val="en-US"/>
              </w:rPr>
              <w:fldChar w:fldCharType="separate"/>
            </w:r>
            <w:r w:rsidR="00FD3682">
              <w:rPr>
                <w:noProof/>
                <w:lang w:val="en-US"/>
              </w:rPr>
              <w:t>[15]</w:t>
            </w:r>
            <w:r w:rsidRPr="00683813">
              <w:rPr>
                <w:lang w:val="en-US"/>
              </w:rPr>
              <w:fldChar w:fldCharType="end"/>
            </w:r>
            <w:r w:rsidRPr="00683813">
              <w:rPr>
                <w:lang w:val="en-US"/>
              </w:rPr>
              <w:t xml:space="preserve"> </w:t>
            </w:r>
            <w:r w:rsidRPr="00683813">
              <w:rPr>
                <w:b/>
                <w:bCs/>
                <w:lang w:val="en-US"/>
              </w:rPr>
              <w:t>2</w:t>
            </w:r>
          </w:p>
        </w:tc>
        <w:tc>
          <w:tcPr>
            <w:tcW w:w="0" w:type="auto"/>
          </w:tcPr>
          <w:p w14:paraId="75328962" w14:textId="2583A2B3" w:rsidR="00277A6E" w:rsidRPr="00683813" w:rsidRDefault="00642589" w:rsidP="00860554">
            <w:pPr>
              <w:pStyle w:val="BodyText"/>
              <w:ind w:firstLine="0"/>
              <w:jc w:val="center"/>
              <w:rPr>
                <w:lang w:val="en-US"/>
              </w:rPr>
            </w:pPr>
            <w:r w:rsidRPr="00683813">
              <w:rPr>
                <w:lang w:val="en-US"/>
              </w:rPr>
              <w:t>0.8</w:t>
            </w:r>
          </w:p>
        </w:tc>
        <w:tc>
          <w:tcPr>
            <w:tcW w:w="0" w:type="auto"/>
          </w:tcPr>
          <w:p w14:paraId="6A96CCDF" w14:textId="46056A65" w:rsidR="00277A6E" w:rsidRPr="00683813" w:rsidRDefault="00642589" w:rsidP="00860554">
            <w:pPr>
              <w:pStyle w:val="BodyText"/>
              <w:ind w:firstLine="0"/>
              <w:jc w:val="center"/>
              <w:rPr>
                <w:lang w:val="en-US"/>
              </w:rPr>
            </w:pPr>
            <w:r w:rsidRPr="00683813">
              <w:rPr>
                <w:lang w:val="en-US"/>
              </w:rPr>
              <w:t>1</w:t>
            </w:r>
          </w:p>
        </w:tc>
        <w:tc>
          <w:tcPr>
            <w:tcW w:w="0" w:type="auto"/>
          </w:tcPr>
          <w:p w14:paraId="18DE7C22" w14:textId="77777777" w:rsidR="00277A6E" w:rsidRPr="00683813" w:rsidRDefault="00277A6E" w:rsidP="00860554">
            <w:pPr>
              <w:pStyle w:val="BodyText"/>
              <w:ind w:firstLine="0"/>
              <w:jc w:val="center"/>
              <w:rPr>
                <w:lang w:val="en-US"/>
              </w:rPr>
            </w:pPr>
          </w:p>
        </w:tc>
      </w:tr>
      <w:tr w:rsidR="00660983" w:rsidRPr="00683813" w14:paraId="3E2952FC" w14:textId="69EEDF37" w:rsidTr="00642589">
        <w:trPr>
          <w:jc w:val="center"/>
        </w:trPr>
        <w:tc>
          <w:tcPr>
            <w:tcW w:w="0" w:type="auto"/>
          </w:tcPr>
          <w:p w14:paraId="1B34D284" w14:textId="23630A7D" w:rsidR="00277A6E" w:rsidRPr="00683813" w:rsidRDefault="00642589" w:rsidP="00860554">
            <w:pPr>
              <w:pStyle w:val="BodyText"/>
              <w:ind w:firstLine="0"/>
              <w:rPr>
                <w:lang w:val="en-US"/>
              </w:rPr>
            </w:pPr>
            <w:r w:rsidRPr="00683813">
              <w:rPr>
                <w:lang w:val="en-US"/>
              </w:rPr>
              <w:t>B</w:t>
            </w:r>
          </w:p>
        </w:tc>
        <w:tc>
          <w:tcPr>
            <w:tcW w:w="0" w:type="auto"/>
          </w:tcPr>
          <w:p w14:paraId="547CD6BD" w14:textId="4E808620" w:rsidR="00277A6E" w:rsidRPr="00683813" w:rsidRDefault="00660983" w:rsidP="00860554">
            <w:pPr>
              <w:pStyle w:val="BodyText"/>
              <w:ind w:firstLine="0"/>
              <w:jc w:val="center"/>
              <w:rPr>
                <w:lang w:val="en-US"/>
              </w:rPr>
            </w:pPr>
            <w:r w:rsidRPr="00683813">
              <w:rPr>
                <w:lang w:val="en-US"/>
              </w:rPr>
              <w:fldChar w:fldCharType="begin"/>
            </w:r>
            <w:r w:rsidR="00FD3682">
              <w:rPr>
                <w:lang w:val="en-US"/>
              </w:rPr>
              <w:instrText xml:space="preserve"> ADDIN EN.CITE &lt;EndNote&gt;&lt;Cite&gt;&lt;Author&gt;Bonvin&lt;/Author&gt;&lt;Year&gt;2021&lt;/Year&gt;&lt;RecNum&gt;19&lt;/RecNum&gt;&lt;DisplayText&gt;[17]&lt;/DisplayText&gt;&lt;record&gt;&lt;rec-number&gt;19&lt;/rec-number&gt;&lt;foreign-keys&gt;&lt;key app="EN" db-id="5saed0xvzv9sz3et5fqvz29i0ftadf2wd50r" timestamp="1663930089"&gt;19&lt;/key&gt;&lt;/foreign-keys&gt;&lt;ref-type name="Journal Article"&gt;17&lt;/ref-type&gt;&lt;contributors&gt;&lt;authors&gt;&lt;author&gt;Bonvin, V&lt;/author&gt;&lt;author&gt;Bochud, F&lt;/author&gt;&lt;author&gt;Damet, J&lt;/author&gt;&lt;author&gt;Theis, C&lt;/author&gt;&lt;author&gt;Vincke, H&lt;/author&gt;&lt;author&gt;Geyer, R&lt;/author&gt;&lt;/authors&gt;&lt;/contributors&gt;&lt;titles&gt;&lt;title&gt;Detailed study of the distribution of activation inside the magnet coils of a compact PET cyclotron&lt;/title&gt;&lt;secondary-title&gt;Applied Radiation and Isotopes&lt;/secondary-title&gt;&lt;/titles&gt;&lt;periodical&gt;&lt;full-title&gt;Applied Radiation and Isotopes&lt;/full-title&gt;&lt;/periodical&gt;&lt;volume&gt;168&lt;/volume&gt;&lt;dates&gt;&lt;year&gt;2021&lt;/year&gt;&lt;/dates&gt;&lt;isbn&gt;0969-8043&lt;/isbn&gt;&lt;urls&gt;&lt;/urls&gt;&lt;/record&gt;&lt;/Cite&gt;&lt;/EndNote&gt;</w:instrText>
            </w:r>
            <w:r w:rsidRPr="00683813">
              <w:rPr>
                <w:lang w:val="en-US"/>
              </w:rPr>
              <w:fldChar w:fldCharType="separate"/>
            </w:r>
            <w:r w:rsidR="00FD3682">
              <w:rPr>
                <w:noProof/>
                <w:lang w:val="en-US"/>
              </w:rPr>
              <w:t>[17]</w:t>
            </w:r>
            <w:r w:rsidRPr="00683813">
              <w:rPr>
                <w:lang w:val="en-US"/>
              </w:rPr>
              <w:fldChar w:fldCharType="end"/>
            </w:r>
          </w:p>
        </w:tc>
        <w:tc>
          <w:tcPr>
            <w:tcW w:w="0" w:type="auto"/>
          </w:tcPr>
          <w:p w14:paraId="5446E0C2" w14:textId="387333BB" w:rsidR="00277A6E" w:rsidRPr="00683813" w:rsidRDefault="00277A6E" w:rsidP="00860554">
            <w:pPr>
              <w:pStyle w:val="BodyText"/>
              <w:ind w:firstLine="0"/>
              <w:jc w:val="center"/>
              <w:rPr>
                <w:lang w:val="en-US"/>
              </w:rPr>
            </w:pPr>
          </w:p>
        </w:tc>
        <w:tc>
          <w:tcPr>
            <w:tcW w:w="0" w:type="auto"/>
          </w:tcPr>
          <w:p w14:paraId="132D3053" w14:textId="58CF7577" w:rsidR="00277A6E" w:rsidRPr="00683813" w:rsidRDefault="00642589" w:rsidP="00860554">
            <w:pPr>
              <w:pStyle w:val="BodyText"/>
              <w:ind w:firstLine="0"/>
              <w:jc w:val="center"/>
              <w:rPr>
                <w:lang w:val="en-US"/>
              </w:rPr>
            </w:pPr>
            <w:r w:rsidRPr="00683813">
              <w:rPr>
                <w:lang w:val="en-US"/>
              </w:rPr>
              <w:t>3</w:t>
            </w:r>
          </w:p>
        </w:tc>
        <w:tc>
          <w:tcPr>
            <w:tcW w:w="0" w:type="auto"/>
          </w:tcPr>
          <w:p w14:paraId="6048B9F6" w14:textId="315940E3" w:rsidR="00277A6E" w:rsidRPr="00683813" w:rsidRDefault="00642589" w:rsidP="00860554">
            <w:pPr>
              <w:pStyle w:val="BodyText"/>
              <w:ind w:firstLine="0"/>
              <w:jc w:val="center"/>
              <w:rPr>
                <w:lang w:val="en-US"/>
              </w:rPr>
            </w:pPr>
            <w:r w:rsidRPr="00683813">
              <w:rPr>
                <w:lang w:val="en-US"/>
              </w:rPr>
              <w:t>10</w:t>
            </w:r>
          </w:p>
        </w:tc>
      </w:tr>
      <w:tr w:rsidR="00660983" w:rsidRPr="00683813" w14:paraId="164B13BF" w14:textId="7E219CEB" w:rsidTr="00642589">
        <w:trPr>
          <w:jc w:val="center"/>
        </w:trPr>
        <w:tc>
          <w:tcPr>
            <w:tcW w:w="0" w:type="auto"/>
          </w:tcPr>
          <w:p w14:paraId="52616596" w14:textId="39BD74EB" w:rsidR="00277A6E" w:rsidRPr="00683813" w:rsidRDefault="00642589" w:rsidP="00860554">
            <w:pPr>
              <w:pStyle w:val="BodyText"/>
              <w:ind w:firstLine="0"/>
              <w:rPr>
                <w:vertAlign w:val="superscript"/>
                <w:lang w:val="en-US"/>
              </w:rPr>
            </w:pPr>
            <w:r w:rsidRPr="00683813">
              <w:rPr>
                <w:lang w:val="en-US"/>
              </w:rPr>
              <w:t>C</w:t>
            </w:r>
          </w:p>
        </w:tc>
        <w:tc>
          <w:tcPr>
            <w:tcW w:w="0" w:type="auto"/>
          </w:tcPr>
          <w:p w14:paraId="7D8315BD" w14:textId="0526B859" w:rsidR="00277A6E" w:rsidRPr="00683813" w:rsidRDefault="00660983" w:rsidP="00860554">
            <w:pPr>
              <w:pStyle w:val="BodyText"/>
              <w:ind w:firstLine="0"/>
              <w:jc w:val="center"/>
              <w:rPr>
                <w:lang w:val="en-US"/>
              </w:rPr>
            </w:pPr>
            <w:r w:rsidRPr="00683813">
              <w:rPr>
                <w:lang w:val="en-US"/>
              </w:rPr>
              <w:fldChar w:fldCharType="begin"/>
            </w:r>
            <w:r w:rsidR="00FD3682">
              <w:rPr>
                <w:lang w:val="en-US"/>
              </w:rPr>
              <w:instrText xml:space="preserve"> ADDIN EN.CITE &lt;EndNote&gt;&lt;Cite&gt;&lt;Author&gt;Argonne National Laboratory&lt;/Author&gt;&lt;Year&gt;1998&lt;/Year&gt;&lt;RecNum&gt;63&lt;/RecNum&gt;&lt;DisplayText&gt;[18]&lt;/DisplayText&gt;&lt;record&gt;&lt;rec-number&gt;63&lt;/rec-number&gt;&lt;foreign-keys&gt;&lt;key app="EN" db-id="5saed0xvzv9sz3et5fqvz29i0ftadf2wd50r" timestamp="1680277305"&gt;63&lt;/key&gt;&lt;/foreign-keys&gt;&lt;ref-type name="Report"&gt;27&lt;/ref-type&gt;&lt;contributors&gt;&lt;authors&gt;&lt;author&gt;Argonne National Laboratory,&lt;/author&gt;&lt;/authors&gt;&lt;tertiary-authors&gt;&lt;author&gt;U.S. Department of Energy&lt;/author&gt;&lt;/tertiary-authors&gt;&lt;/contributors&gt;&lt;titles&gt;&lt;title&gt;Building 211 Cyclotron characterization suvey report&lt;/title&gt;&lt;/titles&gt;&lt;dates&gt;&lt;year&gt;1998&lt;/year&gt;&lt;/dates&gt;&lt;publisher&gt;University of Chicago&lt;/publisher&gt;&lt;isbn&gt;No. ANL/ESH-HP-98/01&lt;/isbn&gt;&lt;urls&gt;&lt;/urls&gt;&lt;/record&gt;&lt;/Cite&gt;&lt;/EndNote&gt;</w:instrText>
            </w:r>
            <w:r w:rsidRPr="00683813">
              <w:rPr>
                <w:lang w:val="en-US"/>
              </w:rPr>
              <w:fldChar w:fldCharType="separate"/>
            </w:r>
            <w:r w:rsidR="00FD3682">
              <w:rPr>
                <w:noProof/>
                <w:lang w:val="en-US"/>
              </w:rPr>
              <w:t>[18]</w:t>
            </w:r>
            <w:r w:rsidRPr="00683813">
              <w:rPr>
                <w:lang w:val="en-US"/>
              </w:rPr>
              <w:fldChar w:fldCharType="end"/>
            </w:r>
          </w:p>
        </w:tc>
        <w:tc>
          <w:tcPr>
            <w:tcW w:w="0" w:type="auto"/>
          </w:tcPr>
          <w:p w14:paraId="28E5E33B" w14:textId="509D8814" w:rsidR="00277A6E" w:rsidRPr="00683813" w:rsidRDefault="00642589" w:rsidP="00860554">
            <w:pPr>
              <w:pStyle w:val="BodyText"/>
              <w:ind w:firstLine="0"/>
              <w:jc w:val="center"/>
              <w:rPr>
                <w:lang w:val="en-US"/>
              </w:rPr>
            </w:pPr>
            <w:r w:rsidRPr="00683813">
              <w:rPr>
                <w:lang w:val="en-US"/>
              </w:rPr>
              <w:t>10</w:t>
            </w:r>
          </w:p>
        </w:tc>
        <w:tc>
          <w:tcPr>
            <w:tcW w:w="0" w:type="auto"/>
          </w:tcPr>
          <w:p w14:paraId="6CA7D386" w14:textId="467A593B" w:rsidR="00277A6E" w:rsidRPr="00683813" w:rsidRDefault="00642589" w:rsidP="00860554">
            <w:pPr>
              <w:pStyle w:val="BodyText"/>
              <w:ind w:firstLine="0"/>
              <w:jc w:val="center"/>
              <w:rPr>
                <w:lang w:val="en-US"/>
              </w:rPr>
            </w:pPr>
            <w:r w:rsidRPr="00683813">
              <w:rPr>
                <w:lang w:val="en-US"/>
              </w:rPr>
              <w:t>2</w:t>
            </w:r>
          </w:p>
        </w:tc>
        <w:tc>
          <w:tcPr>
            <w:tcW w:w="0" w:type="auto"/>
          </w:tcPr>
          <w:p w14:paraId="32F305C4" w14:textId="77777777" w:rsidR="00277A6E" w:rsidRPr="00683813" w:rsidRDefault="00277A6E" w:rsidP="00860554">
            <w:pPr>
              <w:pStyle w:val="BodyText"/>
              <w:ind w:firstLine="0"/>
              <w:jc w:val="center"/>
              <w:rPr>
                <w:lang w:val="en-US"/>
              </w:rPr>
            </w:pPr>
          </w:p>
        </w:tc>
      </w:tr>
    </w:tbl>
    <w:p w14:paraId="426C2D4D" w14:textId="0E09A9D2" w:rsidR="008E5AFD" w:rsidRPr="00683813" w:rsidRDefault="008E5AFD" w:rsidP="000636F8">
      <w:pPr>
        <w:pStyle w:val="BodyText"/>
        <w:rPr>
          <w:lang w:val="en-US"/>
        </w:rPr>
      </w:pPr>
    </w:p>
    <w:p w14:paraId="2BAC52C3" w14:textId="75507BF4" w:rsidR="001C2848" w:rsidRPr="00683813" w:rsidRDefault="00C83091" w:rsidP="001C2848">
      <w:pPr>
        <w:pStyle w:val="BodyText"/>
        <w:rPr>
          <w:lang w:val="en-US"/>
        </w:rPr>
      </w:pPr>
      <w:r>
        <w:rPr>
          <w:lang w:val="en-US"/>
        </w:rPr>
        <w:t>Activity concentrations</w:t>
      </w:r>
      <w:r w:rsidR="001C2848" w:rsidRPr="00683813">
        <w:rPr>
          <w:lang w:val="en-US"/>
        </w:rPr>
        <w:t xml:space="preserve"> in concrete are shown in Table 4. </w:t>
      </w:r>
      <w:r w:rsidR="00A80173">
        <w:rPr>
          <w:lang w:val="en-US"/>
        </w:rPr>
        <w:t xml:space="preserve">In reference </w:t>
      </w:r>
      <w:r w:rsidR="00A80173">
        <w:rPr>
          <w:lang w:val="en-US"/>
        </w:rPr>
        <w:fldChar w:fldCharType="begin"/>
      </w:r>
      <w:r w:rsidR="00FD3682">
        <w:rPr>
          <w:lang w:val="en-US"/>
        </w:rPr>
        <w:instrText xml:space="preserve"> ADDIN EN.CITE &lt;EndNote&gt;&lt;Cite&gt;&lt;Author&gt;Wang&lt;/Author&gt;&lt;Year&gt;2007&lt;/Year&gt;&lt;RecNum&gt;38&lt;/RecNum&gt;&lt;DisplayText&gt;[19]&lt;/DisplayText&gt;&lt;record&gt;&lt;rec-number&gt;38&lt;/rec-number&gt;&lt;foreign-keys&gt;&lt;key app="EN" db-id="5saed0xvzv9sz3et5fqvz29i0ftadf2wd50r" timestamp="1667222852"&gt;38&lt;/key&gt;&lt;/foreign-keys&gt;&lt;ref-type name="Journal Article"&gt;17&lt;/ref-type&gt;&lt;contributors&gt;&lt;authors&gt;&lt;author&gt;Wang, Q&lt;/author&gt;&lt;author&gt;Masumoto, K&lt;/author&gt;&lt;author&gt;Bessho, K&lt;/author&gt;&lt;author&gt;Matsumura, H&lt;/author&gt;&lt;author&gt;Miura, T&lt;/author&gt;&lt;author&gt;Shibata, T&lt;/author&gt;&lt;/authors&gt;&lt;/contributors&gt;&lt;titles&gt;&lt;title&gt;Evaluation of the radioactivity in concrete from accelerator facilities&lt;/title&gt;&lt;secondary-title&gt;Journal of radioanalytical and nuclear chemistry&lt;/secondary-title&gt;&lt;/titles&gt;&lt;periodical&gt;&lt;full-title&gt;Journal of radioanalytical and nuclear chemistry&lt;/full-title&gt;&lt;/periodical&gt;&lt;pages&gt;55-58&lt;/pages&gt;&lt;volume&gt;273&lt;/volume&gt;&lt;number&gt;1&lt;/number&gt;&lt;dates&gt;&lt;year&gt;2007&lt;/year&gt;&lt;/dates&gt;&lt;isbn&gt;0236-5731&lt;/isbn&gt;&lt;urls&gt;&lt;/urls&gt;&lt;/record&gt;&lt;/Cite&gt;&lt;/EndNote&gt;</w:instrText>
      </w:r>
      <w:r w:rsidR="00A80173">
        <w:rPr>
          <w:lang w:val="en-US"/>
        </w:rPr>
        <w:fldChar w:fldCharType="separate"/>
      </w:r>
      <w:r w:rsidR="00FD3682">
        <w:rPr>
          <w:noProof/>
          <w:lang w:val="en-US"/>
        </w:rPr>
        <w:t>[19]</w:t>
      </w:r>
      <w:r w:rsidR="00A80173">
        <w:rPr>
          <w:lang w:val="en-US"/>
        </w:rPr>
        <w:fldChar w:fldCharType="end"/>
      </w:r>
      <w:r w:rsidR="00A80173">
        <w:rPr>
          <w:lang w:val="en-US"/>
        </w:rPr>
        <w:t xml:space="preserve">, two different cyclotrons were reported on. In reference </w:t>
      </w:r>
      <w:r w:rsidR="00A80173">
        <w:rPr>
          <w:lang w:val="en-US"/>
        </w:rPr>
        <w:fldChar w:fldCharType="begin"/>
      </w:r>
      <w:r w:rsidR="00A80173">
        <w:rPr>
          <w:lang w:val="en-US"/>
        </w:rPr>
        <w:instrText xml:space="preserve"> ADDIN EN.CITE &lt;EndNote&gt;&lt;Cite&gt;&lt;Author&gt;Vrije Universiteit Brussel&lt;/Author&gt;&lt;Year&gt;1999&lt;/Year&gt;&lt;RecNum&gt;1&lt;/RecNum&gt;&lt;DisplayText&gt;[12]&lt;/DisplayText&gt;&lt;record&gt;&lt;rec-number&gt;1&lt;/rec-number&gt;&lt;foreign-keys&gt;&lt;key app="EN" db-id="5saed0xvzv9sz3et5fqvz29i0ftadf2wd50r" timestamp="1663831710"&gt;1&lt;/key&gt;&lt;/foreign-keys&gt;&lt;ref-type name="Report"&gt;27&lt;/ref-type&gt;&lt;contributors&gt;&lt;authors&gt;&lt;author&gt;Vrije Universiteit Brussel, &lt;/author&gt;&lt;/authors&gt;&lt;/contributors&gt;&lt;titles&gt;&lt;title&gt;Evaluation of the radiological and economic consequences of decommissioning particle accelerators&lt;/title&gt;&lt;/titles&gt;&lt;dates&gt;&lt;year&gt;1999&lt;/year&gt;&lt;/dates&gt;&lt;publisher&gt;European Commission&lt;/publisher&gt;&lt;isbn&gt;EUR 19151&lt;/isbn&gt;&lt;urls&gt;&lt;/urls&gt;&lt;/record&gt;&lt;/Cite&gt;&lt;/EndNote&gt;</w:instrText>
      </w:r>
      <w:r w:rsidR="00A80173">
        <w:rPr>
          <w:lang w:val="en-US"/>
        </w:rPr>
        <w:fldChar w:fldCharType="separate"/>
      </w:r>
      <w:r w:rsidR="00A80173">
        <w:rPr>
          <w:noProof/>
          <w:lang w:val="en-US"/>
        </w:rPr>
        <w:t>[12]</w:t>
      </w:r>
      <w:r w:rsidR="00A80173">
        <w:rPr>
          <w:lang w:val="en-US"/>
        </w:rPr>
        <w:fldChar w:fldCharType="end"/>
      </w:r>
      <w:r w:rsidR="00A80173">
        <w:rPr>
          <w:lang w:val="en-US"/>
        </w:rPr>
        <w:t xml:space="preserve">, the </w:t>
      </w:r>
      <w:r w:rsidR="00A80173">
        <w:rPr>
          <w:b/>
          <w:bCs/>
          <w:lang w:val="en-US"/>
        </w:rPr>
        <w:t>bold</w:t>
      </w:r>
      <w:r w:rsidR="00A80173">
        <w:rPr>
          <w:lang w:val="en-US"/>
        </w:rPr>
        <w:t xml:space="preserve"> number refers to different values for the cyclotron </w:t>
      </w:r>
      <w:r w:rsidR="00082B9F">
        <w:rPr>
          <w:lang w:val="en-US"/>
        </w:rPr>
        <w:t>bunker</w:t>
      </w:r>
      <w:r w:rsidR="00A80173">
        <w:rPr>
          <w:lang w:val="en-US"/>
        </w:rPr>
        <w:t xml:space="preserve"> (</w:t>
      </w:r>
      <w:r w:rsidR="00A80173">
        <w:rPr>
          <w:b/>
          <w:bCs/>
          <w:lang w:val="en-US"/>
        </w:rPr>
        <w:t>1</w:t>
      </w:r>
      <w:r w:rsidR="00A80173">
        <w:rPr>
          <w:lang w:val="en-US"/>
        </w:rPr>
        <w:t xml:space="preserve">) and the target </w:t>
      </w:r>
      <w:r w:rsidR="00082B9F">
        <w:rPr>
          <w:lang w:val="en-US"/>
        </w:rPr>
        <w:t>bunker</w:t>
      </w:r>
      <w:r w:rsidR="00A80173">
        <w:rPr>
          <w:lang w:val="en-US"/>
        </w:rPr>
        <w:t xml:space="preserve"> (</w:t>
      </w:r>
      <w:r w:rsidR="00A80173">
        <w:rPr>
          <w:b/>
          <w:bCs/>
          <w:lang w:val="en-US"/>
        </w:rPr>
        <w:t>2</w:t>
      </w:r>
      <w:r w:rsidR="00A80173">
        <w:rPr>
          <w:lang w:val="en-US"/>
        </w:rPr>
        <w:t>).</w:t>
      </w:r>
      <w:r w:rsidR="003E02C6" w:rsidRPr="003E02C6">
        <w:rPr>
          <w:lang w:val="en-US"/>
        </w:rPr>
        <w:t xml:space="preserve"> </w:t>
      </w:r>
      <w:r w:rsidR="003E02C6">
        <w:rPr>
          <w:lang w:val="en-US"/>
        </w:rPr>
        <w:t xml:space="preserve">Not all references have reported </w:t>
      </w:r>
      <w:r>
        <w:rPr>
          <w:lang w:val="en-US"/>
        </w:rPr>
        <w:t>activity concentration</w:t>
      </w:r>
      <w:r w:rsidR="003E02C6">
        <w:rPr>
          <w:lang w:val="en-US"/>
        </w:rPr>
        <w:t xml:space="preserve"> values on all relevant radionuclides; in those cases, entries in the table were left blank.</w:t>
      </w:r>
    </w:p>
    <w:p w14:paraId="7A405CA1" w14:textId="46318582" w:rsidR="001C2848" w:rsidRPr="00683813" w:rsidRDefault="001C2848" w:rsidP="00642589">
      <w:pPr>
        <w:pStyle w:val="BodyText"/>
        <w:ind w:firstLine="0"/>
        <w:rPr>
          <w:lang w:val="en-US"/>
        </w:rPr>
      </w:pPr>
    </w:p>
    <w:p w14:paraId="50CE5B55" w14:textId="2085F623" w:rsidR="00642589" w:rsidRPr="00683813" w:rsidRDefault="00642589" w:rsidP="00642589">
      <w:pPr>
        <w:pStyle w:val="BodyText"/>
        <w:ind w:firstLine="0"/>
        <w:rPr>
          <w:lang w:val="en-US"/>
        </w:rPr>
      </w:pPr>
      <w:r w:rsidRPr="00683813">
        <w:rPr>
          <w:lang w:val="en-US"/>
        </w:rPr>
        <w:t xml:space="preserve">TABLE </w:t>
      </w:r>
      <w:r w:rsidR="00187867" w:rsidRPr="00683813">
        <w:rPr>
          <w:lang w:val="en-US"/>
        </w:rPr>
        <w:t>4</w:t>
      </w:r>
      <w:r w:rsidRPr="00683813">
        <w:rPr>
          <w:lang w:val="en-US"/>
        </w:rPr>
        <w:t>.</w:t>
      </w:r>
      <w:r w:rsidRPr="00683813">
        <w:rPr>
          <w:lang w:val="en-US"/>
        </w:rPr>
        <w:tab/>
      </w:r>
      <w:r w:rsidR="00C83091">
        <w:rPr>
          <w:lang w:val="en-US"/>
        </w:rPr>
        <w:t>ACTIVITY CONCENTRATIONS</w:t>
      </w:r>
      <w:r w:rsidRPr="00683813">
        <w:rPr>
          <w:lang w:val="en-US"/>
        </w:rPr>
        <w:t xml:space="preserve"> IN CONCRETE, 0 YEARS AFTER CYCLOTRON STOP</w:t>
      </w:r>
    </w:p>
    <w:p w14:paraId="1792A618" w14:textId="77777777" w:rsidR="00642589" w:rsidRPr="00683813" w:rsidRDefault="00642589" w:rsidP="00642589">
      <w:pPr>
        <w:pStyle w:val="BodyText"/>
        <w:rPr>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027"/>
        <w:gridCol w:w="1344"/>
        <w:gridCol w:w="1328"/>
        <w:gridCol w:w="1344"/>
        <w:gridCol w:w="1348"/>
        <w:gridCol w:w="1348"/>
      </w:tblGrid>
      <w:tr w:rsidR="005B1936" w:rsidRPr="00683813" w14:paraId="34A98249" w14:textId="5A725ECE" w:rsidTr="0078389B">
        <w:trPr>
          <w:jc w:val="center"/>
        </w:trPr>
        <w:tc>
          <w:tcPr>
            <w:tcW w:w="0" w:type="auto"/>
            <w:tcBorders>
              <w:top w:val="single" w:sz="4" w:space="0" w:color="auto"/>
              <w:bottom w:val="single" w:sz="4" w:space="0" w:color="auto"/>
            </w:tcBorders>
          </w:tcPr>
          <w:p w14:paraId="6FFAB4DE" w14:textId="77777777" w:rsidR="0078389B" w:rsidRPr="00683813" w:rsidRDefault="0078389B" w:rsidP="00860554">
            <w:pPr>
              <w:pStyle w:val="BodyText"/>
              <w:ind w:firstLine="0"/>
              <w:rPr>
                <w:lang w:val="en-US"/>
              </w:rPr>
            </w:pPr>
            <w:r w:rsidRPr="00683813">
              <w:rPr>
                <w:lang w:val="en-US"/>
              </w:rPr>
              <w:t>Cyclotron category</w:t>
            </w:r>
          </w:p>
        </w:tc>
        <w:tc>
          <w:tcPr>
            <w:tcW w:w="0" w:type="auto"/>
            <w:tcBorders>
              <w:top w:val="single" w:sz="4" w:space="0" w:color="auto"/>
              <w:bottom w:val="single" w:sz="4" w:space="0" w:color="auto"/>
            </w:tcBorders>
          </w:tcPr>
          <w:p w14:paraId="7FF993CB" w14:textId="77777777" w:rsidR="0078389B" w:rsidRPr="00683813" w:rsidRDefault="0078389B" w:rsidP="00860554">
            <w:pPr>
              <w:pStyle w:val="BodyText"/>
              <w:ind w:firstLine="0"/>
              <w:jc w:val="center"/>
              <w:rPr>
                <w:lang w:val="en-US"/>
              </w:rPr>
            </w:pPr>
            <w:r w:rsidRPr="00683813">
              <w:rPr>
                <w:lang w:val="en-US"/>
              </w:rPr>
              <w:t>Reference</w:t>
            </w:r>
          </w:p>
        </w:tc>
        <w:tc>
          <w:tcPr>
            <w:tcW w:w="0" w:type="auto"/>
            <w:tcBorders>
              <w:top w:val="single" w:sz="4" w:space="0" w:color="auto"/>
              <w:bottom w:val="single" w:sz="4" w:space="0" w:color="auto"/>
            </w:tcBorders>
          </w:tcPr>
          <w:p w14:paraId="24A7C95C" w14:textId="77777777" w:rsidR="0078389B" w:rsidRPr="00683813" w:rsidRDefault="0078389B" w:rsidP="00860554">
            <w:pPr>
              <w:pStyle w:val="BodyText"/>
              <w:ind w:firstLine="0"/>
              <w:jc w:val="center"/>
              <w:rPr>
                <w:lang w:val="en-US"/>
              </w:rPr>
            </w:pPr>
            <w:r w:rsidRPr="00683813">
              <w:rPr>
                <w:vertAlign w:val="superscript"/>
                <w:lang w:val="en-US"/>
              </w:rPr>
              <w:t>54</w:t>
            </w:r>
            <w:r w:rsidRPr="00683813">
              <w:rPr>
                <w:lang w:val="en-US"/>
              </w:rPr>
              <w:t>Mn activity (</w:t>
            </w:r>
            <w:proofErr w:type="spellStart"/>
            <w:r w:rsidRPr="00683813">
              <w:rPr>
                <w:lang w:val="en-US"/>
              </w:rPr>
              <w:t>kBq</w:t>
            </w:r>
            <w:proofErr w:type="spellEnd"/>
            <w:r w:rsidRPr="00683813">
              <w:rPr>
                <w:lang w:val="en-US"/>
              </w:rPr>
              <w:t>/kg)</w:t>
            </w:r>
          </w:p>
        </w:tc>
        <w:tc>
          <w:tcPr>
            <w:tcW w:w="0" w:type="auto"/>
            <w:tcBorders>
              <w:top w:val="single" w:sz="4" w:space="0" w:color="auto"/>
              <w:bottom w:val="single" w:sz="4" w:space="0" w:color="auto"/>
            </w:tcBorders>
          </w:tcPr>
          <w:p w14:paraId="53E49694" w14:textId="77777777" w:rsidR="0078389B" w:rsidRPr="00683813" w:rsidRDefault="0078389B" w:rsidP="00860554">
            <w:pPr>
              <w:pStyle w:val="BodyText"/>
              <w:ind w:firstLine="0"/>
              <w:jc w:val="center"/>
              <w:rPr>
                <w:lang w:val="en-US"/>
              </w:rPr>
            </w:pPr>
            <w:r w:rsidRPr="00683813">
              <w:rPr>
                <w:vertAlign w:val="superscript"/>
                <w:lang w:val="en-US"/>
              </w:rPr>
              <w:t>60</w:t>
            </w:r>
            <w:r w:rsidRPr="00683813">
              <w:rPr>
                <w:lang w:val="en-US"/>
              </w:rPr>
              <w:t>Co activity (</w:t>
            </w:r>
            <w:proofErr w:type="spellStart"/>
            <w:r w:rsidRPr="00683813">
              <w:rPr>
                <w:lang w:val="en-US"/>
              </w:rPr>
              <w:t>kBq</w:t>
            </w:r>
            <w:proofErr w:type="spellEnd"/>
            <w:r w:rsidRPr="00683813">
              <w:rPr>
                <w:lang w:val="en-US"/>
              </w:rPr>
              <w:t>/kg)</w:t>
            </w:r>
          </w:p>
        </w:tc>
        <w:tc>
          <w:tcPr>
            <w:tcW w:w="0" w:type="auto"/>
            <w:tcBorders>
              <w:top w:val="single" w:sz="4" w:space="0" w:color="auto"/>
              <w:bottom w:val="single" w:sz="4" w:space="0" w:color="auto"/>
            </w:tcBorders>
          </w:tcPr>
          <w:p w14:paraId="03718289" w14:textId="6F9663F9" w:rsidR="0078389B" w:rsidRPr="00683813" w:rsidRDefault="0078389B" w:rsidP="00860554">
            <w:pPr>
              <w:pStyle w:val="BodyText"/>
              <w:ind w:firstLine="0"/>
              <w:jc w:val="center"/>
              <w:rPr>
                <w:lang w:val="en-US"/>
              </w:rPr>
            </w:pPr>
            <w:r w:rsidRPr="00683813">
              <w:rPr>
                <w:vertAlign w:val="superscript"/>
                <w:lang w:val="en-US"/>
              </w:rPr>
              <w:t>134</w:t>
            </w:r>
            <w:r w:rsidRPr="00683813">
              <w:rPr>
                <w:lang w:val="en-US"/>
              </w:rPr>
              <w:t>Cs activity (</w:t>
            </w:r>
            <w:proofErr w:type="spellStart"/>
            <w:r w:rsidRPr="00683813">
              <w:rPr>
                <w:lang w:val="en-US"/>
              </w:rPr>
              <w:t>kBq</w:t>
            </w:r>
            <w:proofErr w:type="spellEnd"/>
            <w:r w:rsidRPr="00683813">
              <w:rPr>
                <w:lang w:val="en-US"/>
              </w:rPr>
              <w:t>/kg)</w:t>
            </w:r>
          </w:p>
        </w:tc>
        <w:tc>
          <w:tcPr>
            <w:tcW w:w="0" w:type="auto"/>
            <w:tcBorders>
              <w:top w:val="single" w:sz="4" w:space="0" w:color="auto"/>
              <w:bottom w:val="single" w:sz="4" w:space="0" w:color="auto"/>
            </w:tcBorders>
          </w:tcPr>
          <w:p w14:paraId="57053C65" w14:textId="6942E886" w:rsidR="0078389B" w:rsidRPr="00683813" w:rsidRDefault="0078389B" w:rsidP="00860554">
            <w:pPr>
              <w:pStyle w:val="BodyText"/>
              <w:ind w:firstLine="0"/>
              <w:jc w:val="center"/>
              <w:rPr>
                <w:vertAlign w:val="superscript"/>
                <w:lang w:val="en-US"/>
              </w:rPr>
            </w:pPr>
            <w:r w:rsidRPr="00683813">
              <w:rPr>
                <w:vertAlign w:val="superscript"/>
                <w:lang w:val="en-US"/>
              </w:rPr>
              <w:t>152</w:t>
            </w:r>
            <w:r w:rsidRPr="00683813">
              <w:rPr>
                <w:lang w:val="en-US"/>
              </w:rPr>
              <w:t>Eu activity (</w:t>
            </w:r>
            <w:proofErr w:type="spellStart"/>
            <w:r w:rsidRPr="00683813">
              <w:rPr>
                <w:lang w:val="en-US"/>
              </w:rPr>
              <w:t>kBq</w:t>
            </w:r>
            <w:proofErr w:type="spellEnd"/>
            <w:r w:rsidRPr="00683813">
              <w:rPr>
                <w:lang w:val="en-US"/>
              </w:rPr>
              <w:t>/kg)</w:t>
            </w:r>
          </w:p>
        </w:tc>
        <w:tc>
          <w:tcPr>
            <w:tcW w:w="0" w:type="auto"/>
            <w:tcBorders>
              <w:top w:val="single" w:sz="4" w:space="0" w:color="auto"/>
              <w:bottom w:val="single" w:sz="4" w:space="0" w:color="auto"/>
            </w:tcBorders>
          </w:tcPr>
          <w:p w14:paraId="70ABDD66" w14:textId="6895CB6A" w:rsidR="0078389B" w:rsidRPr="00683813" w:rsidRDefault="0078389B" w:rsidP="00860554">
            <w:pPr>
              <w:pStyle w:val="BodyText"/>
              <w:ind w:firstLine="0"/>
              <w:jc w:val="center"/>
              <w:rPr>
                <w:vertAlign w:val="superscript"/>
                <w:lang w:val="en-US"/>
              </w:rPr>
            </w:pPr>
            <w:r w:rsidRPr="00683813">
              <w:rPr>
                <w:vertAlign w:val="superscript"/>
                <w:lang w:val="en-US"/>
              </w:rPr>
              <w:t>154</w:t>
            </w:r>
            <w:r w:rsidRPr="00683813">
              <w:rPr>
                <w:lang w:val="en-US"/>
              </w:rPr>
              <w:t>Eu activity (</w:t>
            </w:r>
            <w:proofErr w:type="spellStart"/>
            <w:r w:rsidRPr="00683813">
              <w:rPr>
                <w:lang w:val="en-US"/>
              </w:rPr>
              <w:t>kBq</w:t>
            </w:r>
            <w:proofErr w:type="spellEnd"/>
            <w:r w:rsidRPr="00683813">
              <w:rPr>
                <w:lang w:val="en-US"/>
              </w:rPr>
              <w:t>/kg)</w:t>
            </w:r>
          </w:p>
        </w:tc>
      </w:tr>
      <w:tr w:rsidR="005B1936" w:rsidRPr="00683813" w14:paraId="22051A35" w14:textId="0C5986B9" w:rsidTr="0078389B">
        <w:trPr>
          <w:jc w:val="center"/>
        </w:trPr>
        <w:tc>
          <w:tcPr>
            <w:tcW w:w="0" w:type="auto"/>
            <w:tcBorders>
              <w:top w:val="single" w:sz="4" w:space="0" w:color="auto"/>
            </w:tcBorders>
          </w:tcPr>
          <w:p w14:paraId="65F7ED0E" w14:textId="77777777" w:rsidR="0078389B" w:rsidRPr="00683813" w:rsidRDefault="0078389B" w:rsidP="00860554">
            <w:pPr>
              <w:pStyle w:val="BodyText"/>
              <w:ind w:firstLine="0"/>
              <w:rPr>
                <w:lang w:val="en-US"/>
              </w:rPr>
            </w:pPr>
            <w:r w:rsidRPr="00683813">
              <w:rPr>
                <w:lang w:val="en-US"/>
              </w:rPr>
              <w:t>A</w:t>
            </w:r>
          </w:p>
        </w:tc>
        <w:tc>
          <w:tcPr>
            <w:tcW w:w="0" w:type="auto"/>
            <w:tcBorders>
              <w:top w:val="single" w:sz="4" w:space="0" w:color="auto"/>
            </w:tcBorders>
          </w:tcPr>
          <w:p w14:paraId="734E1750" w14:textId="2507CFF5" w:rsidR="0078389B" w:rsidRPr="00683813" w:rsidRDefault="005B1936" w:rsidP="00860554">
            <w:pPr>
              <w:pStyle w:val="BodyText"/>
              <w:ind w:firstLine="0"/>
              <w:jc w:val="center"/>
              <w:rPr>
                <w:lang w:val="en-US"/>
              </w:rPr>
            </w:pPr>
            <w:r w:rsidRPr="00683813">
              <w:rPr>
                <w:lang w:val="en-US"/>
              </w:rPr>
              <w:fldChar w:fldCharType="begin"/>
            </w:r>
            <w:r w:rsidR="00FD3682">
              <w:rPr>
                <w:lang w:val="en-US"/>
              </w:rPr>
              <w:instrText xml:space="preserve"> ADDIN EN.CITE &lt;EndNote&gt;&lt;Cite&gt;&lt;Author&gt;Calandrino&lt;/Author&gt;&lt;Year&gt;2006&lt;/Year&gt;&lt;RecNum&gt;10&lt;/RecNum&gt;&lt;DisplayText&gt;[14]&lt;/DisplayText&gt;&lt;record&gt;&lt;rec-number&gt;10&lt;/rec-number&gt;&lt;foreign-keys&gt;&lt;key app="EN" db-id="5saed0xvzv9sz3et5fqvz29i0ftadf2wd50r" timestamp="1663848056"&gt;10&lt;/key&gt;&lt;/foreign-keys&gt;&lt;ref-type name="Journal Article"&gt;17&lt;/ref-type&gt;&lt;contributors&gt;&lt;authors&gt;&lt;author&gt;Calandrino, R&lt;/author&gt;&lt;author&gt;Del Vecchio, A&lt;/author&gt;&lt;author&gt;Savi, A&lt;/author&gt;&lt;author&gt;Todde, S&lt;/author&gt;&lt;author&gt;Griffoni, V&lt;/author&gt;&lt;author&gt;Brambilla, S&lt;/author&gt;&lt;author&gt;Parisi, R&lt;/author&gt;&lt;author&gt;Simone, G&lt;/author&gt;&lt;author&gt;Fazio, F&lt;/author&gt;&lt;/authors&gt;&lt;/contributors&gt;&lt;titles&gt;&lt;title&gt;Decommissioning procedures for an 11 MeV self-shielded medical cyclotron after 16 years of working time&lt;/title&gt;&lt;secondary-title&gt;Health physics&lt;/secondary-title&gt;&lt;/titles&gt;&lt;periodical&gt;&lt;full-title&gt;Health physics&lt;/full-title&gt;&lt;/periodical&gt;&lt;pages&gt;588-596&lt;/pages&gt;&lt;volume&gt;90&lt;/volume&gt;&lt;number&gt;6&lt;/number&gt;&lt;dates&gt;&lt;year&gt;2006&lt;/year&gt;&lt;/dates&gt;&lt;isbn&gt;0017-9078&lt;/isbn&gt;&lt;urls&gt;&lt;/urls&gt;&lt;/record&gt;&lt;/Cite&gt;&lt;/EndNote&gt;</w:instrText>
            </w:r>
            <w:r w:rsidRPr="00683813">
              <w:rPr>
                <w:lang w:val="en-US"/>
              </w:rPr>
              <w:fldChar w:fldCharType="separate"/>
            </w:r>
            <w:r w:rsidR="00FD3682">
              <w:rPr>
                <w:noProof/>
                <w:lang w:val="en-US"/>
              </w:rPr>
              <w:t>[14]</w:t>
            </w:r>
            <w:r w:rsidRPr="00683813">
              <w:rPr>
                <w:lang w:val="en-US"/>
              </w:rPr>
              <w:fldChar w:fldCharType="end"/>
            </w:r>
          </w:p>
        </w:tc>
        <w:tc>
          <w:tcPr>
            <w:tcW w:w="0" w:type="auto"/>
            <w:tcBorders>
              <w:top w:val="single" w:sz="4" w:space="0" w:color="auto"/>
            </w:tcBorders>
          </w:tcPr>
          <w:p w14:paraId="15E1411D" w14:textId="31603733" w:rsidR="0078389B" w:rsidRPr="00683813" w:rsidRDefault="0078389B" w:rsidP="00860554">
            <w:pPr>
              <w:pStyle w:val="BodyText"/>
              <w:ind w:firstLine="0"/>
              <w:jc w:val="center"/>
              <w:rPr>
                <w:lang w:val="en-US"/>
              </w:rPr>
            </w:pPr>
            <w:r w:rsidRPr="00683813">
              <w:rPr>
                <w:lang w:val="en-US"/>
              </w:rPr>
              <w:t xml:space="preserve">1 </w:t>
            </w:r>
            <w:r w:rsidRPr="00683813">
              <w:rPr>
                <w:lang w:val="en-US"/>
              </w:rPr>
              <w:sym w:font="Wingdings" w:char="F09E"/>
            </w:r>
            <w:r w:rsidRPr="00683813">
              <w:rPr>
                <w:lang w:val="en-US"/>
              </w:rPr>
              <w:t xml:space="preserve"> 10</w:t>
            </w:r>
            <w:r w:rsidRPr="00683813">
              <w:rPr>
                <w:vertAlign w:val="superscript"/>
                <w:lang w:val="en-US"/>
              </w:rPr>
              <w:t>-2</w:t>
            </w:r>
          </w:p>
        </w:tc>
        <w:tc>
          <w:tcPr>
            <w:tcW w:w="0" w:type="auto"/>
            <w:tcBorders>
              <w:top w:val="single" w:sz="4" w:space="0" w:color="auto"/>
            </w:tcBorders>
          </w:tcPr>
          <w:p w14:paraId="7D8BC27C" w14:textId="1DE4577E" w:rsidR="0078389B" w:rsidRPr="00683813" w:rsidRDefault="0078389B" w:rsidP="00860554">
            <w:pPr>
              <w:pStyle w:val="BodyText"/>
              <w:ind w:firstLine="0"/>
              <w:jc w:val="center"/>
              <w:rPr>
                <w:lang w:val="en-US"/>
              </w:rPr>
            </w:pPr>
            <w:r w:rsidRPr="00683813">
              <w:rPr>
                <w:lang w:val="en-US"/>
              </w:rPr>
              <w:t xml:space="preserve">4 </w:t>
            </w:r>
            <w:r w:rsidRPr="00683813">
              <w:rPr>
                <w:lang w:val="en-US"/>
              </w:rPr>
              <w:sym w:font="Wingdings" w:char="F09E"/>
            </w:r>
            <w:r w:rsidRPr="00683813">
              <w:rPr>
                <w:lang w:val="en-US"/>
              </w:rPr>
              <w:t xml:space="preserve"> 10</w:t>
            </w:r>
            <w:r w:rsidRPr="00683813">
              <w:rPr>
                <w:vertAlign w:val="superscript"/>
                <w:lang w:val="en-US"/>
              </w:rPr>
              <w:t>-2</w:t>
            </w:r>
          </w:p>
        </w:tc>
        <w:tc>
          <w:tcPr>
            <w:tcW w:w="0" w:type="auto"/>
            <w:tcBorders>
              <w:top w:val="single" w:sz="4" w:space="0" w:color="auto"/>
            </w:tcBorders>
          </w:tcPr>
          <w:p w14:paraId="75B0FDCA" w14:textId="044BD35E" w:rsidR="0078389B" w:rsidRPr="00683813" w:rsidRDefault="0078389B" w:rsidP="00860554">
            <w:pPr>
              <w:pStyle w:val="BodyText"/>
              <w:ind w:firstLine="0"/>
              <w:jc w:val="center"/>
              <w:rPr>
                <w:lang w:val="en-US"/>
              </w:rPr>
            </w:pPr>
          </w:p>
        </w:tc>
        <w:tc>
          <w:tcPr>
            <w:tcW w:w="0" w:type="auto"/>
            <w:tcBorders>
              <w:top w:val="single" w:sz="4" w:space="0" w:color="auto"/>
            </w:tcBorders>
          </w:tcPr>
          <w:p w14:paraId="1218A431" w14:textId="1D4A60BE" w:rsidR="0078389B" w:rsidRPr="00683813" w:rsidRDefault="0078389B" w:rsidP="00860554">
            <w:pPr>
              <w:pStyle w:val="BodyText"/>
              <w:ind w:firstLine="0"/>
              <w:jc w:val="center"/>
              <w:rPr>
                <w:lang w:val="en-US"/>
              </w:rPr>
            </w:pPr>
            <w:r w:rsidRPr="00683813">
              <w:rPr>
                <w:lang w:val="en-US"/>
              </w:rPr>
              <w:t xml:space="preserve">7 </w:t>
            </w:r>
            <w:r w:rsidRPr="00683813">
              <w:rPr>
                <w:lang w:val="en-US"/>
              </w:rPr>
              <w:sym w:font="Wingdings" w:char="F09E"/>
            </w:r>
            <w:r w:rsidRPr="00683813">
              <w:rPr>
                <w:lang w:val="en-US"/>
              </w:rPr>
              <w:t xml:space="preserve"> 10</w:t>
            </w:r>
            <w:r w:rsidRPr="00683813">
              <w:rPr>
                <w:vertAlign w:val="superscript"/>
                <w:lang w:val="en-US"/>
              </w:rPr>
              <w:t>-2</w:t>
            </w:r>
          </w:p>
        </w:tc>
        <w:tc>
          <w:tcPr>
            <w:tcW w:w="0" w:type="auto"/>
            <w:tcBorders>
              <w:top w:val="single" w:sz="4" w:space="0" w:color="auto"/>
            </w:tcBorders>
          </w:tcPr>
          <w:p w14:paraId="619213A3" w14:textId="64637FC2" w:rsidR="0078389B" w:rsidRPr="00683813" w:rsidRDefault="0078389B" w:rsidP="00860554">
            <w:pPr>
              <w:pStyle w:val="BodyText"/>
              <w:ind w:firstLine="0"/>
              <w:jc w:val="center"/>
              <w:rPr>
                <w:lang w:val="en-US"/>
              </w:rPr>
            </w:pPr>
            <w:r w:rsidRPr="00683813">
              <w:rPr>
                <w:lang w:val="en-US"/>
              </w:rPr>
              <w:t xml:space="preserve">8 </w:t>
            </w:r>
            <w:r w:rsidRPr="00683813">
              <w:rPr>
                <w:lang w:val="en-US"/>
              </w:rPr>
              <w:sym w:font="Wingdings" w:char="F09E"/>
            </w:r>
            <w:r w:rsidRPr="00683813">
              <w:rPr>
                <w:lang w:val="en-US"/>
              </w:rPr>
              <w:t xml:space="preserve"> 10</w:t>
            </w:r>
            <w:r w:rsidRPr="00683813">
              <w:rPr>
                <w:vertAlign w:val="superscript"/>
                <w:lang w:val="en-US"/>
              </w:rPr>
              <w:t>-3</w:t>
            </w:r>
          </w:p>
        </w:tc>
      </w:tr>
      <w:tr w:rsidR="005B1936" w:rsidRPr="00683813" w14:paraId="72768DC9" w14:textId="3C084967" w:rsidTr="0078389B">
        <w:trPr>
          <w:jc w:val="center"/>
        </w:trPr>
        <w:tc>
          <w:tcPr>
            <w:tcW w:w="0" w:type="auto"/>
          </w:tcPr>
          <w:p w14:paraId="38CB256B" w14:textId="77777777" w:rsidR="0078389B" w:rsidRPr="00683813" w:rsidRDefault="0078389B" w:rsidP="00860554">
            <w:pPr>
              <w:pStyle w:val="BodyText"/>
              <w:ind w:firstLine="0"/>
              <w:rPr>
                <w:lang w:val="en-US"/>
              </w:rPr>
            </w:pPr>
            <w:r w:rsidRPr="00683813">
              <w:rPr>
                <w:lang w:val="en-US"/>
              </w:rPr>
              <w:t>A</w:t>
            </w:r>
          </w:p>
        </w:tc>
        <w:tc>
          <w:tcPr>
            <w:tcW w:w="0" w:type="auto"/>
          </w:tcPr>
          <w:p w14:paraId="64673C41" w14:textId="4D647D18" w:rsidR="0078389B" w:rsidRPr="00683813" w:rsidRDefault="005B1936" w:rsidP="00860554">
            <w:pPr>
              <w:pStyle w:val="BodyText"/>
              <w:ind w:firstLine="0"/>
              <w:jc w:val="center"/>
              <w:rPr>
                <w:b/>
                <w:bCs/>
                <w:lang w:val="en-US"/>
              </w:rPr>
            </w:pPr>
            <w:r w:rsidRPr="00683813">
              <w:rPr>
                <w:lang w:val="en-US"/>
              </w:rPr>
              <w:fldChar w:fldCharType="begin"/>
            </w:r>
            <w:r w:rsidR="00FD3682">
              <w:rPr>
                <w:lang w:val="en-US"/>
              </w:rPr>
              <w:instrText xml:space="preserve"> ADDIN EN.CITE &lt;EndNote&gt;&lt;Cite&gt;&lt;Author&gt;Wang&lt;/Author&gt;&lt;Year&gt;2007&lt;/Year&gt;&lt;RecNum&gt;38&lt;/RecNum&gt;&lt;DisplayText&gt;[19]&lt;/DisplayText&gt;&lt;record&gt;&lt;rec-number&gt;38&lt;/rec-number&gt;&lt;foreign-keys&gt;&lt;key app="EN" db-id="5saed0xvzv9sz3et5fqvz29i0ftadf2wd50r" timestamp="1667222852"&gt;38&lt;/key&gt;&lt;/foreign-keys&gt;&lt;ref-type name="Journal Article"&gt;17&lt;/ref-type&gt;&lt;contributors&gt;&lt;authors&gt;&lt;author&gt;Wang, Q&lt;/author&gt;&lt;author&gt;Masumoto, K&lt;/author&gt;&lt;author&gt;Bessho, K&lt;/author&gt;&lt;author&gt;Matsumura, H&lt;/author&gt;&lt;author&gt;Miura, T&lt;/author&gt;&lt;author&gt;Shibata, T&lt;/author&gt;&lt;/authors&gt;&lt;/contributors&gt;&lt;titles&gt;&lt;title&gt;Evaluation of the radioactivity in concrete from accelerator facilities&lt;/title&gt;&lt;secondary-title&gt;Journal of radioanalytical and nuclear chemistry&lt;/secondary-title&gt;&lt;/titles&gt;&lt;periodical&gt;&lt;full-title&gt;Journal of radioanalytical and nuclear chemistry&lt;/full-title&gt;&lt;/periodical&gt;&lt;pages&gt;55-58&lt;/pages&gt;&lt;volume&gt;273&lt;/volume&gt;&lt;number&gt;1&lt;/number&gt;&lt;dates&gt;&lt;year&gt;2007&lt;/year&gt;&lt;/dates&gt;&lt;isbn&gt;0236-5731&lt;/isbn&gt;&lt;urls&gt;&lt;/urls&gt;&lt;/record&gt;&lt;/Cite&gt;&lt;/EndNote&gt;</w:instrText>
            </w:r>
            <w:r w:rsidRPr="00683813">
              <w:rPr>
                <w:lang w:val="en-US"/>
              </w:rPr>
              <w:fldChar w:fldCharType="separate"/>
            </w:r>
            <w:r w:rsidR="00FD3682">
              <w:rPr>
                <w:noProof/>
                <w:lang w:val="en-US"/>
              </w:rPr>
              <w:t>[19]</w:t>
            </w:r>
            <w:r w:rsidRPr="00683813">
              <w:rPr>
                <w:lang w:val="en-US"/>
              </w:rPr>
              <w:fldChar w:fldCharType="end"/>
            </w:r>
            <w:r w:rsidRPr="00683813">
              <w:rPr>
                <w:lang w:val="en-US"/>
              </w:rPr>
              <w:t xml:space="preserve"> </w:t>
            </w:r>
            <w:r w:rsidRPr="00683813">
              <w:rPr>
                <w:b/>
                <w:bCs/>
                <w:lang w:val="en-US"/>
              </w:rPr>
              <w:t>1</w:t>
            </w:r>
          </w:p>
        </w:tc>
        <w:tc>
          <w:tcPr>
            <w:tcW w:w="0" w:type="auto"/>
          </w:tcPr>
          <w:p w14:paraId="677F8744" w14:textId="639531B1" w:rsidR="0078389B" w:rsidRPr="00683813" w:rsidRDefault="00CF0AC7" w:rsidP="00860554">
            <w:pPr>
              <w:pStyle w:val="BodyText"/>
              <w:ind w:firstLine="0"/>
              <w:jc w:val="center"/>
              <w:rPr>
                <w:lang w:val="en-US"/>
              </w:rPr>
            </w:pPr>
            <w:r w:rsidRPr="00683813">
              <w:rPr>
                <w:lang w:val="en-US"/>
              </w:rPr>
              <w:t xml:space="preserve">5 </w:t>
            </w:r>
            <w:r w:rsidRPr="00683813">
              <w:rPr>
                <w:lang w:val="en-US"/>
              </w:rPr>
              <w:sym w:font="Wingdings" w:char="F09E"/>
            </w:r>
            <w:r w:rsidRPr="00683813">
              <w:rPr>
                <w:lang w:val="en-US"/>
              </w:rPr>
              <w:t xml:space="preserve"> 10</w:t>
            </w:r>
            <w:r w:rsidRPr="00683813">
              <w:rPr>
                <w:vertAlign w:val="superscript"/>
                <w:lang w:val="en-US"/>
              </w:rPr>
              <w:t>-4</w:t>
            </w:r>
          </w:p>
        </w:tc>
        <w:tc>
          <w:tcPr>
            <w:tcW w:w="0" w:type="auto"/>
          </w:tcPr>
          <w:p w14:paraId="22752CFF" w14:textId="38AAE4D1" w:rsidR="0078389B" w:rsidRPr="00683813" w:rsidRDefault="00CF0AC7" w:rsidP="00860554">
            <w:pPr>
              <w:pStyle w:val="BodyText"/>
              <w:ind w:firstLine="0"/>
              <w:jc w:val="center"/>
              <w:rPr>
                <w:lang w:val="en-US"/>
              </w:rPr>
            </w:pPr>
            <w:r w:rsidRPr="00683813">
              <w:rPr>
                <w:lang w:val="en-US"/>
              </w:rPr>
              <w:t xml:space="preserve">5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044BFEB1" w14:textId="397B94AD" w:rsidR="0078389B" w:rsidRPr="00683813" w:rsidRDefault="00CF0AC7" w:rsidP="00860554">
            <w:pPr>
              <w:pStyle w:val="BodyText"/>
              <w:ind w:firstLine="0"/>
              <w:jc w:val="center"/>
              <w:rPr>
                <w:lang w:val="en-US"/>
              </w:rPr>
            </w:pPr>
            <w:r w:rsidRPr="00683813">
              <w:rPr>
                <w:lang w:val="en-US"/>
              </w:rPr>
              <w:t xml:space="preserve">9 </w:t>
            </w:r>
            <w:r w:rsidRPr="00683813">
              <w:rPr>
                <w:lang w:val="en-US"/>
              </w:rPr>
              <w:sym w:font="Wingdings" w:char="F09E"/>
            </w:r>
            <w:r w:rsidRPr="00683813">
              <w:rPr>
                <w:lang w:val="en-US"/>
              </w:rPr>
              <w:t xml:space="preserve"> 10</w:t>
            </w:r>
            <w:r w:rsidRPr="00683813">
              <w:rPr>
                <w:vertAlign w:val="superscript"/>
                <w:lang w:val="en-US"/>
              </w:rPr>
              <w:t>-4</w:t>
            </w:r>
          </w:p>
        </w:tc>
        <w:tc>
          <w:tcPr>
            <w:tcW w:w="0" w:type="auto"/>
          </w:tcPr>
          <w:p w14:paraId="2D4BBA05" w14:textId="0522C5A5" w:rsidR="0078389B" w:rsidRPr="00683813" w:rsidRDefault="00CF0AC7" w:rsidP="00860554">
            <w:pPr>
              <w:pStyle w:val="BodyText"/>
              <w:ind w:firstLine="0"/>
              <w:jc w:val="center"/>
              <w:rPr>
                <w:lang w:val="en-US"/>
              </w:rPr>
            </w:pPr>
            <w:r w:rsidRPr="00683813">
              <w:rPr>
                <w:lang w:val="en-US"/>
              </w:rPr>
              <w:t xml:space="preserve">2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24F4D18E" w14:textId="77777777" w:rsidR="0078389B" w:rsidRPr="00683813" w:rsidRDefault="0078389B" w:rsidP="00860554">
            <w:pPr>
              <w:pStyle w:val="BodyText"/>
              <w:ind w:firstLine="0"/>
              <w:jc w:val="center"/>
              <w:rPr>
                <w:lang w:val="en-US"/>
              </w:rPr>
            </w:pPr>
          </w:p>
        </w:tc>
      </w:tr>
      <w:tr w:rsidR="005B1936" w:rsidRPr="00683813" w14:paraId="066366EF" w14:textId="5F1805F5" w:rsidTr="0078389B">
        <w:trPr>
          <w:jc w:val="center"/>
        </w:trPr>
        <w:tc>
          <w:tcPr>
            <w:tcW w:w="0" w:type="auto"/>
          </w:tcPr>
          <w:p w14:paraId="492A4EC8" w14:textId="77777777" w:rsidR="0078389B" w:rsidRPr="00683813" w:rsidRDefault="0078389B" w:rsidP="00860554">
            <w:pPr>
              <w:pStyle w:val="BodyText"/>
              <w:ind w:firstLine="0"/>
              <w:rPr>
                <w:lang w:val="en-US"/>
              </w:rPr>
            </w:pPr>
            <w:r w:rsidRPr="00683813">
              <w:rPr>
                <w:lang w:val="en-US"/>
              </w:rPr>
              <w:t>A</w:t>
            </w:r>
          </w:p>
        </w:tc>
        <w:tc>
          <w:tcPr>
            <w:tcW w:w="0" w:type="auto"/>
          </w:tcPr>
          <w:p w14:paraId="771D24BF" w14:textId="40CEE247" w:rsidR="0078389B" w:rsidRPr="00683813" w:rsidRDefault="005B1936" w:rsidP="00860554">
            <w:pPr>
              <w:pStyle w:val="BodyText"/>
              <w:ind w:firstLine="0"/>
              <w:jc w:val="center"/>
              <w:rPr>
                <w:lang w:val="en-US"/>
              </w:rPr>
            </w:pPr>
            <w:r w:rsidRPr="00683813">
              <w:rPr>
                <w:lang w:val="en-US"/>
              </w:rPr>
              <w:fldChar w:fldCharType="begin"/>
            </w:r>
            <w:r w:rsidR="00FD3682">
              <w:rPr>
                <w:lang w:val="en-US"/>
              </w:rPr>
              <w:instrText xml:space="preserve"> ADDIN EN.CITE &lt;EndNote&gt;&lt;Cite&gt;&lt;Author&gt;Fujibuchi&lt;/Author&gt;&lt;Year&gt;2015&lt;/Year&gt;&lt;RecNum&gt;15&lt;/RecNum&gt;&lt;DisplayText&gt;[20]&lt;/DisplayText&gt;&lt;record&gt;&lt;rec-number&gt;15&lt;/rec-number&gt;&lt;foreign-keys&gt;&lt;key app="EN" db-id="5saed0xvzv9sz3et5fqvz29i0ftadf2wd50r" timestamp="1663928332"&gt;15&lt;/key&gt;&lt;/foreign-keys&gt;&lt;ref-type name="Journal Article"&gt;17&lt;/ref-type&gt;&lt;contributors&gt;&lt;authors&gt;&lt;author&gt;Fujibuchi, Toshioh&lt;/author&gt;&lt;author&gt;Nohtomi, Akihiro&lt;/author&gt;&lt;author&gt;Baba, Shingo&lt;/author&gt;&lt;author&gt;Sasaki, Masayuki&lt;/author&gt;&lt;author&gt;Komiya, Isao&lt;/author&gt;&lt;author&gt;Umedzu, Yoshiyuki&lt;/author&gt;&lt;author&gt;Honda, Hiroshi&lt;/author&gt;&lt;/authors&gt;&lt;/contributors&gt;&lt;titles&gt;&lt;title&gt;Distribution of residual long-lived radioactivity in the inner concrete walls of a compact medical cyclotron vault room&lt;/title&gt;&lt;secondary-title&gt;Annals of nuclear medicine&lt;/secondary-title&gt;&lt;/titles&gt;&lt;periodical&gt;&lt;full-title&gt;Annals of nuclear medicine&lt;/full-title&gt;&lt;/periodical&gt;&lt;pages&gt;84-90&lt;/pages&gt;&lt;volume&gt;29&lt;/volume&gt;&lt;number&gt;1&lt;/number&gt;&lt;dates&gt;&lt;year&gt;2015&lt;/year&gt;&lt;/dates&gt;&lt;isbn&gt;1864-6433&lt;/isbn&gt;&lt;urls&gt;&lt;/urls&gt;&lt;/record&gt;&lt;/Cite&gt;&lt;/EndNote&gt;</w:instrText>
            </w:r>
            <w:r w:rsidRPr="00683813">
              <w:rPr>
                <w:lang w:val="en-US"/>
              </w:rPr>
              <w:fldChar w:fldCharType="separate"/>
            </w:r>
            <w:r w:rsidR="00FD3682">
              <w:rPr>
                <w:noProof/>
                <w:lang w:val="en-US"/>
              </w:rPr>
              <w:t>[20]</w:t>
            </w:r>
            <w:r w:rsidRPr="00683813">
              <w:rPr>
                <w:lang w:val="en-US"/>
              </w:rPr>
              <w:fldChar w:fldCharType="end"/>
            </w:r>
          </w:p>
        </w:tc>
        <w:tc>
          <w:tcPr>
            <w:tcW w:w="0" w:type="auto"/>
          </w:tcPr>
          <w:p w14:paraId="3417A847" w14:textId="0880BC82" w:rsidR="0078389B" w:rsidRPr="00683813" w:rsidRDefault="0078389B" w:rsidP="00860554">
            <w:pPr>
              <w:pStyle w:val="BodyText"/>
              <w:ind w:firstLine="0"/>
              <w:jc w:val="center"/>
              <w:rPr>
                <w:lang w:val="en-US"/>
              </w:rPr>
            </w:pPr>
          </w:p>
        </w:tc>
        <w:tc>
          <w:tcPr>
            <w:tcW w:w="0" w:type="auto"/>
          </w:tcPr>
          <w:p w14:paraId="0A9F6D0F" w14:textId="1DA99148" w:rsidR="0078389B" w:rsidRPr="00683813" w:rsidRDefault="00CF0AC7" w:rsidP="00860554">
            <w:pPr>
              <w:pStyle w:val="BodyText"/>
              <w:ind w:firstLine="0"/>
              <w:jc w:val="center"/>
              <w:rPr>
                <w:lang w:val="en-US"/>
              </w:rPr>
            </w:pPr>
            <w:r w:rsidRPr="00683813">
              <w:rPr>
                <w:lang w:val="en-US"/>
              </w:rPr>
              <w:t xml:space="preserve">2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212793F2" w14:textId="52249622" w:rsidR="0078389B" w:rsidRPr="00683813" w:rsidRDefault="0078389B" w:rsidP="00860554">
            <w:pPr>
              <w:pStyle w:val="BodyText"/>
              <w:ind w:firstLine="0"/>
              <w:jc w:val="center"/>
              <w:rPr>
                <w:lang w:val="en-US"/>
              </w:rPr>
            </w:pPr>
          </w:p>
        </w:tc>
        <w:tc>
          <w:tcPr>
            <w:tcW w:w="0" w:type="auto"/>
          </w:tcPr>
          <w:p w14:paraId="2E6C0D8E" w14:textId="2A40D3D7" w:rsidR="0078389B" w:rsidRPr="00683813" w:rsidRDefault="00CF0AC7" w:rsidP="00860554">
            <w:pPr>
              <w:pStyle w:val="BodyText"/>
              <w:ind w:firstLine="0"/>
              <w:jc w:val="center"/>
              <w:rPr>
                <w:lang w:val="en-US"/>
              </w:rPr>
            </w:pPr>
            <w:r w:rsidRPr="00683813">
              <w:rPr>
                <w:lang w:val="en-US"/>
              </w:rPr>
              <w:t xml:space="preserve">2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37A96BE2" w14:textId="77777777" w:rsidR="0078389B" w:rsidRPr="00683813" w:rsidRDefault="0078389B" w:rsidP="00860554">
            <w:pPr>
              <w:pStyle w:val="BodyText"/>
              <w:ind w:firstLine="0"/>
              <w:jc w:val="center"/>
              <w:rPr>
                <w:lang w:val="en-US"/>
              </w:rPr>
            </w:pPr>
          </w:p>
        </w:tc>
      </w:tr>
      <w:tr w:rsidR="005B1936" w:rsidRPr="00683813" w14:paraId="116A119F" w14:textId="799C9BCF" w:rsidTr="0078389B">
        <w:trPr>
          <w:jc w:val="center"/>
        </w:trPr>
        <w:tc>
          <w:tcPr>
            <w:tcW w:w="0" w:type="auto"/>
          </w:tcPr>
          <w:p w14:paraId="2E70A542" w14:textId="77777777" w:rsidR="0078389B" w:rsidRPr="00683813" w:rsidRDefault="0078389B" w:rsidP="00860554">
            <w:pPr>
              <w:pStyle w:val="BodyText"/>
              <w:ind w:firstLine="0"/>
              <w:rPr>
                <w:lang w:val="en-US"/>
              </w:rPr>
            </w:pPr>
            <w:r w:rsidRPr="00683813">
              <w:rPr>
                <w:lang w:val="en-US"/>
              </w:rPr>
              <w:t>B</w:t>
            </w:r>
          </w:p>
        </w:tc>
        <w:tc>
          <w:tcPr>
            <w:tcW w:w="0" w:type="auto"/>
          </w:tcPr>
          <w:p w14:paraId="3280A4ED" w14:textId="21BBB801" w:rsidR="0078389B" w:rsidRPr="00683813" w:rsidRDefault="005B1936" w:rsidP="00860554">
            <w:pPr>
              <w:pStyle w:val="BodyText"/>
              <w:ind w:firstLine="0"/>
              <w:jc w:val="center"/>
              <w:rPr>
                <w:lang w:val="en-US"/>
              </w:rPr>
            </w:pPr>
            <w:r w:rsidRPr="00683813">
              <w:rPr>
                <w:lang w:val="en-US"/>
              </w:rPr>
              <w:fldChar w:fldCharType="begin"/>
            </w:r>
            <w:r w:rsidR="00FD3682">
              <w:rPr>
                <w:lang w:val="en-US"/>
              </w:rPr>
              <w:instrText xml:space="preserve"> ADDIN EN.CITE &lt;EndNote&gt;&lt;Cite&gt;&lt;Author&gt;Sunderland&lt;/Author&gt;&lt;Year&gt;2012&lt;/Year&gt;&lt;RecNum&gt;16&lt;/RecNum&gt;&lt;DisplayText&gt;[21]&lt;/DisplayText&gt;&lt;record&gt;&lt;rec-number&gt;16&lt;/rec-number&gt;&lt;foreign-keys&gt;&lt;key app="EN" db-id="5saed0xvzv9sz3et5fqvz29i0ftadf2wd50r" timestamp="1663928527"&gt;16&lt;/key&gt;&lt;/foreign-keys&gt;&lt;ref-type name="Conference Proceedings"&gt;10&lt;/ref-type&gt;&lt;contributors&gt;&lt;authors&gt;&lt;author&gt;Sunderland, JJ&lt;/author&gt;&lt;author&gt;Erdahl, CE&lt;/author&gt;&lt;author&gt;Bender, BR&lt;/author&gt;&lt;author&gt;Sensoy, L&lt;/author&gt;&lt;author&gt;Watkins, GL&lt;/author&gt;&lt;/authors&gt;&lt;/contributors&gt;&lt;titles&gt;&lt;title&gt;Considerations, measurements and logistics associated with low-energy cyclotron decommissioning&lt;/title&gt;&lt;secondary-title&gt;AIP Conference Proceedings&lt;/secondary-title&gt;&lt;/titles&gt;&lt;pages&gt;16-20&lt;/pages&gt;&lt;volume&gt;1509&lt;/volume&gt;&lt;number&gt;1&lt;/number&gt;&lt;dates&gt;&lt;year&gt;2012&lt;/year&gt;&lt;/dates&gt;&lt;publisher&gt;American Institute of Physics&lt;/publisher&gt;&lt;isbn&gt;0735411271&lt;/isbn&gt;&lt;urls&gt;&lt;/urls&gt;&lt;/record&gt;&lt;/Cite&gt;&lt;/EndNote&gt;</w:instrText>
            </w:r>
            <w:r w:rsidRPr="00683813">
              <w:rPr>
                <w:lang w:val="en-US"/>
              </w:rPr>
              <w:fldChar w:fldCharType="separate"/>
            </w:r>
            <w:r w:rsidR="00FD3682">
              <w:rPr>
                <w:noProof/>
                <w:lang w:val="en-US"/>
              </w:rPr>
              <w:t>[21]</w:t>
            </w:r>
            <w:r w:rsidRPr="00683813">
              <w:rPr>
                <w:lang w:val="en-US"/>
              </w:rPr>
              <w:fldChar w:fldCharType="end"/>
            </w:r>
          </w:p>
        </w:tc>
        <w:tc>
          <w:tcPr>
            <w:tcW w:w="0" w:type="auto"/>
          </w:tcPr>
          <w:p w14:paraId="0C43EAAC" w14:textId="4370846B" w:rsidR="0078389B" w:rsidRPr="00683813" w:rsidRDefault="00CF0AC7" w:rsidP="00860554">
            <w:pPr>
              <w:pStyle w:val="BodyText"/>
              <w:ind w:firstLine="0"/>
              <w:jc w:val="center"/>
              <w:rPr>
                <w:lang w:val="en-US"/>
              </w:rPr>
            </w:pPr>
            <w:r w:rsidRPr="00683813">
              <w:rPr>
                <w:lang w:val="en-US"/>
              </w:rPr>
              <w:t xml:space="preserve">2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248E8268" w14:textId="4056C645" w:rsidR="0078389B" w:rsidRPr="00683813" w:rsidRDefault="00CF0AC7" w:rsidP="00860554">
            <w:pPr>
              <w:pStyle w:val="BodyText"/>
              <w:ind w:firstLine="0"/>
              <w:jc w:val="center"/>
              <w:rPr>
                <w:lang w:val="en-US"/>
              </w:rPr>
            </w:pPr>
            <w:r w:rsidRPr="00683813">
              <w:rPr>
                <w:lang w:val="en-US"/>
              </w:rPr>
              <w:t xml:space="preserve">7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0A2D92EC" w14:textId="0077C046" w:rsidR="0078389B" w:rsidRPr="00683813" w:rsidRDefault="00CF0AC7" w:rsidP="00860554">
            <w:pPr>
              <w:pStyle w:val="BodyText"/>
              <w:ind w:firstLine="0"/>
              <w:jc w:val="center"/>
              <w:rPr>
                <w:lang w:val="en-US"/>
              </w:rPr>
            </w:pPr>
            <w:r w:rsidRPr="00683813">
              <w:rPr>
                <w:lang w:val="en-US"/>
              </w:rPr>
              <w:t xml:space="preserve">5 </w:t>
            </w:r>
            <w:r w:rsidRPr="00683813">
              <w:rPr>
                <w:lang w:val="en-US"/>
              </w:rPr>
              <w:sym w:font="Wingdings" w:char="F09E"/>
            </w:r>
            <w:r w:rsidRPr="00683813">
              <w:rPr>
                <w:lang w:val="en-US"/>
              </w:rPr>
              <w:t xml:space="preserve"> 10</w:t>
            </w:r>
            <w:r w:rsidRPr="00683813">
              <w:rPr>
                <w:vertAlign w:val="superscript"/>
                <w:lang w:val="en-US"/>
              </w:rPr>
              <w:t>-3</w:t>
            </w:r>
          </w:p>
        </w:tc>
        <w:tc>
          <w:tcPr>
            <w:tcW w:w="0" w:type="auto"/>
          </w:tcPr>
          <w:p w14:paraId="71516ADB" w14:textId="6AC1031B" w:rsidR="0078389B" w:rsidRPr="00683813" w:rsidRDefault="00CF0AC7" w:rsidP="00860554">
            <w:pPr>
              <w:pStyle w:val="BodyText"/>
              <w:ind w:firstLine="0"/>
              <w:jc w:val="center"/>
              <w:rPr>
                <w:lang w:val="en-US"/>
              </w:rPr>
            </w:pPr>
            <w:r w:rsidRPr="00683813">
              <w:rPr>
                <w:lang w:val="en-US"/>
              </w:rPr>
              <w:t xml:space="preserve">8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081244D2" w14:textId="62978D3F" w:rsidR="0078389B" w:rsidRPr="00683813" w:rsidRDefault="00CF0AC7" w:rsidP="00860554">
            <w:pPr>
              <w:pStyle w:val="BodyText"/>
              <w:ind w:firstLine="0"/>
              <w:jc w:val="center"/>
              <w:rPr>
                <w:lang w:val="en-US"/>
              </w:rPr>
            </w:pPr>
            <w:r w:rsidRPr="00683813">
              <w:rPr>
                <w:lang w:val="en-US"/>
              </w:rPr>
              <w:t xml:space="preserve">1 </w:t>
            </w:r>
            <w:r w:rsidRPr="00683813">
              <w:rPr>
                <w:lang w:val="en-US"/>
              </w:rPr>
              <w:sym w:font="Wingdings" w:char="F09E"/>
            </w:r>
            <w:r w:rsidRPr="00683813">
              <w:rPr>
                <w:lang w:val="en-US"/>
              </w:rPr>
              <w:t xml:space="preserve"> 10</w:t>
            </w:r>
            <w:r w:rsidRPr="00683813">
              <w:rPr>
                <w:vertAlign w:val="superscript"/>
                <w:lang w:val="en-US"/>
              </w:rPr>
              <w:t>-2</w:t>
            </w:r>
          </w:p>
        </w:tc>
      </w:tr>
      <w:tr w:rsidR="005B1936" w:rsidRPr="00683813" w14:paraId="35F97CC0" w14:textId="3FE6E011" w:rsidTr="0078389B">
        <w:trPr>
          <w:jc w:val="center"/>
        </w:trPr>
        <w:tc>
          <w:tcPr>
            <w:tcW w:w="0" w:type="auto"/>
          </w:tcPr>
          <w:p w14:paraId="2D32C8D8" w14:textId="6A748F49" w:rsidR="0078389B" w:rsidRPr="00683813" w:rsidRDefault="0078389B" w:rsidP="00860554">
            <w:pPr>
              <w:pStyle w:val="BodyText"/>
              <w:ind w:firstLine="0"/>
              <w:rPr>
                <w:lang w:val="en-US"/>
              </w:rPr>
            </w:pPr>
            <w:r w:rsidRPr="00683813">
              <w:rPr>
                <w:lang w:val="en-US"/>
              </w:rPr>
              <w:t>C</w:t>
            </w:r>
          </w:p>
        </w:tc>
        <w:tc>
          <w:tcPr>
            <w:tcW w:w="0" w:type="auto"/>
          </w:tcPr>
          <w:p w14:paraId="104FD645" w14:textId="789C68EA" w:rsidR="0078389B" w:rsidRPr="00683813" w:rsidRDefault="005B1936" w:rsidP="00860554">
            <w:pPr>
              <w:pStyle w:val="BodyText"/>
              <w:ind w:firstLine="0"/>
              <w:jc w:val="center"/>
              <w:rPr>
                <w:lang w:val="en-US"/>
              </w:rPr>
            </w:pPr>
            <w:r w:rsidRPr="00683813">
              <w:rPr>
                <w:lang w:val="en-US"/>
              </w:rPr>
              <w:fldChar w:fldCharType="begin"/>
            </w:r>
            <w:r w:rsidR="003A36A0">
              <w:rPr>
                <w:lang w:val="en-US"/>
              </w:rPr>
              <w:instrText xml:space="preserve"> ADDIN EN.CITE &lt;EndNote&gt;&lt;Cite&gt;&lt;Author&gt;Kimura&lt;/Author&gt;&lt;Year&gt;1994&lt;/Year&gt;&lt;RecNum&gt;9&lt;/RecNum&gt;&lt;DisplayText&gt;[11]&lt;/DisplayText&gt;&lt;record&gt;&lt;rec-number&gt;9&lt;/rec-number&gt;&lt;foreign-keys&gt;&lt;key app="EN" db-id="5saed0xvzv9sz3et5fqvz29i0ftadf2wd50r" timestamp="1663847911"&gt;9&lt;/key&gt;&lt;/foreign-keys&gt;&lt;ref-type name="Journal Article"&gt;17&lt;/ref-type&gt;&lt;contributors&gt;&lt;authors&gt;&lt;author&gt;Kimura, Kenichi&lt;/author&gt;&lt;author&gt;Ishikawa, Toshio&lt;/author&gt;&lt;author&gt;Kinno, Masaharu&lt;/author&gt;&lt;author&gt;Yamadera, Akira&lt;/author&gt;&lt;author&gt;Nakamura, Takashi&lt;/author&gt;&lt;/authors&gt;&lt;/contributors&gt;&lt;titles&gt;&lt;title&gt;Residual long-lived radioactivity distribution in the inner concrete wall of a cyclotron vault&lt;/title&gt;&lt;secondary-title&gt;Health physics&lt;/secondary-title&gt;&lt;/titles&gt;&lt;periodical&gt;&lt;full-title&gt;Health physics&lt;/full-title&gt;&lt;/periodical&gt;&lt;pages&gt;621-631&lt;/pages&gt;&lt;volume&gt;67&lt;/volume&gt;&lt;number&gt;6&lt;/number&gt;&lt;dates&gt;&lt;year&gt;1994&lt;/year&gt;&lt;/dates&gt;&lt;isbn&gt;0017-9078&lt;/isbn&gt;&lt;urls&gt;&lt;/urls&gt;&lt;/record&gt;&lt;/Cite&gt;&lt;/EndNote&gt;</w:instrText>
            </w:r>
            <w:r w:rsidRPr="00683813">
              <w:rPr>
                <w:lang w:val="en-US"/>
              </w:rPr>
              <w:fldChar w:fldCharType="separate"/>
            </w:r>
            <w:r w:rsidR="003A36A0">
              <w:rPr>
                <w:noProof/>
                <w:lang w:val="en-US"/>
              </w:rPr>
              <w:t>[11]</w:t>
            </w:r>
            <w:r w:rsidRPr="00683813">
              <w:rPr>
                <w:lang w:val="en-US"/>
              </w:rPr>
              <w:fldChar w:fldCharType="end"/>
            </w:r>
          </w:p>
        </w:tc>
        <w:tc>
          <w:tcPr>
            <w:tcW w:w="0" w:type="auto"/>
          </w:tcPr>
          <w:p w14:paraId="61DBD9B3" w14:textId="3686988F" w:rsidR="0078389B" w:rsidRPr="00683813" w:rsidRDefault="00CF0AC7" w:rsidP="00860554">
            <w:pPr>
              <w:pStyle w:val="BodyText"/>
              <w:ind w:firstLine="0"/>
              <w:jc w:val="center"/>
              <w:rPr>
                <w:lang w:val="en-US"/>
              </w:rPr>
            </w:pPr>
            <w:r w:rsidRPr="00683813">
              <w:rPr>
                <w:lang w:val="en-US"/>
              </w:rPr>
              <w:t xml:space="preserve">8 </w:t>
            </w:r>
            <w:r w:rsidRPr="00683813">
              <w:rPr>
                <w:lang w:val="en-US"/>
              </w:rPr>
              <w:sym w:font="Wingdings" w:char="F09E"/>
            </w:r>
            <w:r w:rsidRPr="00683813">
              <w:rPr>
                <w:lang w:val="en-US"/>
              </w:rPr>
              <w:t xml:space="preserve"> 10</w:t>
            </w:r>
            <w:r w:rsidRPr="00683813">
              <w:rPr>
                <w:vertAlign w:val="superscript"/>
                <w:lang w:val="en-US"/>
              </w:rPr>
              <w:t>-3</w:t>
            </w:r>
          </w:p>
        </w:tc>
        <w:tc>
          <w:tcPr>
            <w:tcW w:w="0" w:type="auto"/>
          </w:tcPr>
          <w:p w14:paraId="4A3B908D" w14:textId="1F738392" w:rsidR="0078389B" w:rsidRPr="00683813" w:rsidRDefault="00CF0AC7" w:rsidP="00860554">
            <w:pPr>
              <w:pStyle w:val="BodyText"/>
              <w:ind w:firstLine="0"/>
              <w:jc w:val="center"/>
              <w:rPr>
                <w:lang w:val="en-US"/>
              </w:rPr>
            </w:pPr>
            <w:r w:rsidRPr="00683813">
              <w:rPr>
                <w:lang w:val="en-US"/>
              </w:rPr>
              <w:t xml:space="preserve">5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6A2559F8" w14:textId="1C87B60C" w:rsidR="0078389B" w:rsidRPr="00683813" w:rsidRDefault="00CF0AC7" w:rsidP="00860554">
            <w:pPr>
              <w:pStyle w:val="BodyText"/>
              <w:ind w:firstLine="0"/>
              <w:jc w:val="center"/>
              <w:rPr>
                <w:lang w:val="en-US"/>
              </w:rPr>
            </w:pPr>
            <w:r w:rsidRPr="00683813">
              <w:rPr>
                <w:lang w:val="en-US"/>
              </w:rPr>
              <w:t xml:space="preserve">2 </w:t>
            </w:r>
            <w:r w:rsidRPr="00683813">
              <w:rPr>
                <w:lang w:val="en-US"/>
              </w:rPr>
              <w:sym w:font="Wingdings" w:char="F09E"/>
            </w:r>
            <w:r w:rsidRPr="00683813">
              <w:rPr>
                <w:lang w:val="en-US"/>
              </w:rPr>
              <w:t xml:space="preserve"> 10</w:t>
            </w:r>
            <w:r w:rsidRPr="00683813">
              <w:rPr>
                <w:vertAlign w:val="superscript"/>
                <w:lang w:val="en-US"/>
              </w:rPr>
              <w:t>-3</w:t>
            </w:r>
          </w:p>
        </w:tc>
        <w:tc>
          <w:tcPr>
            <w:tcW w:w="0" w:type="auto"/>
          </w:tcPr>
          <w:p w14:paraId="6FB32327" w14:textId="7B252AA8" w:rsidR="0078389B" w:rsidRPr="00683813" w:rsidRDefault="00CF0AC7" w:rsidP="00860554">
            <w:pPr>
              <w:pStyle w:val="BodyText"/>
              <w:ind w:firstLine="0"/>
              <w:jc w:val="center"/>
              <w:rPr>
                <w:lang w:val="en-US"/>
              </w:rPr>
            </w:pPr>
            <w:r w:rsidRPr="00683813">
              <w:rPr>
                <w:lang w:val="en-US"/>
              </w:rPr>
              <w:t xml:space="preserve">5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172EB35C" w14:textId="110D467D" w:rsidR="0078389B" w:rsidRPr="00683813" w:rsidRDefault="00CF0AC7" w:rsidP="00860554">
            <w:pPr>
              <w:pStyle w:val="BodyText"/>
              <w:ind w:firstLine="0"/>
              <w:jc w:val="center"/>
              <w:rPr>
                <w:lang w:val="en-US"/>
              </w:rPr>
            </w:pPr>
            <w:r w:rsidRPr="00683813">
              <w:rPr>
                <w:lang w:val="en-US"/>
              </w:rPr>
              <w:t xml:space="preserve">3 </w:t>
            </w:r>
            <w:r w:rsidRPr="00683813">
              <w:rPr>
                <w:lang w:val="en-US"/>
              </w:rPr>
              <w:sym w:font="Wingdings" w:char="F09E"/>
            </w:r>
            <w:r w:rsidRPr="00683813">
              <w:rPr>
                <w:lang w:val="en-US"/>
              </w:rPr>
              <w:t xml:space="preserve"> 10</w:t>
            </w:r>
            <w:r w:rsidRPr="00683813">
              <w:rPr>
                <w:vertAlign w:val="superscript"/>
                <w:lang w:val="en-US"/>
              </w:rPr>
              <w:t>-3</w:t>
            </w:r>
          </w:p>
        </w:tc>
      </w:tr>
      <w:tr w:rsidR="005B1936" w:rsidRPr="00683813" w14:paraId="0258B16C" w14:textId="75A39953" w:rsidTr="0078389B">
        <w:trPr>
          <w:jc w:val="center"/>
        </w:trPr>
        <w:tc>
          <w:tcPr>
            <w:tcW w:w="0" w:type="auto"/>
          </w:tcPr>
          <w:p w14:paraId="3F339CAE" w14:textId="77777777" w:rsidR="0078389B" w:rsidRPr="00683813" w:rsidRDefault="0078389B" w:rsidP="00860554">
            <w:pPr>
              <w:pStyle w:val="BodyText"/>
              <w:ind w:firstLine="0"/>
              <w:rPr>
                <w:vertAlign w:val="superscript"/>
                <w:lang w:val="en-US"/>
              </w:rPr>
            </w:pPr>
            <w:r w:rsidRPr="00683813">
              <w:rPr>
                <w:lang w:val="en-US"/>
              </w:rPr>
              <w:t>C</w:t>
            </w:r>
          </w:p>
        </w:tc>
        <w:tc>
          <w:tcPr>
            <w:tcW w:w="0" w:type="auto"/>
          </w:tcPr>
          <w:p w14:paraId="3A0E8B44" w14:textId="659FEB82" w:rsidR="0078389B" w:rsidRPr="00683813" w:rsidRDefault="005B1936" w:rsidP="00860554">
            <w:pPr>
              <w:pStyle w:val="BodyText"/>
              <w:ind w:firstLine="0"/>
              <w:jc w:val="center"/>
              <w:rPr>
                <w:b/>
                <w:bCs/>
                <w:i/>
                <w:iCs/>
                <w:lang w:val="en-US"/>
              </w:rPr>
            </w:pPr>
            <w:r w:rsidRPr="00683813">
              <w:rPr>
                <w:lang w:val="en-US"/>
              </w:rPr>
              <w:fldChar w:fldCharType="begin"/>
            </w:r>
            <w:r w:rsidR="003A36A0">
              <w:rPr>
                <w:lang w:val="en-US"/>
              </w:rPr>
              <w:instrText xml:space="preserve"> ADDIN EN.CITE &lt;EndNote&gt;&lt;Cite&gt;&lt;Author&gt;Vrije Universiteit Brussel&lt;/Author&gt;&lt;Year&gt;1999&lt;/Year&gt;&lt;RecNum&gt;1&lt;/RecNum&gt;&lt;DisplayText&gt;[12]&lt;/DisplayText&gt;&lt;record&gt;&lt;rec-number&gt;1&lt;/rec-number&gt;&lt;foreign-keys&gt;&lt;key app="EN" db-id="5saed0xvzv9sz3et5fqvz29i0ftadf2wd50r" timestamp="1663831710"&gt;1&lt;/key&gt;&lt;/foreign-keys&gt;&lt;ref-type name="Report"&gt;27&lt;/ref-type&gt;&lt;contributors&gt;&lt;authors&gt;&lt;author&gt;Vrije Universiteit Brussel, &lt;/author&gt;&lt;/authors&gt;&lt;/contributors&gt;&lt;titles&gt;&lt;title&gt;Evaluation of the radiological and economic consequences of decommissioning particle accelerators&lt;/title&gt;&lt;/titles&gt;&lt;dates&gt;&lt;year&gt;1999&lt;/year&gt;&lt;/dates&gt;&lt;publisher&gt;European Commission&lt;/publisher&gt;&lt;isbn&gt;EUR 19151&lt;/isbn&gt;&lt;urls&gt;&lt;/urls&gt;&lt;/record&gt;&lt;/Cite&gt;&lt;/EndNote&gt;</w:instrText>
            </w:r>
            <w:r w:rsidRPr="00683813">
              <w:rPr>
                <w:lang w:val="en-US"/>
              </w:rPr>
              <w:fldChar w:fldCharType="separate"/>
            </w:r>
            <w:r w:rsidR="003A36A0">
              <w:rPr>
                <w:noProof/>
                <w:lang w:val="en-US"/>
              </w:rPr>
              <w:t>[12]</w:t>
            </w:r>
            <w:r w:rsidRPr="00683813">
              <w:rPr>
                <w:lang w:val="en-US"/>
              </w:rPr>
              <w:fldChar w:fldCharType="end"/>
            </w:r>
            <w:r w:rsidRPr="00683813">
              <w:rPr>
                <w:lang w:val="en-US"/>
              </w:rPr>
              <w:t xml:space="preserve"> </w:t>
            </w:r>
            <w:r w:rsidR="004F0C74" w:rsidRPr="00683813">
              <w:rPr>
                <w:b/>
                <w:bCs/>
                <w:lang w:val="en-US"/>
              </w:rPr>
              <w:t>1</w:t>
            </w:r>
          </w:p>
        </w:tc>
        <w:tc>
          <w:tcPr>
            <w:tcW w:w="0" w:type="auto"/>
          </w:tcPr>
          <w:p w14:paraId="5B017130" w14:textId="68EFCF33" w:rsidR="0078389B" w:rsidRPr="00683813" w:rsidRDefault="0078389B" w:rsidP="00860554">
            <w:pPr>
              <w:pStyle w:val="BodyText"/>
              <w:ind w:firstLine="0"/>
              <w:jc w:val="center"/>
              <w:rPr>
                <w:lang w:val="en-US"/>
              </w:rPr>
            </w:pPr>
          </w:p>
        </w:tc>
        <w:tc>
          <w:tcPr>
            <w:tcW w:w="0" w:type="auto"/>
          </w:tcPr>
          <w:p w14:paraId="61603532" w14:textId="1F786E90" w:rsidR="0078389B" w:rsidRPr="00683813" w:rsidRDefault="00CF0AC7" w:rsidP="00860554">
            <w:pPr>
              <w:pStyle w:val="BodyText"/>
              <w:ind w:firstLine="0"/>
              <w:jc w:val="center"/>
              <w:rPr>
                <w:lang w:val="en-US"/>
              </w:rPr>
            </w:pPr>
            <w:r w:rsidRPr="00683813">
              <w:rPr>
                <w:lang w:val="en-US"/>
              </w:rPr>
              <w:t xml:space="preserve">1 </w:t>
            </w:r>
            <w:r w:rsidRPr="00683813">
              <w:rPr>
                <w:lang w:val="en-US"/>
              </w:rPr>
              <w:sym w:font="Wingdings" w:char="F09E"/>
            </w:r>
            <w:r w:rsidRPr="00683813">
              <w:rPr>
                <w:lang w:val="en-US"/>
              </w:rPr>
              <w:t xml:space="preserve"> 10</w:t>
            </w:r>
            <w:r w:rsidRPr="00683813">
              <w:rPr>
                <w:vertAlign w:val="superscript"/>
                <w:lang w:val="en-US"/>
              </w:rPr>
              <w:t>-1</w:t>
            </w:r>
          </w:p>
        </w:tc>
        <w:tc>
          <w:tcPr>
            <w:tcW w:w="0" w:type="auto"/>
          </w:tcPr>
          <w:p w14:paraId="42E5BB8C" w14:textId="77777777" w:rsidR="0078389B" w:rsidRPr="00683813" w:rsidRDefault="0078389B" w:rsidP="00860554">
            <w:pPr>
              <w:pStyle w:val="BodyText"/>
              <w:ind w:firstLine="0"/>
              <w:jc w:val="center"/>
              <w:rPr>
                <w:lang w:val="en-US"/>
              </w:rPr>
            </w:pPr>
          </w:p>
        </w:tc>
        <w:tc>
          <w:tcPr>
            <w:tcW w:w="0" w:type="auto"/>
          </w:tcPr>
          <w:p w14:paraId="4DD1A939" w14:textId="6AFE1C1A" w:rsidR="0078389B" w:rsidRPr="00683813" w:rsidRDefault="00CF0AC7" w:rsidP="00860554">
            <w:pPr>
              <w:pStyle w:val="BodyText"/>
              <w:ind w:firstLine="0"/>
              <w:jc w:val="center"/>
              <w:rPr>
                <w:lang w:val="en-US"/>
              </w:rPr>
            </w:pPr>
            <w:r w:rsidRPr="00683813">
              <w:rPr>
                <w:lang w:val="en-US"/>
              </w:rPr>
              <w:t xml:space="preserve">3 </w:t>
            </w:r>
            <w:r w:rsidRPr="00683813">
              <w:rPr>
                <w:lang w:val="en-US"/>
              </w:rPr>
              <w:sym w:font="Wingdings" w:char="F09E"/>
            </w:r>
            <w:r w:rsidRPr="00683813">
              <w:rPr>
                <w:lang w:val="en-US"/>
              </w:rPr>
              <w:t xml:space="preserve"> 10</w:t>
            </w:r>
            <w:r w:rsidRPr="00683813">
              <w:rPr>
                <w:vertAlign w:val="superscript"/>
                <w:lang w:val="en-US"/>
              </w:rPr>
              <w:t>-1</w:t>
            </w:r>
          </w:p>
        </w:tc>
        <w:tc>
          <w:tcPr>
            <w:tcW w:w="0" w:type="auto"/>
          </w:tcPr>
          <w:p w14:paraId="203DFB3E" w14:textId="77777777" w:rsidR="0078389B" w:rsidRPr="00683813" w:rsidRDefault="0078389B" w:rsidP="00860554">
            <w:pPr>
              <w:pStyle w:val="BodyText"/>
              <w:ind w:firstLine="0"/>
              <w:jc w:val="center"/>
              <w:rPr>
                <w:lang w:val="en-US"/>
              </w:rPr>
            </w:pPr>
          </w:p>
        </w:tc>
      </w:tr>
      <w:tr w:rsidR="005B1936" w:rsidRPr="00683813" w14:paraId="5E694D3D" w14:textId="77777777" w:rsidTr="0078389B">
        <w:trPr>
          <w:jc w:val="center"/>
        </w:trPr>
        <w:tc>
          <w:tcPr>
            <w:tcW w:w="0" w:type="auto"/>
          </w:tcPr>
          <w:p w14:paraId="08399F1B" w14:textId="14A9E440" w:rsidR="0078389B" w:rsidRPr="00683813" w:rsidRDefault="0078389B" w:rsidP="00860554">
            <w:pPr>
              <w:pStyle w:val="BodyText"/>
              <w:ind w:firstLine="0"/>
              <w:rPr>
                <w:lang w:val="en-US"/>
              </w:rPr>
            </w:pPr>
            <w:r w:rsidRPr="00683813">
              <w:rPr>
                <w:lang w:val="en-US"/>
              </w:rPr>
              <w:t>C</w:t>
            </w:r>
          </w:p>
        </w:tc>
        <w:tc>
          <w:tcPr>
            <w:tcW w:w="0" w:type="auto"/>
          </w:tcPr>
          <w:p w14:paraId="25997AB8" w14:textId="7D443248" w:rsidR="0078389B" w:rsidRPr="00683813" w:rsidRDefault="005B1936" w:rsidP="00860554">
            <w:pPr>
              <w:pStyle w:val="BodyText"/>
              <w:ind w:firstLine="0"/>
              <w:jc w:val="center"/>
              <w:rPr>
                <w:b/>
                <w:bCs/>
                <w:lang w:val="en-US"/>
              </w:rPr>
            </w:pPr>
            <w:r w:rsidRPr="00683813">
              <w:rPr>
                <w:lang w:val="en-US"/>
              </w:rPr>
              <w:fldChar w:fldCharType="begin"/>
            </w:r>
            <w:r w:rsidR="003A36A0">
              <w:rPr>
                <w:lang w:val="en-US"/>
              </w:rPr>
              <w:instrText xml:space="preserve"> ADDIN EN.CITE &lt;EndNote&gt;&lt;Cite&gt;&lt;Author&gt;Vrije Universiteit Brussel&lt;/Author&gt;&lt;Year&gt;1999&lt;/Year&gt;&lt;RecNum&gt;1&lt;/RecNum&gt;&lt;DisplayText&gt;[12]&lt;/DisplayText&gt;&lt;record&gt;&lt;rec-number&gt;1&lt;/rec-number&gt;&lt;foreign-keys&gt;&lt;key app="EN" db-id="5saed0xvzv9sz3et5fqvz29i0ftadf2wd50r" timestamp="1663831710"&gt;1&lt;/key&gt;&lt;/foreign-keys&gt;&lt;ref-type name="Report"&gt;27&lt;/ref-type&gt;&lt;contributors&gt;&lt;authors&gt;&lt;author&gt;Vrije Universiteit Brussel, &lt;/author&gt;&lt;/authors&gt;&lt;/contributors&gt;&lt;titles&gt;&lt;title&gt;Evaluation of the radiological and economic consequences of decommissioning particle accelerators&lt;/title&gt;&lt;/titles&gt;&lt;dates&gt;&lt;year&gt;1999&lt;/year&gt;&lt;/dates&gt;&lt;publisher&gt;European Commission&lt;/publisher&gt;&lt;isbn&gt;EUR 19151&lt;/isbn&gt;&lt;urls&gt;&lt;/urls&gt;&lt;/record&gt;&lt;/Cite&gt;&lt;/EndNote&gt;</w:instrText>
            </w:r>
            <w:r w:rsidRPr="00683813">
              <w:rPr>
                <w:lang w:val="en-US"/>
              </w:rPr>
              <w:fldChar w:fldCharType="separate"/>
            </w:r>
            <w:r w:rsidR="003A36A0">
              <w:rPr>
                <w:noProof/>
                <w:lang w:val="en-US"/>
              </w:rPr>
              <w:t>[12]</w:t>
            </w:r>
            <w:r w:rsidRPr="00683813">
              <w:rPr>
                <w:lang w:val="en-US"/>
              </w:rPr>
              <w:fldChar w:fldCharType="end"/>
            </w:r>
            <w:r w:rsidR="004F0C74" w:rsidRPr="00683813">
              <w:rPr>
                <w:lang w:val="en-US"/>
              </w:rPr>
              <w:t xml:space="preserve"> </w:t>
            </w:r>
            <w:r w:rsidR="004F0C74" w:rsidRPr="00683813">
              <w:rPr>
                <w:b/>
                <w:bCs/>
                <w:lang w:val="en-US"/>
              </w:rPr>
              <w:t>2</w:t>
            </w:r>
          </w:p>
        </w:tc>
        <w:tc>
          <w:tcPr>
            <w:tcW w:w="0" w:type="auto"/>
          </w:tcPr>
          <w:p w14:paraId="0C05A942" w14:textId="77777777" w:rsidR="0078389B" w:rsidRPr="00683813" w:rsidRDefault="0078389B" w:rsidP="00860554">
            <w:pPr>
              <w:pStyle w:val="BodyText"/>
              <w:ind w:firstLine="0"/>
              <w:jc w:val="center"/>
              <w:rPr>
                <w:lang w:val="en-US"/>
              </w:rPr>
            </w:pPr>
          </w:p>
        </w:tc>
        <w:tc>
          <w:tcPr>
            <w:tcW w:w="0" w:type="auto"/>
          </w:tcPr>
          <w:p w14:paraId="503AF63C" w14:textId="3188FAA5" w:rsidR="0078389B" w:rsidRPr="00683813" w:rsidRDefault="00CF0AC7" w:rsidP="00860554">
            <w:pPr>
              <w:pStyle w:val="BodyText"/>
              <w:ind w:firstLine="0"/>
              <w:jc w:val="center"/>
              <w:rPr>
                <w:lang w:val="en-US"/>
              </w:rPr>
            </w:pPr>
            <w:r w:rsidRPr="00683813">
              <w:rPr>
                <w:lang w:val="en-US"/>
              </w:rPr>
              <w:t>2</w:t>
            </w:r>
          </w:p>
        </w:tc>
        <w:tc>
          <w:tcPr>
            <w:tcW w:w="0" w:type="auto"/>
          </w:tcPr>
          <w:p w14:paraId="01052A8D" w14:textId="77777777" w:rsidR="0078389B" w:rsidRPr="00683813" w:rsidRDefault="0078389B" w:rsidP="00860554">
            <w:pPr>
              <w:pStyle w:val="BodyText"/>
              <w:ind w:firstLine="0"/>
              <w:jc w:val="center"/>
              <w:rPr>
                <w:lang w:val="en-US"/>
              </w:rPr>
            </w:pPr>
          </w:p>
        </w:tc>
        <w:tc>
          <w:tcPr>
            <w:tcW w:w="0" w:type="auto"/>
          </w:tcPr>
          <w:p w14:paraId="3E3E1307" w14:textId="6F0466AD" w:rsidR="0078389B" w:rsidRPr="00683813" w:rsidRDefault="00CF0AC7" w:rsidP="00860554">
            <w:pPr>
              <w:pStyle w:val="BodyText"/>
              <w:ind w:firstLine="0"/>
              <w:jc w:val="center"/>
              <w:rPr>
                <w:lang w:val="en-US"/>
              </w:rPr>
            </w:pPr>
            <w:r w:rsidRPr="00683813">
              <w:rPr>
                <w:lang w:val="en-US"/>
              </w:rPr>
              <w:t>3</w:t>
            </w:r>
          </w:p>
        </w:tc>
        <w:tc>
          <w:tcPr>
            <w:tcW w:w="0" w:type="auto"/>
          </w:tcPr>
          <w:p w14:paraId="6E6CC909" w14:textId="77777777" w:rsidR="0078389B" w:rsidRPr="00683813" w:rsidRDefault="0078389B" w:rsidP="00860554">
            <w:pPr>
              <w:pStyle w:val="BodyText"/>
              <w:ind w:firstLine="0"/>
              <w:jc w:val="center"/>
              <w:rPr>
                <w:lang w:val="en-US"/>
              </w:rPr>
            </w:pPr>
          </w:p>
        </w:tc>
      </w:tr>
      <w:tr w:rsidR="005B1936" w:rsidRPr="00683813" w14:paraId="559E60EC" w14:textId="77777777" w:rsidTr="0078389B">
        <w:trPr>
          <w:jc w:val="center"/>
        </w:trPr>
        <w:tc>
          <w:tcPr>
            <w:tcW w:w="0" w:type="auto"/>
          </w:tcPr>
          <w:p w14:paraId="3BE7FC33" w14:textId="54A620F9" w:rsidR="0078389B" w:rsidRPr="00683813" w:rsidRDefault="0078389B" w:rsidP="00860554">
            <w:pPr>
              <w:pStyle w:val="BodyText"/>
              <w:ind w:firstLine="0"/>
              <w:rPr>
                <w:lang w:val="en-US"/>
              </w:rPr>
            </w:pPr>
            <w:r w:rsidRPr="00683813">
              <w:rPr>
                <w:lang w:val="en-US"/>
              </w:rPr>
              <w:t>C</w:t>
            </w:r>
          </w:p>
        </w:tc>
        <w:tc>
          <w:tcPr>
            <w:tcW w:w="0" w:type="auto"/>
          </w:tcPr>
          <w:p w14:paraId="4DC30545" w14:textId="53591BAB" w:rsidR="0078389B" w:rsidRPr="00683813" w:rsidRDefault="005B1936" w:rsidP="00860554">
            <w:pPr>
              <w:pStyle w:val="BodyText"/>
              <w:ind w:firstLine="0"/>
              <w:jc w:val="center"/>
              <w:rPr>
                <w:b/>
                <w:bCs/>
                <w:lang w:val="en-US"/>
              </w:rPr>
            </w:pPr>
            <w:r w:rsidRPr="00683813">
              <w:rPr>
                <w:lang w:val="en-US"/>
              </w:rPr>
              <w:fldChar w:fldCharType="begin"/>
            </w:r>
            <w:r w:rsidR="00FD3682">
              <w:rPr>
                <w:lang w:val="en-US"/>
              </w:rPr>
              <w:instrText xml:space="preserve"> ADDIN EN.CITE &lt;EndNote&gt;&lt;Cite&gt;&lt;Author&gt;Wang&lt;/Author&gt;&lt;Year&gt;2007&lt;/Year&gt;&lt;RecNum&gt;38&lt;/RecNum&gt;&lt;DisplayText&gt;[19]&lt;/DisplayText&gt;&lt;record&gt;&lt;rec-number&gt;38&lt;/rec-number&gt;&lt;foreign-keys&gt;&lt;key app="EN" db-id="5saed0xvzv9sz3et5fqvz29i0ftadf2wd50r" timestamp="1667222852"&gt;38&lt;/key&gt;&lt;/foreign-keys&gt;&lt;ref-type name="Journal Article"&gt;17&lt;/ref-type&gt;&lt;contributors&gt;&lt;authors&gt;&lt;author&gt;Wang, Q&lt;/author&gt;&lt;author&gt;Masumoto, K&lt;/author&gt;&lt;author&gt;Bessho, K&lt;/author&gt;&lt;author&gt;Matsumura, H&lt;/author&gt;&lt;author&gt;Miura, T&lt;/author&gt;&lt;author&gt;Shibata, T&lt;/author&gt;&lt;/authors&gt;&lt;/contributors&gt;&lt;titles&gt;&lt;title&gt;Evaluation of the radioactivity in concrete from accelerator facilities&lt;/title&gt;&lt;secondary-title&gt;Journal of radioanalytical and nuclear chemistry&lt;/secondary-title&gt;&lt;/titles&gt;&lt;periodical&gt;&lt;full-title&gt;Journal of radioanalytical and nuclear chemistry&lt;/full-title&gt;&lt;/periodical&gt;&lt;pages&gt;55-58&lt;/pages&gt;&lt;volume&gt;273&lt;/volume&gt;&lt;number&gt;1&lt;/number&gt;&lt;dates&gt;&lt;year&gt;2007&lt;/year&gt;&lt;/dates&gt;&lt;isbn&gt;0236-5731&lt;/isbn&gt;&lt;urls&gt;&lt;/urls&gt;&lt;/record&gt;&lt;/Cite&gt;&lt;/EndNote&gt;</w:instrText>
            </w:r>
            <w:r w:rsidRPr="00683813">
              <w:rPr>
                <w:lang w:val="en-US"/>
              </w:rPr>
              <w:fldChar w:fldCharType="separate"/>
            </w:r>
            <w:r w:rsidR="00FD3682">
              <w:rPr>
                <w:noProof/>
                <w:lang w:val="en-US"/>
              </w:rPr>
              <w:t>[19]</w:t>
            </w:r>
            <w:r w:rsidRPr="00683813">
              <w:rPr>
                <w:lang w:val="en-US"/>
              </w:rPr>
              <w:fldChar w:fldCharType="end"/>
            </w:r>
            <w:r w:rsidRPr="00683813">
              <w:rPr>
                <w:lang w:val="en-US"/>
              </w:rPr>
              <w:t xml:space="preserve"> </w:t>
            </w:r>
            <w:r w:rsidRPr="00683813">
              <w:rPr>
                <w:b/>
                <w:bCs/>
                <w:lang w:val="en-US"/>
              </w:rPr>
              <w:t>2</w:t>
            </w:r>
          </w:p>
        </w:tc>
        <w:tc>
          <w:tcPr>
            <w:tcW w:w="0" w:type="auto"/>
          </w:tcPr>
          <w:p w14:paraId="4DAE129D" w14:textId="77777777" w:rsidR="0078389B" w:rsidRPr="00683813" w:rsidRDefault="0078389B" w:rsidP="00860554">
            <w:pPr>
              <w:pStyle w:val="BodyText"/>
              <w:ind w:firstLine="0"/>
              <w:jc w:val="center"/>
              <w:rPr>
                <w:lang w:val="en-US"/>
              </w:rPr>
            </w:pPr>
          </w:p>
        </w:tc>
        <w:tc>
          <w:tcPr>
            <w:tcW w:w="0" w:type="auto"/>
          </w:tcPr>
          <w:p w14:paraId="2A0CF61D" w14:textId="4080D272" w:rsidR="0078389B" w:rsidRPr="00683813" w:rsidRDefault="00CF0AC7" w:rsidP="00860554">
            <w:pPr>
              <w:pStyle w:val="BodyText"/>
              <w:ind w:firstLine="0"/>
              <w:jc w:val="center"/>
              <w:rPr>
                <w:lang w:val="en-US"/>
              </w:rPr>
            </w:pPr>
            <w:r w:rsidRPr="00683813">
              <w:rPr>
                <w:lang w:val="en-US"/>
              </w:rPr>
              <w:t xml:space="preserve">5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4E4A91A6" w14:textId="523DDFB4" w:rsidR="0078389B" w:rsidRPr="00683813" w:rsidRDefault="00CF0AC7" w:rsidP="00860554">
            <w:pPr>
              <w:pStyle w:val="BodyText"/>
              <w:ind w:firstLine="0"/>
              <w:jc w:val="center"/>
              <w:rPr>
                <w:lang w:val="en-US"/>
              </w:rPr>
            </w:pPr>
            <w:r w:rsidRPr="00683813">
              <w:rPr>
                <w:lang w:val="en-US"/>
              </w:rPr>
              <w:t xml:space="preserve">2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1DC2625A" w14:textId="01B7B6E3" w:rsidR="0078389B" w:rsidRPr="00683813" w:rsidRDefault="00CF0AC7" w:rsidP="00860554">
            <w:pPr>
              <w:pStyle w:val="BodyText"/>
              <w:ind w:firstLine="0"/>
              <w:jc w:val="center"/>
              <w:rPr>
                <w:lang w:val="en-US"/>
              </w:rPr>
            </w:pPr>
            <w:r w:rsidRPr="00683813">
              <w:rPr>
                <w:lang w:val="en-US"/>
              </w:rPr>
              <w:t xml:space="preserve">8 </w:t>
            </w:r>
            <w:r w:rsidRPr="00683813">
              <w:rPr>
                <w:lang w:val="en-US"/>
              </w:rPr>
              <w:sym w:font="Wingdings" w:char="F09E"/>
            </w:r>
            <w:r w:rsidRPr="00683813">
              <w:rPr>
                <w:lang w:val="en-US"/>
              </w:rPr>
              <w:t xml:space="preserve"> 10</w:t>
            </w:r>
            <w:r w:rsidRPr="00683813">
              <w:rPr>
                <w:vertAlign w:val="superscript"/>
                <w:lang w:val="en-US"/>
              </w:rPr>
              <w:t>-2</w:t>
            </w:r>
          </w:p>
        </w:tc>
        <w:tc>
          <w:tcPr>
            <w:tcW w:w="0" w:type="auto"/>
          </w:tcPr>
          <w:p w14:paraId="4543D064" w14:textId="77777777" w:rsidR="0078389B" w:rsidRPr="00683813" w:rsidRDefault="0078389B" w:rsidP="00860554">
            <w:pPr>
              <w:pStyle w:val="BodyText"/>
              <w:ind w:firstLine="0"/>
              <w:jc w:val="center"/>
              <w:rPr>
                <w:lang w:val="en-US"/>
              </w:rPr>
            </w:pPr>
          </w:p>
        </w:tc>
      </w:tr>
    </w:tbl>
    <w:p w14:paraId="23C49EA1" w14:textId="68253D8D" w:rsidR="00277A6E" w:rsidRPr="00683813" w:rsidRDefault="00277A6E" w:rsidP="000636F8">
      <w:pPr>
        <w:pStyle w:val="BodyText"/>
        <w:rPr>
          <w:lang w:val="en-US"/>
        </w:rPr>
      </w:pPr>
    </w:p>
    <w:p w14:paraId="77B73212" w14:textId="4E4056DC" w:rsidR="00C738D3" w:rsidRPr="00683813" w:rsidRDefault="00C83091" w:rsidP="000636F8">
      <w:pPr>
        <w:pStyle w:val="BodyText"/>
        <w:rPr>
          <w:lang w:val="en-US"/>
        </w:rPr>
      </w:pPr>
      <w:r>
        <w:rPr>
          <w:lang w:val="en-US"/>
        </w:rPr>
        <w:t>Activity concentrations</w:t>
      </w:r>
      <w:r w:rsidR="00C738D3" w:rsidRPr="00683813">
        <w:rPr>
          <w:lang w:val="en-US"/>
        </w:rPr>
        <w:t xml:space="preserve"> in reinforcement steel </w:t>
      </w:r>
      <w:r w:rsidR="00E67E82" w:rsidRPr="00683813">
        <w:rPr>
          <w:lang w:val="en-US"/>
        </w:rPr>
        <w:t>were only found for category C cyclotrons and comprised of 1</w:t>
      </w:r>
      <w:r w:rsidR="00243F90">
        <w:rPr>
          <w:lang w:val="en-US"/>
        </w:rPr>
        <w:t> </w:t>
      </w:r>
      <w:proofErr w:type="spellStart"/>
      <w:r w:rsidR="00E67E82" w:rsidRPr="00683813">
        <w:rPr>
          <w:lang w:val="en-US"/>
        </w:rPr>
        <w:t>kBq</w:t>
      </w:r>
      <w:proofErr w:type="spellEnd"/>
      <w:r w:rsidR="00E67E82" w:rsidRPr="00683813">
        <w:rPr>
          <w:lang w:val="en-US"/>
        </w:rPr>
        <w:t xml:space="preserve">/kg of </w:t>
      </w:r>
      <w:r w:rsidR="00E67E82" w:rsidRPr="00683813">
        <w:rPr>
          <w:vertAlign w:val="superscript"/>
          <w:lang w:val="en-US"/>
        </w:rPr>
        <w:t>54</w:t>
      </w:r>
      <w:r w:rsidR="00E67E82" w:rsidRPr="00683813">
        <w:rPr>
          <w:lang w:val="en-US"/>
        </w:rPr>
        <w:t xml:space="preserve">Mn, and 10 </w:t>
      </w:r>
      <w:proofErr w:type="spellStart"/>
      <w:r w:rsidR="00E67E82" w:rsidRPr="00683813">
        <w:rPr>
          <w:lang w:val="en-US"/>
        </w:rPr>
        <w:t>kBq</w:t>
      </w:r>
      <w:proofErr w:type="spellEnd"/>
      <w:r w:rsidR="00E67E82" w:rsidRPr="00683813">
        <w:rPr>
          <w:lang w:val="en-US"/>
        </w:rPr>
        <w:t xml:space="preserve">/kg of </w:t>
      </w:r>
      <w:r w:rsidR="00E67E82" w:rsidRPr="00683813">
        <w:rPr>
          <w:vertAlign w:val="superscript"/>
          <w:lang w:val="en-US"/>
        </w:rPr>
        <w:t>60</w:t>
      </w:r>
      <w:r w:rsidR="00E67E82" w:rsidRPr="00683813">
        <w:rPr>
          <w:lang w:val="en-US"/>
        </w:rPr>
        <w:t xml:space="preserve">Co, both at zero years post-shutdown. </w:t>
      </w:r>
      <w:r w:rsidR="000A65FB">
        <w:rPr>
          <w:lang w:val="en-US"/>
        </w:rPr>
        <w:t xml:space="preserve">The corresponding clearance factor for the three cyclotron categories is shown in Figure 2. Clearance factors are below 100 </w:t>
      </w:r>
      <w:r w:rsidR="00D25E9B">
        <w:rPr>
          <w:lang w:val="en-US"/>
        </w:rPr>
        <w:t xml:space="preserve">(class II or under) </w:t>
      </w:r>
      <w:r w:rsidR="000A65FB">
        <w:rPr>
          <w:lang w:val="en-US"/>
        </w:rPr>
        <w:t xml:space="preserve">for </w:t>
      </w:r>
      <w:r w:rsidR="003E02C6">
        <w:rPr>
          <w:lang w:val="en-US"/>
        </w:rPr>
        <w:t xml:space="preserve">metals at five years post-shutdown, and for </w:t>
      </w:r>
      <w:r w:rsidR="000A65FB">
        <w:rPr>
          <w:lang w:val="en-US"/>
        </w:rPr>
        <w:t xml:space="preserve">concrete </w:t>
      </w:r>
      <w:r w:rsidR="003E02C6">
        <w:rPr>
          <w:lang w:val="en-US"/>
        </w:rPr>
        <w:t xml:space="preserve">from zero years post-shutdown. </w:t>
      </w:r>
      <w:r w:rsidR="00D25E9B" w:rsidRPr="003F1A7C">
        <w:rPr>
          <w:lang w:val="en-US"/>
        </w:rPr>
        <w:t>Reinforcement steel</w:t>
      </w:r>
      <w:r w:rsidR="003F1A7C" w:rsidRPr="003F1A7C">
        <w:rPr>
          <w:lang w:val="en-US"/>
        </w:rPr>
        <w:t xml:space="preserve"> was found to have a clearance factor of 156 at zero years after shutdown, and 74 at five years after shutdown.</w:t>
      </w:r>
      <w:r w:rsidR="00D25E9B">
        <w:rPr>
          <w:lang w:val="en-US"/>
        </w:rPr>
        <w:t xml:space="preserve"> </w:t>
      </w:r>
      <w:r w:rsidR="003F1A7C">
        <w:rPr>
          <w:lang w:val="en-US"/>
        </w:rPr>
        <w:t>With clearance factors &lt; 100 for all materials</w:t>
      </w:r>
      <w:r w:rsidR="003E02C6">
        <w:rPr>
          <w:lang w:val="en-US"/>
        </w:rPr>
        <w:t xml:space="preserve">, all activated mass (as detailed in Table 1) is likely to qualify for </w:t>
      </w:r>
      <w:r w:rsidR="000E01FC">
        <w:rPr>
          <w:lang w:val="en-US"/>
        </w:rPr>
        <w:t>conditional clearance</w:t>
      </w:r>
      <w:r w:rsidR="00D25E9B">
        <w:rPr>
          <w:lang w:val="en-US"/>
        </w:rPr>
        <w:t xml:space="preserve"> at five years after shutdown</w:t>
      </w:r>
      <w:r w:rsidR="003E02C6">
        <w:rPr>
          <w:lang w:val="en-US"/>
        </w:rPr>
        <w:t>.</w:t>
      </w:r>
    </w:p>
    <w:p w14:paraId="7A814E3D" w14:textId="77777777" w:rsidR="00AA01F6" w:rsidRPr="00683813" w:rsidRDefault="00AA01F6" w:rsidP="000636F8">
      <w:pPr>
        <w:pStyle w:val="BodyText"/>
        <w:rPr>
          <w:lang w:val="en-US"/>
        </w:rPr>
      </w:pPr>
    </w:p>
    <w:p w14:paraId="3B52A860" w14:textId="71EE16DB" w:rsidR="00E72565" w:rsidRPr="00683813" w:rsidRDefault="008D12E4" w:rsidP="00DD1BA9">
      <w:pPr>
        <w:pStyle w:val="BodyText"/>
        <w:jc w:val="center"/>
        <w:rPr>
          <w:lang w:val="en-US"/>
        </w:rPr>
      </w:pPr>
      <w:r>
        <w:rPr>
          <w:noProof/>
          <w:lang w:val="en-US"/>
        </w:rPr>
        <w:lastRenderedPageBreak/>
        <w:drawing>
          <wp:inline distT="0" distB="0" distL="0" distR="0" wp14:anchorId="55EFC9C4" wp14:editId="1C365034">
            <wp:extent cx="3600000" cy="3600000"/>
            <wp:effectExtent l="0" t="0" r="635" b="635"/>
            <wp:docPr id="2" name="Picture 2"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art with different colored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14:paraId="3C977C22" w14:textId="27A5710B" w:rsidR="001E1AC9" w:rsidRPr="00683813" w:rsidRDefault="00E72565" w:rsidP="00C12116">
      <w:pPr>
        <w:pStyle w:val="Caption"/>
        <w:rPr>
          <w:i/>
          <w:sz w:val="20"/>
        </w:rPr>
      </w:pPr>
      <w:r w:rsidRPr="00683813">
        <w:rPr>
          <w:i/>
        </w:rPr>
        <w:t xml:space="preserve">FIG. </w:t>
      </w:r>
      <w:r w:rsidR="00C9064C" w:rsidRPr="00683813">
        <w:rPr>
          <w:i/>
        </w:rPr>
        <w:t>2</w:t>
      </w:r>
      <w:r w:rsidRPr="00683813">
        <w:rPr>
          <w:i/>
        </w:rPr>
        <w:t xml:space="preserve">. </w:t>
      </w:r>
      <w:r w:rsidR="00C83091">
        <w:rPr>
          <w:i/>
        </w:rPr>
        <w:t xml:space="preserve">Clearance factor </w:t>
      </w:r>
      <w:r w:rsidRPr="00683813">
        <w:rPr>
          <w:i/>
        </w:rPr>
        <w:t>in bulk cyclotron decommissioning residuals. The</w:t>
      </w:r>
      <w:r w:rsidR="00C83091">
        <w:rPr>
          <w:i/>
        </w:rPr>
        <w:t xml:space="preserve"> clearance factor is a</w:t>
      </w:r>
      <w:r w:rsidRPr="00683813">
        <w:rPr>
          <w:i/>
        </w:rPr>
        <w:t xml:space="preserve"> weighted sum </w:t>
      </w:r>
      <w:r w:rsidR="00C83091">
        <w:rPr>
          <w:i/>
        </w:rPr>
        <w:t xml:space="preserve">of relevant radionuclide activity concentrations. It </w:t>
      </w:r>
      <w:r w:rsidRPr="00683813">
        <w:rPr>
          <w:i/>
        </w:rPr>
        <w:t xml:space="preserve">was calculated for </w:t>
      </w:r>
      <w:r w:rsidR="004E1866" w:rsidRPr="00683813">
        <w:rPr>
          <w:i/>
        </w:rPr>
        <w:t xml:space="preserve">metals originating from the cyclotron machine, as well as bunker concrete, for three cyclotron categories. These quantities were calculated for the time </w:t>
      </w:r>
      <w:r w:rsidR="00C83091">
        <w:rPr>
          <w:i/>
        </w:rPr>
        <w:t>at</w:t>
      </w:r>
      <w:r w:rsidR="00C83091" w:rsidRPr="00683813">
        <w:rPr>
          <w:i/>
        </w:rPr>
        <w:t xml:space="preserve"> </w:t>
      </w:r>
      <w:r w:rsidR="00C83091">
        <w:rPr>
          <w:i/>
        </w:rPr>
        <w:t>cyclotron shutdown</w:t>
      </w:r>
      <w:r w:rsidR="00C83091" w:rsidRPr="00683813">
        <w:rPr>
          <w:i/>
        </w:rPr>
        <w:t xml:space="preserve"> </w:t>
      </w:r>
      <w:r w:rsidR="004E1866" w:rsidRPr="00683813">
        <w:rPr>
          <w:i/>
        </w:rPr>
        <w:t>(t = 0 y), as well as five years post-shutdown (t = 5 y)</w:t>
      </w:r>
      <w:r w:rsidRPr="00683813">
        <w:rPr>
          <w:i/>
        </w:rPr>
        <w:t>.</w:t>
      </w:r>
    </w:p>
    <w:p w14:paraId="331BA495" w14:textId="3E08B7EF" w:rsidR="00F004EE" w:rsidRPr="00683813" w:rsidRDefault="00056930" w:rsidP="00537496">
      <w:pPr>
        <w:pStyle w:val="Heading2"/>
        <w:rPr>
          <w:lang w:val="en-US"/>
        </w:rPr>
      </w:pPr>
      <w:r w:rsidRPr="00683813">
        <w:rPr>
          <w:lang w:val="en-US"/>
        </w:rPr>
        <w:t>DISCUSSION</w:t>
      </w:r>
    </w:p>
    <w:p w14:paraId="3C3C0833" w14:textId="169C5BF8" w:rsidR="00134D14" w:rsidRPr="00683813" w:rsidRDefault="00134D14" w:rsidP="001537F9">
      <w:pPr>
        <w:pStyle w:val="BodyText"/>
        <w:rPr>
          <w:lang w:val="en-US"/>
        </w:rPr>
      </w:pPr>
      <w:r w:rsidRPr="00683813">
        <w:rPr>
          <w:lang w:val="en-US"/>
        </w:rPr>
        <w:t xml:space="preserve">Cyclotron facilities tend to differ on an individual basis in many if not all of the technical aspects relevant to activation of bulk </w:t>
      </w:r>
      <w:r w:rsidR="00C9253B" w:rsidRPr="00683813">
        <w:rPr>
          <w:lang w:val="en-US"/>
        </w:rPr>
        <w:t>material</w:t>
      </w:r>
      <w:r w:rsidRPr="00683813">
        <w:rPr>
          <w:lang w:val="en-US"/>
        </w:rPr>
        <w:t xml:space="preserve">. Dimensions of bunkers, dominant reaction patterns, operational time, and on-target beam currents are some of the characteristics that exhibit variation. In this paper, the choice was made to divide cyclotrons into four types under three categories in order to </w:t>
      </w:r>
      <w:r w:rsidR="009936FC" w:rsidRPr="00683813">
        <w:rPr>
          <w:lang w:val="en-US"/>
        </w:rPr>
        <w:t>give more specific indicative ranges of expected radioactive bulk residuals.</w:t>
      </w:r>
      <w:r w:rsidR="00A950E0" w:rsidRPr="00683813">
        <w:rPr>
          <w:lang w:val="en-US"/>
        </w:rPr>
        <w:t xml:space="preserve"> The assumption that all cyclotrons used for radionuclide production have shared similar operational time characteristics due to the need for economic feasibility is likely unrealistic. The paucity of (internationally available) data has made it impossible to investigate the relationship between operational time and </w:t>
      </w:r>
      <w:r w:rsidR="00117856" w:rsidRPr="00683813">
        <w:rPr>
          <w:lang w:val="en-US"/>
        </w:rPr>
        <w:t>quantity of radioactive bulk residuals. Indeed, it is</w:t>
      </w:r>
      <w:r w:rsidR="009936FC" w:rsidRPr="00683813">
        <w:rPr>
          <w:lang w:val="en-US"/>
        </w:rPr>
        <w:t xml:space="preserve"> clear that </w:t>
      </w:r>
      <w:r w:rsidR="00117856" w:rsidRPr="00683813">
        <w:rPr>
          <w:lang w:val="en-US"/>
        </w:rPr>
        <w:t>information</w:t>
      </w:r>
      <w:r w:rsidR="009936FC" w:rsidRPr="00683813">
        <w:rPr>
          <w:lang w:val="en-US"/>
        </w:rPr>
        <w:t xml:space="preserve"> is scarce and in most cases more than a decade old. </w:t>
      </w:r>
      <w:r w:rsidR="00BC174E">
        <w:rPr>
          <w:lang w:val="en-US"/>
        </w:rPr>
        <w:t>T</w:t>
      </w:r>
      <w:r w:rsidR="009936FC" w:rsidRPr="00683813">
        <w:rPr>
          <w:lang w:val="en-US"/>
        </w:rPr>
        <w:t>o improve estimates of radioactive bulk residual quantities</w:t>
      </w:r>
      <w:r w:rsidR="0044098C" w:rsidRPr="00683813">
        <w:rPr>
          <w:lang w:val="en-US"/>
        </w:rPr>
        <w:t xml:space="preserve">, </w:t>
      </w:r>
      <w:r w:rsidR="002B4284">
        <w:rPr>
          <w:lang w:val="en-US"/>
        </w:rPr>
        <w:t>those</w:t>
      </w:r>
      <w:r w:rsidR="001A04A4" w:rsidRPr="00683813">
        <w:rPr>
          <w:lang w:val="en-US"/>
        </w:rPr>
        <w:t xml:space="preserve"> involved in </w:t>
      </w:r>
      <w:r w:rsidR="0044098C" w:rsidRPr="00683813">
        <w:rPr>
          <w:lang w:val="en-US"/>
        </w:rPr>
        <w:t>cyclotron decommissioning project</w:t>
      </w:r>
      <w:r w:rsidR="001A04A4" w:rsidRPr="00683813">
        <w:rPr>
          <w:lang w:val="en-US"/>
        </w:rPr>
        <w:t xml:space="preserve">s </w:t>
      </w:r>
      <w:r w:rsidR="0044098C" w:rsidRPr="00683813">
        <w:rPr>
          <w:lang w:val="en-US"/>
        </w:rPr>
        <w:t xml:space="preserve">should share the results of their radiological characterization studies with the wider scientific and professional community. </w:t>
      </w:r>
    </w:p>
    <w:p w14:paraId="22F2773C" w14:textId="377104D8" w:rsidR="00377A29" w:rsidRDefault="00117856" w:rsidP="001537F9">
      <w:pPr>
        <w:pStyle w:val="BodyText"/>
        <w:rPr>
          <w:lang w:val="en-US"/>
        </w:rPr>
      </w:pPr>
      <w:r w:rsidRPr="00683813">
        <w:rPr>
          <w:lang w:val="en-US"/>
        </w:rPr>
        <w:t>An</w:t>
      </w:r>
      <w:r w:rsidR="00377A29" w:rsidRPr="00683813">
        <w:rPr>
          <w:lang w:val="en-US"/>
        </w:rPr>
        <w:t xml:space="preserve"> aspect </w:t>
      </w:r>
      <w:r w:rsidRPr="00683813">
        <w:rPr>
          <w:lang w:val="en-US"/>
        </w:rPr>
        <w:t>in which</w:t>
      </w:r>
      <w:r w:rsidR="00377A29" w:rsidRPr="00683813">
        <w:rPr>
          <w:lang w:val="en-US"/>
        </w:rPr>
        <w:t xml:space="preserve"> the age of available information may play a </w:t>
      </w:r>
      <w:r w:rsidR="00BC2CD2" w:rsidRPr="00683813">
        <w:rPr>
          <w:lang w:val="en-US"/>
        </w:rPr>
        <w:t xml:space="preserve">negative </w:t>
      </w:r>
      <w:r w:rsidR="00377A29" w:rsidRPr="00683813">
        <w:rPr>
          <w:lang w:val="en-US"/>
        </w:rPr>
        <w:t xml:space="preserve">role in the quality of the analysis is </w:t>
      </w:r>
      <w:r w:rsidR="00E34E22" w:rsidRPr="00683813">
        <w:rPr>
          <w:lang w:val="en-US"/>
        </w:rPr>
        <w:t xml:space="preserve">on-target beam current. </w:t>
      </w:r>
      <w:r w:rsidR="00A55942" w:rsidRPr="00683813">
        <w:rPr>
          <w:lang w:val="en-US"/>
        </w:rPr>
        <w:t xml:space="preserve">Improvements </w:t>
      </w:r>
      <w:r w:rsidR="00E34E22" w:rsidRPr="00683813">
        <w:rPr>
          <w:lang w:val="en-US"/>
        </w:rPr>
        <w:t xml:space="preserve">in </w:t>
      </w:r>
      <w:r w:rsidR="00CB5376">
        <w:rPr>
          <w:lang w:val="en-US"/>
        </w:rPr>
        <w:t>technology</w:t>
      </w:r>
      <w:r w:rsidR="00E34E22" w:rsidRPr="00683813">
        <w:rPr>
          <w:lang w:val="en-US"/>
        </w:rPr>
        <w:t xml:space="preserve"> have led to cyclotrons being operated at higher average beam currents over the years</w:t>
      </w:r>
      <w:r w:rsidRPr="00683813">
        <w:rPr>
          <w:lang w:val="en-US"/>
        </w:rPr>
        <w:t xml:space="preserve"> </w:t>
      </w:r>
      <w:r w:rsidR="00CB5376">
        <w:rPr>
          <w:lang w:val="en-US"/>
        </w:rPr>
        <w:fldChar w:fldCharType="begin"/>
      </w:r>
      <w:r w:rsidR="00FD3682">
        <w:rPr>
          <w:lang w:val="en-US"/>
        </w:rPr>
        <w:instrText xml:space="preserve"> ADDIN EN.CITE &lt;EndNote&gt;&lt;Cite&gt;&lt;Author&gt;Eberl&lt;/Author&gt;&lt;Year&gt;2012&lt;/Year&gt;&lt;RecNum&gt;66&lt;/RecNum&gt;&lt;DisplayText&gt;[22]&lt;/DisplayText&gt;&lt;record&gt;&lt;rec-number&gt;66&lt;/rec-number&gt;&lt;foreign-keys&gt;&lt;key app="EN" db-id="5saed0xvzv9sz3et5fqvz29i0ftadf2wd50r" timestamp="1692705903"&gt;66&lt;/key&gt;&lt;/foreign-keys&gt;&lt;ref-type name="Journal Article"&gt;17&lt;/ref-type&gt;&lt;contributors&gt;&lt;authors&gt;&lt;author&gt;Eberl, S&lt;/author&gt;&lt;author&gt;Eriksson, T&lt;/author&gt;&lt;author&gt;Svedberg, O&lt;/author&gt;&lt;author&gt;Norling, J&lt;/author&gt;&lt;author&gt;Henderson, D&lt;/author&gt;&lt;author&gt;Lam, P&lt;/author&gt;&lt;author&gt;Fulham, M&lt;/author&gt;&lt;/authors&gt;&lt;/contributors&gt;&lt;titles&gt;&lt;title&gt;High beam current operation of a PETtraceTM cyclotron for 18F− production&lt;/title&gt;&lt;secondary-title&gt;Applied Radiation and Isotopes&lt;/secondary-title&gt;&lt;/titles&gt;&lt;periodical&gt;&lt;full-title&gt;Applied Radiation and Isotopes&lt;/full-title&gt;&lt;/periodical&gt;&lt;pages&gt;922-930&lt;/pages&gt;&lt;volume&gt;70&lt;/volume&gt;&lt;number&gt;6&lt;/number&gt;&lt;dates&gt;&lt;year&gt;2012&lt;/year&gt;&lt;/dates&gt;&lt;isbn&gt;0969-8043&lt;/isbn&gt;&lt;urls&gt;&lt;/urls&gt;&lt;/record&gt;&lt;/Cite&gt;&lt;/EndNote&gt;</w:instrText>
      </w:r>
      <w:r w:rsidR="00CB5376">
        <w:rPr>
          <w:lang w:val="en-US"/>
        </w:rPr>
        <w:fldChar w:fldCharType="separate"/>
      </w:r>
      <w:r w:rsidR="00FD3682">
        <w:rPr>
          <w:noProof/>
          <w:lang w:val="en-US"/>
        </w:rPr>
        <w:t>[22]</w:t>
      </w:r>
      <w:r w:rsidR="00CB5376">
        <w:rPr>
          <w:lang w:val="en-US"/>
        </w:rPr>
        <w:fldChar w:fldCharType="end"/>
      </w:r>
      <w:r w:rsidR="00E34E22" w:rsidRPr="00683813">
        <w:rPr>
          <w:lang w:val="en-US"/>
        </w:rPr>
        <w:t xml:space="preserve">. </w:t>
      </w:r>
      <w:r w:rsidR="000A7DC8" w:rsidRPr="00683813">
        <w:rPr>
          <w:lang w:val="en-US"/>
        </w:rPr>
        <w:t xml:space="preserve">The number of secondary neutrons generated during cyclotron operation is </w:t>
      </w:r>
      <w:r w:rsidR="004317EA" w:rsidRPr="00683813">
        <w:rPr>
          <w:lang w:val="en-US"/>
        </w:rPr>
        <w:t xml:space="preserve">generally </w:t>
      </w:r>
      <w:r w:rsidR="000A7DC8" w:rsidRPr="00683813">
        <w:rPr>
          <w:lang w:val="en-US"/>
        </w:rPr>
        <w:t xml:space="preserve">proportionate to the number of </w:t>
      </w:r>
      <w:r w:rsidR="001B442B" w:rsidRPr="00683813">
        <w:rPr>
          <w:lang w:val="en-US"/>
        </w:rPr>
        <w:t xml:space="preserve">colliding </w:t>
      </w:r>
      <w:r w:rsidR="000A7DC8" w:rsidRPr="00683813">
        <w:rPr>
          <w:lang w:val="en-US"/>
        </w:rPr>
        <w:t xml:space="preserve">protons and thereby to the on-target beam current. Radiological characterization of facilities </w:t>
      </w:r>
      <w:r w:rsidR="00A950E0" w:rsidRPr="00683813">
        <w:rPr>
          <w:lang w:val="en-US"/>
        </w:rPr>
        <w:t>run under modern beam-current conditions</w:t>
      </w:r>
      <w:r w:rsidRPr="00683813">
        <w:rPr>
          <w:lang w:val="en-US"/>
        </w:rPr>
        <w:t xml:space="preserve"> is necessary to potentially affirm the conclusions of this paper.</w:t>
      </w:r>
    </w:p>
    <w:p w14:paraId="4B6D4783" w14:textId="10EE7AC8" w:rsidR="001747E1" w:rsidRPr="00683813" w:rsidRDefault="00AB25CE" w:rsidP="001537F9">
      <w:pPr>
        <w:pStyle w:val="BodyText"/>
        <w:rPr>
          <w:lang w:val="en-US"/>
        </w:rPr>
      </w:pPr>
      <w:r>
        <w:rPr>
          <w:lang w:val="en-US"/>
        </w:rPr>
        <w:t xml:space="preserve">Activation of materials around cyclotrons is generally not homogeneous; hot and cold spots are expected. In decommissioning and recycling practice, it is difficult to separate material from different zones. As we have therefore assumed that the material will be mixed after melting (metals) or granulation (concrete), the average activity over the complete bunker should be a representative quantity. </w:t>
      </w:r>
      <w:r w:rsidR="001747E1" w:rsidRPr="00683813">
        <w:rPr>
          <w:lang w:val="en-US"/>
        </w:rPr>
        <w:t xml:space="preserve">It is </w:t>
      </w:r>
      <w:r>
        <w:rPr>
          <w:lang w:val="en-US"/>
        </w:rPr>
        <w:t xml:space="preserve">however </w:t>
      </w:r>
      <w:r w:rsidR="001747E1" w:rsidRPr="00683813">
        <w:rPr>
          <w:lang w:val="en-US"/>
        </w:rPr>
        <w:t xml:space="preserve">possible that in some sources bias exists in the measurement campaigns for radiological characterization of cyclotrons and bunkers. An example would be that only those spots that previous measurements or operational knowledge </w:t>
      </w:r>
      <w:r w:rsidR="00277A6E" w:rsidRPr="00683813">
        <w:rPr>
          <w:lang w:val="en-US"/>
        </w:rPr>
        <w:t xml:space="preserve">had uncovered as high-dose spots </w:t>
      </w:r>
      <w:r w:rsidR="001747E1" w:rsidRPr="00683813">
        <w:rPr>
          <w:lang w:val="en-US"/>
        </w:rPr>
        <w:t>were measured and reported</w:t>
      </w:r>
      <w:r w:rsidR="00277A6E" w:rsidRPr="00683813">
        <w:rPr>
          <w:lang w:val="en-US"/>
        </w:rPr>
        <w:t xml:space="preserve"> on. If that is the case, average </w:t>
      </w:r>
      <w:r w:rsidR="00C83091">
        <w:rPr>
          <w:lang w:val="en-US"/>
        </w:rPr>
        <w:t>activity concentrations</w:t>
      </w:r>
      <w:r w:rsidR="00277A6E" w:rsidRPr="00683813">
        <w:rPr>
          <w:lang w:val="en-US"/>
        </w:rPr>
        <w:t xml:space="preserve"> over the full range of activated mass could be lower, thus increasing the likelihood that </w:t>
      </w:r>
      <w:r w:rsidR="000E01FC">
        <w:rPr>
          <w:lang w:val="en-US"/>
        </w:rPr>
        <w:t>conditional clearance</w:t>
      </w:r>
      <w:r w:rsidR="00277A6E" w:rsidRPr="00683813">
        <w:rPr>
          <w:lang w:val="en-US"/>
        </w:rPr>
        <w:t xml:space="preserve"> might be possible.</w:t>
      </w:r>
    </w:p>
    <w:p w14:paraId="6CBC4A30" w14:textId="5554EE66" w:rsidR="002465D3" w:rsidRPr="00683813" w:rsidRDefault="00AE657F" w:rsidP="001537F9">
      <w:pPr>
        <w:pStyle w:val="BodyText"/>
        <w:rPr>
          <w:lang w:val="en-US"/>
        </w:rPr>
      </w:pPr>
      <w:r w:rsidRPr="00683813">
        <w:rPr>
          <w:lang w:val="en-US"/>
        </w:rPr>
        <w:lastRenderedPageBreak/>
        <w:t xml:space="preserve">The extent to which </w:t>
      </w:r>
      <w:r w:rsidR="00C07E5E" w:rsidRPr="00683813">
        <w:rPr>
          <w:lang w:val="en-US"/>
        </w:rPr>
        <w:t xml:space="preserve">bulk residual </w:t>
      </w:r>
      <w:r w:rsidRPr="00683813">
        <w:rPr>
          <w:lang w:val="en-US"/>
        </w:rPr>
        <w:t xml:space="preserve">materials (particularly those predicted in this paper to be in class II) qualify for </w:t>
      </w:r>
      <w:r w:rsidR="000E01FC">
        <w:rPr>
          <w:lang w:val="en-US"/>
        </w:rPr>
        <w:t>conditional clearance</w:t>
      </w:r>
      <w:r w:rsidRPr="00683813">
        <w:rPr>
          <w:lang w:val="en-US"/>
        </w:rPr>
        <w:t xml:space="preserve"> is </w:t>
      </w:r>
      <w:r w:rsidR="00DC091C" w:rsidRPr="00683813">
        <w:rPr>
          <w:lang w:val="en-US"/>
        </w:rPr>
        <w:t xml:space="preserve">a choice that </w:t>
      </w:r>
      <w:r w:rsidR="002D62D4" w:rsidRPr="00683813">
        <w:rPr>
          <w:lang w:val="en-US"/>
        </w:rPr>
        <w:t xml:space="preserve">must be made on a case-by-case basis as a part of the </w:t>
      </w:r>
      <w:r w:rsidR="00164FC6" w:rsidRPr="00683813">
        <w:rPr>
          <w:lang w:val="en-US"/>
        </w:rPr>
        <w:t>regulations</w:t>
      </w:r>
      <w:r w:rsidR="002D62D4" w:rsidRPr="00683813">
        <w:rPr>
          <w:lang w:val="en-US"/>
        </w:rPr>
        <w:t xml:space="preserve">. </w:t>
      </w:r>
      <w:r w:rsidR="00C07E5E" w:rsidRPr="00683813">
        <w:rPr>
          <w:lang w:val="en-US"/>
        </w:rPr>
        <w:t>For every cyclotron decommissioning project, exposure s</w:t>
      </w:r>
      <w:r w:rsidR="002D62D4" w:rsidRPr="00683813">
        <w:rPr>
          <w:lang w:val="en-US"/>
        </w:rPr>
        <w:t xml:space="preserve">cenarios </w:t>
      </w:r>
      <w:r w:rsidR="00C07E5E" w:rsidRPr="00683813">
        <w:rPr>
          <w:lang w:val="en-US"/>
        </w:rPr>
        <w:t>and resultant dose to members of the public and potentially to employees must be calculated for the specific type of post-clearance usage of materials, incorporating the activity of the material respective to that particular cyclotron decommissioning project.</w:t>
      </w:r>
    </w:p>
    <w:p w14:paraId="0B1C1D2B" w14:textId="65DB663E" w:rsidR="00683813" w:rsidRPr="00683813" w:rsidRDefault="00683813" w:rsidP="001537F9">
      <w:pPr>
        <w:pStyle w:val="BodyText"/>
        <w:rPr>
          <w:lang w:val="en-US"/>
        </w:rPr>
      </w:pPr>
      <w:r w:rsidRPr="00683813">
        <w:rPr>
          <w:lang w:val="en-US"/>
        </w:rPr>
        <w:t>The cost of conventional</w:t>
      </w:r>
      <w:r w:rsidR="008E41D5">
        <w:rPr>
          <w:lang w:val="en-US"/>
        </w:rPr>
        <w:t xml:space="preserve"> radioactive waste</w:t>
      </w:r>
      <w:r w:rsidRPr="00683813">
        <w:rPr>
          <w:lang w:val="en-US"/>
        </w:rPr>
        <w:t xml:space="preserve"> storage of </w:t>
      </w:r>
      <w:r w:rsidR="007A5A3B">
        <w:rPr>
          <w:lang w:val="en-US"/>
        </w:rPr>
        <w:t>the estimated</w:t>
      </w:r>
      <w:r w:rsidR="007A5A3B" w:rsidRPr="00683813">
        <w:rPr>
          <w:lang w:val="en-US"/>
        </w:rPr>
        <w:t xml:space="preserve"> </w:t>
      </w:r>
      <w:r w:rsidRPr="00683813">
        <w:rPr>
          <w:lang w:val="en-US"/>
        </w:rPr>
        <w:t xml:space="preserve">amount </w:t>
      </w:r>
      <w:r w:rsidR="007A5A3B">
        <w:rPr>
          <w:lang w:val="en-US"/>
        </w:rPr>
        <w:t xml:space="preserve">of cyclotron decommissioning waste </w:t>
      </w:r>
      <w:r w:rsidRPr="00683813">
        <w:rPr>
          <w:lang w:val="en-US"/>
        </w:rPr>
        <w:t xml:space="preserve">was </w:t>
      </w:r>
      <w:r w:rsidR="008E41D5">
        <w:rPr>
          <w:lang w:val="en-US"/>
        </w:rPr>
        <w:t>projected</w:t>
      </w:r>
      <w:r w:rsidRPr="00683813">
        <w:rPr>
          <w:lang w:val="en-US"/>
        </w:rPr>
        <w:t xml:space="preserve"> for the Dutch situation according to the cost profiles discussed in</w:t>
      </w:r>
      <w:r w:rsidR="00ED6E43">
        <w:rPr>
          <w:lang w:val="en-US"/>
        </w:rPr>
        <w:t xml:space="preserve"> </w:t>
      </w:r>
      <w:r w:rsidR="00ED6E43">
        <w:rPr>
          <w:lang w:val="en-US"/>
        </w:rPr>
        <w:fldChar w:fldCharType="begin"/>
      </w:r>
      <w:r w:rsidR="00FD3682">
        <w:rPr>
          <w:lang w:val="en-US"/>
        </w:rPr>
        <w:instrText xml:space="preserve"> ADDIN EN.CITE &lt;EndNote&gt;&lt;Cite&gt;&lt;Author&gt;Bekhuis&lt;/Author&gt;&lt;Year&gt;2023&lt;/Year&gt;&lt;RecNum&gt;69&lt;/RecNum&gt;&lt;DisplayText&gt;[23]&lt;/DisplayText&gt;&lt;record&gt;&lt;rec-number&gt;69&lt;/rec-number&gt;&lt;foreign-keys&gt;&lt;key app="EN" db-id="5saed0xvzv9sz3et5fqvz29i0ftadf2wd50r" timestamp="1692798230"&gt;69&lt;/key&gt;&lt;/foreign-keys&gt;&lt;ref-type name="Report"&gt;27&lt;/ref-type&gt;&lt;contributors&gt;&lt;authors&gt;&lt;author&gt;Bekhuis, P.D.B.M.&lt;/author&gt;&lt;author&gt;Hengeveld, A.C.&lt;/author&gt;&lt;/authors&gt;&lt;/contributors&gt;&lt;titles&gt;&lt;title&gt;Ontmanteling cyclotrons&lt;/title&gt;&lt;/titles&gt;&lt;dates&gt;&lt;year&gt;2023&lt;/year&gt;&lt;/dates&gt;&lt;publisher&gt;RIVM&lt;/publisher&gt;&lt;isbn&gt;Rapportnummer 2023-0233&lt;/isbn&gt;&lt;urls&gt;&lt;/urls&gt;&lt;/record&gt;&lt;/Cite&gt;&lt;/EndNote&gt;</w:instrText>
      </w:r>
      <w:r w:rsidR="00ED6E43">
        <w:rPr>
          <w:lang w:val="en-US"/>
        </w:rPr>
        <w:fldChar w:fldCharType="separate"/>
      </w:r>
      <w:r w:rsidR="00FD3682">
        <w:rPr>
          <w:noProof/>
          <w:lang w:val="en-US"/>
        </w:rPr>
        <w:t>[23]</w:t>
      </w:r>
      <w:r w:rsidR="00ED6E43">
        <w:rPr>
          <w:lang w:val="en-US"/>
        </w:rPr>
        <w:fldChar w:fldCharType="end"/>
      </w:r>
      <w:r w:rsidRPr="00683813">
        <w:rPr>
          <w:lang w:val="en-US"/>
        </w:rPr>
        <w:t xml:space="preserve">. A financial commitment of </w:t>
      </w:r>
      <w:r w:rsidRPr="005256C3">
        <w:rPr>
          <w:lang w:val="en-US"/>
        </w:rPr>
        <w:t>35 to 50 million euros</w:t>
      </w:r>
      <w:r w:rsidRPr="00683813">
        <w:rPr>
          <w:lang w:val="en-US"/>
        </w:rPr>
        <w:t xml:space="preserve"> for radioactive waste storage</w:t>
      </w:r>
      <w:r w:rsidR="007A5A3B">
        <w:rPr>
          <w:lang w:val="en-US"/>
        </w:rPr>
        <w:t xml:space="preserve"> was identified that</w:t>
      </w:r>
      <w:r w:rsidRPr="00683813">
        <w:rPr>
          <w:lang w:val="en-US"/>
        </w:rPr>
        <w:t xml:space="preserve"> could thus be avoided</w:t>
      </w:r>
      <w:r w:rsidR="007A5A3B">
        <w:rPr>
          <w:lang w:val="en-US"/>
        </w:rPr>
        <w:t xml:space="preserve"> through the application of </w:t>
      </w:r>
      <w:r w:rsidR="000E01FC">
        <w:rPr>
          <w:lang w:val="en-US"/>
        </w:rPr>
        <w:t>conditional clearance</w:t>
      </w:r>
      <w:r w:rsidR="007A5A3B">
        <w:rPr>
          <w:lang w:val="en-US"/>
        </w:rPr>
        <w:t xml:space="preserve"> for these materials</w:t>
      </w:r>
      <w:r w:rsidRPr="00683813">
        <w:rPr>
          <w:lang w:val="en-US"/>
        </w:rPr>
        <w:t xml:space="preserve">. </w:t>
      </w:r>
      <w:r w:rsidR="007A5A3B">
        <w:rPr>
          <w:lang w:val="en-US"/>
        </w:rPr>
        <w:t>It should be noted that such a cost estimation is highly time-dependent and likely will not be representative in a few years’ time.</w:t>
      </w:r>
    </w:p>
    <w:p w14:paraId="0EE035D6" w14:textId="2559F1F6" w:rsidR="008D65E8" w:rsidRPr="00683813" w:rsidRDefault="002465D3" w:rsidP="001537F9">
      <w:pPr>
        <w:pStyle w:val="BodyText"/>
        <w:rPr>
          <w:lang w:val="en-US"/>
        </w:rPr>
      </w:pPr>
      <w:r w:rsidRPr="00683813">
        <w:rPr>
          <w:lang w:val="en-US"/>
        </w:rPr>
        <w:t xml:space="preserve">It should be clear that this paper cannot be thought of as a reference for claims that all bulk cyclotron decommissioning residuals </w:t>
      </w:r>
      <w:r w:rsidR="007A5A3B">
        <w:rPr>
          <w:lang w:val="en-US"/>
        </w:rPr>
        <w:t xml:space="preserve">qualify for </w:t>
      </w:r>
      <w:r w:rsidR="000E01FC">
        <w:rPr>
          <w:lang w:val="en-US"/>
        </w:rPr>
        <w:t>conditional clearance</w:t>
      </w:r>
      <w:r w:rsidRPr="00683813">
        <w:rPr>
          <w:lang w:val="en-US"/>
        </w:rPr>
        <w:t xml:space="preserve">. </w:t>
      </w:r>
      <w:r w:rsidR="00BF7D26" w:rsidRPr="00683813">
        <w:rPr>
          <w:lang w:val="en-US"/>
        </w:rPr>
        <w:t>This paper’s results</w:t>
      </w:r>
      <w:r w:rsidRPr="00683813">
        <w:rPr>
          <w:lang w:val="en-US"/>
        </w:rPr>
        <w:t xml:space="preserve"> do indicate, however, that </w:t>
      </w:r>
      <w:r w:rsidR="00BF7D26" w:rsidRPr="00683813">
        <w:rPr>
          <w:lang w:val="en-US"/>
        </w:rPr>
        <w:t xml:space="preserve">there is potential for </w:t>
      </w:r>
      <w:r w:rsidR="000E01FC">
        <w:rPr>
          <w:lang w:val="en-US"/>
        </w:rPr>
        <w:t>conditional clearance</w:t>
      </w:r>
      <w:r w:rsidR="00BF7D26" w:rsidRPr="00683813">
        <w:rPr>
          <w:lang w:val="en-US"/>
        </w:rPr>
        <w:t xml:space="preserve"> of residuals in most cyclotron decommissioning projects. </w:t>
      </w:r>
      <w:r w:rsidR="000E01FC">
        <w:rPr>
          <w:lang w:val="en-US"/>
        </w:rPr>
        <w:t>Conditional clearance</w:t>
      </w:r>
      <w:r w:rsidR="007537A8" w:rsidRPr="00683813">
        <w:rPr>
          <w:lang w:val="en-US"/>
        </w:rPr>
        <w:t xml:space="preserve"> can work for removal and for recycling or reuse of materials</w:t>
      </w:r>
      <w:r w:rsidR="00E03091">
        <w:rPr>
          <w:lang w:val="en-US"/>
        </w:rPr>
        <w:t xml:space="preserve">, </w:t>
      </w:r>
      <w:r w:rsidR="006C0FB6">
        <w:rPr>
          <w:lang w:val="en-US"/>
        </w:rPr>
        <w:t>constituting a potential avenue to implement circular economy goals</w:t>
      </w:r>
      <w:r w:rsidR="007537A8" w:rsidRPr="00683813">
        <w:rPr>
          <w:lang w:val="en-US"/>
        </w:rPr>
        <w:t>.</w:t>
      </w:r>
      <w:r w:rsidR="00BF7D26" w:rsidRPr="00683813">
        <w:rPr>
          <w:lang w:val="en-US"/>
        </w:rPr>
        <w:t xml:space="preserve"> </w:t>
      </w:r>
      <w:r w:rsidR="007537A8" w:rsidRPr="00683813">
        <w:rPr>
          <w:lang w:val="en-US"/>
        </w:rPr>
        <w:t xml:space="preserve">Due to the </w:t>
      </w:r>
      <w:r w:rsidR="005B7BFA" w:rsidRPr="00683813">
        <w:rPr>
          <w:lang w:val="en-US"/>
        </w:rPr>
        <w:t xml:space="preserve">half-lives </w:t>
      </w:r>
      <w:r w:rsidR="00DA4667" w:rsidRPr="00683813">
        <w:rPr>
          <w:lang w:val="en-US"/>
        </w:rPr>
        <w:t xml:space="preserve">of the </w:t>
      </w:r>
      <w:r w:rsidR="00E03091">
        <w:rPr>
          <w:lang w:val="en-US"/>
        </w:rPr>
        <w:t>most crucial</w:t>
      </w:r>
      <w:r w:rsidR="00E03091" w:rsidRPr="00683813">
        <w:rPr>
          <w:lang w:val="en-US"/>
        </w:rPr>
        <w:t xml:space="preserve"> </w:t>
      </w:r>
      <w:r w:rsidR="00DA4667" w:rsidRPr="00683813">
        <w:rPr>
          <w:lang w:val="en-US"/>
        </w:rPr>
        <w:t>radionuclides</w:t>
      </w:r>
      <w:r w:rsidR="00E03091">
        <w:rPr>
          <w:lang w:val="en-US"/>
        </w:rPr>
        <w:t xml:space="preserve"> (</w:t>
      </w:r>
      <w:r w:rsidR="00E03091" w:rsidRPr="00683813">
        <w:rPr>
          <w:vertAlign w:val="superscript"/>
          <w:lang w:val="en-US"/>
        </w:rPr>
        <w:t>60</w:t>
      </w:r>
      <w:r w:rsidR="00E03091" w:rsidRPr="00683813">
        <w:rPr>
          <w:lang w:val="en-US"/>
        </w:rPr>
        <w:t>Co</w:t>
      </w:r>
      <w:r w:rsidR="00E03091">
        <w:rPr>
          <w:lang w:val="en-US"/>
        </w:rPr>
        <w:t xml:space="preserve">, </w:t>
      </w:r>
      <w:r w:rsidR="00E03091" w:rsidRPr="00683813">
        <w:rPr>
          <w:vertAlign w:val="superscript"/>
          <w:lang w:val="en-US"/>
        </w:rPr>
        <w:t>152</w:t>
      </w:r>
      <w:r w:rsidR="00E03091" w:rsidRPr="00683813">
        <w:rPr>
          <w:lang w:val="en-US"/>
        </w:rPr>
        <w:t>Eu</w:t>
      </w:r>
      <w:r w:rsidR="00E03091">
        <w:rPr>
          <w:lang w:val="en-US"/>
        </w:rPr>
        <w:t>)</w:t>
      </w:r>
      <w:r w:rsidR="00DA4667" w:rsidRPr="00683813">
        <w:rPr>
          <w:lang w:val="en-US"/>
        </w:rPr>
        <w:t xml:space="preserve"> a </w:t>
      </w:r>
      <w:r w:rsidR="004027A2" w:rsidRPr="00683813">
        <w:rPr>
          <w:lang w:val="en-US"/>
        </w:rPr>
        <w:t xml:space="preserve">multiple-life-cycle process </w:t>
      </w:r>
      <w:r w:rsidR="00E03091">
        <w:rPr>
          <w:lang w:val="en-US"/>
        </w:rPr>
        <w:t>should pose</w:t>
      </w:r>
      <w:r w:rsidR="00E03091" w:rsidRPr="00683813">
        <w:rPr>
          <w:lang w:val="en-US"/>
        </w:rPr>
        <w:t xml:space="preserve"> </w:t>
      </w:r>
      <w:r w:rsidR="004027A2" w:rsidRPr="00683813">
        <w:rPr>
          <w:lang w:val="en-US"/>
        </w:rPr>
        <w:t xml:space="preserve">no concern. A </w:t>
      </w:r>
      <w:r w:rsidR="005B7BFA" w:rsidRPr="00683813">
        <w:rPr>
          <w:lang w:val="en-US"/>
        </w:rPr>
        <w:t>possibilit</w:t>
      </w:r>
      <w:r w:rsidR="00DA4667" w:rsidRPr="00683813">
        <w:rPr>
          <w:lang w:val="en-US"/>
        </w:rPr>
        <w:t>y</w:t>
      </w:r>
      <w:r w:rsidR="005B7BFA" w:rsidRPr="00683813">
        <w:rPr>
          <w:lang w:val="en-US"/>
        </w:rPr>
        <w:t xml:space="preserve"> like</w:t>
      </w:r>
      <w:r w:rsidR="007537A8" w:rsidRPr="00683813">
        <w:rPr>
          <w:lang w:val="en-US"/>
        </w:rPr>
        <w:t xml:space="preserve"> </w:t>
      </w:r>
      <w:r w:rsidR="005B7BFA" w:rsidRPr="00683813">
        <w:rPr>
          <w:lang w:val="en-US"/>
        </w:rPr>
        <w:t>foundations for windmills seem</w:t>
      </w:r>
      <w:r w:rsidR="00DA4667" w:rsidRPr="00683813">
        <w:rPr>
          <w:lang w:val="en-US"/>
        </w:rPr>
        <w:t>s</w:t>
      </w:r>
      <w:r w:rsidR="005B7BFA" w:rsidRPr="00683813">
        <w:rPr>
          <w:lang w:val="en-US"/>
        </w:rPr>
        <w:t xml:space="preserve"> feasible but other destinations may also be suitable. </w:t>
      </w:r>
      <w:r w:rsidR="006C0FB6">
        <w:rPr>
          <w:lang w:val="en-US"/>
        </w:rPr>
        <w:t>With the implementation of recycling</w:t>
      </w:r>
      <w:r w:rsidR="007C5024" w:rsidRPr="00683813">
        <w:rPr>
          <w:lang w:val="en-US"/>
        </w:rPr>
        <w:t>, resources may be saved in the generation of new materials, as well as in financial and spatial provisions for storage of this radioactive waste.</w:t>
      </w:r>
      <w:r w:rsidR="006C0FB6">
        <w:rPr>
          <w:lang w:val="en-US"/>
        </w:rPr>
        <w:t xml:space="preserve"> With a holistic view of public health, benefits outside of radiological effects would likely result from decreased mining or other resource generating processes </w:t>
      </w:r>
      <w:r w:rsidR="008E41D5">
        <w:rPr>
          <w:lang w:val="en-US"/>
        </w:rPr>
        <w:fldChar w:fldCharType="begin"/>
      </w:r>
      <w:r w:rsidR="00FD3682">
        <w:rPr>
          <w:lang w:val="en-US"/>
        </w:rPr>
        <w:instrText xml:space="preserve"> ADDIN EN.CITE &lt;EndNote&gt;&lt;Cite&gt;&lt;Author&gt;NEA&lt;/Author&gt;&lt;Year&gt;2016&lt;/Year&gt;&lt;RecNum&gt;58&lt;/RecNum&gt;&lt;DisplayText&gt;[24]&lt;/DisplayText&gt;&lt;record&gt;&lt;rec-number&gt;58&lt;/rec-number&gt;&lt;foreign-keys&gt;&lt;key app="EN" db-id="5saed0xvzv9sz3et5fqvz29i0ftadf2wd50r" timestamp="1677767973"&gt;58&lt;/key&gt;&lt;/foreign-keys&gt;&lt;ref-type name="Report"&gt;27&lt;/ref-type&gt;&lt;contributors&gt;&lt;authors&gt;&lt;author&gt;NEA&lt;/author&gt;&lt;/authors&gt;&lt;secondary-authors&gt;&lt;author&gt;Nuclear Energy Agency&lt;/author&gt;&lt;/secondary-authors&gt;&lt;/contributors&gt;&lt;titles&gt;&lt;title&gt;Recycling and reuse of materials from decommissioning&lt;/title&gt;&lt;secondary-title&gt;Nuclear Decommissioning&lt;/secondary-title&gt;&lt;/titles&gt;&lt;dates&gt;&lt;year&gt;2016&lt;/year&gt;&lt;/dates&gt;&lt;publisher&gt;Organisation for Economic Co-operation and Development&lt;/publisher&gt;&lt;urls&gt;&lt;/urls&gt;&lt;/record&gt;&lt;/Cite&gt;&lt;/EndNote&gt;</w:instrText>
      </w:r>
      <w:r w:rsidR="008E41D5">
        <w:rPr>
          <w:lang w:val="en-US"/>
        </w:rPr>
        <w:fldChar w:fldCharType="separate"/>
      </w:r>
      <w:r w:rsidR="00FD3682">
        <w:rPr>
          <w:noProof/>
          <w:lang w:val="en-US"/>
        </w:rPr>
        <w:t>[24]</w:t>
      </w:r>
      <w:r w:rsidR="008E41D5">
        <w:rPr>
          <w:lang w:val="en-US"/>
        </w:rPr>
        <w:fldChar w:fldCharType="end"/>
      </w:r>
      <w:r w:rsidR="006C0FB6">
        <w:rPr>
          <w:lang w:val="en-US"/>
        </w:rPr>
        <w:t>.</w:t>
      </w:r>
      <w:r w:rsidR="007C5024" w:rsidRPr="00683813">
        <w:rPr>
          <w:lang w:val="en-US"/>
        </w:rPr>
        <w:t xml:space="preserve"> </w:t>
      </w:r>
      <w:r w:rsidR="00BF7D26" w:rsidRPr="00683813">
        <w:rPr>
          <w:lang w:val="en-US"/>
        </w:rPr>
        <w:t xml:space="preserve">It is up to scientists and policymakers to provide exposure scenarios and dose criteria, as well as </w:t>
      </w:r>
      <w:r w:rsidR="007C5024" w:rsidRPr="00683813">
        <w:rPr>
          <w:lang w:val="en-US"/>
        </w:rPr>
        <w:t>up-to-date radiological characterization of cyclotron decommissioning materials to enable these developments.</w:t>
      </w:r>
      <w:r w:rsidR="00365573" w:rsidRPr="00683813">
        <w:rPr>
          <w:lang w:val="en-US"/>
        </w:rPr>
        <w:t xml:space="preserve"> </w:t>
      </w:r>
    </w:p>
    <w:p w14:paraId="129D6DB8" w14:textId="7463B5DA" w:rsidR="00E20E70" w:rsidRPr="00683813" w:rsidRDefault="00056930" w:rsidP="00537496">
      <w:pPr>
        <w:pStyle w:val="Heading2"/>
        <w:rPr>
          <w:lang w:val="en-US"/>
        </w:rPr>
      </w:pPr>
      <w:r w:rsidRPr="00683813">
        <w:rPr>
          <w:lang w:val="en-US"/>
        </w:rPr>
        <w:t>CONCLUSION</w:t>
      </w:r>
    </w:p>
    <w:p w14:paraId="73F7999E" w14:textId="6B2A8B04" w:rsidR="00C9253B" w:rsidRPr="00683813" w:rsidRDefault="009348FD" w:rsidP="00C9253B">
      <w:pPr>
        <w:pStyle w:val="BodyText"/>
        <w:rPr>
          <w:lang w:val="en-US"/>
        </w:rPr>
      </w:pPr>
      <w:r w:rsidRPr="00683813">
        <w:rPr>
          <w:lang w:val="en-US"/>
        </w:rPr>
        <w:t xml:space="preserve">When dismantling cyclotrons and their </w:t>
      </w:r>
      <w:r w:rsidR="00CE32E4">
        <w:rPr>
          <w:lang w:val="en-US"/>
        </w:rPr>
        <w:t>bunkers</w:t>
      </w:r>
      <w:r w:rsidRPr="00683813">
        <w:rPr>
          <w:lang w:val="en-US"/>
        </w:rPr>
        <w:t>, f</w:t>
      </w:r>
      <w:r w:rsidR="00C9253B" w:rsidRPr="00683813">
        <w:rPr>
          <w:lang w:val="en-US"/>
        </w:rPr>
        <w:t>ive years post shutdown, the activity concentrations in metal bulk residuals, concrete and reinforcement steel appear to be well below 100 times the clearance level.</w:t>
      </w:r>
      <w:r w:rsidR="00310F75" w:rsidRPr="00683813">
        <w:rPr>
          <w:lang w:val="en-US"/>
        </w:rPr>
        <w:t xml:space="preserve"> </w:t>
      </w:r>
      <w:r w:rsidR="001A04A4" w:rsidRPr="00683813">
        <w:rPr>
          <w:lang w:val="en-US"/>
        </w:rPr>
        <w:t>T</w:t>
      </w:r>
      <w:r w:rsidR="00C9253B" w:rsidRPr="00683813">
        <w:rPr>
          <w:lang w:val="en-US"/>
        </w:rPr>
        <w:t xml:space="preserve">he materials are therefore likely to qualify for </w:t>
      </w:r>
      <w:r w:rsidR="000E01FC">
        <w:rPr>
          <w:lang w:val="en-US"/>
        </w:rPr>
        <w:t>conditional clearance</w:t>
      </w:r>
      <w:r w:rsidR="00683813" w:rsidRPr="00683813">
        <w:rPr>
          <w:lang w:val="en-US"/>
        </w:rPr>
        <w:t xml:space="preserve">. </w:t>
      </w:r>
      <w:r w:rsidR="004F2998" w:rsidRPr="00683813">
        <w:rPr>
          <w:lang w:val="en-US"/>
        </w:rPr>
        <w:t xml:space="preserve">Our results indicate that </w:t>
      </w:r>
      <w:r w:rsidR="00C9253B" w:rsidRPr="00683813">
        <w:rPr>
          <w:lang w:val="en-US"/>
        </w:rPr>
        <w:t>bulk residue from dismantling cyclotrons</w:t>
      </w:r>
      <w:r w:rsidR="007D7153" w:rsidRPr="00683813">
        <w:rPr>
          <w:lang w:val="en-US"/>
        </w:rPr>
        <w:t xml:space="preserve"> </w:t>
      </w:r>
      <w:r w:rsidR="00C9253B" w:rsidRPr="00683813">
        <w:rPr>
          <w:lang w:val="en-US"/>
        </w:rPr>
        <w:t>(</w:t>
      </w:r>
      <w:r w:rsidR="00CE32E4">
        <w:rPr>
          <w:lang w:val="en-US"/>
        </w:rPr>
        <w:t>bunkers</w:t>
      </w:r>
      <w:r w:rsidR="00C9253B" w:rsidRPr="00683813">
        <w:rPr>
          <w:lang w:val="en-US"/>
        </w:rPr>
        <w:t>)</w:t>
      </w:r>
      <w:r w:rsidR="001A04A4" w:rsidRPr="00683813">
        <w:rPr>
          <w:lang w:val="en-US"/>
        </w:rPr>
        <w:t xml:space="preserve">, after </w:t>
      </w:r>
      <w:r w:rsidR="000E01FC">
        <w:rPr>
          <w:lang w:val="en-US"/>
        </w:rPr>
        <w:t>conditional clearance</w:t>
      </w:r>
      <w:r w:rsidR="001A04A4" w:rsidRPr="00683813">
        <w:rPr>
          <w:lang w:val="en-US"/>
        </w:rPr>
        <w:t>,</w:t>
      </w:r>
      <w:r w:rsidR="00C9253B" w:rsidRPr="00683813">
        <w:rPr>
          <w:lang w:val="en-US"/>
        </w:rPr>
        <w:t xml:space="preserve"> can </w:t>
      </w:r>
      <w:r w:rsidR="001A04A4" w:rsidRPr="00683813">
        <w:rPr>
          <w:lang w:val="en-US"/>
        </w:rPr>
        <w:t>in most cases</w:t>
      </w:r>
      <w:r w:rsidR="00C9253B" w:rsidRPr="00683813">
        <w:rPr>
          <w:lang w:val="en-US"/>
        </w:rPr>
        <w:t xml:space="preserve"> be recycled under specific conditions, complying with the safety levels for humans and the environment. Recycling can prevent the storage of a total of </w:t>
      </w:r>
      <w:r w:rsidR="00CE20C1" w:rsidRPr="00683813">
        <w:rPr>
          <w:lang w:val="en-US"/>
        </w:rPr>
        <w:t xml:space="preserve">5 to 7 </w:t>
      </w:r>
      <w:r w:rsidR="00C85003">
        <w:rPr>
          <w:lang w:val="en-US"/>
        </w:rPr>
        <w:t>metric kilotons</w:t>
      </w:r>
      <w:r w:rsidR="00C9253B" w:rsidRPr="00683813">
        <w:rPr>
          <w:lang w:val="en-US"/>
        </w:rPr>
        <w:t xml:space="preserve"> of radioactive waste in the Netherlands</w:t>
      </w:r>
      <w:r w:rsidR="00CE20C1" w:rsidRPr="00683813">
        <w:rPr>
          <w:lang w:val="en-US"/>
        </w:rPr>
        <w:t xml:space="preserve">. </w:t>
      </w:r>
      <w:r w:rsidR="00C9064C" w:rsidRPr="00683813">
        <w:rPr>
          <w:lang w:val="en-US"/>
        </w:rPr>
        <w:t xml:space="preserve">We recommend to scientists and policymakers </w:t>
      </w:r>
      <w:r w:rsidR="00C47C9E" w:rsidRPr="00683813">
        <w:rPr>
          <w:lang w:val="en-US"/>
        </w:rPr>
        <w:t xml:space="preserve">that the possibility for </w:t>
      </w:r>
      <w:r w:rsidR="000E01FC">
        <w:rPr>
          <w:lang w:val="en-US"/>
        </w:rPr>
        <w:t>conditional clearance</w:t>
      </w:r>
      <w:r w:rsidR="00C47C9E" w:rsidRPr="00683813">
        <w:rPr>
          <w:lang w:val="en-US"/>
        </w:rPr>
        <w:t xml:space="preserve"> for such materials </w:t>
      </w:r>
      <w:r w:rsidR="006851F7">
        <w:rPr>
          <w:lang w:val="en-US"/>
        </w:rPr>
        <w:t xml:space="preserve">should </w:t>
      </w:r>
      <w:r w:rsidR="00C47C9E" w:rsidRPr="00683813">
        <w:rPr>
          <w:lang w:val="en-US"/>
        </w:rPr>
        <w:t>be further explored</w:t>
      </w:r>
      <w:r w:rsidR="007D7153" w:rsidRPr="00683813">
        <w:rPr>
          <w:lang w:val="en-US"/>
        </w:rPr>
        <w:t>.</w:t>
      </w:r>
      <w:r w:rsidR="00DD06AE">
        <w:rPr>
          <w:lang w:val="en-US"/>
        </w:rPr>
        <w:t xml:space="preserve"> This should be done</w:t>
      </w:r>
      <w:r w:rsidR="00C47C9E" w:rsidRPr="00683813">
        <w:rPr>
          <w:lang w:val="en-US"/>
        </w:rPr>
        <w:t xml:space="preserve"> such as </w:t>
      </w:r>
      <w:r w:rsidR="00C9064C" w:rsidRPr="00683813">
        <w:rPr>
          <w:lang w:val="en-US"/>
        </w:rPr>
        <w:t>to promote the likelihood that these materials are not wasted, and that funds and resources are not disproportionately used for standard types of radioactive materials storage in the case of cyclotron decommissioning.</w:t>
      </w:r>
    </w:p>
    <w:p w14:paraId="7CCD3556" w14:textId="2EF56FAD" w:rsidR="00C9253B" w:rsidRPr="00683813" w:rsidRDefault="00C9253B" w:rsidP="00C9253B">
      <w:pPr>
        <w:pStyle w:val="BodyText"/>
        <w:rPr>
          <w:lang w:val="en-US"/>
        </w:rPr>
      </w:pPr>
      <w:r w:rsidRPr="00683813">
        <w:rPr>
          <w:lang w:val="en-US"/>
        </w:rPr>
        <w:t>With new cyclotrons to be built, a sustainable building construction needs to be considered. When designing for disassembly</w:t>
      </w:r>
      <w:r w:rsidR="003A72E3" w:rsidRPr="00683813">
        <w:rPr>
          <w:lang w:val="en-US"/>
        </w:rPr>
        <w:t>,</w:t>
      </w:r>
      <w:r w:rsidRPr="00683813">
        <w:rPr>
          <w:lang w:val="en-US"/>
        </w:rPr>
        <w:t xml:space="preserve"> so-called 'low activatable' materials can be used in the construction of both the cyclotron and the bunker, and reinforcement steel in the inner 50 centimeters of the walls can be omitted. In addition, walls can be built in such a way that the inner 50 centimeters of the concrete can be easily separated from the rest of the concrete. </w:t>
      </w:r>
    </w:p>
    <w:p w14:paraId="36BF2C66" w14:textId="77777777" w:rsidR="00D26ADA" w:rsidRPr="00683813" w:rsidRDefault="00D26ADA" w:rsidP="00537496">
      <w:pPr>
        <w:pStyle w:val="Otherunnumberedheadings"/>
        <w:rPr>
          <w:lang w:val="en-US"/>
        </w:rPr>
      </w:pPr>
      <w:r w:rsidRPr="00683813">
        <w:rPr>
          <w:lang w:val="en-US"/>
        </w:rPr>
        <w:t>References</w:t>
      </w:r>
    </w:p>
    <w:p w14:paraId="53EEB592" w14:textId="70F4529C" w:rsidR="00201D34" w:rsidRPr="00D32625" w:rsidRDefault="0081017E" w:rsidP="00537496">
      <w:pPr>
        <w:pStyle w:val="Referencelist"/>
        <w:rPr>
          <w:lang w:val="nl-NL"/>
        </w:rPr>
      </w:pPr>
      <w:r w:rsidRPr="00D32625">
        <w:rPr>
          <w:lang w:val="nl-NL"/>
        </w:rPr>
        <w:t>RIVM, Trend in het Aantal Nucleair Geneeskundige Onderzoeken (2023),</w:t>
      </w:r>
      <w:r w:rsidRPr="00D32625">
        <w:rPr>
          <w:lang w:val="nl-NL"/>
        </w:rPr>
        <w:br/>
        <w:t>https://www.rivm.nl/medische-stralingstoepassingen/trends-en-stand-van-zaken/diagnostiek/nucleaire-geneeskunde/trend-in-aantal-nucleair-geneeskundige-onderzoeken</w:t>
      </w:r>
    </w:p>
    <w:p w14:paraId="494AE2BE" w14:textId="4F89DA02" w:rsidR="0081017E" w:rsidRPr="00D32625" w:rsidRDefault="0081017E" w:rsidP="00537496">
      <w:pPr>
        <w:pStyle w:val="Referencelist"/>
        <w:rPr>
          <w:lang w:val="nl-NL"/>
        </w:rPr>
      </w:pPr>
      <w:r w:rsidRPr="00D32625">
        <w:rPr>
          <w:lang w:val="nl-NL"/>
        </w:rPr>
        <w:t>Boudewijns, L.</w:t>
      </w:r>
      <w:r w:rsidR="00446BF0" w:rsidRPr="00D32625">
        <w:rPr>
          <w:lang w:val="nl-NL"/>
        </w:rPr>
        <w:t>,</w:t>
      </w:r>
      <w:r w:rsidRPr="00D32625">
        <w:rPr>
          <w:lang w:val="nl-NL"/>
        </w:rPr>
        <w:t xml:space="preserve"> De Waard, I., Recente Ontwikkelingen in Medische Stralingstoepassingen, RIVM, Bilthoven</w:t>
      </w:r>
      <w:r w:rsidR="008429A9">
        <w:rPr>
          <w:lang w:val="nl-NL"/>
        </w:rPr>
        <w:t xml:space="preserve"> </w:t>
      </w:r>
      <w:r w:rsidRPr="00D32625">
        <w:rPr>
          <w:lang w:val="nl-NL"/>
        </w:rPr>
        <w:t xml:space="preserve"> </w:t>
      </w:r>
      <w:r w:rsidR="008429A9">
        <w:rPr>
          <w:lang w:val="nl-NL"/>
        </w:rPr>
        <w:t>(</w:t>
      </w:r>
      <w:r w:rsidRPr="00D32625">
        <w:rPr>
          <w:lang w:val="nl-NL"/>
        </w:rPr>
        <w:t>2019</w:t>
      </w:r>
      <w:r w:rsidR="008429A9">
        <w:rPr>
          <w:lang w:val="nl-NL"/>
        </w:rPr>
        <w:t>)</w:t>
      </w:r>
      <w:r w:rsidRPr="00D32625">
        <w:rPr>
          <w:lang w:val="nl-NL"/>
        </w:rPr>
        <w:t>.</w:t>
      </w:r>
    </w:p>
    <w:p w14:paraId="7CC5B0A0" w14:textId="6FA1FD5F" w:rsidR="0081017E" w:rsidRPr="00D32625" w:rsidRDefault="0081017E" w:rsidP="00537496">
      <w:pPr>
        <w:pStyle w:val="Referencelist"/>
        <w:rPr>
          <w:lang w:val="en-US"/>
        </w:rPr>
      </w:pPr>
      <w:proofErr w:type="spellStart"/>
      <w:r w:rsidRPr="00D32625">
        <w:rPr>
          <w:lang w:val="en-US"/>
        </w:rPr>
        <w:t>Schmor</w:t>
      </w:r>
      <w:proofErr w:type="spellEnd"/>
      <w:r w:rsidRPr="00D32625">
        <w:rPr>
          <w:lang w:val="en-US"/>
        </w:rPr>
        <w:t xml:space="preserve">, P., </w:t>
      </w:r>
      <w:r w:rsidR="0028172C" w:rsidRPr="00D32625">
        <w:rPr>
          <w:lang w:val="en-US"/>
        </w:rPr>
        <w:t xml:space="preserve">“Review of cyclotrons used in the production of medical isotopes for biomedical applications”, </w:t>
      </w:r>
      <w:r w:rsidR="00492A2A" w:rsidRPr="00D32625">
        <w:rPr>
          <w:lang w:val="en-US"/>
        </w:rPr>
        <w:t xml:space="preserve">CYCLOTRONS 2010 (Lanzhou, 2010), </w:t>
      </w:r>
      <w:r w:rsidR="008D630B" w:rsidRPr="00D32625">
        <w:rPr>
          <w:lang w:val="en-US"/>
        </w:rPr>
        <w:t>Reviews of Accelerator Science and Technology: Volume 4 (2011).</w:t>
      </w:r>
    </w:p>
    <w:p w14:paraId="3482153B" w14:textId="18E1A922" w:rsidR="008D630B" w:rsidRPr="00D32625" w:rsidRDefault="008D630B" w:rsidP="00537496">
      <w:pPr>
        <w:pStyle w:val="Referencelist"/>
        <w:rPr>
          <w:lang w:val="nl-NL"/>
        </w:rPr>
      </w:pPr>
      <w:r w:rsidRPr="00D32625">
        <w:rPr>
          <w:lang w:val="nl-NL"/>
        </w:rPr>
        <w:t xml:space="preserve">SCK-CEN, </w:t>
      </w:r>
      <w:r w:rsidR="00DA3334" w:rsidRPr="00D32625">
        <w:rPr>
          <w:lang w:val="nl-NL"/>
        </w:rPr>
        <w:t>Vijf Belgische Bedrijven Richten CYCLADE op: Expertisecentrum voor de Ontmanteling van Versnellers en Cyclotrons (2023),</w:t>
      </w:r>
      <w:r w:rsidR="00DA3334" w:rsidRPr="00D32625">
        <w:rPr>
          <w:lang w:val="nl-NL"/>
        </w:rPr>
        <w:br/>
      </w:r>
      <w:r w:rsidR="00DA3334" w:rsidRPr="00D32625">
        <w:rPr>
          <w:lang w:val="nl-NL"/>
        </w:rPr>
        <w:lastRenderedPageBreak/>
        <w:t>https://www.sckcen.be/nl/nieuws/vijf-belgische-bedrijven-richten-cyclade-op-expertisecentrum-voor-de-ontmanteling-van-versnellers-en-cyclotrons</w:t>
      </w:r>
    </w:p>
    <w:p w14:paraId="342FF378" w14:textId="7D5ED232" w:rsidR="00DA3334" w:rsidRPr="00D32625" w:rsidRDefault="00DA3334" w:rsidP="00537496">
      <w:pPr>
        <w:pStyle w:val="Referencelist"/>
        <w:rPr>
          <w:lang w:val="en-US"/>
        </w:rPr>
      </w:pPr>
      <w:r w:rsidRPr="00D32625">
        <w:rPr>
          <w:lang w:val="en-US"/>
        </w:rPr>
        <w:t>Basic Safety Standards, article VII.3.a, Euratom 2013/59, European Council</w:t>
      </w:r>
      <w:r w:rsidR="008429A9">
        <w:rPr>
          <w:lang w:val="en-US"/>
        </w:rPr>
        <w:t xml:space="preserve"> (2013)</w:t>
      </w:r>
    </w:p>
    <w:p w14:paraId="6396D2AF" w14:textId="6FAF31D3" w:rsidR="00DA3334" w:rsidRPr="00D32625" w:rsidRDefault="00DA3334" w:rsidP="00537496">
      <w:pPr>
        <w:pStyle w:val="Referencelist"/>
        <w:rPr>
          <w:lang w:val="nl-NL"/>
        </w:rPr>
      </w:pPr>
      <w:r w:rsidRPr="00D32625">
        <w:rPr>
          <w:lang w:val="nl-NL"/>
        </w:rPr>
        <w:t xml:space="preserve">Besluit basisveiligheidsnormen stralingsbescherming, </w:t>
      </w:r>
      <w:proofErr w:type="spellStart"/>
      <w:r w:rsidRPr="00D32625">
        <w:rPr>
          <w:lang w:val="nl-NL"/>
        </w:rPr>
        <w:t>article</w:t>
      </w:r>
      <w:proofErr w:type="spellEnd"/>
      <w:r w:rsidRPr="00D32625">
        <w:rPr>
          <w:lang w:val="nl-NL"/>
        </w:rPr>
        <w:t xml:space="preserve"> 10.8, Staatsblad van het Koninkrijk der Nederlanden, Den Haag (2017). </w:t>
      </w:r>
    </w:p>
    <w:p w14:paraId="2F176B55" w14:textId="18B2DB70" w:rsidR="00BE0466" w:rsidRPr="00D32625" w:rsidRDefault="00BE0466" w:rsidP="00537496">
      <w:pPr>
        <w:pStyle w:val="Referencelist"/>
        <w:rPr>
          <w:lang w:val="en-US"/>
        </w:rPr>
      </w:pPr>
      <w:r w:rsidRPr="00D32625">
        <w:rPr>
          <w:lang w:val="en-US"/>
        </w:rPr>
        <w:t>IBA, Cyclone 30 Brochure (2010),</w:t>
      </w:r>
      <w:r w:rsidRPr="00D32625">
        <w:rPr>
          <w:lang w:val="en-US"/>
        </w:rPr>
        <w:br/>
      </w:r>
      <w:r w:rsidR="00D41462" w:rsidRPr="00D32625">
        <w:rPr>
          <w:lang w:val="en-US"/>
        </w:rPr>
        <w:t>https://www.iba-radiopharmasolutions.com/brochures/</w:t>
      </w:r>
    </w:p>
    <w:p w14:paraId="704E8C40" w14:textId="3C9C8CB1" w:rsidR="00D41462" w:rsidRPr="00D32625" w:rsidRDefault="00D41462" w:rsidP="00537496">
      <w:pPr>
        <w:pStyle w:val="Referencelist"/>
        <w:rPr>
          <w:lang w:val="en-US"/>
        </w:rPr>
      </w:pPr>
      <w:r w:rsidRPr="00D32625">
        <w:rPr>
          <w:lang w:val="en-US"/>
        </w:rPr>
        <w:t>IBA, Cyclone KEY Brochure (2022),</w:t>
      </w:r>
      <w:r w:rsidRPr="00D32625">
        <w:rPr>
          <w:lang w:val="en-US"/>
        </w:rPr>
        <w:br/>
        <w:t>https://www.iba-radiopharmasolutions.com/brochures/</w:t>
      </w:r>
    </w:p>
    <w:p w14:paraId="199F09CB" w14:textId="35125409" w:rsidR="00D41462" w:rsidRPr="00D32625" w:rsidRDefault="00D41462" w:rsidP="00537496">
      <w:pPr>
        <w:pStyle w:val="Referencelist"/>
        <w:rPr>
          <w:lang w:val="en-US"/>
        </w:rPr>
      </w:pPr>
      <w:r w:rsidRPr="00D32625">
        <w:rPr>
          <w:lang w:val="en-US"/>
        </w:rPr>
        <w:t>IBA, Cyclone KIUBE Brochure (2022),</w:t>
      </w:r>
      <w:r w:rsidRPr="00D32625">
        <w:rPr>
          <w:lang w:val="en-US"/>
        </w:rPr>
        <w:br/>
        <w:t>https://www.iba-radiopharmasolutions.com/brochures/</w:t>
      </w:r>
    </w:p>
    <w:p w14:paraId="3551BF2C" w14:textId="2C35B0D6" w:rsidR="00D41462" w:rsidRPr="00D32625" w:rsidRDefault="00D41462" w:rsidP="00537496">
      <w:pPr>
        <w:pStyle w:val="Referencelist"/>
        <w:rPr>
          <w:lang w:val="en-US"/>
        </w:rPr>
      </w:pPr>
      <w:r w:rsidRPr="00D32625">
        <w:rPr>
          <w:lang w:val="en-US"/>
        </w:rPr>
        <w:t xml:space="preserve">NRC, </w:t>
      </w:r>
      <w:proofErr w:type="spellStart"/>
      <w:r w:rsidRPr="00D32625">
        <w:rPr>
          <w:lang w:val="en-US"/>
        </w:rPr>
        <w:t>ECLIPSE_Cyclotron_Concise_Tech_Specs</w:t>
      </w:r>
      <w:proofErr w:type="spellEnd"/>
      <w:r w:rsidRPr="00D32625">
        <w:rPr>
          <w:lang w:val="en-US"/>
        </w:rPr>
        <w:t xml:space="preserve"> – Radioisotope Production System. (2011),</w:t>
      </w:r>
      <w:r w:rsidRPr="00D32625">
        <w:rPr>
          <w:lang w:val="en-US"/>
        </w:rPr>
        <w:br/>
        <w:t>https://www.nrc.gov/docs/ML1930/ML19303A779.pdf</w:t>
      </w:r>
    </w:p>
    <w:p w14:paraId="3B3BB736" w14:textId="5ACE3D26" w:rsidR="00D41462" w:rsidRPr="00D32625" w:rsidRDefault="002E04AC" w:rsidP="00537496">
      <w:pPr>
        <w:pStyle w:val="Referencelist"/>
        <w:rPr>
          <w:lang w:val="en-US"/>
        </w:rPr>
      </w:pPr>
      <w:r w:rsidRPr="00D32625">
        <w:rPr>
          <w:lang w:val="en-US"/>
        </w:rPr>
        <w:t>Kimura, K.</w:t>
      </w:r>
      <w:r w:rsidR="00EA0BA7" w:rsidRPr="00D32625">
        <w:rPr>
          <w:lang w:val="en-US"/>
        </w:rPr>
        <w:t>,</w:t>
      </w:r>
      <w:r w:rsidRPr="00D32625">
        <w:rPr>
          <w:lang w:val="en-US"/>
        </w:rPr>
        <w:t xml:space="preserve"> et al, Residual long-lived radioactivity distribution in the inner concrete wall of a cyclotron vault, Health Phys. </w:t>
      </w:r>
      <w:r w:rsidRPr="00D32625">
        <w:rPr>
          <w:b/>
          <w:bCs/>
          <w:lang w:val="en-US"/>
        </w:rPr>
        <w:t>67</w:t>
      </w:r>
      <w:r w:rsidRPr="00D32625">
        <w:rPr>
          <w:lang w:val="en-US"/>
        </w:rPr>
        <w:t xml:space="preserve"> 6 (1994) 621-631</w:t>
      </w:r>
      <w:r w:rsidR="00687CF1" w:rsidRPr="00D32625">
        <w:rPr>
          <w:lang w:val="en-US"/>
        </w:rPr>
        <w:t>.</w:t>
      </w:r>
    </w:p>
    <w:p w14:paraId="5857EEFF" w14:textId="78A37A68" w:rsidR="002E04AC" w:rsidRPr="00D32625" w:rsidRDefault="00687CF1" w:rsidP="00537496">
      <w:pPr>
        <w:pStyle w:val="Referencelist"/>
        <w:rPr>
          <w:lang w:val="en-US"/>
        </w:rPr>
      </w:pPr>
      <w:r w:rsidRPr="00D32625">
        <w:rPr>
          <w:lang w:val="en-US"/>
        </w:rPr>
        <w:t>Vrije Universiteit Brussel, Evaluation of the radiological and economic consequences of decommissioning particle accelerators, European Commission, Luxembourg (1999).</w:t>
      </w:r>
    </w:p>
    <w:p w14:paraId="329BD4CE" w14:textId="2B3AD0DA" w:rsidR="00687CF1" w:rsidRPr="00D32625" w:rsidRDefault="00687CF1" w:rsidP="00537496">
      <w:pPr>
        <w:pStyle w:val="Referencelist"/>
        <w:rPr>
          <w:lang w:val="nl-NL"/>
        </w:rPr>
      </w:pPr>
      <w:r w:rsidRPr="00D32625">
        <w:rPr>
          <w:lang w:val="nl-NL"/>
        </w:rPr>
        <w:t xml:space="preserve">Besluit basisveiligheidsnormen stralingsbescherming, </w:t>
      </w:r>
      <w:proofErr w:type="spellStart"/>
      <w:r w:rsidRPr="00D32625">
        <w:rPr>
          <w:lang w:val="nl-NL"/>
        </w:rPr>
        <w:t>article</w:t>
      </w:r>
      <w:proofErr w:type="spellEnd"/>
      <w:r w:rsidRPr="00D32625">
        <w:rPr>
          <w:lang w:val="nl-NL"/>
        </w:rPr>
        <w:t xml:space="preserve"> 3.7.2, Staatsblad van het Koninkrijk der Nederlanden, Den Haag (2017).</w:t>
      </w:r>
    </w:p>
    <w:p w14:paraId="0A6B0454" w14:textId="1B3EFF20" w:rsidR="00687CF1" w:rsidRPr="00D32625" w:rsidRDefault="00687CF1" w:rsidP="00537496">
      <w:pPr>
        <w:pStyle w:val="Referencelist"/>
        <w:rPr>
          <w:lang w:val="en-US"/>
        </w:rPr>
      </w:pPr>
      <w:proofErr w:type="spellStart"/>
      <w:r w:rsidRPr="00D32625">
        <w:rPr>
          <w:lang w:val="en-US"/>
        </w:rPr>
        <w:t>Calandrino</w:t>
      </w:r>
      <w:proofErr w:type="spellEnd"/>
      <w:r w:rsidRPr="00D32625">
        <w:rPr>
          <w:lang w:val="en-US"/>
        </w:rPr>
        <w:t>, R.</w:t>
      </w:r>
      <w:r w:rsidR="00EA0BA7" w:rsidRPr="00D32625">
        <w:rPr>
          <w:lang w:val="en-US"/>
        </w:rPr>
        <w:t>,</w:t>
      </w:r>
      <w:r w:rsidRPr="00D32625">
        <w:rPr>
          <w:lang w:val="en-US"/>
        </w:rPr>
        <w:t xml:space="preserve"> et al, Decommissioning procedures fora n 11 MeV self-shielded medical cyclotron after 16 years of working time, </w:t>
      </w:r>
      <w:r w:rsidR="00EA0BA7" w:rsidRPr="00D32625">
        <w:rPr>
          <w:lang w:val="en-US"/>
        </w:rPr>
        <w:t xml:space="preserve">Health Phys. </w:t>
      </w:r>
      <w:r w:rsidR="00EA0BA7" w:rsidRPr="00D32625">
        <w:rPr>
          <w:b/>
          <w:bCs/>
          <w:lang w:val="en-US"/>
        </w:rPr>
        <w:t xml:space="preserve">90 </w:t>
      </w:r>
      <w:r w:rsidR="00EA0BA7" w:rsidRPr="00D32625">
        <w:rPr>
          <w:lang w:val="en-US"/>
        </w:rPr>
        <w:t>6 (2006) 588-596.</w:t>
      </w:r>
    </w:p>
    <w:p w14:paraId="3EE49B80" w14:textId="71EB4A3A" w:rsidR="00EA0BA7" w:rsidRPr="00D32625" w:rsidRDefault="00EA0BA7" w:rsidP="00537496">
      <w:pPr>
        <w:pStyle w:val="Referencelist"/>
        <w:rPr>
          <w:lang w:val="en-US"/>
        </w:rPr>
      </w:pPr>
      <w:r w:rsidRPr="00D32625">
        <w:rPr>
          <w:lang w:val="en-US"/>
        </w:rPr>
        <w:t xml:space="preserve">Toyoda, A., et al, Evaluation of induced activity in various components of a PET-cyclotron, J. Phys.: Conf. Ser. </w:t>
      </w:r>
      <w:r w:rsidRPr="00D32625">
        <w:rPr>
          <w:b/>
          <w:bCs/>
          <w:lang w:val="en-US"/>
        </w:rPr>
        <w:t>1046</w:t>
      </w:r>
      <w:r w:rsidRPr="00D32625">
        <w:rPr>
          <w:lang w:val="en-US"/>
        </w:rPr>
        <w:t xml:space="preserve"> </w:t>
      </w:r>
      <w:r w:rsidR="008D7E96" w:rsidRPr="00D32625">
        <w:rPr>
          <w:lang w:val="en-US"/>
        </w:rPr>
        <w:t>0</w:t>
      </w:r>
      <w:r w:rsidRPr="00D32625">
        <w:rPr>
          <w:lang w:val="en-US"/>
        </w:rPr>
        <w:t>1</w:t>
      </w:r>
      <w:r w:rsidR="008D7E96" w:rsidRPr="00D32625">
        <w:rPr>
          <w:lang w:val="en-US"/>
        </w:rPr>
        <w:t>2017</w:t>
      </w:r>
      <w:r w:rsidRPr="00D32625">
        <w:rPr>
          <w:lang w:val="en-US"/>
        </w:rPr>
        <w:t xml:space="preserve"> (2018)</w:t>
      </w:r>
      <w:r w:rsidR="008D7E96" w:rsidRPr="00D32625">
        <w:rPr>
          <w:lang w:val="en-US"/>
        </w:rPr>
        <w:t xml:space="preserve"> 1-9.</w:t>
      </w:r>
    </w:p>
    <w:p w14:paraId="0A38E580" w14:textId="6448244A" w:rsidR="008D7E96" w:rsidRPr="00D32625" w:rsidRDefault="008D7E96" w:rsidP="00537496">
      <w:pPr>
        <w:pStyle w:val="Referencelist"/>
        <w:rPr>
          <w:lang w:val="en-US"/>
        </w:rPr>
      </w:pPr>
      <w:proofErr w:type="spellStart"/>
      <w:r w:rsidRPr="00D32625">
        <w:rPr>
          <w:lang w:val="en-US"/>
        </w:rPr>
        <w:t>Calandrino</w:t>
      </w:r>
      <w:proofErr w:type="spellEnd"/>
      <w:r w:rsidRPr="00D32625">
        <w:rPr>
          <w:lang w:val="en-US"/>
        </w:rPr>
        <w:t xml:space="preserve">, R., et al, Decommissioning procedure and induced activation levels, calculations and measurements in an 18 MeV medical cyclotron, J. Rad. Prot. </w:t>
      </w:r>
      <w:r w:rsidRPr="00D32625">
        <w:rPr>
          <w:b/>
          <w:bCs/>
          <w:lang w:val="en-US"/>
        </w:rPr>
        <w:t>41</w:t>
      </w:r>
      <w:r w:rsidRPr="00D32625">
        <w:t xml:space="preserve"> (2021) 1344-1365.</w:t>
      </w:r>
    </w:p>
    <w:p w14:paraId="3EA50639" w14:textId="2993E01D" w:rsidR="008D7E96" w:rsidRPr="00D32625" w:rsidRDefault="008D7E96" w:rsidP="00537496">
      <w:pPr>
        <w:pStyle w:val="Referencelist"/>
        <w:rPr>
          <w:lang w:val="en-US"/>
        </w:rPr>
      </w:pPr>
      <w:proofErr w:type="spellStart"/>
      <w:r w:rsidRPr="00D32625">
        <w:rPr>
          <w:lang w:val="en-US"/>
        </w:rPr>
        <w:t>Bonvin</w:t>
      </w:r>
      <w:proofErr w:type="spellEnd"/>
      <w:r w:rsidRPr="00D32625">
        <w:rPr>
          <w:lang w:val="en-US"/>
        </w:rPr>
        <w:t xml:space="preserve">, V., et al, </w:t>
      </w:r>
      <w:r w:rsidR="001D5624" w:rsidRPr="00D32625">
        <w:rPr>
          <w:lang w:val="en-US"/>
        </w:rPr>
        <w:t xml:space="preserve">Detailed study of the distribution of activation inside the magnet coils of a compact PET cyclotron, Appl. </w:t>
      </w:r>
      <w:proofErr w:type="spellStart"/>
      <w:r w:rsidR="001D5624" w:rsidRPr="00D32625">
        <w:rPr>
          <w:lang w:val="en-US"/>
        </w:rPr>
        <w:t>Radi</w:t>
      </w:r>
      <w:r w:rsidR="00D56667" w:rsidRPr="00D32625">
        <w:rPr>
          <w:lang w:val="en-US"/>
        </w:rPr>
        <w:t>a</w:t>
      </w:r>
      <w:r w:rsidR="001D5624" w:rsidRPr="00D32625">
        <w:rPr>
          <w:lang w:val="en-US"/>
        </w:rPr>
        <w:t>t</w:t>
      </w:r>
      <w:proofErr w:type="spellEnd"/>
      <w:r w:rsidR="00D56667" w:rsidRPr="00D32625">
        <w:rPr>
          <w:lang w:val="en-US"/>
        </w:rPr>
        <w:t xml:space="preserve">. </w:t>
      </w:r>
      <w:proofErr w:type="spellStart"/>
      <w:r w:rsidR="00D56667" w:rsidRPr="00D32625">
        <w:rPr>
          <w:lang w:val="en-US"/>
        </w:rPr>
        <w:t>Isot</w:t>
      </w:r>
      <w:proofErr w:type="spellEnd"/>
      <w:r w:rsidR="00D56667" w:rsidRPr="00D32625">
        <w:rPr>
          <w:lang w:val="en-US"/>
        </w:rPr>
        <w:t xml:space="preserve">. </w:t>
      </w:r>
      <w:r w:rsidR="00D56667" w:rsidRPr="00D32625">
        <w:rPr>
          <w:b/>
          <w:bCs/>
          <w:lang w:val="en-US"/>
        </w:rPr>
        <w:t xml:space="preserve">168 </w:t>
      </w:r>
      <w:r w:rsidR="00D56667" w:rsidRPr="00D32625">
        <w:rPr>
          <w:lang w:val="en-US"/>
        </w:rPr>
        <w:t>109446</w:t>
      </w:r>
      <w:r w:rsidR="00D56667" w:rsidRPr="00D32625">
        <w:rPr>
          <w:b/>
          <w:bCs/>
          <w:lang w:val="en-US"/>
        </w:rPr>
        <w:t xml:space="preserve"> </w:t>
      </w:r>
      <w:r w:rsidR="00D56667" w:rsidRPr="00D32625">
        <w:t>(2021) 1-13.</w:t>
      </w:r>
    </w:p>
    <w:p w14:paraId="29097FF2" w14:textId="4A00B67B" w:rsidR="00D56667" w:rsidRPr="00D32625" w:rsidRDefault="00D56667" w:rsidP="00537496">
      <w:pPr>
        <w:pStyle w:val="Referencelist"/>
        <w:rPr>
          <w:lang w:val="en-US"/>
        </w:rPr>
      </w:pPr>
      <w:r w:rsidRPr="00D32625">
        <w:t>University of Chicago, Building 211 Cyclotron characterization survey report, Argonne National Laboratory (1998).</w:t>
      </w:r>
    </w:p>
    <w:p w14:paraId="18656AF2" w14:textId="22D3981F" w:rsidR="00D56667" w:rsidRPr="00D32625" w:rsidRDefault="00D56667" w:rsidP="00537496">
      <w:pPr>
        <w:pStyle w:val="Referencelist"/>
        <w:rPr>
          <w:lang w:val="en-US"/>
        </w:rPr>
      </w:pPr>
      <w:r w:rsidRPr="00D32625">
        <w:rPr>
          <w:lang w:val="en-US"/>
        </w:rPr>
        <w:t xml:space="preserve">Wang, Q., et al, Evaluation of the radioactivity in concrete from accelerator facilities, J. </w:t>
      </w:r>
      <w:proofErr w:type="spellStart"/>
      <w:r w:rsidRPr="00D32625">
        <w:rPr>
          <w:lang w:val="en-US"/>
        </w:rPr>
        <w:t>Radioanal</w:t>
      </w:r>
      <w:proofErr w:type="spellEnd"/>
      <w:r w:rsidRPr="00D32625">
        <w:rPr>
          <w:lang w:val="en-US"/>
        </w:rPr>
        <w:t xml:space="preserve">. </w:t>
      </w:r>
      <w:proofErr w:type="spellStart"/>
      <w:r w:rsidRPr="00D32625">
        <w:rPr>
          <w:lang w:val="en-US"/>
        </w:rPr>
        <w:t>Nucl</w:t>
      </w:r>
      <w:proofErr w:type="spellEnd"/>
      <w:r w:rsidRPr="00D32625">
        <w:rPr>
          <w:lang w:val="en-US"/>
        </w:rPr>
        <w:t xml:space="preserve">. Chem. </w:t>
      </w:r>
      <w:r w:rsidRPr="00D32625">
        <w:rPr>
          <w:b/>
          <w:bCs/>
          <w:lang w:val="en-US"/>
        </w:rPr>
        <w:t xml:space="preserve">273 </w:t>
      </w:r>
      <w:r w:rsidRPr="00D32625">
        <w:rPr>
          <w:lang w:val="en-US"/>
        </w:rPr>
        <w:t>1 (2007) 55-58.</w:t>
      </w:r>
    </w:p>
    <w:p w14:paraId="2A7F995B" w14:textId="5C5826F2" w:rsidR="00D56667" w:rsidRPr="00D32625" w:rsidRDefault="0025106A" w:rsidP="00537496">
      <w:pPr>
        <w:pStyle w:val="Referencelist"/>
        <w:rPr>
          <w:lang w:val="en-US"/>
        </w:rPr>
      </w:pPr>
      <w:proofErr w:type="spellStart"/>
      <w:r w:rsidRPr="00D32625">
        <w:rPr>
          <w:lang w:val="en-US"/>
        </w:rPr>
        <w:t>Fujibuchi</w:t>
      </w:r>
      <w:proofErr w:type="spellEnd"/>
      <w:r w:rsidRPr="00D32625">
        <w:rPr>
          <w:lang w:val="en-US"/>
        </w:rPr>
        <w:t xml:space="preserve">, T., et al, Distribution of residual long-lived radioactivity in the inner concrete walls of a compact medical cyclotron vault room, Ann. </w:t>
      </w:r>
      <w:proofErr w:type="spellStart"/>
      <w:r w:rsidRPr="00D32625">
        <w:rPr>
          <w:lang w:val="en-US"/>
        </w:rPr>
        <w:t>Nucl</w:t>
      </w:r>
      <w:proofErr w:type="spellEnd"/>
      <w:r w:rsidRPr="00D32625">
        <w:rPr>
          <w:lang w:val="en-US"/>
        </w:rPr>
        <w:t xml:space="preserve">. Med. </w:t>
      </w:r>
      <w:r w:rsidRPr="00D32625">
        <w:rPr>
          <w:b/>
          <w:bCs/>
          <w:lang w:val="en-US"/>
        </w:rPr>
        <w:t xml:space="preserve">29 </w:t>
      </w:r>
      <w:r w:rsidRPr="00D32625">
        <w:rPr>
          <w:lang w:val="en-US"/>
        </w:rPr>
        <w:t>1 (2015) 84-90.</w:t>
      </w:r>
    </w:p>
    <w:p w14:paraId="3CDAF45F" w14:textId="4F841E8F" w:rsidR="0025106A" w:rsidRPr="00D32625" w:rsidRDefault="0025106A" w:rsidP="00537496">
      <w:pPr>
        <w:pStyle w:val="Referencelist"/>
        <w:rPr>
          <w:lang w:val="en-US"/>
        </w:rPr>
      </w:pPr>
      <w:r w:rsidRPr="00D32625">
        <w:rPr>
          <w:lang w:val="en-US"/>
        </w:rPr>
        <w:t xml:space="preserve">Sunderland, J., et al, Considerations, measurements and logistics associated with low-energy cyclotron decommissioning, AIP Conf. Proc. </w:t>
      </w:r>
      <w:r w:rsidR="004F211C" w:rsidRPr="00D32625">
        <w:rPr>
          <w:b/>
          <w:bCs/>
          <w:lang w:val="en-US"/>
        </w:rPr>
        <w:t xml:space="preserve">1509 </w:t>
      </w:r>
      <w:r w:rsidR="004F211C" w:rsidRPr="00D32625">
        <w:rPr>
          <w:lang w:val="en-US"/>
        </w:rPr>
        <w:t>1 (2012) 16-20.</w:t>
      </w:r>
    </w:p>
    <w:p w14:paraId="1A9531D6" w14:textId="467891A6" w:rsidR="004F211C" w:rsidRPr="00D32625" w:rsidRDefault="004F211C" w:rsidP="00537496">
      <w:pPr>
        <w:pStyle w:val="Referencelist"/>
        <w:rPr>
          <w:lang w:val="en-US"/>
        </w:rPr>
      </w:pPr>
      <w:proofErr w:type="spellStart"/>
      <w:r w:rsidRPr="00D32625">
        <w:rPr>
          <w:lang w:val="en-US"/>
        </w:rPr>
        <w:t>Eberl</w:t>
      </w:r>
      <w:proofErr w:type="spellEnd"/>
      <w:r w:rsidRPr="00D32625">
        <w:rPr>
          <w:lang w:val="en-US"/>
        </w:rPr>
        <w:t xml:space="preserve">, S., et al, High beam current operation of a </w:t>
      </w:r>
      <w:proofErr w:type="spellStart"/>
      <w:r w:rsidRPr="00D32625">
        <w:rPr>
          <w:lang w:val="en-US"/>
        </w:rPr>
        <w:t>PETraceTM</w:t>
      </w:r>
      <w:proofErr w:type="spellEnd"/>
      <w:r w:rsidRPr="00D32625">
        <w:rPr>
          <w:lang w:val="en-US"/>
        </w:rPr>
        <w:t xml:space="preserve"> cyclotron for 18F-production, Appl. </w:t>
      </w:r>
      <w:proofErr w:type="spellStart"/>
      <w:r w:rsidRPr="00D32625">
        <w:rPr>
          <w:lang w:val="en-US"/>
        </w:rPr>
        <w:t>Radiat</w:t>
      </w:r>
      <w:proofErr w:type="spellEnd"/>
      <w:r w:rsidRPr="00D32625">
        <w:rPr>
          <w:lang w:val="en-US"/>
        </w:rPr>
        <w:t xml:space="preserve">. </w:t>
      </w:r>
      <w:proofErr w:type="spellStart"/>
      <w:r w:rsidRPr="00D32625">
        <w:rPr>
          <w:lang w:val="en-US"/>
        </w:rPr>
        <w:t>Isot</w:t>
      </w:r>
      <w:proofErr w:type="spellEnd"/>
      <w:r w:rsidRPr="00D32625">
        <w:rPr>
          <w:lang w:val="en-US"/>
        </w:rPr>
        <w:t xml:space="preserve">. </w:t>
      </w:r>
      <w:r w:rsidRPr="00D32625">
        <w:rPr>
          <w:b/>
          <w:bCs/>
          <w:lang w:val="en-US"/>
        </w:rPr>
        <w:t xml:space="preserve">70 </w:t>
      </w:r>
      <w:r w:rsidRPr="00D32625">
        <w:rPr>
          <w:lang w:val="en-US"/>
        </w:rPr>
        <w:t>6 (2012) 922-930.</w:t>
      </w:r>
    </w:p>
    <w:p w14:paraId="1A787070" w14:textId="41BF2C33" w:rsidR="004F211C" w:rsidRPr="008429A9" w:rsidRDefault="004F211C" w:rsidP="00537496">
      <w:pPr>
        <w:pStyle w:val="Referencelist"/>
        <w:rPr>
          <w:lang w:val="en-US"/>
        </w:rPr>
      </w:pPr>
      <w:r w:rsidRPr="008429A9">
        <w:rPr>
          <w:lang w:val="en-US"/>
        </w:rPr>
        <w:t xml:space="preserve">Bekhuis, P., Hengeveld, A., </w:t>
      </w:r>
      <w:proofErr w:type="spellStart"/>
      <w:r w:rsidRPr="008429A9">
        <w:rPr>
          <w:lang w:val="en-US"/>
        </w:rPr>
        <w:t>Radioactieve</w:t>
      </w:r>
      <w:proofErr w:type="spellEnd"/>
      <w:r w:rsidRPr="008429A9">
        <w:rPr>
          <w:lang w:val="en-US"/>
        </w:rPr>
        <w:t xml:space="preserve"> rest- </w:t>
      </w:r>
      <w:proofErr w:type="spellStart"/>
      <w:r w:rsidRPr="008429A9">
        <w:rPr>
          <w:lang w:val="en-US"/>
        </w:rPr>
        <w:t>en</w:t>
      </w:r>
      <w:proofErr w:type="spellEnd"/>
      <w:r w:rsidRPr="008429A9">
        <w:rPr>
          <w:lang w:val="en-US"/>
        </w:rPr>
        <w:t xml:space="preserve"> </w:t>
      </w:r>
      <w:proofErr w:type="spellStart"/>
      <w:r w:rsidRPr="008429A9">
        <w:rPr>
          <w:lang w:val="en-US"/>
        </w:rPr>
        <w:t>afvalstoffen</w:t>
      </w:r>
      <w:proofErr w:type="spellEnd"/>
      <w:r w:rsidRPr="008429A9">
        <w:rPr>
          <w:lang w:val="en-US"/>
        </w:rPr>
        <w:t xml:space="preserve"> </w:t>
      </w:r>
      <w:proofErr w:type="spellStart"/>
      <w:r w:rsidRPr="008429A9">
        <w:rPr>
          <w:lang w:val="en-US"/>
        </w:rPr>
        <w:t>bij</w:t>
      </w:r>
      <w:proofErr w:type="spellEnd"/>
      <w:r w:rsidRPr="008429A9">
        <w:rPr>
          <w:lang w:val="en-US"/>
        </w:rPr>
        <w:t xml:space="preserve"> </w:t>
      </w:r>
      <w:proofErr w:type="spellStart"/>
      <w:r w:rsidRPr="008429A9">
        <w:rPr>
          <w:lang w:val="en-US"/>
        </w:rPr>
        <w:t>ontmanteling</w:t>
      </w:r>
      <w:proofErr w:type="spellEnd"/>
      <w:r w:rsidRPr="008429A9">
        <w:rPr>
          <w:lang w:val="en-US"/>
        </w:rPr>
        <w:t xml:space="preserve"> van cyclotrons in Nederland, </w:t>
      </w:r>
      <w:r w:rsidR="00D16F4D" w:rsidRPr="008429A9">
        <w:rPr>
          <w:lang w:val="en-US"/>
        </w:rPr>
        <w:t xml:space="preserve">Dutch National Institute for Public Health and the Environment </w:t>
      </w:r>
      <w:r w:rsidR="00D16F4D">
        <w:rPr>
          <w:lang w:val="en-US"/>
        </w:rPr>
        <w:t>(</w:t>
      </w:r>
      <w:r w:rsidR="00446BF0" w:rsidRPr="008429A9">
        <w:rPr>
          <w:lang w:val="en-US"/>
        </w:rPr>
        <w:t>RIVM</w:t>
      </w:r>
      <w:r w:rsidR="00D16F4D">
        <w:rPr>
          <w:lang w:val="en-US"/>
        </w:rPr>
        <w:t>)</w:t>
      </w:r>
      <w:r w:rsidR="00446BF0" w:rsidRPr="008429A9">
        <w:rPr>
          <w:lang w:val="en-US"/>
        </w:rPr>
        <w:t>,</w:t>
      </w:r>
      <w:r w:rsidR="00D16F4D">
        <w:rPr>
          <w:lang w:val="en-US"/>
        </w:rPr>
        <w:t xml:space="preserve"> RIVM Report 2023-0233 </w:t>
      </w:r>
      <w:r w:rsidR="00446BF0" w:rsidRPr="008429A9">
        <w:rPr>
          <w:lang w:val="en-US"/>
        </w:rPr>
        <w:t xml:space="preserve"> </w:t>
      </w:r>
      <w:proofErr w:type="spellStart"/>
      <w:r w:rsidR="00446BF0" w:rsidRPr="008429A9">
        <w:rPr>
          <w:lang w:val="en-US"/>
        </w:rPr>
        <w:t>Bilthoven</w:t>
      </w:r>
      <w:proofErr w:type="spellEnd"/>
      <w:r w:rsidR="00446BF0" w:rsidRPr="008429A9">
        <w:rPr>
          <w:lang w:val="en-US"/>
        </w:rPr>
        <w:t xml:space="preserve"> </w:t>
      </w:r>
      <w:r w:rsidR="008429A9">
        <w:rPr>
          <w:lang w:val="en-US"/>
        </w:rPr>
        <w:t>(</w:t>
      </w:r>
      <w:r w:rsidR="00446BF0" w:rsidRPr="008429A9">
        <w:rPr>
          <w:lang w:val="en-US"/>
        </w:rPr>
        <w:t>2023</w:t>
      </w:r>
      <w:r w:rsidR="008429A9">
        <w:rPr>
          <w:lang w:val="en-US"/>
        </w:rPr>
        <w:t>)</w:t>
      </w:r>
      <w:r w:rsidR="00446BF0" w:rsidRPr="008429A9">
        <w:rPr>
          <w:lang w:val="en-US"/>
        </w:rPr>
        <w:t>.</w:t>
      </w:r>
    </w:p>
    <w:p w14:paraId="72B99A91" w14:textId="14D5E2CE" w:rsidR="00662532" w:rsidRPr="00D32625" w:rsidRDefault="00446BF0" w:rsidP="00D32625">
      <w:pPr>
        <w:pStyle w:val="Referencelist"/>
        <w:rPr>
          <w:lang w:val="en-US"/>
        </w:rPr>
      </w:pPr>
      <w:r w:rsidRPr="00D32625">
        <w:rPr>
          <w:lang w:val="en-US"/>
        </w:rPr>
        <w:t xml:space="preserve">Nuclear Energy Agency, Recycling and reuse of materials from decommissioning, </w:t>
      </w:r>
      <w:proofErr w:type="spellStart"/>
      <w:r w:rsidRPr="00D32625">
        <w:rPr>
          <w:lang w:val="en-US"/>
        </w:rPr>
        <w:t>Organisation</w:t>
      </w:r>
      <w:proofErr w:type="spellEnd"/>
      <w:r w:rsidRPr="00D32625">
        <w:rPr>
          <w:lang w:val="en-US"/>
        </w:rPr>
        <w:t xml:space="preserve"> for Economic Co-operation and Development (OECD), Paris, </w:t>
      </w:r>
      <w:r w:rsidR="008429A9">
        <w:rPr>
          <w:lang w:val="en-US"/>
        </w:rPr>
        <w:t>(</w:t>
      </w:r>
      <w:r w:rsidRPr="00D32625">
        <w:rPr>
          <w:lang w:val="en-US"/>
        </w:rPr>
        <w:t>2016</w:t>
      </w:r>
      <w:r w:rsidR="008429A9">
        <w:rPr>
          <w:lang w:val="en-US"/>
        </w:rPr>
        <w:t>)</w:t>
      </w:r>
      <w:r w:rsidRPr="00D32625">
        <w:rPr>
          <w:lang w:val="en-US"/>
        </w:rPr>
        <w:t>.</w:t>
      </w:r>
    </w:p>
    <w:sectPr w:rsidR="00662532" w:rsidRPr="00D32625"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B1D7" w14:textId="77777777" w:rsidR="003A7A9B" w:rsidRDefault="003A7A9B">
      <w:r>
        <w:separator/>
      </w:r>
    </w:p>
  </w:endnote>
  <w:endnote w:type="continuationSeparator" w:id="0">
    <w:p w14:paraId="1BD4A53B" w14:textId="77777777" w:rsidR="003A7A9B" w:rsidRDefault="003A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2BEAED9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32A0F">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7B50" w14:textId="77777777" w:rsidR="003A7A9B" w:rsidRDefault="003A7A9B">
      <w:r>
        <w:t>___________________________________________________________________________</w:t>
      </w:r>
    </w:p>
  </w:footnote>
  <w:footnote w:type="continuationSeparator" w:id="0">
    <w:p w14:paraId="4F00DFBE" w14:textId="77777777" w:rsidR="003A7A9B" w:rsidRDefault="003A7A9B">
      <w:r>
        <w:t>___________________________________________________________________________</w:t>
      </w:r>
    </w:p>
  </w:footnote>
  <w:footnote w:type="continuationNotice" w:id="1">
    <w:p w14:paraId="26F9E49E" w14:textId="77777777" w:rsidR="003A7A9B" w:rsidRDefault="003A7A9B"/>
  </w:footnote>
  <w:footnote w:id="2">
    <w:p w14:paraId="09D48FE3" w14:textId="3155D3B6" w:rsidR="00472794" w:rsidRPr="00472794" w:rsidRDefault="00472794">
      <w:pPr>
        <w:pStyle w:val="FootnoteText"/>
      </w:pPr>
      <w:r>
        <w:rPr>
          <w:rStyle w:val="FootnoteReference"/>
        </w:rPr>
        <w:footnoteRef/>
      </w:r>
      <w:r>
        <w:t xml:space="preserve"> </w:t>
      </w:r>
      <w:r w:rsidR="0092721C">
        <w:t xml:space="preserve">For </w:t>
      </w:r>
      <w:r w:rsidR="00201D34">
        <w:t>the production of certain</w:t>
      </w:r>
      <w:r w:rsidR="0092721C">
        <w:t xml:space="preserve"> radionuclides </w:t>
      </w:r>
      <w:r>
        <w:t xml:space="preserve">cyclotrons </w:t>
      </w:r>
      <w:r w:rsidR="004224BE">
        <w:t xml:space="preserve">may </w:t>
      </w:r>
      <w:r>
        <w:t xml:space="preserve">accelerate heavier ions (deuterium, </w:t>
      </w:r>
      <w:r w:rsidR="00C71CE4">
        <w:t>helium, carbon ions)</w:t>
      </w:r>
      <w:r>
        <w:t>.</w:t>
      </w:r>
    </w:p>
  </w:footnote>
  <w:footnote w:id="3">
    <w:p w14:paraId="42E9090E" w14:textId="071B8B5F" w:rsidR="00311943" w:rsidRPr="009912A9" w:rsidRDefault="00311943" w:rsidP="00311943">
      <w:pPr>
        <w:pStyle w:val="FootnoteText"/>
      </w:pPr>
      <w:r>
        <w:rPr>
          <w:rStyle w:val="FootnoteReference"/>
        </w:rPr>
        <w:footnoteRef/>
      </w:r>
      <w:r>
        <w:t xml:space="preserve"> In Dutch legislation, </w:t>
      </w:r>
      <w:r w:rsidR="00C76854">
        <w:t xml:space="preserve">for </w:t>
      </w:r>
      <w:r>
        <w:t>a ‘moderate amount’ (&lt; 1000 kg) of material</w:t>
      </w:r>
      <w:r w:rsidR="00957CB7">
        <w:t>,</w:t>
      </w:r>
      <w:r>
        <w:t xml:space="preserve"> higher </w:t>
      </w:r>
      <w:r w:rsidR="00256E3D">
        <w:t>clearance levels</w:t>
      </w:r>
      <w:r w:rsidR="00C76854">
        <w:t xml:space="preserve"> are applied</w:t>
      </w:r>
      <w:r>
        <w:t>. Because of this fact and the scope of the report that prompted this paper, only material streams with a mass above 1000 kg were considered.</w:t>
      </w:r>
    </w:p>
  </w:footnote>
  <w:footnote w:id="4">
    <w:p w14:paraId="7908D0A7" w14:textId="7AAFBE47" w:rsidR="00BF51D3" w:rsidRPr="00BF51D3" w:rsidRDefault="00BF51D3">
      <w:pPr>
        <w:pStyle w:val="FootnoteText"/>
      </w:pPr>
      <w:r>
        <w:rPr>
          <w:rStyle w:val="FootnoteReference"/>
        </w:rPr>
        <w:footnoteRef/>
      </w:r>
      <w:r>
        <w:t xml:space="preserve"> At the time of writing. Current decommissioning and subsequent commissioning projects are underway.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6620" w14:textId="6E953125" w:rsidR="00CF7AF3" w:rsidRDefault="00CF7AF3" w:rsidP="00CF7AF3">
    <w:pPr>
      <w:pStyle w:val="Runninghead"/>
    </w:pPr>
    <w:r>
      <w:tab/>
    </w:r>
    <w:r w:rsidR="00532A0F">
      <w:t>IAEA-CN-</w:t>
    </w:r>
    <w:r w:rsidR="00A85642">
      <w:t>3</w:t>
    </w:r>
    <w:r w:rsidR="000D4DDE">
      <w:t>1</w:t>
    </w:r>
    <w:r w:rsidR="0080743F">
      <w:t>8//</w:t>
    </w:r>
    <w:r w:rsidR="00094011">
      <w:t>125</w:t>
    </w:r>
  </w:p>
  <w:p w14:paraId="1DE1813F" w14:textId="77777777" w:rsidR="00E20E70" w:rsidRDefault="00CF7AF3" w:rsidP="009C3E8A">
    <w:pPr>
      <w:pStyle w:val="zyxClassification1"/>
      <w:tabs>
        <w:tab w:val="left" w:pos="3956"/>
        <w:tab w:val="right" w:pos="9071"/>
      </w:tabs>
      <w:ind w:firstLine="0"/>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0C97" w14:textId="41FED61F" w:rsidR="00037321" w:rsidRPr="009C3E8A" w:rsidRDefault="00094011" w:rsidP="009C3E8A">
    <w:pPr>
      <w:pStyle w:val="Runninghead"/>
    </w:pPr>
    <w:r>
      <w:t>HENGEVELD</w:t>
    </w:r>
    <w:r w:rsidR="00AC5A3A">
      <w:t xml:space="preserve"> and </w:t>
    </w:r>
    <w:r>
      <w:t>BEKHUIS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1"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aed0xvzv9sz3et5fqvz29i0ftadf2wd50r&quot;&gt;lib&lt;record-ids&gt;&lt;item&gt;1&lt;/item&gt;&lt;item&gt;9&lt;/item&gt;&lt;item&gt;10&lt;/item&gt;&lt;item&gt;11&lt;/item&gt;&lt;item&gt;13&lt;/item&gt;&lt;item&gt;15&lt;/item&gt;&lt;item&gt;16&lt;/item&gt;&lt;item&gt;17&lt;/item&gt;&lt;item&gt;19&lt;/item&gt;&lt;item&gt;26&lt;/item&gt;&lt;item&gt;38&lt;/item&gt;&lt;item&gt;40&lt;/item&gt;&lt;item&gt;41&lt;/item&gt;&lt;item&gt;44&lt;/item&gt;&lt;item&gt;45&lt;/item&gt;&lt;item&gt;47&lt;/item&gt;&lt;item&gt;48&lt;/item&gt;&lt;item&gt;58&lt;/item&gt;&lt;item&gt;59&lt;/item&gt;&lt;item&gt;63&lt;/item&gt;&lt;item&gt;66&lt;/item&gt;&lt;item&gt;67&lt;/item&gt;&lt;item&gt;68&lt;/item&gt;&lt;item&gt;69&lt;/item&gt;&lt;/record-ids&gt;&lt;/item&gt;&lt;/Libraries&gt;"/>
    <w:docVar w:name="SEC_Classification" w:val="None"/>
    <w:docVar w:name="SEC_ConfidentialAttachments" w:val="False"/>
  </w:docVars>
  <w:rsids>
    <w:rsidRoot w:val="00037321"/>
    <w:rsid w:val="00000438"/>
    <w:rsid w:val="00006512"/>
    <w:rsid w:val="00010E95"/>
    <w:rsid w:val="000229AB"/>
    <w:rsid w:val="0002569A"/>
    <w:rsid w:val="000258C2"/>
    <w:rsid w:val="00026207"/>
    <w:rsid w:val="00037321"/>
    <w:rsid w:val="000402DF"/>
    <w:rsid w:val="00041830"/>
    <w:rsid w:val="00044FE5"/>
    <w:rsid w:val="00045F58"/>
    <w:rsid w:val="00055610"/>
    <w:rsid w:val="00056930"/>
    <w:rsid w:val="000636F8"/>
    <w:rsid w:val="000679E0"/>
    <w:rsid w:val="00073A46"/>
    <w:rsid w:val="00077E1F"/>
    <w:rsid w:val="00082B9F"/>
    <w:rsid w:val="0008364E"/>
    <w:rsid w:val="00087006"/>
    <w:rsid w:val="00094011"/>
    <w:rsid w:val="00095CE2"/>
    <w:rsid w:val="000A0299"/>
    <w:rsid w:val="000A2990"/>
    <w:rsid w:val="000A65FB"/>
    <w:rsid w:val="000A784C"/>
    <w:rsid w:val="000A7DC8"/>
    <w:rsid w:val="000B1BF8"/>
    <w:rsid w:val="000B5840"/>
    <w:rsid w:val="000B6A9F"/>
    <w:rsid w:val="000C78BC"/>
    <w:rsid w:val="000D1BAC"/>
    <w:rsid w:val="000D4DDE"/>
    <w:rsid w:val="000D6574"/>
    <w:rsid w:val="000E01FC"/>
    <w:rsid w:val="000E5FA1"/>
    <w:rsid w:val="000F7C1E"/>
    <w:rsid w:val="000F7E94"/>
    <w:rsid w:val="00107F4E"/>
    <w:rsid w:val="001119D6"/>
    <w:rsid w:val="00117856"/>
    <w:rsid w:val="001308F2"/>
    <w:rsid w:val="001313E8"/>
    <w:rsid w:val="00134D14"/>
    <w:rsid w:val="001371FC"/>
    <w:rsid w:val="001420D0"/>
    <w:rsid w:val="00151F13"/>
    <w:rsid w:val="001537F9"/>
    <w:rsid w:val="00164FC6"/>
    <w:rsid w:val="0016786C"/>
    <w:rsid w:val="001747E1"/>
    <w:rsid w:val="00184351"/>
    <w:rsid w:val="00187867"/>
    <w:rsid w:val="00187995"/>
    <w:rsid w:val="001A04A4"/>
    <w:rsid w:val="001A6EF6"/>
    <w:rsid w:val="001B442B"/>
    <w:rsid w:val="001B797D"/>
    <w:rsid w:val="001C2848"/>
    <w:rsid w:val="001C4FB2"/>
    <w:rsid w:val="001C58F5"/>
    <w:rsid w:val="001C61B0"/>
    <w:rsid w:val="001D5624"/>
    <w:rsid w:val="001D5CEE"/>
    <w:rsid w:val="001D6AB4"/>
    <w:rsid w:val="001E1AC9"/>
    <w:rsid w:val="00201D34"/>
    <w:rsid w:val="00206400"/>
    <w:rsid w:val="002071D9"/>
    <w:rsid w:val="00212A79"/>
    <w:rsid w:val="002220A0"/>
    <w:rsid w:val="00222E6B"/>
    <w:rsid w:val="0023386E"/>
    <w:rsid w:val="00233A4F"/>
    <w:rsid w:val="00243F90"/>
    <w:rsid w:val="002465D3"/>
    <w:rsid w:val="0025106A"/>
    <w:rsid w:val="00251A9A"/>
    <w:rsid w:val="00256822"/>
    <w:rsid w:val="00256E38"/>
    <w:rsid w:val="00256E3D"/>
    <w:rsid w:val="0026525A"/>
    <w:rsid w:val="0026782D"/>
    <w:rsid w:val="00274790"/>
    <w:rsid w:val="002764CE"/>
    <w:rsid w:val="00277A6E"/>
    <w:rsid w:val="0028172C"/>
    <w:rsid w:val="00285755"/>
    <w:rsid w:val="00286F8E"/>
    <w:rsid w:val="00293F2D"/>
    <w:rsid w:val="002A1F9C"/>
    <w:rsid w:val="002B0414"/>
    <w:rsid w:val="002B29C2"/>
    <w:rsid w:val="002B4284"/>
    <w:rsid w:val="002C4208"/>
    <w:rsid w:val="002C51B4"/>
    <w:rsid w:val="002D0FF0"/>
    <w:rsid w:val="002D1D38"/>
    <w:rsid w:val="002D62D4"/>
    <w:rsid w:val="002E04AC"/>
    <w:rsid w:val="002E4536"/>
    <w:rsid w:val="002E75E9"/>
    <w:rsid w:val="002F1CA8"/>
    <w:rsid w:val="002F6193"/>
    <w:rsid w:val="002F65A7"/>
    <w:rsid w:val="00310906"/>
    <w:rsid w:val="00310F75"/>
    <w:rsid w:val="00311943"/>
    <w:rsid w:val="00311B50"/>
    <w:rsid w:val="00316CEA"/>
    <w:rsid w:val="00331070"/>
    <w:rsid w:val="0033703B"/>
    <w:rsid w:val="00343727"/>
    <w:rsid w:val="00352DE1"/>
    <w:rsid w:val="00365573"/>
    <w:rsid w:val="00366625"/>
    <w:rsid w:val="003728E6"/>
    <w:rsid w:val="003742D4"/>
    <w:rsid w:val="00377A29"/>
    <w:rsid w:val="00382587"/>
    <w:rsid w:val="00386677"/>
    <w:rsid w:val="003A267F"/>
    <w:rsid w:val="003A36A0"/>
    <w:rsid w:val="003A72E3"/>
    <w:rsid w:val="003A7A9B"/>
    <w:rsid w:val="003B138C"/>
    <w:rsid w:val="003B14C1"/>
    <w:rsid w:val="003B5E0E"/>
    <w:rsid w:val="003C47C0"/>
    <w:rsid w:val="003D255A"/>
    <w:rsid w:val="003E02C6"/>
    <w:rsid w:val="003F1A7C"/>
    <w:rsid w:val="004027A2"/>
    <w:rsid w:val="00414C7C"/>
    <w:rsid w:val="00416949"/>
    <w:rsid w:val="00421DF3"/>
    <w:rsid w:val="004224BE"/>
    <w:rsid w:val="00427BCB"/>
    <w:rsid w:val="004317EA"/>
    <w:rsid w:val="00433754"/>
    <w:rsid w:val="00434EE4"/>
    <w:rsid w:val="004370D8"/>
    <w:rsid w:val="004407CD"/>
    <w:rsid w:val="0044098C"/>
    <w:rsid w:val="00444653"/>
    <w:rsid w:val="00446BF0"/>
    <w:rsid w:val="00455FB1"/>
    <w:rsid w:val="0046194D"/>
    <w:rsid w:val="00467152"/>
    <w:rsid w:val="00472794"/>
    <w:rsid w:val="00472C43"/>
    <w:rsid w:val="00483654"/>
    <w:rsid w:val="00492A2A"/>
    <w:rsid w:val="00496B83"/>
    <w:rsid w:val="004D1D23"/>
    <w:rsid w:val="004E08CC"/>
    <w:rsid w:val="004E1866"/>
    <w:rsid w:val="004F0C74"/>
    <w:rsid w:val="004F211C"/>
    <w:rsid w:val="004F2998"/>
    <w:rsid w:val="00503E37"/>
    <w:rsid w:val="005042B4"/>
    <w:rsid w:val="005256C3"/>
    <w:rsid w:val="00532A0F"/>
    <w:rsid w:val="00537496"/>
    <w:rsid w:val="00540F8A"/>
    <w:rsid w:val="00542DF1"/>
    <w:rsid w:val="00544ED3"/>
    <w:rsid w:val="00553A60"/>
    <w:rsid w:val="00566550"/>
    <w:rsid w:val="00570BE4"/>
    <w:rsid w:val="00570F9A"/>
    <w:rsid w:val="00575BDD"/>
    <w:rsid w:val="0058477B"/>
    <w:rsid w:val="0058654F"/>
    <w:rsid w:val="005867F5"/>
    <w:rsid w:val="00590197"/>
    <w:rsid w:val="00590AA5"/>
    <w:rsid w:val="005926E4"/>
    <w:rsid w:val="00596ACA"/>
    <w:rsid w:val="0059792D"/>
    <w:rsid w:val="005A5337"/>
    <w:rsid w:val="005A7737"/>
    <w:rsid w:val="005B1936"/>
    <w:rsid w:val="005B7BFA"/>
    <w:rsid w:val="005D5209"/>
    <w:rsid w:val="005D6604"/>
    <w:rsid w:val="005D7025"/>
    <w:rsid w:val="005E0384"/>
    <w:rsid w:val="005E3539"/>
    <w:rsid w:val="005E39BC"/>
    <w:rsid w:val="005F00A0"/>
    <w:rsid w:val="005F4DDF"/>
    <w:rsid w:val="00603B01"/>
    <w:rsid w:val="006249A9"/>
    <w:rsid w:val="00642589"/>
    <w:rsid w:val="006443AB"/>
    <w:rsid w:val="00647F33"/>
    <w:rsid w:val="0065413C"/>
    <w:rsid w:val="00654FDF"/>
    <w:rsid w:val="00660983"/>
    <w:rsid w:val="00662532"/>
    <w:rsid w:val="00663946"/>
    <w:rsid w:val="0067069C"/>
    <w:rsid w:val="00677991"/>
    <w:rsid w:val="00683813"/>
    <w:rsid w:val="006851F7"/>
    <w:rsid w:val="00687CF1"/>
    <w:rsid w:val="00695F9C"/>
    <w:rsid w:val="006971AA"/>
    <w:rsid w:val="006A7463"/>
    <w:rsid w:val="006B2274"/>
    <w:rsid w:val="006B5E2D"/>
    <w:rsid w:val="006C0FB6"/>
    <w:rsid w:val="006C66CC"/>
    <w:rsid w:val="006D3ECD"/>
    <w:rsid w:val="00717C6F"/>
    <w:rsid w:val="007445DA"/>
    <w:rsid w:val="00752C64"/>
    <w:rsid w:val="007537A8"/>
    <w:rsid w:val="00761A2E"/>
    <w:rsid w:val="007810A8"/>
    <w:rsid w:val="0078389B"/>
    <w:rsid w:val="007902A6"/>
    <w:rsid w:val="007A4149"/>
    <w:rsid w:val="007A4C9E"/>
    <w:rsid w:val="007A5A3B"/>
    <w:rsid w:val="007A6104"/>
    <w:rsid w:val="007B104B"/>
    <w:rsid w:val="007B1118"/>
    <w:rsid w:val="007B3DF3"/>
    <w:rsid w:val="007B4FD1"/>
    <w:rsid w:val="007C5024"/>
    <w:rsid w:val="007C61E7"/>
    <w:rsid w:val="007D0256"/>
    <w:rsid w:val="007D120F"/>
    <w:rsid w:val="007D3ED7"/>
    <w:rsid w:val="007D5248"/>
    <w:rsid w:val="007D7153"/>
    <w:rsid w:val="007E1A8A"/>
    <w:rsid w:val="007E644B"/>
    <w:rsid w:val="007F2270"/>
    <w:rsid w:val="00802381"/>
    <w:rsid w:val="0080473B"/>
    <w:rsid w:val="0080743F"/>
    <w:rsid w:val="0081017E"/>
    <w:rsid w:val="008153A1"/>
    <w:rsid w:val="00815537"/>
    <w:rsid w:val="00822CD6"/>
    <w:rsid w:val="00832606"/>
    <w:rsid w:val="00834A50"/>
    <w:rsid w:val="008429A9"/>
    <w:rsid w:val="0086396A"/>
    <w:rsid w:val="00873A17"/>
    <w:rsid w:val="00883848"/>
    <w:rsid w:val="00893C78"/>
    <w:rsid w:val="00897ED5"/>
    <w:rsid w:val="008B1839"/>
    <w:rsid w:val="008B6BB9"/>
    <w:rsid w:val="008D12E4"/>
    <w:rsid w:val="008D3872"/>
    <w:rsid w:val="008D630B"/>
    <w:rsid w:val="008D65E8"/>
    <w:rsid w:val="008D7E96"/>
    <w:rsid w:val="008E303F"/>
    <w:rsid w:val="008E41D5"/>
    <w:rsid w:val="008E5AFD"/>
    <w:rsid w:val="008E66F1"/>
    <w:rsid w:val="008F6E82"/>
    <w:rsid w:val="00911543"/>
    <w:rsid w:val="00916B4F"/>
    <w:rsid w:val="0092527F"/>
    <w:rsid w:val="0092721C"/>
    <w:rsid w:val="009348FD"/>
    <w:rsid w:val="009519C9"/>
    <w:rsid w:val="00951FC9"/>
    <w:rsid w:val="00957CB7"/>
    <w:rsid w:val="00964C6E"/>
    <w:rsid w:val="009822A6"/>
    <w:rsid w:val="00987EA2"/>
    <w:rsid w:val="009912A9"/>
    <w:rsid w:val="009936FC"/>
    <w:rsid w:val="009A3E20"/>
    <w:rsid w:val="009C21DA"/>
    <w:rsid w:val="009C3E8A"/>
    <w:rsid w:val="009D0B86"/>
    <w:rsid w:val="009D5474"/>
    <w:rsid w:val="009E0D5B"/>
    <w:rsid w:val="009E1558"/>
    <w:rsid w:val="00A00076"/>
    <w:rsid w:val="00A1012A"/>
    <w:rsid w:val="00A42898"/>
    <w:rsid w:val="00A5163E"/>
    <w:rsid w:val="00A522A3"/>
    <w:rsid w:val="00A55942"/>
    <w:rsid w:val="00A72E49"/>
    <w:rsid w:val="00A761ED"/>
    <w:rsid w:val="00A80173"/>
    <w:rsid w:val="00A83B0A"/>
    <w:rsid w:val="00A85642"/>
    <w:rsid w:val="00A87133"/>
    <w:rsid w:val="00A915AF"/>
    <w:rsid w:val="00A92F09"/>
    <w:rsid w:val="00A9437E"/>
    <w:rsid w:val="00A94D0E"/>
    <w:rsid w:val="00A950E0"/>
    <w:rsid w:val="00AA01F6"/>
    <w:rsid w:val="00AA5DBA"/>
    <w:rsid w:val="00AB25CE"/>
    <w:rsid w:val="00AB6ACE"/>
    <w:rsid w:val="00AB72A1"/>
    <w:rsid w:val="00AC5A3A"/>
    <w:rsid w:val="00AD13D4"/>
    <w:rsid w:val="00AE5690"/>
    <w:rsid w:val="00AE657F"/>
    <w:rsid w:val="00AE6924"/>
    <w:rsid w:val="00B032B1"/>
    <w:rsid w:val="00B208BB"/>
    <w:rsid w:val="00B23D83"/>
    <w:rsid w:val="00B2528B"/>
    <w:rsid w:val="00B25CF3"/>
    <w:rsid w:val="00B3296C"/>
    <w:rsid w:val="00B33E21"/>
    <w:rsid w:val="00B60B99"/>
    <w:rsid w:val="00B60C56"/>
    <w:rsid w:val="00B62A05"/>
    <w:rsid w:val="00B65AFB"/>
    <w:rsid w:val="00B66C5C"/>
    <w:rsid w:val="00B7712C"/>
    <w:rsid w:val="00B82FA5"/>
    <w:rsid w:val="00B93767"/>
    <w:rsid w:val="00B963B3"/>
    <w:rsid w:val="00BB3110"/>
    <w:rsid w:val="00BC174E"/>
    <w:rsid w:val="00BC2CD2"/>
    <w:rsid w:val="00BC4670"/>
    <w:rsid w:val="00BD1400"/>
    <w:rsid w:val="00BD4316"/>
    <w:rsid w:val="00BD605C"/>
    <w:rsid w:val="00BD6567"/>
    <w:rsid w:val="00BD69B7"/>
    <w:rsid w:val="00BE0466"/>
    <w:rsid w:val="00BE2A76"/>
    <w:rsid w:val="00BF51D3"/>
    <w:rsid w:val="00BF7D26"/>
    <w:rsid w:val="00C03352"/>
    <w:rsid w:val="00C07E5E"/>
    <w:rsid w:val="00C12116"/>
    <w:rsid w:val="00C20B76"/>
    <w:rsid w:val="00C41EB9"/>
    <w:rsid w:val="00C42BDB"/>
    <w:rsid w:val="00C43592"/>
    <w:rsid w:val="00C47C9E"/>
    <w:rsid w:val="00C503D6"/>
    <w:rsid w:val="00C50841"/>
    <w:rsid w:val="00C571C5"/>
    <w:rsid w:val="00C619AE"/>
    <w:rsid w:val="00C635C9"/>
    <w:rsid w:val="00C65E60"/>
    <w:rsid w:val="00C71CE4"/>
    <w:rsid w:val="00C72959"/>
    <w:rsid w:val="00C738D3"/>
    <w:rsid w:val="00C76854"/>
    <w:rsid w:val="00C83091"/>
    <w:rsid w:val="00C8313E"/>
    <w:rsid w:val="00C85003"/>
    <w:rsid w:val="00C9064C"/>
    <w:rsid w:val="00C9253B"/>
    <w:rsid w:val="00CA7E14"/>
    <w:rsid w:val="00CB5376"/>
    <w:rsid w:val="00CC25D7"/>
    <w:rsid w:val="00CC6A5A"/>
    <w:rsid w:val="00CC75F1"/>
    <w:rsid w:val="00CD0045"/>
    <w:rsid w:val="00CD0735"/>
    <w:rsid w:val="00CD1822"/>
    <w:rsid w:val="00CE20C1"/>
    <w:rsid w:val="00CE31AF"/>
    <w:rsid w:val="00CE32E4"/>
    <w:rsid w:val="00CE5A52"/>
    <w:rsid w:val="00CF0AC7"/>
    <w:rsid w:val="00CF62B4"/>
    <w:rsid w:val="00CF7AF3"/>
    <w:rsid w:val="00D03B4E"/>
    <w:rsid w:val="00D03CF7"/>
    <w:rsid w:val="00D0760A"/>
    <w:rsid w:val="00D16F4D"/>
    <w:rsid w:val="00D2290B"/>
    <w:rsid w:val="00D25E9B"/>
    <w:rsid w:val="00D26ADA"/>
    <w:rsid w:val="00D27B84"/>
    <w:rsid w:val="00D32625"/>
    <w:rsid w:val="00D35A78"/>
    <w:rsid w:val="00D41462"/>
    <w:rsid w:val="00D555A1"/>
    <w:rsid w:val="00D56667"/>
    <w:rsid w:val="00D6443D"/>
    <w:rsid w:val="00D64DC2"/>
    <w:rsid w:val="00D7404A"/>
    <w:rsid w:val="00D8534C"/>
    <w:rsid w:val="00D85D4A"/>
    <w:rsid w:val="00D951FE"/>
    <w:rsid w:val="00DA3334"/>
    <w:rsid w:val="00DA4667"/>
    <w:rsid w:val="00DA46CA"/>
    <w:rsid w:val="00DB03FE"/>
    <w:rsid w:val="00DB0748"/>
    <w:rsid w:val="00DB2507"/>
    <w:rsid w:val="00DB345D"/>
    <w:rsid w:val="00DC091C"/>
    <w:rsid w:val="00DC65B7"/>
    <w:rsid w:val="00DC7F1E"/>
    <w:rsid w:val="00DD06AE"/>
    <w:rsid w:val="00DD1BA9"/>
    <w:rsid w:val="00DE052E"/>
    <w:rsid w:val="00DE2FD1"/>
    <w:rsid w:val="00DE3702"/>
    <w:rsid w:val="00DF21EB"/>
    <w:rsid w:val="00E001F0"/>
    <w:rsid w:val="00E014DF"/>
    <w:rsid w:val="00E03091"/>
    <w:rsid w:val="00E17D40"/>
    <w:rsid w:val="00E20C50"/>
    <w:rsid w:val="00E20E70"/>
    <w:rsid w:val="00E25B68"/>
    <w:rsid w:val="00E34E22"/>
    <w:rsid w:val="00E408C2"/>
    <w:rsid w:val="00E418E1"/>
    <w:rsid w:val="00E42BC1"/>
    <w:rsid w:val="00E54574"/>
    <w:rsid w:val="00E62672"/>
    <w:rsid w:val="00E67E82"/>
    <w:rsid w:val="00E72565"/>
    <w:rsid w:val="00E84003"/>
    <w:rsid w:val="00E87E44"/>
    <w:rsid w:val="00EA0BA7"/>
    <w:rsid w:val="00EB20CB"/>
    <w:rsid w:val="00EC10FC"/>
    <w:rsid w:val="00EC2667"/>
    <w:rsid w:val="00EC34E3"/>
    <w:rsid w:val="00ED1926"/>
    <w:rsid w:val="00ED247F"/>
    <w:rsid w:val="00ED2D84"/>
    <w:rsid w:val="00ED6E43"/>
    <w:rsid w:val="00EE0041"/>
    <w:rsid w:val="00EE29B9"/>
    <w:rsid w:val="00F004EE"/>
    <w:rsid w:val="00F03A98"/>
    <w:rsid w:val="00F15C30"/>
    <w:rsid w:val="00F31163"/>
    <w:rsid w:val="00F334C7"/>
    <w:rsid w:val="00F36518"/>
    <w:rsid w:val="00F42E23"/>
    <w:rsid w:val="00F45EEE"/>
    <w:rsid w:val="00F50CBF"/>
    <w:rsid w:val="00F51E9C"/>
    <w:rsid w:val="00F523CA"/>
    <w:rsid w:val="00F6236F"/>
    <w:rsid w:val="00F74A9D"/>
    <w:rsid w:val="00F92628"/>
    <w:rsid w:val="00F960E0"/>
    <w:rsid w:val="00FA4879"/>
    <w:rsid w:val="00FB4B12"/>
    <w:rsid w:val="00FC5A36"/>
    <w:rsid w:val="00FD3682"/>
    <w:rsid w:val="00FE4BD3"/>
    <w:rsid w:val="00FE53E6"/>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semiHidden/>
    <w:unhideWhenUsed/>
    <w:locked/>
    <w:rsid w:val="00D8534C"/>
    <w:rPr>
      <w:sz w:val="16"/>
      <w:szCs w:val="16"/>
    </w:rPr>
  </w:style>
  <w:style w:type="paragraph" w:styleId="CommentText">
    <w:name w:val="annotation text"/>
    <w:basedOn w:val="Normal"/>
    <w:link w:val="CommentTextChar"/>
    <w:uiPriority w:val="49"/>
    <w:unhideWhenUsed/>
    <w:locked/>
    <w:rsid w:val="00D8534C"/>
    <w:rPr>
      <w:sz w:val="20"/>
    </w:rPr>
  </w:style>
  <w:style w:type="character" w:customStyle="1" w:styleId="CommentTextChar">
    <w:name w:val="Comment Text Char"/>
    <w:basedOn w:val="DefaultParagraphFont"/>
    <w:link w:val="CommentText"/>
    <w:uiPriority w:val="49"/>
    <w:rsid w:val="00D8534C"/>
    <w:rPr>
      <w:lang w:eastAsia="en-US"/>
    </w:rPr>
  </w:style>
  <w:style w:type="paragraph" w:styleId="CommentSubject">
    <w:name w:val="annotation subject"/>
    <w:basedOn w:val="CommentText"/>
    <w:next w:val="CommentText"/>
    <w:link w:val="CommentSubjectChar"/>
    <w:uiPriority w:val="49"/>
    <w:semiHidden/>
    <w:unhideWhenUsed/>
    <w:locked/>
    <w:rsid w:val="00D8534C"/>
    <w:rPr>
      <w:b/>
      <w:bCs/>
    </w:rPr>
  </w:style>
  <w:style w:type="character" w:customStyle="1" w:styleId="CommentSubjectChar">
    <w:name w:val="Comment Subject Char"/>
    <w:basedOn w:val="CommentTextChar"/>
    <w:link w:val="CommentSubject"/>
    <w:uiPriority w:val="49"/>
    <w:semiHidden/>
    <w:rsid w:val="00D8534C"/>
    <w:rPr>
      <w:b/>
      <w:bCs/>
      <w:lang w:eastAsia="en-US"/>
    </w:rPr>
  </w:style>
  <w:style w:type="paragraph" w:customStyle="1" w:styleId="EndNoteBibliographyTitle">
    <w:name w:val="EndNote Bibliography Title"/>
    <w:basedOn w:val="Normal"/>
    <w:link w:val="EndNoteBibliographyTitleChar"/>
    <w:rsid w:val="00201D34"/>
    <w:pPr>
      <w:jc w:val="center"/>
    </w:pPr>
    <w:rPr>
      <w:noProof/>
      <w:sz w:val="18"/>
      <w:lang w:val="en-US"/>
    </w:rPr>
  </w:style>
  <w:style w:type="character" w:customStyle="1" w:styleId="EndNoteBibliographyTitleChar">
    <w:name w:val="EndNote Bibliography Title Char"/>
    <w:basedOn w:val="BodyTextChar"/>
    <w:link w:val="EndNoteBibliographyTitle"/>
    <w:rsid w:val="00201D34"/>
    <w:rPr>
      <w:noProof/>
      <w:sz w:val="18"/>
      <w:lang w:val="en-US" w:eastAsia="en-US"/>
    </w:rPr>
  </w:style>
  <w:style w:type="paragraph" w:customStyle="1" w:styleId="EndNoteBibliography">
    <w:name w:val="EndNote Bibliography"/>
    <w:basedOn w:val="Normal"/>
    <w:link w:val="EndNoteBibliographyChar"/>
    <w:rsid w:val="00201D34"/>
    <w:pPr>
      <w:jc w:val="both"/>
    </w:pPr>
    <w:rPr>
      <w:noProof/>
      <w:sz w:val="18"/>
      <w:lang w:val="en-US"/>
    </w:rPr>
  </w:style>
  <w:style w:type="character" w:customStyle="1" w:styleId="EndNoteBibliographyChar">
    <w:name w:val="EndNote Bibliography Char"/>
    <w:basedOn w:val="BodyTextChar"/>
    <w:link w:val="EndNoteBibliography"/>
    <w:rsid w:val="00201D34"/>
    <w:rPr>
      <w:noProof/>
      <w:sz w:val="18"/>
      <w:lang w:val="en-US" w:eastAsia="en-US"/>
    </w:rPr>
  </w:style>
  <w:style w:type="character" w:styleId="Hyperlink">
    <w:name w:val="Hyperlink"/>
    <w:basedOn w:val="DefaultParagraphFont"/>
    <w:uiPriority w:val="49"/>
    <w:unhideWhenUsed/>
    <w:locked/>
    <w:rsid w:val="00201D34"/>
    <w:rPr>
      <w:color w:val="0000FF" w:themeColor="hyperlink"/>
      <w:u w:val="single"/>
    </w:rPr>
  </w:style>
  <w:style w:type="character" w:styleId="UnresolvedMention">
    <w:name w:val="Unresolved Mention"/>
    <w:basedOn w:val="DefaultParagraphFont"/>
    <w:uiPriority w:val="99"/>
    <w:semiHidden/>
    <w:unhideWhenUsed/>
    <w:rsid w:val="00201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Props1.xml><?xml version="1.0" encoding="utf-8"?>
<ds:datastoreItem xmlns:ds="http://schemas.openxmlformats.org/officeDocument/2006/customXml" ds:itemID="{76C0EB1B-2459-43CE-9F65-C989FA23CB2B}">
  <ds:schemaRefs>
    <ds:schemaRef ds:uri="http://schemas.openxmlformats.org/officeDocument/2006/bibliography"/>
  </ds:schemaRefs>
</ds:datastoreItem>
</file>

<file path=customXml/itemProps2.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3.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4.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docProps/app.xml><?xml version="1.0" encoding="utf-8"?>
<Properties xmlns="http://schemas.openxmlformats.org/officeDocument/2006/extended-properties" xmlns:vt="http://schemas.openxmlformats.org/officeDocument/2006/docPropsVTypes">
  <Template>IAEA Blank (r01)</Template>
  <TotalTime>51</TotalTime>
  <Pages>8</Pages>
  <Words>3867</Words>
  <Characters>47492</Characters>
  <Application>Microsoft Office Word</Application>
  <DocSecurity>0</DocSecurity>
  <Lines>395</Lines>
  <Paragraphs>102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Adriaan Hengeveld</cp:lastModifiedBy>
  <cp:revision>4</cp:revision>
  <cp:lastPrinted>2015-12-01T10:27:00Z</cp:lastPrinted>
  <dcterms:created xsi:type="dcterms:W3CDTF">2023-08-25T08:06:00Z</dcterms:created>
  <dcterms:modified xsi:type="dcterms:W3CDTF">2023-08-25T08:53:00Z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