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129F" w14:textId="43A2F4BE" w:rsidR="00283A38" w:rsidRPr="00283A38" w:rsidRDefault="00283A38" w:rsidP="00DC7894">
      <w:pPr>
        <w:autoSpaceDE w:val="0"/>
        <w:autoSpaceDN w:val="0"/>
        <w:adjustRightInd w:val="0"/>
        <w:spacing w:line="276" w:lineRule="auto"/>
        <w:jc w:val="both"/>
        <w:rPr>
          <w:b/>
          <w:bCs/>
          <w:szCs w:val="24"/>
          <w:lang w:val="en-US"/>
        </w:rPr>
      </w:pPr>
      <w:r w:rsidRPr="00283A38">
        <w:rPr>
          <w:b/>
          <w:bCs/>
          <w:sz w:val="23"/>
          <w:szCs w:val="23"/>
          <w:lang w:val="en-US"/>
        </w:rPr>
        <w:t xml:space="preserve">INITIAL STAGE OF THE LITHUANIAN </w:t>
      </w:r>
      <w:r w:rsidRPr="00283A38">
        <w:rPr>
          <w:b/>
          <w:bCs/>
          <w:lang w:val="en-US"/>
        </w:rPr>
        <w:t>DEEP GEOLOGICAL REPOSITORY</w:t>
      </w:r>
      <w:r w:rsidRPr="00283A38">
        <w:rPr>
          <w:b/>
          <w:bCs/>
          <w:i/>
          <w:iCs/>
          <w:lang w:val="en-US"/>
        </w:rPr>
        <w:t xml:space="preserve"> </w:t>
      </w:r>
      <w:r w:rsidRPr="00283A38">
        <w:rPr>
          <w:b/>
          <w:bCs/>
          <w:sz w:val="23"/>
          <w:szCs w:val="23"/>
          <w:lang w:val="en-US"/>
        </w:rPr>
        <w:t>PROJECT</w:t>
      </w:r>
    </w:p>
    <w:p w14:paraId="5B94AA36" w14:textId="77777777" w:rsidR="00283A38" w:rsidRDefault="00283A38" w:rsidP="00DD6CC6">
      <w:pPr>
        <w:autoSpaceDE w:val="0"/>
        <w:autoSpaceDN w:val="0"/>
        <w:adjustRightInd w:val="0"/>
        <w:spacing w:line="276" w:lineRule="auto"/>
        <w:jc w:val="both"/>
        <w:rPr>
          <w:szCs w:val="24"/>
          <w:lang w:val="en-US"/>
        </w:rPr>
      </w:pPr>
    </w:p>
    <w:p w14:paraId="359D0ED5" w14:textId="04DC312C" w:rsidR="00C2244A" w:rsidRPr="00DD6CC6" w:rsidRDefault="00774F41" w:rsidP="00DD6CC6">
      <w:pPr>
        <w:autoSpaceDE w:val="0"/>
        <w:autoSpaceDN w:val="0"/>
        <w:adjustRightInd w:val="0"/>
        <w:spacing w:line="276" w:lineRule="auto"/>
        <w:jc w:val="both"/>
        <w:rPr>
          <w:szCs w:val="24"/>
          <w:lang w:val="en-US"/>
        </w:rPr>
      </w:pPr>
      <w:r w:rsidRPr="00DD6CC6">
        <w:rPr>
          <w:szCs w:val="24"/>
          <w:lang w:val="en-US"/>
        </w:rPr>
        <w:t>“</w:t>
      </w:r>
      <w:r w:rsidRPr="00DD6CC6">
        <w:rPr>
          <w:i/>
          <w:iCs/>
          <w:szCs w:val="24"/>
          <w:lang w:val="en-US"/>
        </w:rPr>
        <w:t>Development Program for Decommissioning of Nuclear Power Facilities and Radioactive Waste Management for 2021–2030</w:t>
      </w:r>
      <w:r w:rsidRPr="00DD6CC6">
        <w:rPr>
          <w:szCs w:val="24"/>
          <w:lang w:val="en-US"/>
        </w:rPr>
        <w:t xml:space="preserve">” </w:t>
      </w:r>
      <w:r w:rsidR="00C2244A" w:rsidRPr="00DD6CC6">
        <w:rPr>
          <w:szCs w:val="24"/>
          <w:lang w:val="en-US"/>
        </w:rPr>
        <w:t>(</w:t>
      </w:r>
      <w:r w:rsidR="00C2244A" w:rsidRPr="00DD6CC6">
        <w:rPr>
          <w:szCs w:val="24"/>
          <w:lang w:val="en-GB"/>
        </w:rPr>
        <w:t>hereinafter - the Program)</w:t>
      </w:r>
      <w:r w:rsidR="00C2244A" w:rsidRPr="00DD6CC6">
        <w:rPr>
          <w:szCs w:val="24"/>
          <w:lang w:val="en-US"/>
        </w:rPr>
        <w:t xml:space="preserve"> </w:t>
      </w:r>
      <w:r w:rsidRPr="00DD6CC6">
        <w:rPr>
          <w:szCs w:val="24"/>
          <w:lang w:val="en-US"/>
        </w:rPr>
        <w:t xml:space="preserve">was approved by the Resolution No. 76 of the Government of the Republic of Lithuania on 3 February 2021. </w:t>
      </w:r>
    </w:p>
    <w:p w14:paraId="097F029D" w14:textId="226EC48C" w:rsidR="00774F41" w:rsidRPr="00DD6CC6" w:rsidRDefault="00774F41" w:rsidP="00DD6CC6">
      <w:pPr>
        <w:autoSpaceDE w:val="0"/>
        <w:autoSpaceDN w:val="0"/>
        <w:adjustRightInd w:val="0"/>
        <w:spacing w:line="276" w:lineRule="auto"/>
        <w:jc w:val="both"/>
        <w:rPr>
          <w:b/>
          <w:bCs/>
          <w:szCs w:val="24"/>
          <w:lang w:val="en-US"/>
        </w:rPr>
      </w:pPr>
      <w:r w:rsidRPr="00DD6CC6">
        <w:rPr>
          <w:szCs w:val="24"/>
          <w:lang w:val="en-US"/>
        </w:rPr>
        <w:t xml:space="preserve">The Program establishes that the only sustainable final method of disposal of spent nuclear fuel and other long-lived radioactive waste, that can be considered at the moment, is their placement in a </w:t>
      </w:r>
      <w:r w:rsidRPr="00DD6CC6">
        <w:rPr>
          <w:b/>
          <w:bCs/>
          <w:szCs w:val="24"/>
          <w:lang w:val="en-US"/>
        </w:rPr>
        <w:t>deep geological repository.</w:t>
      </w:r>
    </w:p>
    <w:p w14:paraId="7BAE2B41" w14:textId="77777777" w:rsidR="00774F41" w:rsidRPr="00DD6CC6" w:rsidRDefault="00774F41" w:rsidP="00DD6CC6">
      <w:pPr>
        <w:autoSpaceDE w:val="0"/>
        <w:autoSpaceDN w:val="0"/>
        <w:adjustRightInd w:val="0"/>
        <w:spacing w:line="276" w:lineRule="auto"/>
        <w:jc w:val="both"/>
        <w:rPr>
          <w:b/>
          <w:bCs/>
          <w:szCs w:val="24"/>
          <w:lang w:val="en-US"/>
        </w:rPr>
      </w:pPr>
    </w:p>
    <w:p w14:paraId="4A26DF7D" w14:textId="68BB3CA6" w:rsidR="00774F41" w:rsidRPr="00DD6CC6" w:rsidRDefault="005242DD" w:rsidP="00DD6CC6">
      <w:pPr>
        <w:spacing w:line="276" w:lineRule="auto"/>
        <w:jc w:val="both"/>
        <w:rPr>
          <w:sz w:val="23"/>
          <w:szCs w:val="23"/>
          <w:lang w:val="en-US"/>
        </w:rPr>
      </w:pPr>
      <w:r w:rsidRPr="00DD6CC6">
        <w:rPr>
          <w:b/>
          <w:bCs/>
          <w:sz w:val="23"/>
          <w:szCs w:val="23"/>
          <w:lang w:val="en-US"/>
        </w:rPr>
        <w:t xml:space="preserve">State Enterprise </w:t>
      </w:r>
      <w:r w:rsidR="00774F41" w:rsidRPr="00DD6CC6">
        <w:rPr>
          <w:b/>
          <w:bCs/>
          <w:sz w:val="23"/>
          <w:szCs w:val="23"/>
          <w:lang w:val="en-US"/>
        </w:rPr>
        <w:t xml:space="preserve">Ignalina </w:t>
      </w:r>
      <w:r w:rsidRPr="00DD6CC6">
        <w:rPr>
          <w:b/>
          <w:bCs/>
          <w:sz w:val="23"/>
          <w:szCs w:val="23"/>
          <w:lang w:val="en-US"/>
        </w:rPr>
        <w:t>N</w:t>
      </w:r>
      <w:r w:rsidR="00774F41" w:rsidRPr="00DD6CC6">
        <w:rPr>
          <w:b/>
          <w:bCs/>
          <w:sz w:val="23"/>
          <w:szCs w:val="23"/>
          <w:lang w:val="en-US"/>
        </w:rPr>
        <w:t xml:space="preserve">uclear </w:t>
      </w:r>
      <w:r w:rsidRPr="00DD6CC6">
        <w:rPr>
          <w:b/>
          <w:bCs/>
          <w:sz w:val="23"/>
          <w:szCs w:val="23"/>
          <w:lang w:val="en-US"/>
        </w:rPr>
        <w:t>P</w:t>
      </w:r>
      <w:r w:rsidR="00774F41" w:rsidRPr="00DD6CC6">
        <w:rPr>
          <w:b/>
          <w:bCs/>
          <w:sz w:val="23"/>
          <w:szCs w:val="23"/>
          <w:lang w:val="en-US"/>
        </w:rPr>
        <w:t xml:space="preserve">ower </w:t>
      </w:r>
      <w:r w:rsidRPr="00DD6CC6">
        <w:rPr>
          <w:b/>
          <w:bCs/>
          <w:sz w:val="23"/>
          <w:szCs w:val="23"/>
          <w:lang w:val="en-US"/>
        </w:rPr>
        <w:t>P</w:t>
      </w:r>
      <w:r w:rsidR="00774F41" w:rsidRPr="00DD6CC6">
        <w:rPr>
          <w:b/>
          <w:bCs/>
          <w:sz w:val="23"/>
          <w:szCs w:val="23"/>
          <w:lang w:val="en-US"/>
        </w:rPr>
        <w:t>lant</w:t>
      </w:r>
      <w:r w:rsidR="00774F41" w:rsidRPr="00DD6CC6">
        <w:rPr>
          <w:sz w:val="23"/>
          <w:szCs w:val="23"/>
          <w:lang w:val="en-US"/>
        </w:rPr>
        <w:t xml:space="preserve"> (</w:t>
      </w:r>
      <w:r w:rsidR="00C2244A" w:rsidRPr="00DD6CC6">
        <w:rPr>
          <w:szCs w:val="24"/>
          <w:lang w:val="en-GB"/>
        </w:rPr>
        <w:t xml:space="preserve">hereinafter - </w:t>
      </w:r>
      <w:r w:rsidR="00774F41" w:rsidRPr="00DD6CC6">
        <w:rPr>
          <w:sz w:val="23"/>
          <w:szCs w:val="23"/>
          <w:lang w:val="en-US"/>
        </w:rPr>
        <w:t xml:space="preserve">INPP) was appointed as the institution responsible for the implementation of the Deep Geological Repository </w:t>
      </w:r>
      <w:r w:rsidR="00C2244A" w:rsidRPr="00DD6CC6">
        <w:rPr>
          <w:szCs w:val="24"/>
          <w:lang w:val="en-US"/>
        </w:rPr>
        <w:t>(</w:t>
      </w:r>
      <w:r w:rsidR="00C2244A" w:rsidRPr="00DD6CC6">
        <w:rPr>
          <w:szCs w:val="24"/>
          <w:lang w:val="en-GB"/>
        </w:rPr>
        <w:t xml:space="preserve">hereinafter - </w:t>
      </w:r>
      <w:r w:rsidR="00774F41" w:rsidRPr="00DD6CC6">
        <w:rPr>
          <w:sz w:val="23"/>
          <w:szCs w:val="23"/>
          <w:lang w:val="en-US"/>
        </w:rPr>
        <w:t xml:space="preserve">DGR) </w:t>
      </w:r>
      <w:r w:rsidR="00307AD6" w:rsidRPr="00DD6CC6">
        <w:rPr>
          <w:sz w:val="23"/>
          <w:szCs w:val="23"/>
          <w:lang w:val="en-US"/>
        </w:rPr>
        <w:t>project in</w:t>
      </w:r>
      <w:r w:rsidR="00774F41" w:rsidRPr="00DD6CC6">
        <w:rPr>
          <w:sz w:val="23"/>
          <w:szCs w:val="23"/>
          <w:lang w:val="en-US"/>
        </w:rPr>
        <w:t xml:space="preserve"> </w:t>
      </w:r>
      <w:r w:rsidR="005029CE" w:rsidRPr="00DD6CC6">
        <w:rPr>
          <w:sz w:val="23"/>
          <w:szCs w:val="23"/>
          <w:lang w:val="en-US"/>
        </w:rPr>
        <w:t xml:space="preserve">Lithuania. </w:t>
      </w:r>
    </w:p>
    <w:p w14:paraId="19744A3E" w14:textId="77777777" w:rsidR="00774F41" w:rsidRPr="00DD6CC6" w:rsidRDefault="00774F41" w:rsidP="00DD6CC6">
      <w:pPr>
        <w:autoSpaceDE w:val="0"/>
        <w:autoSpaceDN w:val="0"/>
        <w:adjustRightInd w:val="0"/>
        <w:spacing w:line="276" w:lineRule="auto"/>
        <w:jc w:val="both"/>
        <w:rPr>
          <w:szCs w:val="24"/>
          <w:lang w:val="en-US"/>
        </w:rPr>
      </w:pPr>
    </w:p>
    <w:p w14:paraId="4E82C05D" w14:textId="0E02356F" w:rsidR="00BC5DF1" w:rsidRPr="00DD6CC6" w:rsidRDefault="000A66F2" w:rsidP="00DD6CC6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DD6CC6">
        <w:rPr>
          <w:sz w:val="23"/>
          <w:szCs w:val="23"/>
          <w:lang w:val="en-US"/>
        </w:rPr>
        <w:t>Currently, following the recommendations of the IAEA "</w:t>
      </w:r>
      <w:r w:rsidRPr="00DD6CC6">
        <w:rPr>
          <w:i/>
          <w:iCs/>
          <w:sz w:val="23"/>
          <w:szCs w:val="23"/>
          <w:lang w:val="en-US"/>
        </w:rPr>
        <w:t>Experience in selection and characterization of sites for geological disposal of radioactive waste</w:t>
      </w:r>
      <w:r w:rsidRPr="00DD6CC6">
        <w:rPr>
          <w:sz w:val="23"/>
          <w:szCs w:val="23"/>
          <w:lang w:val="en-US"/>
        </w:rPr>
        <w:t>" (IAEA-TECDOC-991, Vienna, 1997),</w:t>
      </w:r>
      <w:r w:rsidR="005242DD" w:rsidRPr="00DD6CC6">
        <w:rPr>
          <w:sz w:val="23"/>
          <w:szCs w:val="23"/>
          <w:lang w:val="en-US"/>
        </w:rPr>
        <w:t xml:space="preserve"> INPP</w:t>
      </w:r>
      <w:r w:rsidRPr="00DD6CC6">
        <w:rPr>
          <w:sz w:val="23"/>
          <w:szCs w:val="23"/>
          <w:lang w:val="en-US"/>
        </w:rPr>
        <w:t xml:space="preserve"> </w:t>
      </w:r>
      <w:r w:rsidR="00BC5DF1" w:rsidRPr="00DD6CC6">
        <w:rPr>
          <w:szCs w:val="24"/>
          <w:lang w:val="en-US"/>
        </w:rPr>
        <w:t xml:space="preserve">is carrying out the initial stage of the conceptual planning project - </w:t>
      </w:r>
      <w:r w:rsidR="00DD6CC6" w:rsidRPr="00DD6CC6">
        <w:rPr>
          <w:szCs w:val="24"/>
          <w:lang w:val="en-US"/>
        </w:rPr>
        <w:t>site selection</w:t>
      </w:r>
      <w:r w:rsidR="005242DD" w:rsidRPr="00DD6CC6">
        <w:rPr>
          <w:szCs w:val="24"/>
          <w:lang w:val="en-US"/>
        </w:rPr>
        <w:t>.</w:t>
      </w:r>
    </w:p>
    <w:p w14:paraId="4EA3C37D" w14:textId="091A8C54" w:rsidR="00387C1C" w:rsidRPr="00DD6CC6" w:rsidRDefault="00387C1C" w:rsidP="00DD6CC6">
      <w:pPr>
        <w:spacing w:line="276" w:lineRule="auto"/>
        <w:jc w:val="both"/>
        <w:rPr>
          <w:sz w:val="23"/>
          <w:szCs w:val="23"/>
          <w:lang w:val="en-US"/>
        </w:rPr>
      </w:pPr>
    </w:p>
    <w:p w14:paraId="2881E11E" w14:textId="26C27B09" w:rsidR="008640DA" w:rsidRPr="00DD6CC6" w:rsidRDefault="000A66F2" w:rsidP="00DD6CC6">
      <w:pPr>
        <w:spacing w:line="276" w:lineRule="auto"/>
        <w:jc w:val="both"/>
        <w:rPr>
          <w:sz w:val="23"/>
          <w:szCs w:val="23"/>
          <w:lang w:val="en-US"/>
        </w:rPr>
      </w:pPr>
      <w:r w:rsidRPr="00DD6CC6">
        <w:rPr>
          <w:sz w:val="23"/>
          <w:szCs w:val="23"/>
          <w:lang w:val="en-US"/>
        </w:rPr>
        <w:t xml:space="preserve">At this stage, studies and evaluations </w:t>
      </w:r>
      <w:r w:rsidR="005242DD" w:rsidRPr="00DD6CC6">
        <w:rPr>
          <w:sz w:val="23"/>
          <w:szCs w:val="23"/>
          <w:lang w:val="en-US"/>
        </w:rPr>
        <w:t xml:space="preserve">are carried out </w:t>
      </w:r>
      <w:r w:rsidRPr="00DD6CC6">
        <w:rPr>
          <w:sz w:val="23"/>
          <w:szCs w:val="23"/>
          <w:lang w:val="en-US"/>
        </w:rPr>
        <w:t xml:space="preserve">to select </w:t>
      </w:r>
      <w:r w:rsidR="005242DD" w:rsidRPr="00DD6CC6">
        <w:rPr>
          <w:sz w:val="23"/>
          <w:szCs w:val="23"/>
          <w:lang w:val="en-US"/>
        </w:rPr>
        <w:t xml:space="preserve">the </w:t>
      </w:r>
      <w:r w:rsidRPr="00DD6CC6">
        <w:rPr>
          <w:sz w:val="23"/>
          <w:szCs w:val="23"/>
          <w:lang w:val="en-US"/>
        </w:rPr>
        <w:t xml:space="preserve">DGR location. Based on the results of these activities, INPP will </w:t>
      </w:r>
      <w:r w:rsidR="00DD6CC6" w:rsidRPr="00DD6CC6">
        <w:rPr>
          <w:sz w:val="23"/>
          <w:szCs w:val="23"/>
          <w:lang w:val="en-US"/>
        </w:rPr>
        <w:t>plan further</w:t>
      </w:r>
      <w:r w:rsidRPr="00DD6CC6">
        <w:rPr>
          <w:sz w:val="23"/>
          <w:szCs w:val="23"/>
          <w:lang w:val="en-US"/>
        </w:rPr>
        <w:t xml:space="preserve"> implementation of the DGR</w:t>
      </w:r>
      <w:r w:rsidR="008640DA" w:rsidRPr="00DD6CC6">
        <w:rPr>
          <w:sz w:val="23"/>
          <w:szCs w:val="23"/>
          <w:lang w:val="en-US"/>
        </w:rPr>
        <w:t xml:space="preserve">. </w:t>
      </w:r>
    </w:p>
    <w:p w14:paraId="12D0AE84" w14:textId="77777777" w:rsidR="008640DA" w:rsidRPr="00DD6CC6" w:rsidRDefault="008640DA" w:rsidP="00DD6CC6">
      <w:pPr>
        <w:spacing w:line="276" w:lineRule="auto"/>
        <w:jc w:val="both"/>
        <w:rPr>
          <w:sz w:val="23"/>
          <w:szCs w:val="23"/>
          <w:lang w:val="en-US"/>
        </w:rPr>
      </w:pPr>
    </w:p>
    <w:p w14:paraId="3FEA0C55" w14:textId="4BC29F1B" w:rsidR="00082C5E" w:rsidRPr="00DD6CC6" w:rsidRDefault="00082C5E" w:rsidP="00DD6CC6">
      <w:pPr>
        <w:spacing w:line="276" w:lineRule="auto"/>
        <w:jc w:val="both"/>
        <w:rPr>
          <w:sz w:val="23"/>
          <w:szCs w:val="23"/>
          <w:lang w:val="en-US"/>
        </w:rPr>
      </w:pPr>
      <w:proofErr w:type="gramStart"/>
      <w:r w:rsidRPr="00DD6CC6">
        <w:rPr>
          <w:sz w:val="23"/>
          <w:szCs w:val="23"/>
          <w:lang w:val="en-US"/>
        </w:rPr>
        <w:t xml:space="preserve">At  </w:t>
      </w:r>
      <w:r w:rsidR="005242DD" w:rsidRPr="00DD6CC6">
        <w:rPr>
          <w:sz w:val="23"/>
          <w:szCs w:val="23"/>
          <w:lang w:val="en-US"/>
        </w:rPr>
        <w:t>present</w:t>
      </w:r>
      <w:proofErr w:type="gramEnd"/>
      <w:r w:rsidRPr="00DD6CC6">
        <w:rPr>
          <w:sz w:val="23"/>
          <w:szCs w:val="23"/>
          <w:lang w:val="en-US"/>
        </w:rPr>
        <w:t>, studies have been carried out</w:t>
      </w:r>
      <w:r w:rsidR="00176F85" w:rsidRPr="00DD6CC6">
        <w:rPr>
          <w:sz w:val="23"/>
          <w:szCs w:val="23"/>
          <w:lang w:val="en-US"/>
        </w:rPr>
        <w:t xml:space="preserve"> </w:t>
      </w:r>
      <w:r w:rsidRPr="00DD6CC6">
        <w:rPr>
          <w:sz w:val="23"/>
          <w:szCs w:val="23"/>
          <w:lang w:val="en-US"/>
        </w:rPr>
        <w:t>to develop criteria for  selecti</w:t>
      </w:r>
      <w:r w:rsidR="005242DD" w:rsidRPr="00DD6CC6">
        <w:rPr>
          <w:sz w:val="23"/>
          <w:szCs w:val="23"/>
          <w:lang w:val="en-US"/>
        </w:rPr>
        <w:t>ng</w:t>
      </w:r>
      <w:r w:rsidRPr="00DD6CC6">
        <w:rPr>
          <w:sz w:val="23"/>
          <w:szCs w:val="23"/>
          <w:lang w:val="en-US"/>
        </w:rPr>
        <w:t xml:space="preserve"> </w:t>
      </w:r>
      <w:r w:rsidR="009471D0" w:rsidRPr="00DD6CC6">
        <w:rPr>
          <w:sz w:val="23"/>
          <w:szCs w:val="23"/>
          <w:lang w:val="en-US"/>
        </w:rPr>
        <w:t>a site for</w:t>
      </w:r>
      <w:r w:rsidRPr="00DD6CC6">
        <w:rPr>
          <w:sz w:val="23"/>
          <w:szCs w:val="23"/>
          <w:lang w:val="en-US"/>
        </w:rPr>
        <w:t xml:space="preserve"> the DGR:</w:t>
      </w:r>
    </w:p>
    <w:p w14:paraId="58786407" w14:textId="15DEFAE9" w:rsidR="008870B0" w:rsidRPr="00DD6CC6" w:rsidRDefault="000A6B32" w:rsidP="00DD6CC6">
      <w:pPr>
        <w:numPr>
          <w:ilvl w:val="0"/>
          <w:numId w:val="4"/>
        </w:numPr>
        <w:tabs>
          <w:tab w:val="left" w:pos="709"/>
        </w:tabs>
        <w:spacing w:line="276" w:lineRule="auto"/>
        <w:ind w:left="567" w:hanging="567"/>
        <w:jc w:val="both"/>
        <w:rPr>
          <w:i/>
          <w:iCs/>
          <w:lang w:val="en-US"/>
        </w:rPr>
      </w:pPr>
      <w:r w:rsidRPr="00DD6CC6">
        <w:rPr>
          <w:lang w:val="en-US"/>
        </w:rPr>
        <w:t>“</w:t>
      </w:r>
      <w:r w:rsidR="00F12F5C" w:rsidRPr="00DD6CC6">
        <w:rPr>
          <w:i/>
          <w:iCs/>
          <w:lang w:val="en-US"/>
        </w:rPr>
        <w:t xml:space="preserve">Determination of geological criteria for the suitability of the geological environment for the Deep Geological Repository of the radioactive </w:t>
      </w:r>
      <w:proofErr w:type="gramStart"/>
      <w:r w:rsidR="00F12F5C" w:rsidRPr="00DD6CC6">
        <w:rPr>
          <w:i/>
          <w:iCs/>
          <w:lang w:val="en-US"/>
        </w:rPr>
        <w:t>waste“</w:t>
      </w:r>
      <w:proofErr w:type="gramEnd"/>
      <w:r w:rsidR="008870B0" w:rsidRPr="00DD6CC6">
        <w:rPr>
          <w:i/>
          <w:iCs/>
          <w:lang w:val="en-US"/>
        </w:rPr>
        <w:t>, 2022;</w:t>
      </w:r>
    </w:p>
    <w:p w14:paraId="71E50DF6" w14:textId="51D8B3AC" w:rsidR="008870B0" w:rsidRPr="00DD6CC6" w:rsidRDefault="008870B0" w:rsidP="00DD6CC6">
      <w:pPr>
        <w:numPr>
          <w:ilvl w:val="0"/>
          <w:numId w:val="4"/>
        </w:numPr>
        <w:tabs>
          <w:tab w:val="left" w:pos="709"/>
        </w:tabs>
        <w:spacing w:line="276" w:lineRule="auto"/>
        <w:ind w:left="567" w:hanging="567"/>
        <w:jc w:val="both"/>
        <w:rPr>
          <w:i/>
          <w:iCs/>
          <w:lang w:val="en-US"/>
        </w:rPr>
      </w:pPr>
      <w:r w:rsidRPr="00DD6CC6">
        <w:rPr>
          <w:i/>
          <w:iCs/>
          <w:lang w:val="en-US"/>
        </w:rPr>
        <w:t xml:space="preserve">"Social and economic evaluation for selection of potential </w:t>
      </w:r>
      <w:r w:rsidR="002A5A29" w:rsidRPr="00DD6CC6">
        <w:rPr>
          <w:i/>
          <w:iCs/>
          <w:lang w:val="en-US"/>
        </w:rPr>
        <w:t>region for</w:t>
      </w:r>
      <w:r w:rsidRPr="00DD6CC6">
        <w:rPr>
          <w:i/>
          <w:iCs/>
          <w:lang w:val="en-US"/>
        </w:rPr>
        <w:t xml:space="preserve"> </w:t>
      </w:r>
      <w:r w:rsidR="00983914" w:rsidRPr="00DD6CC6">
        <w:rPr>
          <w:i/>
          <w:iCs/>
          <w:lang w:val="en-US"/>
        </w:rPr>
        <w:t>Deep Geological Repository</w:t>
      </w:r>
      <w:r w:rsidRPr="00DD6CC6">
        <w:rPr>
          <w:i/>
          <w:iCs/>
          <w:lang w:val="en-US"/>
        </w:rPr>
        <w:t xml:space="preserve">", </w:t>
      </w:r>
      <w:proofErr w:type="gramStart"/>
      <w:r w:rsidRPr="00DD6CC6">
        <w:rPr>
          <w:i/>
          <w:iCs/>
          <w:lang w:val="en-US"/>
        </w:rPr>
        <w:t>2022;</w:t>
      </w:r>
      <w:proofErr w:type="gramEnd"/>
      <w:r w:rsidRPr="00DD6CC6">
        <w:rPr>
          <w:i/>
          <w:iCs/>
          <w:lang w:val="en-US"/>
        </w:rPr>
        <w:t xml:space="preserve"> </w:t>
      </w:r>
    </w:p>
    <w:p w14:paraId="1E91D049" w14:textId="62E36992" w:rsidR="00F12F5C" w:rsidRPr="00DD6CC6" w:rsidRDefault="00F12F5C" w:rsidP="00DD6CC6">
      <w:pPr>
        <w:numPr>
          <w:ilvl w:val="0"/>
          <w:numId w:val="4"/>
        </w:numPr>
        <w:tabs>
          <w:tab w:val="left" w:pos="709"/>
        </w:tabs>
        <w:spacing w:line="276" w:lineRule="auto"/>
        <w:ind w:left="567" w:hanging="567"/>
        <w:jc w:val="both"/>
        <w:rPr>
          <w:i/>
          <w:iCs/>
          <w:lang w:val="en-US"/>
        </w:rPr>
      </w:pPr>
      <w:r w:rsidRPr="00DD6CC6">
        <w:rPr>
          <w:i/>
          <w:iCs/>
          <w:lang w:val="en-US"/>
        </w:rPr>
        <w:t xml:space="preserve">„Final report on detailed analysis of formations potentially suitable for the construction of the </w:t>
      </w:r>
      <w:r w:rsidR="00983914" w:rsidRPr="00DD6CC6">
        <w:rPr>
          <w:i/>
          <w:iCs/>
          <w:lang w:val="en-US"/>
        </w:rPr>
        <w:t>Deep Geological Repository</w:t>
      </w:r>
      <w:r w:rsidRPr="00DD6CC6">
        <w:rPr>
          <w:i/>
          <w:iCs/>
          <w:lang w:val="en-US"/>
        </w:rPr>
        <w:t xml:space="preserve"> of the radioactive waste and prioritisation of potential sites according to the main geological (suitability) selection criteria</w:t>
      </w:r>
      <w:r w:rsidRPr="00DD6CC6" w:rsidDel="00BB13B1">
        <w:rPr>
          <w:i/>
          <w:iCs/>
          <w:lang w:val="en-US"/>
        </w:rPr>
        <w:t xml:space="preserve"> </w:t>
      </w:r>
      <w:r w:rsidRPr="00DD6CC6">
        <w:rPr>
          <w:i/>
          <w:iCs/>
          <w:lang w:val="en-US"/>
        </w:rPr>
        <w:t>“</w:t>
      </w:r>
      <w:r w:rsidR="00AE3B7F" w:rsidRPr="00DD6CC6">
        <w:rPr>
          <w:i/>
          <w:iCs/>
          <w:lang w:val="en-US"/>
        </w:rPr>
        <w:t xml:space="preserve">, </w:t>
      </w:r>
      <w:proofErr w:type="gramStart"/>
      <w:r w:rsidR="00AE3B7F" w:rsidRPr="00DD6CC6">
        <w:rPr>
          <w:i/>
          <w:iCs/>
          <w:lang w:val="en-US"/>
        </w:rPr>
        <w:t>2023;</w:t>
      </w:r>
      <w:proofErr w:type="gramEnd"/>
      <w:r w:rsidR="00AE3B7F" w:rsidRPr="00DD6CC6">
        <w:rPr>
          <w:i/>
          <w:iCs/>
          <w:lang w:val="en-US"/>
        </w:rPr>
        <w:t xml:space="preserve"> </w:t>
      </w:r>
      <w:r w:rsidRPr="00DD6CC6">
        <w:rPr>
          <w:i/>
          <w:iCs/>
          <w:lang w:val="en-US"/>
        </w:rPr>
        <w:t xml:space="preserve"> </w:t>
      </w:r>
    </w:p>
    <w:p w14:paraId="0BFFBA3B" w14:textId="016E8A67" w:rsidR="00FF09EB" w:rsidRPr="00DD6CC6" w:rsidRDefault="000A6B32" w:rsidP="00DD6CC6">
      <w:pPr>
        <w:numPr>
          <w:ilvl w:val="0"/>
          <w:numId w:val="4"/>
        </w:numPr>
        <w:tabs>
          <w:tab w:val="left" w:pos="709"/>
        </w:tabs>
        <w:spacing w:line="276" w:lineRule="auto"/>
        <w:ind w:left="567" w:hanging="567"/>
        <w:jc w:val="both"/>
        <w:rPr>
          <w:i/>
          <w:iCs/>
          <w:lang w:val="en-US"/>
        </w:rPr>
      </w:pPr>
      <w:r w:rsidRPr="00DD6CC6">
        <w:rPr>
          <w:i/>
          <w:iCs/>
          <w:lang w:val="en-US"/>
        </w:rPr>
        <w:t>“</w:t>
      </w:r>
      <w:r w:rsidR="00F12F5C" w:rsidRPr="00DD6CC6">
        <w:rPr>
          <w:i/>
          <w:iCs/>
          <w:lang w:val="en-US"/>
        </w:rPr>
        <w:t xml:space="preserve">Safety-related criteria for </w:t>
      </w:r>
      <w:r w:rsidR="00983914" w:rsidRPr="00DD6CC6">
        <w:rPr>
          <w:i/>
          <w:iCs/>
          <w:lang w:val="en-US"/>
        </w:rPr>
        <w:t>Deep Geological Repository</w:t>
      </w:r>
      <w:r w:rsidR="00F12F5C" w:rsidRPr="00DD6CC6">
        <w:rPr>
          <w:i/>
          <w:iCs/>
          <w:lang w:val="en-US"/>
        </w:rPr>
        <w:t xml:space="preserve"> construction in Lithuania"</w:t>
      </w:r>
      <w:r w:rsidR="00AE3B7F" w:rsidRPr="00DD6CC6">
        <w:rPr>
          <w:i/>
          <w:iCs/>
          <w:lang w:val="en-US"/>
        </w:rPr>
        <w:t xml:space="preserve">; </w:t>
      </w:r>
      <w:proofErr w:type="gramStart"/>
      <w:r w:rsidR="00AE3B7F" w:rsidRPr="00DD6CC6">
        <w:rPr>
          <w:i/>
          <w:iCs/>
          <w:lang w:val="en-US"/>
        </w:rPr>
        <w:t>2023</w:t>
      </w:r>
      <w:r w:rsidR="00FF09EB" w:rsidRPr="00DD6CC6">
        <w:rPr>
          <w:i/>
          <w:iCs/>
          <w:lang w:val="en-US"/>
        </w:rPr>
        <w:t>;</w:t>
      </w:r>
      <w:proofErr w:type="gramEnd"/>
    </w:p>
    <w:p w14:paraId="4507E8D8" w14:textId="519BC853" w:rsidR="00E620F9" w:rsidRPr="00DD6CC6" w:rsidRDefault="000A6B32" w:rsidP="00DD6CC6">
      <w:pPr>
        <w:numPr>
          <w:ilvl w:val="0"/>
          <w:numId w:val="4"/>
        </w:numPr>
        <w:tabs>
          <w:tab w:val="left" w:pos="709"/>
        </w:tabs>
        <w:spacing w:line="276" w:lineRule="auto"/>
        <w:ind w:left="567" w:hanging="567"/>
        <w:jc w:val="both"/>
        <w:rPr>
          <w:i/>
          <w:iCs/>
          <w:lang w:val="en-US"/>
        </w:rPr>
      </w:pPr>
      <w:r w:rsidRPr="00DD6CC6">
        <w:rPr>
          <w:i/>
          <w:iCs/>
          <w:lang w:val="en-US"/>
        </w:rPr>
        <w:t>“</w:t>
      </w:r>
      <w:r w:rsidR="00E620F9" w:rsidRPr="00DD6CC6">
        <w:rPr>
          <w:i/>
          <w:iCs/>
          <w:lang w:val="en-US"/>
        </w:rPr>
        <w:t>Comprehensive assessment of the results of the studies carried out in the</w:t>
      </w:r>
      <w:r w:rsidR="00176F85" w:rsidRPr="00DD6CC6">
        <w:rPr>
          <w:i/>
          <w:iCs/>
          <w:lang w:val="en-US"/>
        </w:rPr>
        <w:t xml:space="preserve"> </w:t>
      </w:r>
      <w:r w:rsidR="00983914" w:rsidRPr="00DD6CC6">
        <w:rPr>
          <w:i/>
          <w:iCs/>
          <w:lang w:val="en-US"/>
        </w:rPr>
        <w:t xml:space="preserve">Deep Geological Repository </w:t>
      </w:r>
      <w:r w:rsidR="00E620F9" w:rsidRPr="00DD6CC6">
        <w:rPr>
          <w:i/>
          <w:iCs/>
          <w:lang w:val="en-US"/>
        </w:rPr>
        <w:t xml:space="preserve">project”, 2023. </w:t>
      </w:r>
    </w:p>
    <w:p w14:paraId="64E11C94" w14:textId="77777777" w:rsidR="00997DE3" w:rsidRPr="00DD6CC6" w:rsidRDefault="00997DE3" w:rsidP="00DD6CC6">
      <w:pPr>
        <w:spacing w:line="276" w:lineRule="auto"/>
        <w:jc w:val="both"/>
        <w:rPr>
          <w:sz w:val="23"/>
          <w:szCs w:val="23"/>
          <w:lang w:val="en-US"/>
        </w:rPr>
      </w:pPr>
    </w:p>
    <w:p w14:paraId="5951D31E" w14:textId="1B2189A9" w:rsidR="002A00C7" w:rsidRPr="00DD6CC6" w:rsidRDefault="00C118F1" w:rsidP="00DD6CC6">
      <w:pPr>
        <w:spacing w:line="276" w:lineRule="auto"/>
        <w:jc w:val="both"/>
        <w:rPr>
          <w:szCs w:val="24"/>
          <w:lang w:val="en-US"/>
        </w:rPr>
      </w:pPr>
      <w:r w:rsidRPr="00DD6CC6">
        <w:rPr>
          <w:bCs/>
          <w:lang w:val="en-US"/>
        </w:rPr>
        <w:t>C</w:t>
      </w:r>
      <w:r w:rsidR="008649DF" w:rsidRPr="00DD6CC6">
        <w:rPr>
          <w:bCs/>
          <w:lang w:val="en-US"/>
        </w:rPr>
        <w:t>onsidering</w:t>
      </w:r>
      <w:r w:rsidR="00DE7E91" w:rsidRPr="00DD6CC6">
        <w:rPr>
          <w:bCs/>
          <w:lang w:val="en-US"/>
        </w:rPr>
        <w:t xml:space="preserve"> </w:t>
      </w:r>
      <w:r w:rsidR="00F83664" w:rsidRPr="00DD6CC6">
        <w:rPr>
          <w:bCs/>
          <w:lang w:val="en-US"/>
        </w:rPr>
        <w:t>importance</w:t>
      </w:r>
      <w:r w:rsidR="00675367" w:rsidRPr="00DD6CC6">
        <w:rPr>
          <w:bCs/>
          <w:lang w:val="en-US"/>
        </w:rPr>
        <w:t xml:space="preserve"> of </w:t>
      </w:r>
      <w:r w:rsidR="002A00C7" w:rsidRPr="00DD6CC6">
        <w:rPr>
          <w:bCs/>
          <w:lang w:val="en-US"/>
        </w:rPr>
        <w:t xml:space="preserve">their </w:t>
      </w:r>
      <w:r w:rsidR="00927D4F" w:rsidRPr="00DD6CC6">
        <w:rPr>
          <w:bCs/>
          <w:lang w:val="en-US"/>
        </w:rPr>
        <w:t xml:space="preserve">proper </w:t>
      </w:r>
      <w:r w:rsidR="002A00C7" w:rsidRPr="00DD6CC6">
        <w:rPr>
          <w:bCs/>
          <w:lang w:val="en-US"/>
        </w:rPr>
        <w:t xml:space="preserve">performance for </w:t>
      </w:r>
      <w:r w:rsidR="002A00C7" w:rsidRPr="00DD6CC6">
        <w:rPr>
          <w:sz w:val="23"/>
          <w:szCs w:val="23"/>
          <w:lang w:val="en-US"/>
        </w:rPr>
        <w:t xml:space="preserve">the successful implementation of the entire project, Lithuania in </w:t>
      </w:r>
      <w:r w:rsidR="009D28E2" w:rsidRPr="00DD6CC6">
        <w:rPr>
          <w:sz w:val="23"/>
          <w:szCs w:val="23"/>
          <w:lang w:val="en-US"/>
        </w:rPr>
        <w:t>October 2022 requested</w:t>
      </w:r>
      <w:r w:rsidR="009471D0" w:rsidRPr="00DD6CC6">
        <w:rPr>
          <w:sz w:val="23"/>
          <w:szCs w:val="23"/>
          <w:lang w:val="en-US"/>
        </w:rPr>
        <w:t xml:space="preserve"> the</w:t>
      </w:r>
      <w:r w:rsidR="009D28E2" w:rsidRPr="00DD6CC6">
        <w:rPr>
          <w:sz w:val="23"/>
          <w:szCs w:val="23"/>
          <w:lang w:val="en-US"/>
        </w:rPr>
        <w:t xml:space="preserve"> </w:t>
      </w:r>
      <w:r w:rsidR="009D28E2" w:rsidRPr="00DD6CC6">
        <w:rPr>
          <w:b/>
          <w:bCs/>
          <w:sz w:val="23"/>
          <w:szCs w:val="23"/>
          <w:lang w:val="en-US"/>
        </w:rPr>
        <w:t>IAEA Artemis mission</w:t>
      </w:r>
      <w:r w:rsidR="009D28E2" w:rsidRPr="00DD6CC6">
        <w:rPr>
          <w:sz w:val="23"/>
          <w:szCs w:val="23"/>
          <w:lang w:val="en-US"/>
        </w:rPr>
        <w:t xml:space="preserve"> to </w:t>
      </w:r>
      <w:r w:rsidR="00997DE3" w:rsidRPr="00DD6CC6">
        <w:rPr>
          <w:szCs w:val="24"/>
          <w:lang w:val="en-US"/>
        </w:rPr>
        <w:t xml:space="preserve">provide an independent international evaluation of the studies carried out by Lithuania </w:t>
      </w:r>
      <w:r w:rsidR="009471D0" w:rsidRPr="00DD6CC6">
        <w:rPr>
          <w:szCs w:val="24"/>
          <w:lang w:val="en-US"/>
        </w:rPr>
        <w:t>regarding</w:t>
      </w:r>
      <w:r w:rsidR="00997DE3" w:rsidRPr="00DD6CC6">
        <w:rPr>
          <w:szCs w:val="24"/>
          <w:lang w:val="en-US"/>
        </w:rPr>
        <w:t xml:space="preserve"> the development of </w:t>
      </w:r>
      <w:r w:rsidR="009471D0" w:rsidRPr="00DD6CC6">
        <w:rPr>
          <w:szCs w:val="24"/>
          <w:lang w:val="en-US"/>
        </w:rPr>
        <w:t xml:space="preserve">DGR site selection criteria. </w:t>
      </w:r>
    </w:p>
    <w:p w14:paraId="1AB05FFD" w14:textId="77777777" w:rsidR="00983914" w:rsidRPr="00DD6CC6" w:rsidRDefault="00983914" w:rsidP="00DD6CC6">
      <w:pPr>
        <w:spacing w:line="276" w:lineRule="auto"/>
        <w:jc w:val="both"/>
        <w:rPr>
          <w:bCs/>
          <w:lang w:val="en-US"/>
        </w:rPr>
      </w:pPr>
    </w:p>
    <w:p w14:paraId="51F6EB20" w14:textId="1F51A5DB" w:rsidR="00C118F1" w:rsidRPr="00DD6CC6" w:rsidRDefault="00C118F1" w:rsidP="00DD6CC6">
      <w:pPr>
        <w:spacing w:line="276" w:lineRule="auto"/>
        <w:jc w:val="both"/>
        <w:rPr>
          <w:sz w:val="23"/>
          <w:szCs w:val="23"/>
          <w:lang w:val="en-US"/>
        </w:rPr>
      </w:pPr>
      <w:r w:rsidRPr="00DD6CC6">
        <w:rPr>
          <w:sz w:val="23"/>
          <w:szCs w:val="23"/>
          <w:lang w:val="en-US"/>
        </w:rPr>
        <w:t xml:space="preserve">Based on the above-mentioned criteria and evaluations, the most promising potential DGR </w:t>
      </w:r>
      <w:r w:rsidR="009471D0" w:rsidRPr="00DD6CC6">
        <w:rPr>
          <w:sz w:val="23"/>
          <w:szCs w:val="23"/>
          <w:lang w:val="en-US"/>
        </w:rPr>
        <w:t xml:space="preserve">sites </w:t>
      </w:r>
      <w:r w:rsidRPr="00DD6CC6">
        <w:rPr>
          <w:sz w:val="23"/>
          <w:szCs w:val="23"/>
          <w:lang w:val="en-US"/>
        </w:rPr>
        <w:t xml:space="preserve">for further research will be identified. </w:t>
      </w:r>
    </w:p>
    <w:p w14:paraId="15376E72" w14:textId="77777777" w:rsidR="00C118F1" w:rsidRPr="00DD6CC6" w:rsidRDefault="00C118F1" w:rsidP="00DD6CC6">
      <w:pPr>
        <w:spacing w:line="276" w:lineRule="auto"/>
        <w:jc w:val="both"/>
        <w:rPr>
          <w:sz w:val="23"/>
          <w:szCs w:val="23"/>
          <w:lang w:val="en-US"/>
        </w:rPr>
      </w:pPr>
    </w:p>
    <w:p w14:paraId="03BCF6BB" w14:textId="36CA9E91" w:rsidR="004657DC" w:rsidRPr="00983914" w:rsidRDefault="006751B2" w:rsidP="00DD6CC6">
      <w:pPr>
        <w:spacing w:after="120" w:line="276" w:lineRule="auto"/>
        <w:jc w:val="both"/>
        <w:rPr>
          <w:lang w:val="en-US"/>
        </w:rPr>
      </w:pPr>
      <w:r w:rsidRPr="00DD6CC6">
        <w:rPr>
          <w:sz w:val="23"/>
          <w:szCs w:val="23"/>
          <w:lang w:val="en-US"/>
        </w:rPr>
        <w:t xml:space="preserve">The planning and implementation of the initial stage of the Lithuanian </w:t>
      </w:r>
      <w:r w:rsidR="00602490" w:rsidRPr="00DD6CC6">
        <w:rPr>
          <w:lang w:val="en-US"/>
        </w:rPr>
        <w:t>Deep Geological Repository</w:t>
      </w:r>
      <w:r w:rsidR="00602490" w:rsidRPr="00DD6CC6">
        <w:rPr>
          <w:i/>
          <w:iCs/>
          <w:lang w:val="en-US"/>
        </w:rPr>
        <w:t xml:space="preserve"> </w:t>
      </w:r>
      <w:r w:rsidRPr="00DD6CC6">
        <w:rPr>
          <w:sz w:val="23"/>
          <w:szCs w:val="23"/>
          <w:lang w:val="en-US"/>
        </w:rPr>
        <w:t xml:space="preserve">project, the involvement of independent IAEA </w:t>
      </w:r>
      <w:r w:rsidR="00DD6CC6" w:rsidRPr="00DD6CC6">
        <w:rPr>
          <w:sz w:val="23"/>
          <w:szCs w:val="23"/>
          <w:lang w:val="en-US"/>
        </w:rPr>
        <w:t>experts, experience</w:t>
      </w:r>
      <w:r w:rsidR="009471D0" w:rsidRPr="00DD6CC6">
        <w:rPr>
          <w:sz w:val="23"/>
          <w:szCs w:val="23"/>
          <w:lang w:val="en-US"/>
        </w:rPr>
        <w:t xml:space="preserve"> </w:t>
      </w:r>
      <w:r w:rsidR="000026CB" w:rsidRPr="00DD6CC6">
        <w:rPr>
          <w:sz w:val="23"/>
          <w:szCs w:val="23"/>
          <w:lang w:val="en-US"/>
        </w:rPr>
        <w:t>gained</w:t>
      </w:r>
      <w:r w:rsidRPr="00DD6CC6">
        <w:rPr>
          <w:sz w:val="23"/>
          <w:szCs w:val="23"/>
          <w:lang w:val="en-US"/>
        </w:rPr>
        <w:t xml:space="preserve"> </w:t>
      </w:r>
      <w:r w:rsidR="00DD6CC6" w:rsidRPr="00DD6CC6">
        <w:rPr>
          <w:sz w:val="23"/>
          <w:szCs w:val="23"/>
          <w:lang w:val="en-US"/>
        </w:rPr>
        <w:t>and lessons</w:t>
      </w:r>
      <w:r w:rsidRPr="00DD6CC6">
        <w:rPr>
          <w:sz w:val="23"/>
          <w:szCs w:val="23"/>
          <w:lang w:val="en-US"/>
        </w:rPr>
        <w:t xml:space="preserve"> learn may be relevant for other </w:t>
      </w:r>
      <w:r w:rsidR="00AC4FEC" w:rsidRPr="00DD6CC6">
        <w:rPr>
          <w:sz w:val="23"/>
          <w:szCs w:val="23"/>
          <w:lang w:val="en-US"/>
        </w:rPr>
        <w:t>institutions</w:t>
      </w:r>
      <w:r w:rsidRPr="00DD6CC6">
        <w:rPr>
          <w:sz w:val="23"/>
          <w:szCs w:val="23"/>
          <w:lang w:val="en-US"/>
        </w:rPr>
        <w:t xml:space="preserve"> planning </w:t>
      </w:r>
      <w:r w:rsidR="009471D0" w:rsidRPr="00DD6CC6">
        <w:rPr>
          <w:sz w:val="23"/>
          <w:szCs w:val="23"/>
          <w:lang w:val="en-US"/>
        </w:rPr>
        <w:t>to</w:t>
      </w:r>
      <w:r w:rsidRPr="00DD6CC6">
        <w:rPr>
          <w:sz w:val="23"/>
          <w:szCs w:val="23"/>
          <w:lang w:val="en-US"/>
        </w:rPr>
        <w:t xml:space="preserve"> develop national DGRs.</w:t>
      </w:r>
    </w:p>
    <w:p w14:paraId="00335EFE" w14:textId="77777777" w:rsidR="004657DC" w:rsidRPr="00983914" w:rsidRDefault="004657DC" w:rsidP="00DD6CC6">
      <w:pPr>
        <w:spacing w:after="120" w:line="276" w:lineRule="auto"/>
        <w:jc w:val="both"/>
        <w:rPr>
          <w:lang w:val="en-US"/>
        </w:rPr>
      </w:pPr>
    </w:p>
    <w:p w14:paraId="618F19DA" w14:textId="77777777" w:rsidR="00042484" w:rsidRPr="00AC4FEC" w:rsidRDefault="00042484" w:rsidP="00DD6CC6">
      <w:pPr>
        <w:spacing w:line="276" w:lineRule="auto"/>
        <w:jc w:val="both"/>
        <w:rPr>
          <w:lang w:val="en-US"/>
        </w:rPr>
      </w:pPr>
    </w:p>
    <w:sectPr w:rsidR="00042484" w:rsidRPr="00AC4FEC">
      <w:footerReference w:type="default" r:id="rId7"/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09921" w14:textId="77777777" w:rsidR="00117456" w:rsidRDefault="00117456" w:rsidP="00DB7A31">
      <w:r>
        <w:separator/>
      </w:r>
    </w:p>
  </w:endnote>
  <w:endnote w:type="continuationSeparator" w:id="0">
    <w:p w14:paraId="543CE6DB" w14:textId="77777777" w:rsidR="00117456" w:rsidRDefault="00117456" w:rsidP="00DB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FF27" w14:textId="59F03413" w:rsidR="00DB7A31" w:rsidRPr="00DB7A31" w:rsidRDefault="00DB7A31">
    <w:pPr>
      <w:pStyle w:val="Footer"/>
      <w:rPr>
        <w:i/>
        <w:iCs/>
      </w:rPr>
    </w:pPr>
    <w:r w:rsidRPr="00DB7A31">
      <w:rPr>
        <w:i/>
        <w:iCs/>
      </w:rPr>
      <w:t xml:space="preserve">Andrius Vyšniauskas, INPP DGR Project Manager </w:t>
    </w:r>
  </w:p>
  <w:p w14:paraId="65ED80CA" w14:textId="77777777" w:rsidR="00DB7A31" w:rsidRDefault="00DB7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37B8" w14:textId="77777777" w:rsidR="00117456" w:rsidRDefault="00117456" w:rsidP="00DB7A31">
      <w:r>
        <w:separator/>
      </w:r>
    </w:p>
  </w:footnote>
  <w:footnote w:type="continuationSeparator" w:id="0">
    <w:p w14:paraId="4DD87113" w14:textId="77777777" w:rsidR="00117456" w:rsidRDefault="00117456" w:rsidP="00DB7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hybridMultilevel"/>
    <w:tmpl w:val="519B500C"/>
    <w:lvl w:ilvl="0" w:tplc="7E224B2E">
      <w:start w:val="1"/>
      <w:numFmt w:val="bullet"/>
      <w:lvlText w:val="•"/>
      <w:lvlJc w:val="left"/>
    </w:lvl>
    <w:lvl w:ilvl="1" w:tplc="9B2ECD2A">
      <w:start w:val="1"/>
      <w:numFmt w:val="bullet"/>
      <w:lvlText w:val=""/>
      <w:lvlJc w:val="left"/>
    </w:lvl>
    <w:lvl w:ilvl="2" w:tplc="61EC349E">
      <w:start w:val="1"/>
      <w:numFmt w:val="bullet"/>
      <w:lvlText w:val=""/>
      <w:lvlJc w:val="left"/>
    </w:lvl>
    <w:lvl w:ilvl="3" w:tplc="FD24E39A">
      <w:start w:val="1"/>
      <w:numFmt w:val="bullet"/>
      <w:lvlText w:val=""/>
      <w:lvlJc w:val="left"/>
    </w:lvl>
    <w:lvl w:ilvl="4" w:tplc="4032167C">
      <w:start w:val="1"/>
      <w:numFmt w:val="bullet"/>
      <w:lvlText w:val=""/>
      <w:lvlJc w:val="left"/>
    </w:lvl>
    <w:lvl w:ilvl="5" w:tplc="0430FC28">
      <w:start w:val="1"/>
      <w:numFmt w:val="bullet"/>
      <w:lvlText w:val=""/>
      <w:lvlJc w:val="left"/>
    </w:lvl>
    <w:lvl w:ilvl="6" w:tplc="196EE0BE">
      <w:start w:val="1"/>
      <w:numFmt w:val="bullet"/>
      <w:lvlText w:val=""/>
      <w:lvlJc w:val="left"/>
    </w:lvl>
    <w:lvl w:ilvl="7" w:tplc="9C16821C">
      <w:start w:val="1"/>
      <w:numFmt w:val="bullet"/>
      <w:lvlText w:val=""/>
      <w:lvlJc w:val="left"/>
    </w:lvl>
    <w:lvl w:ilvl="8" w:tplc="FF785440">
      <w:start w:val="1"/>
      <w:numFmt w:val="bullet"/>
      <w:lvlText w:val=""/>
      <w:lvlJc w:val="left"/>
    </w:lvl>
  </w:abstractNum>
  <w:abstractNum w:abstractNumId="1" w15:restartNumberingAfterBreak="0">
    <w:nsid w:val="09E713E9"/>
    <w:multiLevelType w:val="hybridMultilevel"/>
    <w:tmpl w:val="24F2A100"/>
    <w:lvl w:ilvl="0" w:tplc="04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" w15:restartNumberingAfterBreak="0">
    <w:nsid w:val="37241660"/>
    <w:multiLevelType w:val="hybridMultilevel"/>
    <w:tmpl w:val="2292A6F0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6B0927"/>
    <w:multiLevelType w:val="hybridMultilevel"/>
    <w:tmpl w:val="E828EC62"/>
    <w:lvl w:ilvl="0" w:tplc="0427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514349695">
    <w:abstractNumId w:val="2"/>
  </w:num>
  <w:num w:numId="2" w16cid:durableId="1831821764">
    <w:abstractNumId w:val="1"/>
  </w:num>
  <w:num w:numId="3" w16cid:durableId="1146776251">
    <w:abstractNumId w:val="0"/>
  </w:num>
  <w:num w:numId="4" w16cid:durableId="1134568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84"/>
    <w:rsid w:val="000026CB"/>
    <w:rsid w:val="00042484"/>
    <w:rsid w:val="00082C5E"/>
    <w:rsid w:val="00096558"/>
    <w:rsid w:val="000A66F2"/>
    <w:rsid w:val="000A6B32"/>
    <w:rsid w:val="00117456"/>
    <w:rsid w:val="00176F85"/>
    <w:rsid w:val="002408F5"/>
    <w:rsid w:val="00283A38"/>
    <w:rsid w:val="002A00C7"/>
    <w:rsid w:val="002A5A29"/>
    <w:rsid w:val="002C032D"/>
    <w:rsid w:val="002D1DF4"/>
    <w:rsid w:val="002E5310"/>
    <w:rsid w:val="00306464"/>
    <w:rsid w:val="00307AD6"/>
    <w:rsid w:val="003560B4"/>
    <w:rsid w:val="00385805"/>
    <w:rsid w:val="00387C1C"/>
    <w:rsid w:val="00394A99"/>
    <w:rsid w:val="00401C40"/>
    <w:rsid w:val="00427BF2"/>
    <w:rsid w:val="004465A8"/>
    <w:rsid w:val="00451765"/>
    <w:rsid w:val="004657DC"/>
    <w:rsid w:val="004B1044"/>
    <w:rsid w:val="005029CE"/>
    <w:rsid w:val="005242DD"/>
    <w:rsid w:val="00534AA4"/>
    <w:rsid w:val="00587193"/>
    <w:rsid w:val="00602490"/>
    <w:rsid w:val="00615095"/>
    <w:rsid w:val="006717BB"/>
    <w:rsid w:val="006751B2"/>
    <w:rsid w:val="00675367"/>
    <w:rsid w:val="006C5610"/>
    <w:rsid w:val="00715D48"/>
    <w:rsid w:val="00774F41"/>
    <w:rsid w:val="007E1113"/>
    <w:rsid w:val="008640DA"/>
    <w:rsid w:val="008649DF"/>
    <w:rsid w:val="008667BA"/>
    <w:rsid w:val="008870B0"/>
    <w:rsid w:val="008F644E"/>
    <w:rsid w:val="00927D4F"/>
    <w:rsid w:val="009471D0"/>
    <w:rsid w:val="00983914"/>
    <w:rsid w:val="00997DE3"/>
    <w:rsid w:val="009A36BA"/>
    <w:rsid w:val="009A7039"/>
    <w:rsid w:val="009D28E2"/>
    <w:rsid w:val="00A12BC7"/>
    <w:rsid w:val="00A546F8"/>
    <w:rsid w:val="00AB3A2B"/>
    <w:rsid w:val="00AC4FEC"/>
    <w:rsid w:val="00AE3B7F"/>
    <w:rsid w:val="00B00598"/>
    <w:rsid w:val="00B41150"/>
    <w:rsid w:val="00B53615"/>
    <w:rsid w:val="00B91190"/>
    <w:rsid w:val="00BC5DF1"/>
    <w:rsid w:val="00BC66AE"/>
    <w:rsid w:val="00C118F1"/>
    <w:rsid w:val="00C2244A"/>
    <w:rsid w:val="00C837C2"/>
    <w:rsid w:val="00CA11FC"/>
    <w:rsid w:val="00DA72B3"/>
    <w:rsid w:val="00DB7A31"/>
    <w:rsid w:val="00DC7894"/>
    <w:rsid w:val="00DD6CC6"/>
    <w:rsid w:val="00DE7E91"/>
    <w:rsid w:val="00E535FF"/>
    <w:rsid w:val="00E620F9"/>
    <w:rsid w:val="00E86D28"/>
    <w:rsid w:val="00E93851"/>
    <w:rsid w:val="00EF4400"/>
    <w:rsid w:val="00F063D7"/>
    <w:rsid w:val="00F12F5C"/>
    <w:rsid w:val="00F2728C"/>
    <w:rsid w:val="00F83664"/>
    <w:rsid w:val="00FC17C1"/>
    <w:rsid w:val="00FF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E928"/>
  <w15:chartTrackingRefBased/>
  <w15:docId w15:val="{59F46F8E-9CD3-421A-A7F5-E840BD46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6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Red,Buletai,Bullet EY,List Paragraph21,List Paragraph1,List Paragraph2,lp1,Bullet 1,Use Case List Paragraph,Numbering,ERP-List Paragraph,List Paragraph11,List Paragraph111,Paragraph,Sąrašo pastraipa1,List Paragraph211"/>
    <w:basedOn w:val="Normal"/>
    <w:link w:val="ListParagraphChar"/>
    <w:uiPriority w:val="34"/>
    <w:qFormat/>
    <w:rsid w:val="00082C5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 Red Char,Buletai Char,Bullet EY Char,List Paragraph21 Char,List Paragraph1 Char,List Paragraph2 Char,lp1 Char,Bullet 1 Char,Use Case List Paragraph Char,Numbering Char,ERP-List Paragraph Char,List Paragraph11 Char"/>
    <w:link w:val="ListParagraph"/>
    <w:uiPriority w:val="34"/>
    <w:qFormat/>
    <w:locked/>
    <w:rsid w:val="00082C5E"/>
    <w:rPr>
      <w:rFonts w:ascii="Calibri" w:eastAsia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B7A3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A31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7A3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A31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Revision">
    <w:name w:val="Revision"/>
    <w:hidden/>
    <w:uiPriority w:val="99"/>
    <w:semiHidden/>
    <w:rsid w:val="005242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24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2D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2D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2D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1766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Vyšniauskas, Andrius</dc:creator>
  <cp:keywords/>
  <dc:description/>
  <cp:lastModifiedBy>Vyšniauskas, Andrius</cp:lastModifiedBy>
  <cp:revision>7</cp:revision>
  <dcterms:created xsi:type="dcterms:W3CDTF">2023-05-18T15:24:00Z</dcterms:created>
  <dcterms:modified xsi:type="dcterms:W3CDTF">2023-05-18T15:32:00Z</dcterms:modified>
</cp:coreProperties>
</file>