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804EF" w14:textId="77777777" w:rsidR="00C93320" w:rsidRPr="00C93320" w:rsidRDefault="00C93320" w:rsidP="00C93320">
      <w:pPr>
        <w:pStyle w:val="Heading1"/>
      </w:pPr>
      <w:r w:rsidRPr="00C93320">
        <w:t>Licensing Process for Decommissioning of Karachi Nuclear Power Plant (KANUPP)</w:t>
      </w:r>
    </w:p>
    <w:p w14:paraId="58BAE1A2" w14:textId="77777777" w:rsidR="00C93320" w:rsidRDefault="00C93320" w:rsidP="00537496">
      <w:pPr>
        <w:pStyle w:val="Authornameandaffiliation"/>
        <w:rPr>
          <w:b/>
          <w:bCs/>
          <w:i/>
          <w:iCs/>
          <w:color w:val="FF0000"/>
        </w:rPr>
      </w:pPr>
    </w:p>
    <w:p w14:paraId="3E3BD5BD" w14:textId="77777777" w:rsidR="009703E1" w:rsidRDefault="009703E1" w:rsidP="00537496">
      <w:pPr>
        <w:pStyle w:val="Authornameandaffiliation"/>
      </w:pPr>
    </w:p>
    <w:p w14:paraId="00F22172" w14:textId="14C6EB84" w:rsidR="002C58BE" w:rsidRPr="003E279C" w:rsidRDefault="002C58BE" w:rsidP="002C58BE">
      <w:pPr>
        <w:pStyle w:val="Authornameandaffiliation"/>
      </w:pPr>
      <w:r w:rsidRPr="003E279C">
        <w:t>JAVED IQBAL</w:t>
      </w:r>
    </w:p>
    <w:p w14:paraId="63F9D386" w14:textId="77777777" w:rsidR="002C58BE" w:rsidRDefault="002C58BE" w:rsidP="002C58BE">
      <w:pPr>
        <w:pStyle w:val="Authornameandaffiliation"/>
      </w:pPr>
      <w:r w:rsidRPr="003E279C">
        <w:t>Pakistan Nuclear Regulatory Authority</w:t>
      </w:r>
    </w:p>
    <w:p w14:paraId="0234B5F8" w14:textId="77777777" w:rsidR="002C58BE" w:rsidRDefault="002C58BE" w:rsidP="002C58BE">
      <w:pPr>
        <w:pStyle w:val="Authornameandaffiliation"/>
      </w:pPr>
      <w:r>
        <w:t>Islamabad, Islamic Republic of Pakistan.</w:t>
      </w:r>
    </w:p>
    <w:p w14:paraId="3B359474" w14:textId="77777777" w:rsidR="002C58BE" w:rsidRPr="003E279C" w:rsidRDefault="002C58BE" w:rsidP="002C58BE">
      <w:pPr>
        <w:pStyle w:val="Authornameandaffiliation"/>
      </w:pPr>
      <w:r w:rsidRPr="003E279C">
        <w:t>E-mail: javed.iqbal@pnra.org</w:t>
      </w:r>
    </w:p>
    <w:p w14:paraId="6CA2A93F" w14:textId="77777777" w:rsidR="00536792" w:rsidRDefault="00536792" w:rsidP="00536792">
      <w:pPr>
        <w:pStyle w:val="Authornameandaffiliation"/>
        <w:ind w:left="0"/>
      </w:pPr>
    </w:p>
    <w:p w14:paraId="57857091" w14:textId="77777777" w:rsidR="00647F33" w:rsidRPr="00647F33" w:rsidRDefault="00647F33" w:rsidP="00537496">
      <w:pPr>
        <w:pStyle w:val="Authornameandaffiliation"/>
        <w:rPr>
          <w:b/>
        </w:rPr>
      </w:pPr>
      <w:r w:rsidRPr="00647F33">
        <w:rPr>
          <w:b/>
        </w:rPr>
        <w:t>Abstract</w:t>
      </w:r>
    </w:p>
    <w:p w14:paraId="353C524E" w14:textId="77777777" w:rsidR="00647F33" w:rsidRDefault="00647F33" w:rsidP="00537496">
      <w:pPr>
        <w:pStyle w:val="Authornameandaffiliation"/>
      </w:pPr>
    </w:p>
    <w:p w14:paraId="7835EEF4" w14:textId="77777777" w:rsidR="002C58BE" w:rsidRPr="002C58BE" w:rsidRDefault="002C58BE" w:rsidP="002C58BE">
      <w:pPr>
        <w:pStyle w:val="Authornameandaffiliation"/>
        <w:spacing w:line="276" w:lineRule="auto"/>
        <w:ind w:left="0" w:firstLine="567"/>
        <w:contextualSpacing w:val="0"/>
        <w:jc w:val="both"/>
        <w:rPr>
          <w:sz w:val="18"/>
        </w:rPr>
      </w:pPr>
      <w:r w:rsidRPr="002C58BE">
        <w:rPr>
          <w:sz w:val="18"/>
        </w:rPr>
        <w:t xml:space="preserve">Licensing and authorization of nuclear installations is one of the core functions of Pakistan Nuclear Regulatory Authority (PNRA). These are issued at various stages of life cycle of nuclear installations as prescribed in PNRA Regulations for Licensing of Nuclear Installation(s)-PAK/909. Karachi Nuclear Power Plant (KANUPP) was Pakistan’s first CANDU type pressurized heavy water reactor (PHWR) with a total gross energy generation capacity of 137 </w:t>
      </w:r>
      <w:proofErr w:type="spellStart"/>
      <w:r w:rsidRPr="002C58BE">
        <w:rPr>
          <w:sz w:val="18"/>
        </w:rPr>
        <w:t>MWe</w:t>
      </w:r>
      <w:proofErr w:type="spellEnd"/>
      <w:r w:rsidRPr="002C58BE">
        <w:rPr>
          <w:sz w:val="18"/>
        </w:rPr>
        <w:t xml:space="preserve"> which achieved its first criticality on August 01, 1971. KANUPP was permanently shut down for decommissioning on August 01 2021 after completing fifty (50) years of operation, which is the final stage in the lifecycle of </w:t>
      </w:r>
      <w:proofErr w:type="gramStart"/>
      <w:r w:rsidRPr="002C58BE">
        <w:rPr>
          <w:sz w:val="18"/>
        </w:rPr>
        <w:t>a</w:t>
      </w:r>
      <w:proofErr w:type="gramEnd"/>
      <w:r w:rsidRPr="002C58BE">
        <w:rPr>
          <w:sz w:val="18"/>
        </w:rPr>
        <w:t xml:space="preserve"> NPP. Keeping in view of the licensing process laid down in regulations PAK/909, the licensee submitted a number of documents like Final Decommissioning Plan (FDP), Technical Specifications during decommissioning, Quality Assurance Program for decommissioning, Emergency Preparedness Plan, Physical Protection Program, Radiation Protection Program, Radioactive Waste Management Program and Environmental Monitoring Program for review. Upon satisfactory completion of the regulatory review of licensing submissions against agreed codes and standards, PNRA terminated the operating license and issued license for decommissioning to KANUPP on June 27, 2022. As grant of decommissioning license to </w:t>
      </w:r>
      <w:proofErr w:type="gramStart"/>
      <w:r w:rsidRPr="002C58BE">
        <w:rPr>
          <w:sz w:val="18"/>
        </w:rPr>
        <w:t>a</w:t>
      </w:r>
      <w:proofErr w:type="gramEnd"/>
      <w:r w:rsidRPr="002C58BE">
        <w:rPr>
          <w:sz w:val="18"/>
        </w:rPr>
        <w:t xml:space="preserve"> NPP was first of its kind experience, therefore, it provided numerous learning opportunities to PNRA for improvement of its regulatory processes. Similarly, it faced some real challenges during the process such as need for timely submission of documents, first time review of documents, and time period for decommissioning license, etc. This paper presents the PNRA experience and challenges faced during review of KANUPP decommissioning licensing documents. </w:t>
      </w:r>
    </w:p>
    <w:p w14:paraId="17E7B079" w14:textId="77777777" w:rsidR="00647F33" w:rsidRDefault="00F523CA" w:rsidP="00537496">
      <w:pPr>
        <w:pStyle w:val="Heading2"/>
        <w:numPr>
          <w:ilvl w:val="1"/>
          <w:numId w:val="10"/>
        </w:numPr>
      </w:pPr>
      <w:r>
        <w:t>INTRODUCTION</w:t>
      </w:r>
    </w:p>
    <w:p w14:paraId="3F0A6D65" w14:textId="5F79FC58" w:rsidR="002C58BE" w:rsidRDefault="002C58BE" w:rsidP="002C58BE">
      <w:pPr>
        <w:pStyle w:val="BodyText"/>
      </w:pPr>
      <w:r>
        <w:t xml:space="preserve">The government has mandated PNRA to </w:t>
      </w:r>
      <w:r w:rsidRPr="00A37342">
        <w:t xml:space="preserve">regulate nuclear </w:t>
      </w:r>
      <w:r>
        <w:t>installations</w:t>
      </w:r>
      <w:r w:rsidRPr="00323DC1">
        <w:t xml:space="preserve"> </w:t>
      </w:r>
      <w:r>
        <w:t xml:space="preserve">and </w:t>
      </w:r>
      <w:r w:rsidRPr="00A37342">
        <w:t>radiation facilities</w:t>
      </w:r>
      <w:r>
        <w:t xml:space="preserve"> </w:t>
      </w:r>
      <w:r w:rsidRPr="00A37342">
        <w:t>in the country</w:t>
      </w:r>
      <w:r>
        <w:t xml:space="preserve">. PNRA has devised a formal mechanism of </w:t>
      </w:r>
      <w:r w:rsidRPr="00A37342">
        <w:t>licens</w:t>
      </w:r>
      <w:r>
        <w:t>ing</w:t>
      </w:r>
      <w:r w:rsidRPr="00A37342">
        <w:t xml:space="preserve"> and authorization</w:t>
      </w:r>
      <w:r>
        <w:t xml:space="preserve"> which is</w:t>
      </w:r>
      <w:r w:rsidRPr="00A37342">
        <w:t xml:space="preserve"> bas</w:t>
      </w:r>
      <w:r>
        <w:t>ed</w:t>
      </w:r>
      <w:r w:rsidRPr="00A37342">
        <w:t xml:space="preserve"> on</w:t>
      </w:r>
      <w:r>
        <w:t xml:space="preserve"> </w:t>
      </w:r>
      <w:r w:rsidRPr="00A37342">
        <w:t>regulatory review and assessment of licens</w:t>
      </w:r>
      <w:r>
        <w:t>ing</w:t>
      </w:r>
      <w:r w:rsidRPr="00A37342">
        <w:t xml:space="preserve"> submissions and recommendations of regulatory inspections.</w:t>
      </w:r>
      <w:r>
        <w:t xml:space="preserve"> </w:t>
      </w:r>
      <w:r w:rsidRPr="00AA586A">
        <w:t xml:space="preserve">Karachi Nuclear Power Plant (KANUPP) </w:t>
      </w:r>
      <w:r>
        <w:t>wa</w:t>
      </w:r>
      <w:r w:rsidRPr="00AA586A">
        <w:t xml:space="preserve">s </w:t>
      </w:r>
      <w:r>
        <w:t xml:space="preserve">the </w:t>
      </w:r>
      <w:r w:rsidRPr="00AA586A">
        <w:t>first Nuclear Power Plant (NPP)</w:t>
      </w:r>
      <w:r>
        <w:t xml:space="preserve"> commissioned in </w:t>
      </w:r>
      <w:r w:rsidRPr="00F856B4">
        <w:t>Pakistan</w:t>
      </w:r>
      <w:r>
        <w:t xml:space="preserve"> with </w:t>
      </w:r>
      <w:r w:rsidRPr="00AA586A">
        <w:t xml:space="preserve">gross energy generation capacity </w:t>
      </w:r>
      <w:r>
        <w:t xml:space="preserve">of </w:t>
      </w:r>
      <w:r w:rsidRPr="00AA586A">
        <w:t xml:space="preserve">137 </w:t>
      </w:r>
      <w:proofErr w:type="spellStart"/>
      <w:r w:rsidRPr="00AA586A">
        <w:t>MWe</w:t>
      </w:r>
      <w:proofErr w:type="spellEnd"/>
      <w:r>
        <w:t xml:space="preserve"> which started its commercial operation in 1972. The plant was </w:t>
      </w:r>
      <w:r w:rsidRPr="00F856B4">
        <w:t>designed and constructed by Canadian General Electric Company</w:t>
      </w:r>
      <w:r w:rsidRPr="00AA586A">
        <w:t xml:space="preserve"> </w:t>
      </w:r>
      <w:r>
        <w:t>and</w:t>
      </w:r>
      <w:r w:rsidRPr="00AA586A">
        <w:t xml:space="preserve"> operated by Pakistan Atomic Energy Commission (PAEC)</w:t>
      </w:r>
      <w:r w:rsidRPr="00F856B4">
        <w:t>.</w:t>
      </w:r>
      <w:r w:rsidRPr="00ED14EA">
        <w:t xml:space="preserve"> </w:t>
      </w:r>
      <w:r>
        <w:t xml:space="preserve">The plant operated for </w:t>
      </w:r>
      <w:r w:rsidRPr="003E279C">
        <w:t>fifty (50) years</w:t>
      </w:r>
      <w:r>
        <w:t xml:space="preserve"> including 20 years beyond its design life and was permanently shut-down </w:t>
      </w:r>
      <w:r w:rsidRPr="003E279C">
        <w:t>on August 01 2021 for decommissioning</w:t>
      </w:r>
      <w:r>
        <w:t xml:space="preserve">. </w:t>
      </w:r>
      <w:r w:rsidRPr="00395A3E">
        <w:t xml:space="preserve">PNRA issued decommissioning license </w:t>
      </w:r>
      <w:r>
        <w:t>to</w:t>
      </w:r>
      <w:r w:rsidRPr="00395A3E">
        <w:t xml:space="preserve"> KANUPP</w:t>
      </w:r>
      <w:r>
        <w:t xml:space="preserve"> in June 2022. </w:t>
      </w:r>
      <w:r w:rsidRPr="003E279C">
        <w:t xml:space="preserve">This paper </w:t>
      </w:r>
      <w:r>
        <w:t xml:space="preserve">will briefly describe </w:t>
      </w:r>
      <w:r w:rsidRPr="003E279C">
        <w:t xml:space="preserve">PNRA experience </w:t>
      </w:r>
      <w:r>
        <w:t xml:space="preserve">and </w:t>
      </w:r>
      <w:r w:rsidRPr="003E279C">
        <w:t>challenges faced during review of decommissioning licensing</w:t>
      </w:r>
      <w:r>
        <w:t xml:space="preserve"> documents</w:t>
      </w:r>
      <w:r w:rsidRPr="003E279C">
        <w:t xml:space="preserve"> of KANUPP</w:t>
      </w:r>
      <w:r>
        <w:t>.</w:t>
      </w:r>
      <w:r w:rsidRPr="008D366E">
        <w:t xml:space="preserve"> </w:t>
      </w:r>
    </w:p>
    <w:p w14:paraId="51EC0D42" w14:textId="284B6B40" w:rsidR="00E25B68" w:rsidRPr="00EA7386" w:rsidRDefault="002C58BE" w:rsidP="00EA7386">
      <w:pPr>
        <w:pStyle w:val="Heading2"/>
        <w:numPr>
          <w:ilvl w:val="1"/>
          <w:numId w:val="10"/>
        </w:numPr>
        <w:spacing w:before="200" w:beforeAutospacing="0" w:after="200" w:afterAutospacing="0"/>
        <w:rPr>
          <w:caps w:val="0"/>
        </w:rPr>
      </w:pPr>
      <w:r>
        <w:t>KANUPP DECOMMISSIONING LICENSE APPICATION</w:t>
      </w:r>
    </w:p>
    <w:p w14:paraId="170EA991" w14:textId="4A2B82EC" w:rsidR="002C58BE" w:rsidRDefault="002C58BE" w:rsidP="00EA7386">
      <w:pPr>
        <w:pStyle w:val="BodyText"/>
      </w:pPr>
      <w:r w:rsidRPr="00AA586A">
        <w:t xml:space="preserve">Karachi Nuclear Power Plant (KANUPP) </w:t>
      </w:r>
      <w:r>
        <w:t>wa</w:t>
      </w:r>
      <w:r w:rsidRPr="00AA586A">
        <w:t xml:space="preserve">s a </w:t>
      </w:r>
      <w:r>
        <w:t>(</w:t>
      </w:r>
      <w:r w:rsidRPr="00AA586A">
        <w:t>CANDU</w:t>
      </w:r>
      <w:r>
        <w:t>)</w:t>
      </w:r>
      <w:r w:rsidRPr="00AA586A">
        <w:t xml:space="preserve"> type pressurized heavy water reactor (PHWR) that used </w:t>
      </w:r>
      <w:r w:rsidRPr="00F856B4">
        <w:t xml:space="preserve">natural Uranium as fuel </w:t>
      </w:r>
      <w:r>
        <w:t xml:space="preserve">and </w:t>
      </w:r>
      <w:hyperlink r:id="rId12" w:tooltip="Heavy water" w:history="1">
        <w:r w:rsidRPr="00AA586A">
          <w:t>heavy water</w:t>
        </w:r>
      </w:hyperlink>
      <w:r w:rsidRPr="00AA586A">
        <w:t> (D</w:t>
      </w:r>
      <w:r w:rsidRPr="00EA7386">
        <w:t>2</w:t>
      </w:r>
      <w:r w:rsidRPr="00AA586A">
        <w:t xml:space="preserve">O) as </w:t>
      </w:r>
      <w:hyperlink r:id="rId13" w:tooltip="Neutron moderator" w:history="1">
        <w:r w:rsidRPr="00AA586A">
          <w:t>moderator</w:t>
        </w:r>
      </w:hyperlink>
      <w:r w:rsidRPr="00AA586A">
        <w:t> </w:t>
      </w:r>
      <w:r>
        <w:t>and coolant.</w:t>
      </w:r>
      <w:r w:rsidRPr="005D08C1">
        <w:t xml:space="preserve"> </w:t>
      </w:r>
      <w:r w:rsidRPr="00F856B4">
        <w:t xml:space="preserve">KANUPP is situated about 17.7 Km West of Karachi </w:t>
      </w:r>
      <w:proofErr w:type="spellStart"/>
      <w:r w:rsidRPr="00F856B4">
        <w:t>Harbor</w:t>
      </w:r>
      <w:proofErr w:type="spellEnd"/>
      <w:r w:rsidRPr="00F856B4">
        <w:t xml:space="preserve"> on Arabian Sea Coast.</w:t>
      </w:r>
      <w:r w:rsidRPr="00664E25">
        <w:t xml:space="preserve"> </w:t>
      </w:r>
      <w:r>
        <w:t xml:space="preserve">The plant </w:t>
      </w:r>
      <w:r w:rsidRPr="00AA586A">
        <w:t>achieved its first criticality on August 01, 1971</w:t>
      </w:r>
      <w:r>
        <w:t xml:space="preserve"> and </w:t>
      </w:r>
      <w:r w:rsidRPr="00F856B4">
        <w:t>started commercial operation in 1972</w:t>
      </w:r>
      <w:r>
        <w:t xml:space="preserve">. The plant </w:t>
      </w:r>
      <w:r w:rsidRPr="00F856B4">
        <w:t xml:space="preserve">completed its nominal design life of 30 years in </w:t>
      </w:r>
      <w:r>
        <w:t xml:space="preserve">December </w:t>
      </w:r>
      <w:r w:rsidRPr="00F856B4">
        <w:t>2002</w:t>
      </w:r>
      <w:r>
        <w:t xml:space="preserve">, however, the licensee desired to operate the plant beyond its design life. The licensee carried out numerous up-gradations in plant components known as 17+7 safety issues of high and medium categories in two long shut-down periods in 2003 and 2005-2006. After </w:t>
      </w:r>
      <w:r w:rsidRPr="00F856B4">
        <w:t>necessary up-gradations and Plant Life Extension (PLEX) activities</w:t>
      </w:r>
      <w:r>
        <w:t>, PNRA allowed the licensee to operate the plant beyond its design life for another 20 years.</w:t>
      </w:r>
      <w:r w:rsidRPr="00F856B4">
        <w:t xml:space="preserve"> </w:t>
      </w:r>
      <w:r>
        <w:t>KANUPP operated around 17.378 effective Full Power Operation (FPY) with</w:t>
      </w:r>
      <w:r w:rsidRPr="002453F6">
        <w:t xml:space="preserve"> life time average</w:t>
      </w:r>
      <w:r>
        <w:t xml:space="preserve"> </w:t>
      </w:r>
      <w:r w:rsidRPr="002453F6">
        <w:t>availability and gross capacity factors approximately 55.90% and 32.17% respectively.</w:t>
      </w:r>
      <w:r>
        <w:t xml:space="preserve"> After </w:t>
      </w:r>
      <w:r w:rsidRPr="003E279C">
        <w:t>fifty (50) years</w:t>
      </w:r>
      <w:r>
        <w:t xml:space="preserve"> of operation,</w:t>
      </w:r>
      <w:r w:rsidRPr="003E279C">
        <w:t xml:space="preserve"> </w:t>
      </w:r>
      <w:r>
        <w:t xml:space="preserve">KANUPP was permanently shut-down </w:t>
      </w:r>
      <w:r w:rsidRPr="003E279C">
        <w:t>on August 01 2021 for decommissioning</w:t>
      </w:r>
      <w:r>
        <w:t xml:space="preserve">. </w:t>
      </w:r>
      <w:r w:rsidRPr="0073701A">
        <w:t xml:space="preserve">PAEC </w:t>
      </w:r>
      <w:r>
        <w:t>prepared the following documents</w:t>
      </w:r>
      <w:r w:rsidRPr="00C71B68">
        <w:t xml:space="preserve"> </w:t>
      </w:r>
      <w:r>
        <w:t>to obtain decommissioning license for KANUPP:</w:t>
      </w:r>
    </w:p>
    <w:p w14:paraId="7B9255FA"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Final Decommissioning Plan (FDP), </w:t>
      </w:r>
    </w:p>
    <w:p w14:paraId="37F95FBE"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lastRenderedPageBreak/>
        <w:t xml:space="preserve">Technical Specifications (TS), </w:t>
      </w:r>
    </w:p>
    <w:p w14:paraId="74DAD99B"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Quality Assurance Program (QAP), </w:t>
      </w:r>
    </w:p>
    <w:p w14:paraId="0ADB0A7F"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Emergency Preparedness Plan (EPP), </w:t>
      </w:r>
    </w:p>
    <w:p w14:paraId="102E4EEE"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Physical Protection Program, </w:t>
      </w:r>
    </w:p>
    <w:p w14:paraId="5B96BB0E"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Radiation Protection Program (RPP), </w:t>
      </w:r>
    </w:p>
    <w:p w14:paraId="4092E393" w14:textId="77777777" w:rsidR="00E4118E" w:rsidRDefault="00E4118E" w:rsidP="00E4118E">
      <w:pPr>
        <w:pStyle w:val="Authornameandaffiliation"/>
        <w:numPr>
          <w:ilvl w:val="0"/>
          <w:numId w:val="35"/>
        </w:numPr>
        <w:spacing w:line="276" w:lineRule="auto"/>
        <w:contextualSpacing w:val="0"/>
        <w:jc w:val="both"/>
        <w:rPr>
          <w:lang w:val="en-GB"/>
        </w:rPr>
      </w:pPr>
      <w:r w:rsidRPr="0073701A">
        <w:rPr>
          <w:lang w:val="en-GB"/>
        </w:rPr>
        <w:t xml:space="preserve">Radioactive Waste Management Program (RWMP), </w:t>
      </w:r>
      <w:r>
        <w:rPr>
          <w:lang w:val="en-GB"/>
        </w:rPr>
        <w:t>and</w:t>
      </w:r>
    </w:p>
    <w:p w14:paraId="5E314FEC" w14:textId="77777777" w:rsidR="00E4118E" w:rsidRDefault="00E4118E" w:rsidP="00E4118E">
      <w:pPr>
        <w:pStyle w:val="Authornameandaffiliation"/>
        <w:numPr>
          <w:ilvl w:val="0"/>
          <w:numId w:val="35"/>
        </w:numPr>
        <w:spacing w:after="120" w:line="276" w:lineRule="auto"/>
        <w:contextualSpacing w:val="0"/>
        <w:jc w:val="both"/>
        <w:rPr>
          <w:lang w:val="en-GB"/>
        </w:rPr>
      </w:pPr>
      <w:r w:rsidRPr="0073701A">
        <w:rPr>
          <w:lang w:val="en-GB"/>
        </w:rPr>
        <w:t>Environmental Monitoring Program (EMP)</w:t>
      </w:r>
      <w:r>
        <w:rPr>
          <w:lang w:val="en-GB"/>
        </w:rPr>
        <w:t>.</w:t>
      </w:r>
    </w:p>
    <w:p w14:paraId="24D4028D" w14:textId="77777777" w:rsidR="00E4118E" w:rsidRDefault="00E4118E" w:rsidP="00E4118E">
      <w:pPr>
        <w:pStyle w:val="BodyText"/>
        <w:ind w:firstLine="720"/>
      </w:pPr>
      <w:r>
        <w:t>The licensee opted</w:t>
      </w:r>
      <w:r w:rsidRPr="00F856B4">
        <w:t xml:space="preserve"> </w:t>
      </w:r>
      <w:r>
        <w:t>d</w:t>
      </w:r>
      <w:r w:rsidRPr="00F856B4">
        <w:t>eferred dismantling strategy for decommissioning of KANUPP</w:t>
      </w:r>
      <w:r>
        <w:t>. The logic was to allow sufficient time for maximum decay of radionuclides to avoid workers exposure, enable availability of waste disposal facility, acquire appropriate technology for decontamination and dismantling and make available sufficient funds for decommissioning activities. T</w:t>
      </w:r>
      <w:r w:rsidRPr="00F856B4">
        <w:t xml:space="preserve">he overall </w:t>
      </w:r>
      <w:r>
        <w:t xml:space="preserve">KANUPP </w:t>
      </w:r>
      <w:r w:rsidRPr="00F856B4">
        <w:t xml:space="preserve">decommissioning project split into </w:t>
      </w:r>
      <w:r>
        <w:t xml:space="preserve">following </w:t>
      </w:r>
      <w:r w:rsidRPr="00F856B4">
        <w:t>three distinct phases</w:t>
      </w:r>
      <w:r>
        <w:t>:</w:t>
      </w:r>
    </w:p>
    <w:p w14:paraId="7472B1B0" w14:textId="77777777" w:rsidR="00E4118E" w:rsidRDefault="00E4118E" w:rsidP="00E4118E">
      <w:pPr>
        <w:pStyle w:val="BodyText"/>
        <w:numPr>
          <w:ilvl w:val="0"/>
          <w:numId w:val="36"/>
        </w:numPr>
      </w:pPr>
      <w:r w:rsidRPr="00F856B4">
        <w:t>Phase-I (Preparation for Safe Storage-SAFSTOR</w:t>
      </w:r>
      <w:r>
        <w:t xml:space="preserve"> ~ 15 years</w:t>
      </w:r>
      <w:r w:rsidRPr="00F856B4">
        <w:t>)</w:t>
      </w:r>
      <w:r>
        <w:t xml:space="preserve">, </w:t>
      </w:r>
    </w:p>
    <w:p w14:paraId="6F179E4D" w14:textId="77777777" w:rsidR="00E4118E" w:rsidRDefault="00E4118E" w:rsidP="00E4118E">
      <w:pPr>
        <w:pStyle w:val="BodyText"/>
        <w:numPr>
          <w:ilvl w:val="0"/>
          <w:numId w:val="36"/>
        </w:numPr>
      </w:pPr>
      <w:r w:rsidRPr="00F856B4">
        <w:t>Phase-II (SAFSTOR Surveillance</w:t>
      </w:r>
      <w:r>
        <w:t xml:space="preserve"> ~ 20-30 years</w:t>
      </w:r>
      <w:r w:rsidRPr="00F856B4">
        <w:t>)</w:t>
      </w:r>
      <w:r>
        <w:t xml:space="preserve">, and </w:t>
      </w:r>
    </w:p>
    <w:p w14:paraId="7820E96E" w14:textId="77777777" w:rsidR="00E4118E" w:rsidRDefault="00E4118E" w:rsidP="00E4118E">
      <w:pPr>
        <w:pStyle w:val="BodyText"/>
        <w:numPr>
          <w:ilvl w:val="0"/>
          <w:numId w:val="36"/>
        </w:numPr>
        <w:spacing w:after="120"/>
        <w:ind w:left="1434" w:hanging="357"/>
        <w:contextualSpacing w:val="0"/>
      </w:pPr>
      <w:r w:rsidRPr="00F856B4">
        <w:t>Phase-III (Decontamination and Dismantling</w:t>
      </w:r>
      <w:r>
        <w:t xml:space="preserve"> ~ 5 years</w:t>
      </w:r>
      <w:r w:rsidRPr="00F856B4">
        <w:t>)</w:t>
      </w:r>
      <w:r>
        <w:t>.</w:t>
      </w:r>
    </w:p>
    <w:p w14:paraId="21A80BBC" w14:textId="77777777" w:rsidR="00E4118E" w:rsidRDefault="00E4118E" w:rsidP="00E4118E">
      <w:pPr>
        <w:pStyle w:val="BodyText"/>
        <w:ind w:firstLine="720"/>
      </w:pPr>
      <w:r w:rsidRPr="008425F8">
        <w:t>The FDP provide</w:t>
      </w:r>
      <w:r>
        <w:t>s</w:t>
      </w:r>
      <w:r w:rsidRPr="008425F8">
        <w:t xml:space="preserve"> detail plans, procedures, modification projects</w:t>
      </w:r>
      <w:r>
        <w:t xml:space="preserve"> and</w:t>
      </w:r>
      <w:r w:rsidRPr="008425F8">
        <w:t xml:space="preserve"> schedules related to</w:t>
      </w:r>
      <w:r>
        <w:t xml:space="preserve"> </w:t>
      </w:r>
      <w:r w:rsidRPr="008425F8">
        <w:t>the decommissioning activities to be performed during Phase-I</w:t>
      </w:r>
      <w:r>
        <w:t>. The plan gives limited information of</w:t>
      </w:r>
      <w:r w:rsidRPr="008425F8">
        <w:t xml:space="preserve"> Phase-II and Phase-III</w:t>
      </w:r>
      <w:r>
        <w:t xml:space="preserve"> activities, </w:t>
      </w:r>
      <w:r w:rsidRPr="008425F8">
        <w:t>as</w:t>
      </w:r>
      <w:r>
        <w:t xml:space="preserve"> Phase-III activities related to decontamination and dismantling</w:t>
      </w:r>
      <w:r w:rsidRPr="008425F8">
        <w:t xml:space="preserve"> </w:t>
      </w:r>
      <w:r>
        <w:t>are</w:t>
      </w:r>
      <w:r w:rsidRPr="008425F8">
        <w:t xml:space="preserve"> expected to start after few</w:t>
      </w:r>
      <w:r>
        <w:t xml:space="preserve"> </w:t>
      </w:r>
      <w:r w:rsidRPr="008425F8">
        <w:t>decades</w:t>
      </w:r>
      <w:r>
        <w:t xml:space="preserve">.  Accordingly, the licensee </w:t>
      </w:r>
      <w:r w:rsidRPr="008425F8">
        <w:t xml:space="preserve">will </w:t>
      </w:r>
      <w:r>
        <w:t>submit the</w:t>
      </w:r>
      <w:r w:rsidRPr="008425F8">
        <w:t xml:space="preserve"> revised FDP before the start of </w:t>
      </w:r>
      <w:r>
        <w:t xml:space="preserve">each </w:t>
      </w:r>
      <w:r w:rsidRPr="008425F8">
        <w:t xml:space="preserve">Phase in the light of </w:t>
      </w:r>
      <w:r>
        <w:t>SAFSTORE Surveillance, availability of</w:t>
      </w:r>
      <w:r w:rsidRPr="008425F8">
        <w:t xml:space="preserve"> Decontamination and</w:t>
      </w:r>
      <w:r>
        <w:t xml:space="preserve"> </w:t>
      </w:r>
      <w:r w:rsidRPr="008425F8">
        <w:t xml:space="preserve">Dismantling technologies at that time. The end state of </w:t>
      </w:r>
      <w:r>
        <w:t xml:space="preserve">KANUPP </w:t>
      </w:r>
      <w:r w:rsidRPr="008425F8">
        <w:t xml:space="preserve">site </w:t>
      </w:r>
      <w:r>
        <w:t>will be declared as</w:t>
      </w:r>
      <w:r w:rsidRPr="008425F8">
        <w:t xml:space="preserve"> ‘Brownfield’ i.e.,</w:t>
      </w:r>
      <w:r>
        <w:t xml:space="preserve"> the </w:t>
      </w:r>
      <w:r w:rsidRPr="008425F8">
        <w:t>site will be available for restricted industrial use</w:t>
      </w:r>
      <w:r>
        <w:t xml:space="preserve"> only</w:t>
      </w:r>
      <w:r w:rsidRPr="008425F8">
        <w:t>.</w:t>
      </w:r>
      <w:r w:rsidRPr="0073701A">
        <w:t xml:space="preserve"> </w:t>
      </w:r>
      <w:r>
        <w:t>The management of operational waste of the plant is a big challenge for the licensee as it is currently stored at the plant waste storage area which is called ‘RAWSA’. The pre-treatment, treatment and conditioning activities of radioactive waste will be performed at KANUPP-2 which is also located at the same site. The licensee has planned to establish a near surface disposal facility called Regional Repository South (RRS) at KANUPP site for the ultimate disposal of operational as well as decommissioning low level waste (LLW). A spent fuel dry storage facility (SFDSF) has also been established at the plant site before its final shut-down for the purpose of storage of spent fuel. In the Phase-I, the licensee has planned to carry out activities like defueling the reactor core, dewatering the systems, retirement of the systems, installation of required new systems and transferring of the spent fuel from wet storage to SFDSF.</w:t>
      </w:r>
    </w:p>
    <w:p w14:paraId="46D6FEFE" w14:textId="77777777" w:rsidR="00E4118E" w:rsidRDefault="00E4118E" w:rsidP="00E4118E">
      <w:pPr>
        <w:pStyle w:val="Heading2"/>
        <w:numPr>
          <w:ilvl w:val="1"/>
          <w:numId w:val="10"/>
        </w:numPr>
        <w:spacing w:before="200" w:beforeAutospacing="0" w:after="200" w:afterAutospacing="0"/>
        <w:rPr>
          <w:caps w:val="0"/>
        </w:rPr>
      </w:pPr>
      <w:r>
        <w:t>PNRA REGULATORY FRAMEWORK FOR DECOMMISSIONING</w:t>
      </w:r>
    </w:p>
    <w:p w14:paraId="41012BFE" w14:textId="77777777" w:rsidR="00E4118E" w:rsidRDefault="00E4118E" w:rsidP="00E4118E">
      <w:pPr>
        <w:pStyle w:val="BodyText"/>
        <w:spacing w:after="120"/>
        <w:ind w:firstLine="720"/>
        <w:contextualSpacing w:val="0"/>
      </w:pPr>
      <w:r>
        <w:t xml:space="preserve">PNRA has established a comprehensive regulatory framework which sets both administrative and technical requirements. PNRA regulatory framework is </w:t>
      </w:r>
      <w:r w:rsidRPr="00A37342">
        <w:t>in line with IAEA</w:t>
      </w:r>
      <w:r>
        <w:t xml:space="preserve"> safety standards. </w:t>
      </w:r>
      <w:r w:rsidRPr="00A37342">
        <w:t>Regulations for Licensing of Nuclear Installations in Pakistan</w:t>
      </w:r>
      <w:r>
        <w:t xml:space="preserve"> -</w:t>
      </w:r>
      <w:r w:rsidRPr="00A37342">
        <w:t xml:space="preserve"> PAK/909 </w:t>
      </w:r>
      <w:r>
        <w:t xml:space="preserve">is an administrative regulation, and </w:t>
      </w:r>
      <w:r w:rsidRPr="00A37342">
        <w:t xml:space="preserve">set forth requirements and process for the </w:t>
      </w:r>
      <w:r>
        <w:t>authorizations</w:t>
      </w:r>
      <w:r w:rsidRPr="00A37342">
        <w:t xml:space="preserve"> </w:t>
      </w:r>
      <w:r>
        <w:t xml:space="preserve">and </w:t>
      </w:r>
      <w:r w:rsidRPr="00A37342">
        <w:t>licensing of nuclear installations</w:t>
      </w:r>
      <w:r>
        <w:t xml:space="preserve">. Similarly, </w:t>
      </w:r>
      <w:r w:rsidRPr="002D1E69">
        <w:t xml:space="preserve">Regulations on Decommissioning of Facilities </w:t>
      </w:r>
      <w:r>
        <w:t>u</w:t>
      </w:r>
      <w:r w:rsidRPr="002D1E69">
        <w:t xml:space="preserve">sing Radioactive Material </w:t>
      </w:r>
      <w:r>
        <w:t>-</w:t>
      </w:r>
      <w:r w:rsidRPr="002D1E69">
        <w:t xml:space="preserve"> PAK/930</w:t>
      </w:r>
      <w:r>
        <w:t xml:space="preserve"> provide regulatory requirements for decommissioning of facilities.</w:t>
      </w:r>
      <w:r w:rsidRPr="00E14B71">
        <w:t xml:space="preserve"> </w:t>
      </w:r>
      <w:r>
        <w:t>In addition to these two main regulations there are other interface regulations which were utilized for the licensing of decommissioning as listed below:</w:t>
      </w:r>
    </w:p>
    <w:p w14:paraId="65018151" w14:textId="77777777" w:rsidR="00E4118E" w:rsidRDefault="00E4118E" w:rsidP="00E4118E">
      <w:pPr>
        <w:pStyle w:val="BodyText"/>
        <w:numPr>
          <w:ilvl w:val="0"/>
          <w:numId w:val="37"/>
        </w:numPr>
      </w:pPr>
      <w:r w:rsidRPr="008842E6">
        <w:t>Regulations on Radiation Protection</w:t>
      </w:r>
      <w:r>
        <w:t xml:space="preserve"> – PAK/904</w:t>
      </w:r>
    </w:p>
    <w:p w14:paraId="05CAFCA9" w14:textId="77777777" w:rsidR="00E4118E" w:rsidRPr="008842E6" w:rsidRDefault="00E4118E" w:rsidP="00E4118E">
      <w:pPr>
        <w:pStyle w:val="BodyText"/>
        <w:numPr>
          <w:ilvl w:val="0"/>
          <w:numId w:val="37"/>
        </w:numPr>
      </w:pPr>
      <w:r w:rsidRPr="008842E6">
        <w:t>Regulation on safety of Nuclear Power Plants- Quality Assurance</w:t>
      </w:r>
      <w:r>
        <w:t xml:space="preserve"> – PAK/912</w:t>
      </w:r>
    </w:p>
    <w:p w14:paraId="574B9903" w14:textId="77777777" w:rsidR="00E4118E" w:rsidRPr="008842E6" w:rsidRDefault="00E4118E" w:rsidP="00E4118E">
      <w:pPr>
        <w:pStyle w:val="BodyText"/>
        <w:numPr>
          <w:ilvl w:val="0"/>
          <w:numId w:val="37"/>
        </w:numPr>
      </w:pPr>
      <w:hyperlink r:id="rId14" w:tgtFrame="_blank" w:history="1">
        <w:r w:rsidRPr="008842E6">
          <w:t>Regulations on Manageme</w:t>
        </w:r>
      </w:hyperlink>
      <w:r w:rsidRPr="008842E6">
        <w:t>nt of a Nuclear or Radiological Emergencies</w:t>
      </w:r>
      <w:r>
        <w:t xml:space="preserve"> – PAK/914</w:t>
      </w:r>
    </w:p>
    <w:p w14:paraId="0A39FC15" w14:textId="77777777" w:rsidR="00E4118E" w:rsidRPr="008842E6" w:rsidRDefault="00E4118E" w:rsidP="00E4118E">
      <w:pPr>
        <w:pStyle w:val="BodyText"/>
        <w:numPr>
          <w:ilvl w:val="0"/>
          <w:numId w:val="37"/>
        </w:numPr>
      </w:pPr>
      <w:hyperlink r:id="rId15" w:tgtFrame="_blank" w:history="1">
        <w:r w:rsidRPr="008842E6">
          <w:t>Regulations on Radioactive Waste Management </w:t>
        </w:r>
      </w:hyperlink>
      <w:r>
        <w:t>– PAK/915</w:t>
      </w:r>
    </w:p>
    <w:p w14:paraId="6D886BFF" w14:textId="77777777" w:rsidR="00E4118E" w:rsidRPr="008842E6" w:rsidRDefault="00E4118E" w:rsidP="00E4118E">
      <w:pPr>
        <w:pStyle w:val="BodyText"/>
        <w:numPr>
          <w:ilvl w:val="0"/>
          <w:numId w:val="37"/>
        </w:numPr>
      </w:pPr>
      <w:hyperlink r:id="rId16" w:tgtFrame="_blank" w:history="1">
        <w:r w:rsidRPr="008842E6">
          <w:t>Regulations for the Safe Management of Spent Nuclear Fuel</w:t>
        </w:r>
      </w:hyperlink>
      <w:r>
        <w:t xml:space="preserve"> – PAK/918</w:t>
      </w:r>
    </w:p>
    <w:p w14:paraId="25A40296" w14:textId="77777777" w:rsidR="00E4118E" w:rsidRPr="00A12FA2" w:rsidRDefault="00E4118E" w:rsidP="00E4118E">
      <w:pPr>
        <w:pStyle w:val="ListParagraph"/>
        <w:numPr>
          <w:ilvl w:val="0"/>
          <w:numId w:val="37"/>
        </w:numPr>
        <w:jc w:val="both"/>
        <w:rPr>
          <w:rFonts w:ascii="Times New Roman" w:eastAsia="Times New Roman" w:hAnsi="Times New Roman" w:cs="Times New Roman"/>
          <w:sz w:val="20"/>
          <w:szCs w:val="20"/>
          <w:lang w:val="en-GB"/>
        </w:rPr>
      </w:pPr>
      <w:r w:rsidRPr="008842E6">
        <w:rPr>
          <w:rFonts w:ascii="Times New Roman" w:eastAsia="Times New Roman" w:hAnsi="Times New Roman" w:cs="Times New Roman"/>
          <w:sz w:val="20"/>
          <w:szCs w:val="20"/>
          <w:lang w:val="en-GB"/>
        </w:rPr>
        <w:t>Regulations on Physical Protection of Nuclear Material and Nuclear Installations</w:t>
      </w:r>
      <w:r>
        <w:rPr>
          <w:rFonts w:ascii="Times New Roman" w:eastAsia="Times New Roman" w:hAnsi="Times New Roman" w:cs="Times New Roman"/>
          <w:sz w:val="20"/>
          <w:szCs w:val="20"/>
          <w:lang w:val="en-GB"/>
        </w:rPr>
        <w:t xml:space="preserve"> – PAK/925</w:t>
      </w:r>
    </w:p>
    <w:p w14:paraId="2003EC2B" w14:textId="77777777" w:rsidR="00E4118E" w:rsidRPr="00951F14" w:rsidRDefault="00E4118E" w:rsidP="00E4118E">
      <w:pPr>
        <w:pStyle w:val="Heading2"/>
        <w:numPr>
          <w:ilvl w:val="1"/>
          <w:numId w:val="10"/>
        </w:numPr>
        <w:spacing w:before="200" w:beforeAutospacing="0" w:after="200" w:afterAutospacing="0"/>
        <w:rPr>
          <w:caps w:val="0"/>
        </w:rPr>
      </w:pPr>
      <w:r>
        <w:t xml:space="preserve">PNRA </w:t>
      </w:r>
      <w:r w:rsidRPr="00951F14">
        <w:t xml:space="preserve">Decommissioning </w:t>
      </w:r>
      <w:r>
        <w:t xml:space="preserve">REVIEW AND </w:t>
      </w:r>
      <w:r w:rsidRPr="00951F14">
        <w:t>Licens</w:t>
      </w:r>
      <w:r>
        <w:t>ING</w:t>
      </w:r>
      <w:r w:rsidRPr="00951F14">
        <w:t xml:space="preserve"> </w:t>
      </w:r>
      <w:r>
        <w:t>PROCESS</w:t>
      </w:r>
    </w:p>
    <w:p w14:paraId="5187DF86" w14:textId="77777777" w:rsidR="00E4118E" w:rsidRDefault="00E4118E" w:rsidP="00E4118E">
      <w:pPr>
        <w:pStyle w:val="Authornameandaffiliation"/>
        <w:spacing w:after="120" w:line="276" w:lineRule="auto"/>
        <w:ind w:left="0" w:firstLine="720"/>
        <w:contextualSpacing w:val="0"/>
        <w:jc w:val="both"/>
        <w:rPr>
          <w:lang w:val="en-GB"/>
        </w:rPr>
      </w:pPr>
      <w:r w:rsidRPr="00A37342">
        <w:t xml:space="preserve">The </w:t>
      </w:r>
      <w:r>
        <w:t xml:space="preserve">regulations PAK/909 describe licensing and authorization stages for a nuclear installation and decommissioning is one of the licensing stages. The regulations require that in </w:t>
      </w:r>
      <w:r>
        <w:rPr>
          <w:color w:val="000000"/>
        </w:rPr>
        <w:t xml:space="preserve">case, the licensee intends to permanently </w:t>
      </w:r>
      <w:proofErr w:type="spellStart"/>
      <w:r>
        <w:rPr>
          <w:color w:val="000000"/>
        </w:rPr>
        <w:t>shutdown</w:t>
      </w:r>
      <w:proofErr w:type="spellEnd"/>
      <w:r>
        <w:rPr>
          <w:color w:val="000000"/>
        </w:rPr>
        <w:t xml:space="preserve"> the installation, he shall apply for decommissioning at least three years before terminating the operation of the nuclear installation.</w:t>
      </w:r>
      <w:r>
        <w:rPr>
          <w:color w:val="000000"/>
          <w:lang w:val="en-GB"/>
        </w:rPr>
        <w:t xml:space="preserve"> Accordingly, </w:t>
      </w:r>
      <w:r>
        <w:rPr>
          <w:lang w:val="en-GB"/>
        </w:rPr>
        <w:t>the licensee</w:t>
      </w:r>
      <w:r w:rsidRPr="00D03B04">
        <w:rPr>
          <w:lang w:val="en-GB"/>
        </w:rPr>
        <w:t xml:space="preserve"> applied to PNRA for the grant of </w:t>
      </w:r>
      <w:r w:rsidRPr="00D03B04">
        <w:rPr>
          <w:lang w:val="en-GB"/>
        </w:rPr>
        <w:lastRenderedPageBreak/>
        <w:t>decommission</w:t>
      </w:r>
      <w:r>
        <w:rPr>
          <w:lang w:val="en-GB"/>
        </w:rPr>
        <w:t>ing</w:t>
      </w:r>
      <w:r w:rsidRPr="00D03B04">
        <w:rPr>
          <w:lang w:val="en-GB"/>
        </w:rPr>
        <w:t xml:space="preserve"> license under the regulation 8(10) of PAK/909</w:t>
      </w:r>
      <w:r>
        <w:rPr>
          <w:lang w:val="en-GB"/>
        </w:rPr>
        <w:t xml:space="preserve"> in </w:t>
      </w:r>
      <w:r w:rsidRPr="00D03B04">
        <w:rPr>
          <w:lang w:val="en-GB"/>
        </w:rPr>
        <w:t>September 2021</w:t>
      </w:r>
      <w:r>
        <w:rPr>
          <w:lang w:val="en-GB"/>
        </w:rPr>
        <w:t xml:space="preserve">. </w:t>
      </w:r>
      <w:r w:rsidRPr="0073701A">
        <w:rPr>
          <w:lang w:val="en-GB"/>
        </w:rPr>
        <w:t xml:space="preserve">PNRA </w:t>
      </w:r>
      <w:r>
        <w:rPr>
          <w:lang w:val="en-GB"/>
        </w:rPr>
        <w:t xml:space="preserve">communicated </w:t>
      </w:r>
      <w:r w:rsidRPr="0073701A">
        <w:rPr>
          <w:lang w:val="en-GB"/>
        </w:rPr>
        <w:t xml:space="preserve">its process and working to be followed for decommissioning of </w:t>
      </w:r>
      <w:r>
        <w:rPr>
          <w:lang w:val="en-GB"/>
        </w:rPr>
        <w:t>the plant to the licensee</w:t>
      </w:r>
      <w:r w:rsidRPr="0073701A">
        <w:rPr>
          <w:lang w:val="en-GB"/>
        </w:rPr>
        <w:t xml:space="preserve">. As a first step, </w:t>
      </w:r>
      <w:r>
        <w:rPr>
          <w:lang w:val="en-GB"/>
        </w:rPr>
        <w:t>PNRA and the licensee</w:t>
      </w:r>
      <w:r w:rsidRPr="0073701A">
        <w:rPr>
          <w:lang w:val="en-GB"/>
        </w:rPr>
        <w:t xml:space="preserve"> </w:t>
      </w:r>
      <w:r>
        <w:rPr>
          <w:lang w:val="en-GB"/>
        </w:rPr>
        <w:t>mutually agreed to follow certain codes and standards including PNRA regulations, KANUPP safety documents, IAEA safety standards and guides particularly IAEA SRS 45 ‘Standard Format and Content for Safety Related Decommissioning Documents’, and relevant documents of other Member States.</w:t>
      </w:r>
      <w:r w:rsidRPr="0073701A">
        <w:rPr>
          <w:lang w:val="en-GB"/>
        </w:rPr>
        <w:t xml:space="preserve"> </w:t>
      </w:r>
      <w:r>
        <w:rPr>
          <w:lang w:val="en-GB"/>
        </w:rPr>
        <w:t>Accordingly, the licensee</w:t>
      </w:r>
      <w:r w:rsidRPr="0073701A">
        <w:rPr>
          <w:lang w:val="en-GB"/>
        </w:rPr>
        <w:t xml:space="preserve"> submitted documents </w:t>
      </w:r>
      <w:r>
        <w:rPr>
          <w:lang w:val="en-GB"/>
        </w:rPr>
        <w:t xml:space="preserve">as mentioned in section 2 above </w:t>
      </w:r>
      <w:r w:rsidRPr="0073701A">
        <w:rPr>
          <w:lang w:val="en-GB"/>
        </w:rPr>
        <w:t xml:space="preserve">to PNRA for review and approval.  </w:t>
      </w:r>
    </w:p>
    <w:p w14:paraId="6496F078" w14:textId="77777777" w:rsidR="00E4118E" w:rsidRDefault="00E4118E" w:rsidP="00E4118E">
      <w:pPr>
        <w:pStyle w:val="Authornameandaffiliation"/>
        <w:spacing w:after="120" w:line="276" w:lineRule="auto"/>
        <w:ind w:left="0" w:firstLine="720"/>
        <w:contextualSpacing w:val="0"/>
        <w:jc w:val="both"/>
        <w:rPr>
          <w:lang w:val="en-GB"/>
        </w:rPr>
      </w:pPr>
      <w:r w:rsidRPr="0073701A">
        <w:rPr>
          <w:lang w:val="en-GB"/>
        </w:rPr>
        <w:t xml:space="preserve">PNRA constituted a taskforce comprising of experts from different Directorates for the review of licensing submissions. The taskforce included reviewers, lead reviewers, review team coordinator and team leader. Further, a core team of senior PNRA officials was also constituted to evaluate and finalize the queries raised by taskforce or the review team. PNRA prepared a </w:t>
      </w:r>
      <w:r>
        <w:rPr>
          <w:lang w:val="en-GB"/>
        </w:rPr>
        <w:t>schedule</w:t>
      </w:r>
      <w:r w:rsidRPr="0073701A">
        <w:rPr>
          <w:lang w:val="en-GB"/>
        </w:rPr>
        <w:t xml:space="preserve"> for the review of licensing submissions and </w:t>
      </w:r>
      <w:r>
        <w:rPr>
          <w:lang w:val="en-GB"/>
        </w:rPr>
        <w:t>shared</w:t>
      </w:r>
      <w:r w:rsidRPr="0073701A">
        <w:rPr>
          <w:lang w:val="en-GB"/>
        </w:rPr>
        <w:t xml:space="preserve"> it with </w:t>
      </w:r>
      <w:r>
        <w:rPr>
          <w:lang w:val="en-GB"/>
        </w:rPr>
        <w:t>the licensee</w:t>
      </w:r>
      <w:r w:rsidRPr="0073701A">
        <w:rPr>
          <w:lang w:val="en-GB"/>
        </w:rPr>
        <w:t xml:space="preserve">. </w:t>
      </w:r>
      <w:r w:rsidRPr="00A15504">
        <w:rPr>
          <w:lang w:val="en-GB"/>
        </w:rPr>
        <w:t>Th</w:t>
      </w:r>
      <w:r>
        <w:rPr>
          <w:lang w:val="en-GB"/>
        </w:rPr>
        <w:t>is</w:t>
      </w:r>
      <w:r w:rsidRPr="00A15504">
        <w:rPr>
          <w:lang w:val="en-GB"/>
        </w:rPr>
        <w:t xml:space="preserve"> schedule initially spanned over a period of seven (07) months, however, the review was</w:t>
      </w:r>
      <w:r>
        <w:rPr>
          <w:lang w:val="en-GB"/>
        </w:rPr>
        <w:t xml:space="preserve"> </w:t>
      </w:r>
      <w:r w:rsidRPr="00A15504">
        <w:rPr>
          <w:lang w:val="en-GB"/>
        </w:rPr>
        <w:t>completed in around eight (08) months. The delay was due to late submission of few documents</w:t>
      </w:r>
      <w:r>
        <w:rPr>
          <w:lang w:val="en-GB"/>
        </w:rPr>
        <w:t xml:space="preserve"> </w:t>
      </w:r>
      <w:r w:rsidRPr="00A15504">
        <w:rPr>
          <w:lang w:val="en-GB"/>
        </w:rPr>
        <w:t xml:space="preserve">by </w:t>
      </w:r>
      <w:r>
        <w:rPr>
          <w:lang w:val="en-GB"/>
        </w:rPr>
        <w:t xml:space="preserve">the licensee </w:t>
      </w:r>
      <w:r w:rsidRPr="00A15504">
        <w:rPr>
          <w:lang w:val="en-GB"/>
        </w:rPr>
        <w:t>owing to Covid-19 pandemic situation. The review of licensing documents was</w:t>
      </w:r>
      <w:r>
        <w:rPr>
          <w:lang w:val="en-GB"/>
        </w:rPr>
        <w:t xml:space="preserve"> </w:t>
      </w:r>
      <w:r w:rsidRPr="00A15504">
        <w:rPr>
          <w:lang w:val="en-GB"/>
        </w:rPr>
        <w:t xml:space="preserve">performed in </w:t>
      </w:r>
      <w:r>
        <w:rPr>
          <w:lang w:val="en-GB"/>
        </w:rPr>
        <w:t xml:space="preserve">the </w:t>
      </w:r>
      <w:r w:rsidRPr="0073701A">
        <w:rPr>
          <w:lang w:val="en-GB"/>
        </w:rPr>
        <w:t xml:space="preserve">following </w:t>
      </w:r>
      <w:r w:rsidRPr="00A15504">
        <w:rPr>
          <w:lang w:val="en-GB"/>
        </w:rPr>
        <w:t>two phases</w:t>
      </w:r>
      <w:r>
        <w:rPr>
          <w:lang w:val="en-GB"/>
        </w:rPr>
        <w:t>:</w:t>
      </w:r>
    </w:p>
    <w:p w14:paraId="0D940ECD" w14:textId="77777777" w:rsidR="00E4118E" w:rsidRDefault="00E4118E" w:rsidP="00E4118E">
      <w:pPr>
        <w:pStyle w:val="BodyText"/>
        <w:numPr>
          <w:ilvl w:val="0"/>
          <w:numId w:val="34"/>
        </w:numPr>
      </w:pPr>
      <w:r w:rsidRPr="00A15504">
        <w:t xml:space="preserve"> </w:t>
      </w:r>
      <w:r>
        <w:t xml:space="preserve">Review of Format and Contents (Phase - I); and </w:t>
      </w:r>
    </w:p>
    <w:p w14:paraId="040894D6" w14:textId="77777777" w:rsidR="00E4118E" w:rsidRDefault="00E4118E" w:rsidP="00E4118E">
      <w:pPr>
        <w:pStyle w:val="BodyText"/>
        <w:numPr>
          <w:ilvl w:val="0"/>
          <w:numId w:val="34"/>
        </w:numPr>
        <w:spacing w:after="120"/>
      </w:pPr>
      <w:r>
        <w:t xml:space="preserve">Detailed Review </w:t>
      </w:r>
      <w:r w:rsidRPr="00A15504">
        <w:t xml:space="preserve">on the basis of applicable codes and standards </w:t>
      </w:r>
      <w:r>
        <w:t xml:space="preserve">(Phase - II). </w:t>
      </w:r>
    </w:p>
    <w:p w14:paraId="5842785C" w14:textId="77777777" w:rsidR="00E4118E" w:rsidRPr="00572AAD" w:rsidRDefault="00E4118E" w:rsidP="00E4118E">
      <w:pPr>
        <w:pStyle w:val="Authornameandaffiliation"/>
        <w:spacing w:after="120" w:line="276" w:lineRule="auto"/>
        <w:ind w:left="0" w:firstLine="720"/>
        <w:contextualSpacing w:val="0"/>
        <w:jc w:val="both"/>
        <w:rPr>
          <w:lang w:val="en-GB"/>
        </w:rPr>
      </w:pPr>
      <w:r w:rsidRPr="00A15504">
        <w:rPr>
          <w:lang w:val="en-GB"/>
        </w:rPr>
        <w:t>The review queries raised by</w:t>
      </w:r>
      <w:r>
        <w:rPr>
          <w:lang w:val="en-GB"/>
        </w:rPr>
        <w:t xml:space="preserve"> </w:t>
      </w:r>
      <w:r w:rsidRPr="00A15504">
        <w:rPr>
          <w:lang w:val="en-GB"/>
        </w:rPr>
        <w:t>the review team were thoroughly discussed with core team and finalized accordingly. A total</w:t>
      </w:r>
      <w:r w:rsidRPr="00781A6C">
        <w:t xml:space="preserve"> </w:t>
      </w:r>
      <w:r w:rsidRPr="001A2FE9">
        <w:t xml:space="preserve">of </w:t>
      </w:r>
      <w:r>
        <w:t xml:space="preserve">one hundred thirty-three </w:t>
      </w:r>
      <w:r w:rsidRPr="001A2FE9">
        <w:t>(1</w:t>
      </w:r>
      <w:r>
        <w:t>33</w:t>
      </w:r>
      <w:r w:rsidRPr="001A2FE9">
        <w:t xml:space="preserve">) </w:t>
      </w:r>
      <w:r>
        <w:t xml:space="preserve">licensing queries including forty-two (42) phase-I queries and ninety-one (91) phase -II queries were </w:t>
      </w:r>
      <w:r w:rsidRPr="00BD4AA5">
        <w:rPr>
          <w:lang w:val="en-GB"/>
        </w:rPr>
        <w:t xml:space="preserve">communicated to </w:t>
      </w:r>
      <w:r>
        <w:rPr>
          <w:lang w:val="en-GB"/>
        </w:rPr>
        <w:t xml:space="preserve">the licensee. </w:t>
      </w:r>
      <w:r w:rsidRPr="00BD4AA5">
        <w:rPr>
          <w:lang w:val="en-GB"/>
        </w:rPr>
        <w:t xml:space="preserve"> </w:t>
      </w:r>
    </w:p>
    <w:p w14:paraId="0910381E" w14:textId="243E8C9D" w:rsidR="00E4118E" w:rsidRDefault="00E4118E" w:rsidP="00E4118E">
      <w:pPr>
        <w:pStyle w:val="BodyText"/>
        <w:spacing w:after="120"/>
        <w:contextualSpacing w:val="0"/>
      </w:pPr>
      <w:r>
        <w:t xml:space="preserve">The licensee submitted its responses to these queries to PNRA for review. PNRA thoroughly reviewed the responses and </w:t>
      </w:r>
      <w:r w:rsidRPr="001A2FE9">
        <w:t xml:space="preserve">prepared </w:t>
      </w:r>
      <w:r>
        <w:t>its</w:t>
      </w:r>
      <w:r w:rsidRPr="001A2FE9">
        <w:t xml:space="preserve"> position against each </w:t>
      </w:r>
      <w:r>
        <w:t>question</w:t>
      </w:r>
      <w:r w:rsidRPr="001A2FE9">
        <w:t xml:space="preserve">. Two review meetings between </w:t>
      </w:r>
      <w:r>
        <w:t>PNRA</w:t>
      </w:r>
      <w:r w:rsidRPr="001A2FE9">
        <w:t xml:space="preserve"> and </w:t>
      </w:r>
      <w:r>
        <w:t>the licensee</w:t>
      </w:r>
      <w:r w:rsidRPr="001A2FE9">
        <w:t xml:space="preserve"> </w:t>
      </w:r>
      <w:r>
        <w:t xml:space="preserve">were held to discuss and resolve the queries/issues in compliance with the agreed codes and standards. </w:t>
      </w:r>
      <w:r w:rsidRPr="001A2FE9">
        <w:t xml:space="preserve">In order to record the overall review </w:t>
      </w:r>
      <w:r>
        <w:t>outcome</w:t>
      </w:r>
      <w:r w:rsidRPr="001A2FE9">
        <w:t xml:space="preserve">, action sheet against each </w:t>
      </w:r>
      <w:r>
        <w:t xml:space="preserve">licensing </w:t>
      </w:r>
      <w:r w:rsidRPr="001A2FE9">
        <w:t xml:space="preserve">query was prepared and signed by </w:t>
      </w:r>
      <w:r>
        <w:t xml:space="preserve">PNRA </w:t>
      </w:r>
      <w:r w:rsidRPr="001A2FE9">
        <w:t xml:space="preserve">and </w:t>
      </w:r>
      <w:r>
        <w:t>licensee</w:t>
      </w:r>
      <w:r w:rsidRPr="001A2FE9">
        <w:t xml:space="preserve"> review</w:t>
      </w:r>
      <w:r>
        <w:t>ers and</w:t>
      </w:r>
      <w:r w:rsidRPr="001A2FE9">
        <w:t xml:space="preserve"> team leaders</w:t>
      </w:r>
      <w:r>
        <w:t xml:space="preserve"> respectively</w:t>
      </w:r>
      <w:r w:rsidRPr="001A2FE9">
        <w:t>.</w:t>
      </w:r>
      <w:r>
        <w:t xml:space="preserve"> The overall review process followed at PNRA is shown in </w:t>
      </w:r>
      <w:r w:rsidRPr="00441775">
        <w:t>Fig</w:t>
      </w:r>
      <w:r w:rsidR="00F36B6D">
        <w:t>.</w:t>
      </w:r>
      <w:r w:rsidRPr="00441775">
        <w:t xml:space="preserve"> 1.</w:t>
      </w:r>
      <w:r>
        <w:t xml:space="preserve"> </w:t>
      </w:r>
      <w:r w:rsidRPr="00C65A61">
        <w:t>Upon satisfactory resolution of major safety issues,</w:t>
      </w:r>
      <w:r w:rsidRPr="00295847">
        <w:t xml:space="preserve"> </w:t>
      </w:r>
      <w:r>
        <w:t xml:space="preserve">review team prepared </w:t>
      </w:r>
      <w:r w:rsidRPr="00395A3E">
        <w:t>Final Safety Evaluation Report (FSER)</w:t>
      </w:r>
      <w:r>
        <w:t xml:space="preserve"> and </w:t>
      </w:r>
      <w:r w:rsidRPr="00C65A61">
        <w:t>concluded that the</w:t>
      </w:r>
      <w:r>
        <w:t xml:space="preserve"> </w:t>
      </w:r>
      <w:r w:rsidRPr="00C65A61">
        <w:t>information provided in licensing submissions, in conjunction with the actions agreed and</w:t>
      </w:r>
      <w:r>
        <w:t xml:space="preserve"> </w:t>
      </w:r>
      <w:r w:rsidRPr="00C65A61">
        <w:t>commitments made in the action sheets, meet the regulatory requirements of Standard Format</w:t>
      </w:r>
      <w:r>
        <w:t xml:space="preserve"> </w:t>
      </w:r>
      <w:r w:rsidRPr="00C65A61">
        <w:t>and Content for Safety related Decommissioning Documents, IAEA</w:t>
      </w:r>
      <w:r>
        <w:t xml:space="preserve"> </w:t>
      </w:r>
      <w:r w:rsidRPr="00C65A61">
        <w:t>SRS-45, K</w:t>
      </w:r>
      <w:r>
        <w:t>ANUPP</w:t>
      </w:r>
      <w:r w:rsidRPr="00C65A61">
        <w:t xml:space="preserve"> </w:t>
      </w:r>
      <w:r>
        <w:t xml:space="preserve">Safety Analysis Report (KFSAR) and </w:t>
      </w:r>
      <w:r w:rsidRPr="00C65A61">
        <w:t>Operating</w:t>
      </w:r>
      <w:r>
        <w:t xml:space="preserve"> </w:t>
      </w:r>
      <w:r w:rsidRPr="00C65A61">
        <w:t>Policies and Principal</w:t>
      </w:r>
      <w:r>
        <w:t xml:space="preserve"> (OPP)</w:t>
      </w:r>
      <w:r w:rsidRPr="00C65A61">
        <w:t xml:space="preserve">, </w:t>
      </w:r>
      <w:r>
        <w:t xml:space="preserve">regulations </w:t>
      </w:r>
      <w:r w:rsidRPr="00C65A61">
        <w:t>PAK/930 and other agreed codes</w:t>
      </w:r>
      <w:r>
        <w:t xml:space="preserve"> </w:t>
      </w:r>
      <w:r w:rsidRPr="00C65A61">
        <w:t>&amp; standards. The team</w:t>
      </w:r>
      <w:r>
        <w:t xml:space="preserve"> accordingly,</w:t>
      </w:r>
      <w:r w:rsidRPr="00C65A61">
        <w:t xml:space="preserve"> suggested </w:t>
      </w:r>
      <w:r>
        <w:t xml:space="preserve">that </w:t>
      </w:r>
      <w:r w:rsidRPr="00C65A61">
        <w:t>PNRA may award the Decommissioning License to</w:t>
      </w:r>
      <w:r>
        <w:t xml:space="preserve"> the licensee </w:t>
      </w:r>
      <w:r w:rsidRPr="00395A3E">
        <w:t>to perform the decommissioning activities according to the mentioned phases.</w:t>
      </w:r>
    </w:p>
    <w:p w14:paraId="4E459071" w14:textId="77777777" w:rsidR="00E4118E" w:rsidRDefault="00E4118E" w:rsidP="00E4118E">
      <w:pPr>
        <w:pStyle w:val="BodyText"/>
      </w:pPr>
      <w:r w:rsidRPr="00395A3E">
        <w:t>After completion of the satisfactory review process</w:t>
      </w:r>
      <w:r>
        <w:t>,</w:t>
      </w:r>
      <w:r w:rsidRPr="00395A3E">
        <w:t xml:space="preserve"> </w:t>
      </w:r>
      <w:r>
        <w:t xml:space="preserve">PNRA drafted the decommissioning license based on codes and standards, licensing submissions and review outcome. The license was shared internally as well as with the licensee for consensus and further improvement. Thereafter, </w:t>
      </w:r>
      <w:r w:rsidRPr="00395A3E">
        <w:t xml:space="preserve">PNRA </w:t>
      </w:r>
      <w:r>
        <w:t xml:space="preserve">terminated the operating license and </w:t>
      </w:r>
      <w:r w:rsidRPr="00395A3E">
        <w:t xml:space="preserve">issued license for decommissioning of KANUPP on June 27, 2022. This license authorized </w:t>
      </w:r>
      <w:r>
        <w:t>the licensee</w:t>
      </w:r>
      <w:r w:rsidRPr="00395A3E">
        <w:t xml:space="preserve"> to decommission </w:t>
      </w:r>
      <w:r>
        <w:t>the plant</w:t>
      </w:r>
      <w:r w:rsidRPr="00395A3E">
        <w:t xml:space="preserve">, operate KANUPP Spent Fuel Dry Storage Facility (KSFDSF) and manage &amp; store radioactive waste at </w:t>
      </w:r>
      <w:r>
        <w:t>the designated</w:t>
      </w:r>
      <w:r w:rsidRPr="00395A3E">
        <w:t xml:space="preserve"> radioactive waste storage area (RAWSA).</w:t>
      </w:r>
      <w:r>
        <w:t xml:space="preserve"> </w:t>
      </w:r>
      <w:r w:rsidRPr="00D10D75">
        <w:t xml:space="preserve"> </w:t>
      </w:r>
    </w:p>
    <w:p w14:paraId="4FA566FA" w14:textId="77777777" w:rsidR="00580D1C" w:rsidRDefault="00580D1C" w:rsidP="00580D1C">
      <w:pPr>
        <w:pStyle w:val="Authornameandaffiliation"/>
        <w:spacing w:after="120" w:line="276" w:lineRule="auto"/>
        <w:ind w:left="0"/>
        <w:contextualSpacing w:val="0"/>
        <w:jc w:val="both"/>
      </w:pPr>
    </w:p>
    <w:p w14:paraId="176C742B" w14:textId="59A7892A" w:rsidR="00580D1C" w:rsidRDefault="00580D1C" w:rsidP="00580D1C">
      <w:pPr>
        <w:pStyle w:val="Authornameandaffiliation"/>
        <w:spacing w:after="120" w:line="276" w:lineRule="auto"/>
        <w:ind w:left="0" w:firstLine="720"/>
        <w:contextualSpacing w:val="0"/>
        <w:jc w:val="both"/>
      </w:pPr>
      <w:r w:rsidRPr="000B7BBA">
        <w:rPr>
          <w:noProof/>
        </w:rPr>
        <w:lastRenderedPageBreak/>
        <mc:AlternateContent>
          <mc:Choice Requires="wpg">
            <w:drawing>
              <wp:anchor distT="0" distB="0" distL="114300" distR="114300" simplePos="0" relativeHeight="251662336" behindDoc="1" locked="0" layoutInCell="1" allowOverlap="1" wp14:anchorId="0B45E501" wp14:editId="34079E9A">
                <wp:simplePos x="0" y="0"/>
                <wp:positionH relativeFrom="column">
                  <wp:posOffset>1096797</wp:posOffset>
                </wp:positionH>
                <wp:positionV relativeFrom="paragraph">
                  <wp:posOffset>245745</wp:posOffset>
                </wp:positionV>
                <wp:extent cx="3347085" cy="5026028"/>
                <wp:effectExtent l="0" t="0" r="24765" b="22225"/>
                <wp:wrapTight wrapText="bothSides">
                  <wp:wrapPolygon edited="0">
                    <wp:start x="0" y="0"/>
                    <wp:lineTo x="0" y="1801"/>
                    <wp:lineTo x="5778" y="2620"/>
                    <wp:lineTo x="1721" y="3930"/>
                    <wp:lineTo x="1352" y="4175"/>
                    <wp:lineTo x="1721" y="4421"/>
                    <wp:lineTo x="4426" y="5240"/>
                    <wp:lineTo x="983" y="6468"/>
                    <wp:lineTo x="983" y="7860"/>
                    <wp:lineTo x="492" y="8678"/>
                    <wp:lineTo x="369" y="13427"/>
                    <wp:lineTo x="1475" y="14409"/>
                    <wp:lineTo x="1844" y="15392"/>
                    <wp:lineTo x="2950" y="15719"/>
                    <wp:lineTo x="3073" y="17029"/>
                    <wp:lineTo x="1967" y="17848"/>
                    <wp:lineTo x="1721" y="18093"/>
                    <wp:lineTo x="1721" y="19158"/>
                    <wp:lineTo x="3565" y="19649"/>
                    <wp:lineTo x="2213" y="19731"/>
                    <wp:lineTo x="1844" y="19813"/>
                    <wp:lineTo x="1844" y="21614"/>
                    <wp:lineTo x="13031" y="21614"/>
                    <wp:lineTo x="13277" y="19894"/>
                    <wp:lineTo x="12662" y="19731"/>
                    <wp:lineTo x="10696" y="19649"/>
                    <wp:lineTo x="12908" y="19158"/>
                    <wp:lineTo x="12908" y="18175"/>
                    <wp:lineTo x="12417" y="17766"/>
                    <wp:lineTo x="10818" y="17029"/>
                    <wp:lineTo x="11064" y="16210"/>
                    <wp:lineTo x="21637" y="15719"/>
                    <wp:lineTo x="21637" y="7368"/>
                    <wp:lineTo x="12908" y="6304"/>
                    <wp:lineTo x="11187" y="5649"/>
                    <wp:lineTo x="9097" y="5240"/>
                    <wp:lineTo x="14507" y="5240"/>
                    <wp:lineTo x="17088" y="4830"/>
                    <wp:lineTo x="17211" y="819"/>
                    <wp:lineTo x="16474" y="491"/>
                    <wp:lineTo x="13892" y="0"/>
                    <wp:lineTo x="0" y="0"/>
                  </wp:wrapPolygon>
                </wp:wrapTight>
                <wp:docPr id="3" name="Group 110"/>
                <wp:cNvGraphicFramePr/>
                <a:graphic xmlns:a="http://schemas.openxmlformats.org/drawingml/2006/main">
                  <a:graphicData uri="http://schemas.microsoft.com/office/word/2010/wordprocessingGroup">
                    <wpg:wgp>
                      <wpg:cNvGrpSpPr/>
                      <wpg:grpSpPr>
                        <a:xfrm>
                          <a:off x="0" y="0"/>
                          <a:ext cx="3347085" cy="5026028"/>
                          <a:chOff x="3266473" y="280439"/>
                          <a:chExt cx="3430238" cy="5313675"/>
                        </a:xfrm>
                      </wpg:grpSpPr>
                      <wps:wsp>
                        <wps:cNvPr id="4" name="Rectangle 4"/>
                        <wps:cNvSpPr>
                          <a:spLocks noChangeArrowheads="1"/>
                        </wps:cNvSpPr>
                        <wps:spPr bwMode="auto">
                          <a:xfrm>
                            <a:off x="3266473" y="280439"/>
                            <a:ext cx="2163829" cy="428316"/>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48A0DC45"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Receipt of Licensing submissions </w:t>
                              </w:r>
                            </w:p>
                            <w:p w14:paraId="5E2F13EA"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 for review and assessment (R &amp; A)</w:t>
                              </w:r>
                            </w:p>
                          </w:txbxContent>
                        </wps:txbx>
                        <wps:bodyPr wrap="none" anchor="ctr"/>
                      </wps:wsp>
                      <wps:wsp>
                        <wps:cNvPr id="5" name="Rectangle 5"/>
                        <wps:cNvSpPr>
                          <a:spLocks noChangeArrowheads="1"/>
                        </wps:cNvSpPr>
                        <wps:spPr bwMode="auto">
                          <a:xfrm>
                            <a:off x="5795589" y="2729113"/>
                            <a:ext cx="825834" cy="498807"/>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793FE426"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Core Team </w:t>
                              </w:r>
                            </w:p>
                            <w:p w14:paraId="232073CD"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Evaluation</w:t>
                              </w:r>
                            </w:p>
                          </w:txbxContent>
                        </wps:txbx>
                        <wps:bodyPr wrap="none" anchor="ctr"/>
                      </wps:wsp>
                      <wps:wsp>
                        <wps:cNvPr id="6" name="Rectangle 6"/>
                        <wps:cNvSpPr>
                          <a:spLocks noChangeArrowheads="1"/>
                        </wps:cNvSpPr>
                        <wps:spPr bwMode="auto">
                          <a:xfrm>
                            <a:off x="5924535" y="3671910"/>
                            <a:ext cx="771820" cy="451142"/>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45F4BB03" w14:textId="77777777" w:rsidR="00580D1C" w:rsidRPr="00EF1ABD" w:rsidRDefault="00580D1C" w:rsidP="00580D1C">
                              <w:pPr>
                                <w:pStyle w:val="NormalWeb"/>
                                <w:spacing w:before="0" w:beforeAutospacing="0" w:after="0" w:afterAutospacing="0"/>
                                <w:jc w:val="center"/>
                                <w:textAlignment w:val="baseline"/>
                              </w:pPr>
                              <w:r>
                                <w:rPr>
                                  <w:rFonts w:eastAsiaTheme="majorEastAsia"/>
                                  <w:b/>
                                  <w:bCs/>
                                  <w:color w:val="000000" w:themeColor="text1"/>
                                  <w:kern w:val="24"/>
                                  <w:sz w:val="20"/>
                                  <w:szCs w:val="20"/>
                                </w:rPr>
                                <w:t xml:space="preserve">Licensee </w:t>
                              </w:r>
                            </w:p>
                            <w:p w14:paraId="58B7485E"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Responses</w:t>
                              </w:r>
                            </w:p>
                          </w:txbxContent>
                        </wps:txbx>
                        <wps:bodyPr wrap="none" anchor="ctr"/>
                      </wps:wsp>
                      <wps:wsp>
                        <wps:cNvPr id="7" name="Rectangle 7"/>
                        <wps:cNvSpPr>
                          <a:spLocks noChangeArrowheads="1"/>
                        </wps:cNvSpPr>
                        <wps:spPr bwMode="auto">
                          <a:xfrm>
                            <a:off x="3525670" y="2484083"/>
                            <a:ext cx="1679001" cy="433016"/>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232BFA98"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Format &amp; Content Review</w:t>
                              </w:r>
                            </w:p>
                            <w:p w14:paraId="693958E8"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(Phase – </w:t>
                              </w:r>
                              <w:r>
                                <w:rPr>
                                  <w:rFonts w:eastAsiaTheme="majorEastAsia"/>
                                  <w:b/>
                                  <w:bCs/>
                                  <w:color w:val="000000" w:themeColor="text1"/>
                                  <w:kern w:val="24"/>
                                  <w:sz w:val="20"/>
                                  <w:szCs w:val="20"/>
                                </w:rPr>
                                <w:t>I</w:t>
                              </w:r>
                              <w:r w:rsidRPr="00EF1ABD">
                                <w:rPr>
                                  <w:rFonts w:eastAsiaTheme="majorEastAsia"/>
                                  <w:b/>
                                  <w:bCs/>
                                  <w:color w:val="000000" w:themeColor="text1"/>
                                  <w:kern w:val="24"/>
                                  <w:sz w:val="20"/>
                                  <w:szCs w:val="20"/>
                                </w:rPr>
                                <w:t>)</w:t>
                              </w:r>
                            </w:p>
                          </w:txbxContent>
                        </wps:txbx>
                        <wps:bodyPr wrap="none" anchor="ctr"/>
                      </wps:wsp>
                      <wps:wsp>
                        <wps:cNvPr id="8" name="Rectangle 8"/>
                        <wps:cNvSpPr>
                          <a:spLocks noChangeArrowheads="1"/>
                        </wps:cNvSpPr>
                        <wps:spPr bwMode="auto">
                          <a:xfrm>
                            <a:off x="3598893" y="5159756"/>
                            <a:ext cx="1704381" cy="434358"/>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2B149AD0" w14:textId="77777777" w:rsidR="00580D1C" w:rsidRPr="00EF1ABD" w:rsidRDefault="00580D1C" w:rsidP="00580D1C">
                              <w:pPr>
                                <w:pStyle w:val="NormalWeb"/>
                                <w:spacing w:before="0" w:beforeAutospacing="0" w:after="0" w:afterAutospacing="0"/>
                                <w:jc w:val="center"/>
                                <w:textAlignment w:val="baseline"/>
                                <w:rPr>
                                  <w:rFonts w:eastAsiaTheme="majorEastAsia"/>
                                  <w:b/>
                                  <w:bCs/>
                                  <w:color w:val="000000" w:themeColor="text1"/>
                                  <w:kern w:val="24"/>
                                  <w:sz w:val="20"/>
                                  <w:szCs w:val="20"/>
                                </w:rPr>
                              </w:pPr>
                              <w:r w:rsidRPr="00EF1ABD">
                                <w:rPr>
                                  <w:rFonts w:eastAsiaTheme="majorEastAsia"/>
                                  <w:b/>
                                  <w:bCs/>
                                  <w:color w:val="000000" w:themeColor="text1"/>
                                  <w:kern w:val="24"/>
                                  <w:sz w:val="20"/>
                                  <w:szCs w:val="20"/>
                                </w:rPr>
                                <w:t xml:space="preserve">Communicated to </w:t>
                              </w:r>
                              <w:r>
                                <w:rPr>
                                  <w:rFonts w:eastAsiaTheme="majorEastAsia"/>
                                  <w:b/>
                                  <w:bCs/>
                                  <w:color w:val="000000" w:themeColor="text1"/>
                                  <w:kern w:val="24"/>
                                  <w:sz w:val="20"/>
                                  <w:szCs w:val="20"/>
                                </w:rPr>
                                <w:t>Licensee</w:t>
                              </w:r>
                              <w:r w:rsidRPr="00EF1ABD">
                                <w:rPr>
                                  <w:rFonts w:eastAsiaTheme="majorEastAsia"/>
                                  <w:b/>
                                  <w:bCs/>
                                  <w:color w:val="000000" w:themeColor="text1"/>
                                  <w:kern w:val="24"/>
                                  <w:sz w:val="20"/>
                                  <w:szCs w:val="20"/>
                                </w:rPr>
                                <w:t xml:space="preserve"> </w:t>
                              </w:r>
                            </w:p>
                            <w:p w14:paraId="5083DC20"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&amp; followed-up</w:t>
                              </w:r>
                              <w:r>
                                <w:rPr>
                                  <w:rFonts w:eastAsiaTheme="majorEastAsia"/>
                                  <w:b/>
                                  <w:bCs/>
                                  <w:color w:val="000000" w:themeColor="text1"/>
                                  <w:kern w:val="24"/>
                                  <w:sz w:val="20"/>
                                  <w:szCs w:val="20"/>
                                </w:rPr>
                                <w:t>,</w:t>
                              </w:r>
                              <w:r w:rsidRPr="00EF1ABD">
                                <w:rPr>
                                  <w:rFonts w:eastAsiaTheme="majorEastAsia"/>
                                  <w:b/>
                                  <w:bCs/>
                                  <w:color w:val="000000" w:themeColor="text1"/>
                                  <w:kern w:val="24"/>
                                  <w:sz w:val="20"/>
                                  <w:szCs w:val="20"/>
                                </w:rPr>
                                <w:t xml:space="preserve"> if needed</w:t>
                              </w:r>
                            </w:p>
                          </w:txbxContent>
                        </wps:txbx>
                        <wps:bodyPr wrap="none" anchor="ctr"/>
                      </wps:wsp>
                      <wps:wsp>
                        <wps:cNvPr id="9" name="Rectangle 9"/>
                        <wps:cNvSpPr>
                          <a:spLocks noChangeArrowheads="1"/>
                        </wps:cNvSpPr>
                        <wps:spPr bwMode="auto">
                          <a:xfrm>
                            <a:off x="3901537" y="3081455"/>
                            <a:ext cx="970306" cy="428316"/>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47D3478B"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Detail Review</w:t>
                              </w:r>
                            </w:p>
                            <w:p w14:paraId="0F6C7EE2"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(Phase – II)</w:t>
                              </w:r>
                            </w:p>
                          </w:txbxContent>
                        </wps:txbx>
                        <wps:bodyPr wrap="none" anchor="ctr"/>
                      </wps:wsp>
                      <wps:wsp>
                        <wps:cNvPr id="10" name="Rectangle 10"/>
                        <wps:cNvSpPr>
                          <a:spLocks noChangeArrowheads="1"/>
                        </wps:cNvSpPr>
                        <wps:spPr bwMode="auto">
                          <a:xfrm>
                            <a:off x="3598893" y="3795356"/>
                            <a:ext cx="1541687" cy="269208"/>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1D18EB4F" w14:textId="77777777" w:rsidR="00580D1C" w:rsidRPr="00EF1ABD" w:rsidRDefault="00580D1C" w:rsidP="00580D1C">
                              <w:pPr>
                                <w:pStyle w:val="NormalWeb"/>
                                <w:spacing w:before="0" w:beforeAutospacing="0" w:after="0" w:afterAutospacing="0"/>
                                <w:jc w:val="center"/>
                                <w:textAlignment w:val="baseline"/>
                              </w:pPr>
                              <w:r>
                                <w:rPr>
                                  <w:rFonts w:eastAsiaTheme="majorEastAsia"/>
                                  <w:b/>
                                  <w:bCs/>
                                  <w:color w:val="000000" w:themeColor="text1"/>
                                  <w:kern w:val="24"/>
                                  <w:sz w:val="20"/>
                                  <w:szCs w:val="20"/>
                                </w:rPr>
                                <w:t>Queries</w:t>
                              </w:r>
                              <w:r w:rsidRPr="00EF1ABD">
                                <w:rPr>
                                  <w:rFonts w:eastAsiaTheme="majorEastAsia"/>
                                  <w:b/>
                                  <w:bCs/>
                                  <w:color w:val="000000" w:themeColor="text1"/>
                                  <w:kern w:val="24"/>
                                  <w:sz w:val="20"/>
                                  <w:szCs w:val="20"/>
                                </w:rPr>
                                <w:t xml:space="preserve"> sent to </w:t>
                              </w:r>
                              <w:r>
                                <w:rPr>
                                  <w:rFonts w:eastAsiaTheme="majorEastAsia"/>
                                  <w:b/>
                                  <w:bCs/>
                                  <w:color w:val="000000" w:themeColor="text1"/>
                                  <w:kern w:val="24"/>
                                  <w:sz w:val="20"/>
                                  <w:szCs w:val="20"/>
                                </w:rPr>
                                <w:t>Licensee</w:t>
                              </w:r>
                            </w:p>
                          </w:txbxContent>
                        </wps:txbx>
                        <wps:bodyPr wrap="none" anchor="ctr"/>
                      </wps:wsp>
                      <wps:wsp>
                        <wps:cNvPr id="11" name="Flowchart: Decision 11"/>
                        <wps:cNvSpPr/>
                        <wps:spPr>
                          <a:xfrm>
                            <a:off x="3500298" y="885628"/>
                            <a:ext cx="1675097" cy="815009"/>
                          </a:xfrm>
                          <a:prstGeom prst="flowChartDecision">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2CF33937"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lang w:val="en-GB"/>
                                </w:rPr>
                                <w:t xml:space="preserve">Submission </w:t>
                              </w:r>
                            </w:p>
                            <w:p w14:paraId="09E6C8B4"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lang w:val="en-GB"/>
                                </w:rPr>
                                <w:t>Complete?</w:t>
                              </w:r>
                            </w:p>
                          </w:txbxContent>
                        </wps:txbx>
                        <wps:bodyPr wrap="none" anchor="ctr"/>
                      </wps:wsp>
                      <wps:wsp>
                        <wps:cNvPr id="12" name="Elbow Connector 18"/>
                        <wps:cNvCnPr/>
                        <wps:spPr>
                          <a:xfrm rot="5400000" flipH="1" flipV="1">
                            <a:off x="4877537" y="732006"/>
                            <a:ext cx="856529" cy="257150"/>
                          </a:xfrm>
                          <a:prstGeom prst="bentConnector4">
                            <a:avLst>
                              <a:gd name="adj1" fmla="val -625"/>
                              <a:gd name="adj2" fmla="val 285663"/>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TextBox 152"/>
                        <wps:cNvSpPr txBox="1">
                          <a:spLocks noChangeArrowheads="1"/>
                        </wps:cNvSpPr>
                        <wps:spPr bwMode="auto">
                          <a:xfrm>
                            <a:off x="5500688" y="1161617"/>
                            <a:ext cx="500062" cy="369887"/>
                          </a:xfrm>
                          <a:prstGeom prst="rect">
                            <a:avLst/>
                          </a:prstGeom>
                          <a:noFill/>
                          <a:ln w="9525">
                            <a:noFill/>
                            <a:miter lim="800000"/>
                            <a:headEnd/>
                            <a:tailEnd/>
                          </a:ln>
                        </wps:spPr>
                        <wps:bodyPr wrap="square">
                          <a:noAutofit/>
                        </wps:bodyPr>
                      </wps:wsp>
                      <wps:wsp>
                        <wps:cNvPr id="14" name="TextBox 153"/>
                        <wps:cNvSpPr txBox="1">
                          <a:spLocks noChangeArrowheads="1"/>
                        </wps:cNvSpPr>
                        <wps:spPr bwMode="auto">
                          <a:xfrm>
                            <a:off x="5203983" y="1051498"/>
                            <a:ext cx="437509" cy="246285"/>
                          </a:xfrm>
                          <a:prstGeom prst="rect">
                            <a:avLst/>
                          </a:prstGeom>
                          <a:noFill/>
                          <a:ln w="9525">
                            <a:noFill/>
                            <a:miter lim="800000"/>
                            <a:headEnd/>
                            <a:tailEnd/>
                          </a:ln>
                        </wps:spPr>
                        <wps:txbx>
                          <w:txbxContent>
                            <w:p w14:paraId="3ACFA7C5" w14:textId="77777777" w:rsidR="00580D1C" w:rsidRPr="00EF1ABD" w:rsidRDefault="00580D1C" w:rsidP="00580D1C">
                              <w:pPr>
                                <w:pStyle w:val="NormalWeb"/>
                                <w:spacing w:before="0" w:beforeAutospacing="0" w:after="0" w:afterAutospacing="0"/>
                                <w:textAlignment w:val="baseline"/>
                              </w:pPr>
                              <w:r w:rsidRPr="00EF1ABD">
                                <w:rPr>
                                  <w:b/>
                                  <w:bCs/>
                                  <w:color w:val="0000CC"/>
                                  <w:kern w:val="24"/>
                                  <w:sz w:val="20"/>
                                  <w:szCs w:val="20"/>
                                  <w:lang w:val="en-GB"/>
                                </w:rPr>
                                <w:t>No</w:t>
                              </w:r>
                            </w:p>
                          </w:txbxContent>
                        </wps:txbx>
                        <wps:bodyPr wrap="square">
                          <a:noAutofit/>
                        </wps:bodyPr>
                      </wps:wsp>
                      <wps:wsp>
                        <wps:cNvPr id="15" name="TextBox 155"/>
                        <wps:cNvSpPr txBox="1">
                          <a:spLocks noChangeArrowheads="1"/>
                        </wps:cNvSpPr>
                        <wps:spPr bwMode="auto">
                          <a:xfrm>
                            <a:off x="4500521" y="1644602"/>
                            <a:ext cx="642912" cy="565852"/>
                          </a:xfrm>
                          <a:prstGeom prst="rect">
                            <a:avLst/>
                          </a:prstGeom>
                          <a:noFill/>
                          <a:ln w="9525">
                            <a:noFill/>
                            <a:miter lim="800000"/>
                            <a:headEnd/>
                            <a:tailEnd/>
                          </a:ln>
                        </wps:spPr>
                        <wps:txbx>
                          <w:txbxContent>
                            <w:p w14:paraId="58E17E97" w14:textId="77777777" w:rsidR="00580D1C" w:rsidRPr="00EF1ABD" w:rsidRDefault="00580D1C" w:rsidP="00580D1C">
                              <w:pPr>
                                <w:pStyle w:val="NormalWeb"/>
                                <w:spacing w:before="0" w:beforeAutospacing="0" w:after="0" w:afterAutospacing="0"/>
                                <w:textAlignment w:val="baseline"/>
                              </w:pPr>
                              <w:r w:rsidRPr="00EF1ABD">
                                <w:rPr>
                                  <w:b/>
                                  <w:bCs/>
                                  <w:color w:val="0000CC"/>
                                  <w:kern w:val="24"/>
                                  <w:sz w:val="20"/>
                                  <w:szCs w:val="20"/>
                                  <w:lang w:val="en-GB"/>
                                </w:rPr>
                                <w:t>Yes</w:t>
                              </w:r>
                            </w:p>
                          </w:txbxContent>
                        </wps:txbx>
                        <wps:bodyPr wrap="square">
                          <a:noAutofit/>
                        </wps:bodyPr>
                      </wps:wsp>
                      <wps:wsp>
                        <wps:cNvPr id="16" name="Flowchart: Process 16"/>
                        <wps:cNvSpPr/>
                        <wps:spPr>
                          <a:xfrm>
                            <a:off x="3373227" y="2424492"/>
                            <a:ext cx="2081729" cy="1204912"/>
                          </a:xfrm>
                          <a:prstGeom prst="flowChartProcess">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anchor="ctr"/>
                      </wps:wsp>
                      <wps:wsp>
                        <wps:cNvPr id="17" name="Rectangle 17"/>
                        <wps:cNvSpPr>
                          <a:spLocks noChangeArrowheads="1"/>
                        </wps:cNvSpPr>
                        <wps:spPr bwMode="auto">
                          <a:xfrm>
                            <a:off x="3454386" y="1872805"/>
                            <a:ext cx="1809156" cy="394749"/>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000500AB"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Documents sent to Taskforce </w:t>
                              </w:r>
                            </w:p>
                            <w:p w14:paraId="5AF75099"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for R&amp;A</w:t>
                              </w:r>
                            </w:p>
                          </w:txbxContent>
                        </wps:txbx>
                        <wps:bodyPr wrap="none" anchor="ctr"/>
                      </wps:wsp>
                      <wps:wsp>
                        <wps:cNvPr id="18" name="Straight Arrow Connector 18"/>
                        <wps:cNvCnPr/>
                        <wps:spPr>
                          <a:xfrm>
                            <a:off x="5457590" y="3007323"/>
                            <a:ext cx="338150" cy="4762"/>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139995" y="3937685"/>
                            <a:ext cx="783179" cy="0"/>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5279934" y="2111625"/>
                            <a:ext cx="1416776" cy="14286"/>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Rectangle 21"/>
                        <wps:cNvSpPr>
                          <a:spLocks noChangeArrowheads="1"/>
                        </wps:cNvSpPr>
                        <wps:spPr bwMode="auto">
                          <a:xfrm>
                            <a:off x="3792299" y="4231805"/>
                            <a:ext cx="1144063" cy="283306"/>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7BE3A73C"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Review Meetings</w:t>
                              </w:r>
                            </w:p>
                          </w:txbxContent>
                        </wps:txbx>
                        <wps:bodyPr wrap="none" anchor="ctr"/>
                      </wps:wsp>
                      <wps:wsp>
                        <wps:cNvPr id="22" name="Rectangle 22"/>
                        <wps:cNvSpPr>
                          <a:spLocks noChangeArrowheads="1"/>
                        </wps:cNvSpPr>
                        <wps:spPr bwMode="auto">
                          <a:xfrm>
                            <a:off x="3583837" y="4687771"/>
                            <a:ext cx="1679652" cy="304789"/>
                          </a:xfrm>
                          <a:prstGeom prst="rect">
                            <a:avLst/>
                          </a:prstGeom>
                          <a:ln w="12700">
                            <a:solidFill>
                              <a:srgbClr val="800000"/>
                            </a:solidFill>
                            <a:miter lim="800000"/>
                            <a:headEnd type="none" w="sm" len="sm"/>
                            <a:tailEnd type="none" w="sm" len="sm"/>
                          </a:ln>
                        </wps:spPr>
                        <wps:style>
                          <a:lnRef idx="0">
                            <a:scrgbClr r="0" g="0" b="0"/>
                          </a:lnRef>
                          <a:fillRef idx="1003">
                            <a:schemeClr val="lt1"/>
                          </a:fillRef>
                          <a:effectRef idx="0">
                            <a:scrgbClr r="0" g="0" b="0"/>
                          </a:effectRef>
                          <a:fontRef idx="major"/>
                        </wps:style>
                        <wps:txbx>
                          <w:txbxContent>
                            <w:p w14:paraId="2642FCB3"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Actions agreed and Signed</w:t>
                              </w:r>
                            </w:p>
                          </w:txbxContent>
                        </wps:txbx>
                        <wps:bodyPr wrap="none" anchor="ctr"/>
                      </wps:wsp>
                      <wps:wsp>
                        <wps:cNvPr id="23" name="Straight Connector 23"/>
                        <wps:cNvCnPr/>
                        <wps:spPr>
                          <a:xfrm flipV="1">
                            <a:off x="6696711" y="2125053"/>
                            <a:ext cx="0" cy="1880941"/>
                          </a:xfrm>
                          <a:prstGeom prst="line">
                            <a:avLst/>
                          </a:prstGeom>
                        </wps:spPr>
                        <wps:style>
                          <a:lnRef idx="1">
                            <a:schemeClr val="accent4"/>
                          </a:lnRef>
                          <a:fillRef idx="0">
                            <a:schemeClr val="accent4"/>
                          </a:fillRef>
                          <a:effectRef idx="0">
                            <a:schemeClr val="accent4"/>
                          </a:effectRef>
                          <a:fontRef idx="minor">
                            <a:schemeClr val="tx1"/>
                          </a:fontRef>
                        </wps:style>
                        <wps:bodyPr/>
                      </wps:wsp>
                      <wps:wsp>
                        <wps:cNvPr id="24" name="Straight Arrow Connector 24"/>
                        <wps:cNvCnPr/>
                        <wps:spPr>
                          <a:xfrm>
                            <a:off x="4330856" y="708703"/>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344986" y="1700560"/>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330857" y="2267402"/>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4330858" y="2916474"/>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4344985" y="3629404"/>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a:off x="4344987" y="4065157"/>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4344985" y="4515461"/>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4344988" y="4992774"/>
                            <a:ext cx="1" cy="165009"/>
                          </a:xfrm>
                          <a:prstGeom prst="straightConnector1">
                            <a:avLst/>
                          </a:prstGeom>
                          <a:ln w="12700">
                            <a:solidFill>
                              <a:schemeClr val="tx2"/>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B45E501" id="Group 110" o:spid="_x0000_s1026" style="position:absolute;left:0;text-align:left;margin-left:86.35pt;margin-top:19.35pt;width:263.55pt;height:395.75pt;z-index:-251654144" coordorigin="32664,2804" coordsize="34302,5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">
                <v:rect id="Rectangle 4" o:spid="_x0000_s1027" style="position:absolute;left:32664;top:2804;width:21639;height:42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" fillcolor="white [2577]" strokecolor="maroon" strokeweight="1pt">
                  <v:fill color2="#4c4c4c [961]" rotate="t" focusposition=".5,.5" focussize="" focus="100%" type="gradientRadial"/>
                  <v:stroke startarrowwidth="narrow" startarrowlength="short" endarrowwidth="narrow" endarrowlength="short"/>
                  <v:textbox>
                    <w:txbxContent>
                      <w:p w14:paraId="48A0DC45"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Receipt of Licensing submissions </w:t>
                        </w:r>
                      </w:p>
                      <w:p w14:paraId="5E2F13EA"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 for review and assessment (R &amp; A)</w:t>
                        </w:r>
                      </w:p>
                    </w:txbxContent>
                  </v:textbox>
                </v:rect>
                <v:rect id="Rectangle 5" o:spid="_x0000_s1028" style="position:absolute;left:57955;top:27291;width:8259;height:498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" fillcolor="white [2577]" strokecolor="maroon" strokeweight="1pt">
                  <v:fill color2="#4c4c4c [961]" rotate="t" focusposition=".5,.5" focussize="" focus="100%" type="gradientRadial"/>
                  <v:stroke startarrowwidth="narrow" startarrowlength="short" endarrowwidth="narrow" endarrowlength="short"/>
                  <v:textbox>
                    <w:txbxContent>
                      <w:p w14:paraId="793FE426"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Core Team </w:t>
                        </w:r>
                      </w:p>
                      <w:p w14:paraId="232073CD"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Evaluation</w:t>
                        </w:r>
                      </w:p>
                    </w:txbxContent>
                  </v:textbox>
                </v:rect>
                <v:rect id="Rectangle 6" o:spid="_x0000_s1029" style="position:absolute;left:59245;top:36719;width:7718;height:45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" fillcolor="white [2577]" strokecolor="maroon" strokeweight="1pt">
                  <v:fill color2="#4c4c4c [961]" rotate="t" focusposition=".5,.5" focussize="" focus="100%" type="gradientRadial"/>
                  <v:stroke startarrowwidth="narrow" startarrowlength="short" endarrowwidth="narrow" endarrowlength="short"/>
                  <v:textbox>
                    <w:txbxContent>
                      <w:p w14:paraId="45F4BB03" w14:textId="77777777" w:rsidR="00580D1C" w:rsidRPr="00EF1ABD" w:rsidRDefault="00580D1C" w:rsidP="00580D1C">
                        <w:pPr>
                          <w:pStyle w:val="NormalWeb"/>
                          <w:spacing w:before="0" w:beforeAutospacing="0" w:after="0" w:afterAutospacing="0"/>
                          <w:jc w:val="center"/>
                          <w:textAlignment w:val="baseline"/>
                        </w:pPr>
                        <w:r>
                          <w:rPr>
                            <w:rFonts w:eastAsiaTheme="majorEastAsia"/>
                            <w:b/>
                            <w:bCs/>
                            <w:color w:val="000000" w:themeColor="text1"/>
                            <w:kern w:val="24"/>
                            <w:sz w:val="20"/>
                            <w:szCs w:val="20"/>
                          </w:rPr>
                          <w:t xml:space="preserve">Licensee </w:t>
                        </w:r>
                      </w:p>
                      <w:p w14:paraId="58B7485E"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Responses</w:t>
                        </w:r>
                      </w:p>
                    </w:txbxContent>
                  </v:textbox>
                </v:rect>
                <v:rect id="Rectangle 7" o:spid="_x0000_s1030" style="position:absolute;left:35256;top:24840;width:16790;height:43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" fillcolor="white [2577]" strokecolor="maroon" strokeweight="1pt">
                  <v:fill color2="#4c4c4c [961]" rotate="t" focusposition=".5,.5" focussize="" focus="100%" type="gradientRadial"/>
                  <v:stroke startarrowwidth="narrow" startarrowlength="short" endarrowwidth="narrow" endarrowlength="short"/>
                  <v:textbox>
                    <w:txbxContent>
                      <w:p w14:paraId="232BFA98"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Format &amp; Content Review</w:t>
                        </w:r>
                      </w:p>
                      <w:p w14:paraId="693958E8"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(Phase – </w:t>
                        </w:r>
                        <w:r>
                          <w:rPr>
                            <w:rFonts w:eastAsiaTheme="majorEastAsia"/>
                            <w:b/>
                            <w:bCs/>
                            <w:color w:val="000000" w:themeColor="text1"/>
                            <w:kern w:val="24"/>
                            <w:sz w:val="20"/>
                            <w:szCs w:val="20"/>
                          </w:rPr>
                          <w:t>I</w:t>
                        </w:r>
                        <w:r w:rsidRPr="00EF1ABD">
                          <w:rPr>
                            <w:rFonts w:eastAsiaTheme="majorEastAsia"/>
                            <w:b/>
                            <w:bCs/>
                            <w:color w:val="000000" w:themeColor="text1"/>
                            <w:kern w:val="24"/>
                            <w:sz w:val="20"/>
                            <w:szCs w:val="20"/>
                          </w:rPr>
                          <w:t>)</w:t>
                        </w:r>
                      </w:p>
                    </w:txbxContent>
                  </v:textbox>
                </v:rect>
                <v:rect id="Rectangle 8" o:spid="_x0000_s1031" style="position:absolute;left:35988;top:51597;width:17044;height:434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" fillcolor="white [2577]" strokecolor="maroon" strokeweight="1pt">
                  <v:fill color2="#4c4c4c [961]" rotate="t" focusposition=".5,.5" focussize="" focus="100%" type="gradientRadial"/>
                  <v:stroke startarrowwidth="narrow" startarrowlength="short" endarrowwidth="narrow" endarrowlength="short"/>
                  <v:textbox>
                    <w:txbxContent>
                      <w:p w14:paraId="2B149AD0" w14:textId="77777777" w:rsidR="00580D1C" w:rsidRPr="00EF1ABD" w:rsidRDefault="00580D1C" w:rsidP="00580D1C">
                        <w:pPr>
                          <w:pStyle w:val="NormalWeb"/>
                          <w:spacing w:before="0" w:beforeAutospacing="0" w:after="0" w:afterAutospacing="0"/>
                          <w:jc w:val="center"/>
                          <w:textAlignment w:val="baseline"/>
                          <w:rPr>
                            <w:rFonts w:eastAsiaTheme="majorEastAsia"/>
                            <w:b/>
                            <w:bCs/>
                            <w:color w:val="000000" w:themeColor="text1"/>
                            <w:kern w:val="24"/>
                            <w:sz w:val="20"/>
                            <w:szCs w:val="20"/>
                          </w:rPr>
                        </w:pPr>
                        <w:r w:rsidRPr="00EF1ABD">
                          <w:rPr>
                            <w:rFonts w:eastAsiaTheme="majorEastAsia"/>
                            <w:b/>
                            <w:bCs/>
                            <w:color w:val="000000" w:themeColor="text1"/>
                            <w:kern w:val="24"/>
                            <w:sz w:val="20"/>
                            <w:szCs w:val="20"/>
                          </w:rPr>
                          <w:t xml:space="preserve">Communicated to </w:t>
                        </w:r>
                        <w:r>
                          <w:rPr>
                            <w:rFonts w:eastAsiaTheme="majorEastAsia"/>
                            <w:b/>
                            <w:bCs/>
                            <w:color w:val="000000" w:themeColor="text1"/>
                            <w:kern w:val="24"/>
                            <w:sz w:val="20"/>
                            <w:szCs w:val="20"/>
                          </w:rPr>
                          <w:t>Licensee</w:t>
                        </w:r>
                        <w:r w:rsidRPr="00EF1ABD">
                          <w:rPr>
                            <w:rFonts w:eastAsiaTheme="majorEastAsia"/>
                            <w:b/>
                            <w:bCs/>
                            <w:color w:val="000000" w:themeColor="text1"/>
                            <w:kern w:val="24"/>
                            <w:sz w:val="20"/>
                            <w:szCs w:val="20"/>
                          </w:rPr>
                          <w:t xml:space="preserve"> </w:t>
                        </w:r>
                      </w:p>
                      <w:p w14:paraId="5083DC20"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&amp; followed-up</w:t>
                        </w:r>
                        <w:r>
                          <w:rPr>
                            <w:rFonts w:eastAsiaTheme="majorEastAsia"/>
                            <w:b/>
                            <w:bCs/>
                            <w:color w:val="000000" w:themeColor="text1"/>
                            <w:kern w:val="24"/>
                            <w:sz w:val="20"/>
                            <w:szCs w:val="20"/>
                          </w:rPr>
                          <w:t>,</w:t>
                        </w:r>
                        <w:r w:rsidRPr="00EF1ABD">
                          <w:rPr>
                            <w:rFonts w:eastAsiaTheme="majorEastAsia"/>
                            <w:b/>
                            <w:bCs/>
                            <w:color w:val="000000" w:themeColor="text1"/>
                            <w:kern w:val="24"/>
                            <w:sz w:val="20"/>
                            <w:szCs w:val="20"/>
                          </w:rPr>
                          <w:t xml:space="preserve"> if needed</w:t>
                        </w:r>
                      </w:p>
                    </w:txbxContent>
                  </v:textbox>
                </v:rect>
                <v:rect id="Rectangle 9" o:spid="_x0000_s1032" style="position:absolute;left:39015;top:30814;width:9703;height:428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" fillcolor="white [2577]" strokecolor="maroon" strokeweight="1pt">
                  <v:fill color2="#4c4c4c [961]" rotate="t" focusposition=".5,.5" focussize="" focus="100%" type="gradientRadial"/>
                  <v:stroke startarrowwidth="narrow" startarrowlength="short" endarrowwidth="narrow" endarrowlength="short"/>
                  <v:textbox>
                    <w:txbxContent>
                      <w:p w14:paraId="47D3478B"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Detail Review</w:t>
                        </w:r>
                      </w:p>
                      <w:p w14:paraId="0F6C7EE2"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(Phase – II)</w:t>
                        </w:r>
                      </w:p>
                    </w:txbxContent>
                  </v:textbox>
                </v:rect>
                <v:rect id="Rectangle 10" o:spid="_x0000_s1033" style="position:absolute;left:35988;top:37953;width:15417;height:269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" fillcolor="white [2577]" strokecolor="maroon" strokeweight="1pt">
                  <v:fill color2="#4c4c4c [961]" rotate="t" focusposition=".5,.5" focussize="" focus="100%" type="gradientRadial"/>
                  <v:stroke startarrowwidth="narrow" startarrowlength="short" endarrowwidth="narrow" endarrowlength="short"/>
                  <v:textbox>
                    <w:txbxContent>
                      <w:p w14:paraId="1D18EB4F" w14:textId="77777777" w:rsidR="00580D1C" w:rsidRPr="00EF1ABD" w:rsidRDefault="00580D1C" w:rsidP="00580D1C">
                        <w:pPr>
                          <w:pStyle w:val="NormalWeb"/>
                          <w:spacing w:before="0" w:beforeAutospacing="0" w:after="0" w:afterAutospacing="0"/>
                          <w:jc w:val="center"/>
                          <w:textAlignment w:val="baseline"/>
                        </w:pPr>
                        <w:r>
                          <w:rPr>
                            <w:rFonts w:eastAsiaTheme="majorEastAsia"/>
                            <w:b/>
                            <w:bCs/>
                            <w:color w:val="000000" w:themeColor="text1"/>
                            <w:kern w:val="24"/>
                            <w:sz w:val="20"/>
                            <w:szCs w:val="20"/>
                          </w:rPr>
                          <w:t>Queries</w:t>
                        </w:r>
                        <w:r w:rsidRPr="00EF1ABD">
                          <w:rPr>
                            <w:rFonts w:eastAsiaTheme="majorEastAsia"/>
                            <w:b/>
                            <w:bCs/>
                            <w:color w:val="000000" w:themeColor="text1"/>
                            <w:kern w:val="24"/>
                            <w:sz w:val="20"/>
                            <w:szCs w:val="20"/>
                          </w:rPr>
                          <w:t xml:space="preserve"> sent to </w:t>
                        </w:r>
                        <w:r>
                          <w:rPr>
                            <w:rFonts w:eastAsiaTheme="majorEastAsia"/>
                            <w:b/>
                            <w:bCs/>
                            <w:color w:val="000000" w:themeColor="text1"/>
                            <w:kern w:val="24"/>
                            <w:sz w:val="20"/>
                            <w:szCs w:val="20"/>
                          </w:rPr>
                          <w:t>Licensee</w:t>
                        </w:r>
                      </w:p>
                    </w:txbxContent>
                  </v:textbox>
                </v:rect>
                <v:shapetype id="_x0000_t110" coordsize="21600,21600" o:spt="110" path="m10800,l,10800,10800,21600,21600,10800xe">
                  <v:stroke joinstyle="miter"/>
                  <v:path gradientshapeok="t" o:connecttype="rect" textboxrect="5400,5400,16200,16200"/>
                </v:shapetype>
                <v:shape id="Flowchart: Decision 11" o:spid="_x0000_s1034" type="#_x0000_t110" style="position:absolute;left:35002;top:8856;width:16751;height:815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" fillcolor="white [2577]" strokecolor="maroon" strokeweight="1pt">
                  <v:fill color2="#4c4c4c [961]" rotate="t" focusposition=".5,.5" focussize="" focus="100%" type="gradientRadial"/>
                  <v:stroke startarrowwidth="narrow" startarrowlength="short" endarrowwidth="narrow" endarrowlength="short"/>
                  <v:textbox>
                    <w:txbxContent>
                      <w:p w14:paraId="2CF33937"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lang w:val="en-GB"/>
                          </w:rPr>
                          <w:t xml:space="preserve">Submission </w:t>
                        </w:r>
                      </w:p>
                      <w:p w14:paraId="09E6C8B4"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lang w:val="en-GB"/>
                          </w:rPr>
                          <w:t>Complete?</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18" o:spid="_x0000_s1035" type="#_x0000_t35" style="position:absolute;left:48775;top:7320;width:8565;height:257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" adj="-135,61703" strokecolor="#1f497d [3215]" strokeweight="1pt">
                  <v:stroke endarrow="open"/>
                </v:shape>
                <v:shapetype id="_x0000_t202" coordsize="21600,21600" o:spt="202" path="m,l,21600r21600,l21600,xe">
                  <v:stroke joinstyle="miter"/>
                  <v:path gradientshapeok="t" o:connecttype="rect"/>
                </v:shapetype>
                <v:shape id="TextBox 152" o:spid="_x0000_s1036" type="#_x0000_t202" style="position:absolute;left:55006;top:11616;width:5001;height:3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shape id="TextBox 153" o:spid="_x0000_s1037" type="#_x0000_t202" style="position:absolute;left:52039;top:10514;width:4375;height:2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ACFA7C5" w14:textId="77777777" w:rsidR="00580D1C" w:rsidRPr="00EF1ABD" w:rsidRDefault="00580D1C" w:rsidP="00580D1C">
                        <w:pPr>
                          <w:pStyle w:val="NormalWeb"/>
                          <w:spacing w:before="0" w:beforeAutospacing="0" w:after="0" w:afterAutospacing="0"/>
                          <w:textAlignment w:val="baseline"/>
                        </w:pPr>
                        <w:r w:rsidRPr="00EF1ABD">
                          <w:rPr>
                            <w:b/>
                            <w:bCs/>
                            <w:color w:val="0000CC"/>
                            <w:kern w:val="24"/>
                            <w:sz w:val="20"/>
                            <w:szCs w:val="20"/>
                            <w:lang w:val="en-GB"/>
                          </w:rPr>
                          <w:t>No</w:t>
                        </w:r>
                      </w:p>
                    </w:txbxContent>
                  </v:textbox>
                </v:shape>
                <v:shape id="TextBox 155" o:spid="_x0000_s1038" type="#_x0000_t202" style="position:absolute;left:45005;top:16446;width:6429;height:5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8E17E97" w14:textId="77777777" w:rsidR="00580D1C" w:rsidRPr="00EF1ABD" w:rsidRDefault="00580D1C" w:rsidP="00580D1C">
                        <w:pPr>
                          <w:pStyle w:val="NormalWeb"/>
                          <w:spacing w:before="0" w:beforeAutospacing="0" w:after="0" w:afterAutospacing="0"/>
                          <w:textAlignment w:val="baseline"/>
                        </w:pPr>
                        <w:r w:rsidRPr="00EF1ABD">
                          <w:rPr>
                            <w:b/>
                            <w:bCs/>
                            <w:color w:val="0000CC"/>
                            <w:kern w:val="24"/>
                            <w:sz w:val="20"/>
                            <w:szCs w:val="20"/>
                            <w:lang w:val="en-GB"/>
                          </w:rPr>
                          <w:t>Yes</w:t>
                        </w:r>
                      </w:p>
                    </w:txbxContent>
                  </v:textbox>
                </v:shape>
                <v:shapetype id="_x0000_t109" coordsize="21600,21600" o:spt="109" path="m,l,21600r21600,l21600,xe">
                  <v:stroke joinstyle="miter"/>
                  <v:path gradientshapeok="t" o:connecttype="rect"/>
                </v:shapetype>
                <v:shape id="Flowchart: Process 16" o:spid="_x0000_s1039" type="#_x0000_t109" style="position:absolute;left:33732;top:24244;width:20817;height:120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" filled="f" strokecolor="black [3213]" strokeweight="1pt"/>
                <v:rect id="Rectangle 17" o:spid="_x0000_s1040" style="position:absolute;left:34543;top:18728;width:18092;height:394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" fillcolor="white [2577]" strokecolor="maroon" strokeweight="1pt">
                  <v:fill color2="#4c4c4c [961]" rotate="t" focusposition=".5,.5" focussize="" focus="100%" type="gradientRadial"/>
                  <v:stroke startarrowwidth="narrow" startarrowlength="short" endarrowwidth="narrow" endarrowlength="short"/>
                  <v:textbox>
                    <w:txbxContent>
                      <w:p w14:paraId="000500AB"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 xml:space="preserve">Documents sent to Taskforce </w:t>
                        </w:r>
                      </w:p>
                      <w:p w14:paraId="5AF75099"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for R&amp;A</w:t>
                        </w:r>
                      </w:p>
                    </w:txbxContent>
                  </v:textbox>
                </v:rect>
                <v:shapetype id="_x0000_t32" coordsize="21600,21600" o:spt="32" o:oned="t" path="m,l21600,21600e" filled="f">
                  <v:path arrowok="t" fillok="f" o:connecttype="none"/>
                  <o:lock v:ext="edit" shapetype="t"/>
                </v:shapetype>
                <v:shape id="Straight Arrow Connector 18" o:spid="_x0000_s1041" type="#_x0000_t32" style="position:absolute;left:54575;top:30073;width:3382;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" strokecolor="#1f497d [3215]" strokeweight="1pt">
                  <v:stroke endarrow="open"/>
                </v:shape>
                <v:shape id="Straight Arrow Connector 19" o:spid="_x0000_s1042" type="#_x0000_t32" style="position:absolute;left:51399;top:39376;width:78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" strokecolor="#1f497d [3215]" strokeweight="1pt">
                  <v:stroke endarrow="open"/>
                </v:shape>
                <v:shape id="Straight Arrow Connector 20" o:spid="_x0000_s1043" type="#_x0000_t32" style="position:absolute;left:52799;top:21116;width:14168;height:1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" strokecolor="#1f497d [3215]" strokeweight="1pt">
                  <v:stroke endarrow="open"/>
                </v:shape>
                <v:rect id="Rectangle 21" o:spid="_x0000_s1044" style="position:absolute;left:37922;top:42318;width:11441;height:283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" fillcolor="white [2577]" strokecolor="maroon" strokeweight="1pt">
                  <v:fill color2="#4c4c4c [961]" rotate="t" focusposition=".5,.5" focussize="" focus="100%" type="gradientRadial"/>
                  <v:stroke startarrowwidth="narrow" startarrowlength="short" endarrowwidth="narrow" endarrowlength="short"/>
                  <v:textbox>
                    <w:txbxContent>
                      <w:p w14:paraId="7BE3A73C"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Review Meetings</w:t>
                        </w:r>
                      </w:p>
                    </w:txbxContent>
                  </v:textbox>
                </v:rect>
                <v:rect id="Rectangle 22" o:spid="_x0000_s1045" style="position:absolute;left:35838;top:46877;width:16796;height:30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" fillcolor="white [2577]" strokecolor="maroon" strokeweight="1pt">
                  <v:fill color2="#4c4c4c [961]" rotate="t" focusposition=".5,.5" focussize="" focus="100%" type="gradientRadial"/>
                  <v:stroke startarrowwidth="narrow" startarrowlength="short" endarrowwidth="narrow" endarrowlength="short"/>
                  <v:textbox>
                    <w:txbxContent>
                      <w:p w14:paraId="2642FCB3" w14:textId="77777777" w:rsidR="00580D1C" w:rsidRPr="00EF1ABD" w:rsidRDefault="00580D1C" w:rsidP="00580D1C">
                        <w:pPr>
                          <w:pStyle w:val="NormalWeb"/>
                          <w:spacing w:before="0" w:beforeAutospacing="0" w:after="0" w:afterAutospacing="0"/>
                          <w:jc w:val="center"/>
                          <w:textAlignment w:val="baseline"/>
                        </w:pPr>
                        <w:r w:rsidRPr="00EF1ABD">
                          <w:rPr>
                            <w:rFonts w:eastAsiaTheme="majorEastAsia"/>
                            <w:b/>
                            <w:bCs/>
                            <w:color w:val="000000" w:themeColor="text1"/>
                            <w:kern w:val="24"/>
                            <w:sz w:val="20"/>
                            <w:szCs w:val="20"/>
                          </w:rPr>
                          <w:t>Actions agreed and Signed</w:t>
                        </w:r>
                      </w:p>
                    </w:txbxContent>
                  </v:textbox>
                </v:rect>
                <v:line id="Straight Connector 23" o:spid="_x0000_s1046" style="position:absolute;flip:y;visibility:visible;mso-wrap-style:square" from="66967,21250" to="66967,40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" strokecolor="#795d9b [3047]"/>
                <v:shape id="Straight Arrow Connector 24" o:spid="_x0000_s1047" type="#_x0000_t32" style="position:absolute;left:43308;top:7087;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" strokecolor="#1f497d [3215]" strokeweight="1pt">
                  <v:stroke endarrow="open"/>
                </v:shape>
                <v:shape id="Straight Arrow Connector 25" o:spid="_x0000_s1048" type="#_x0000_t32" style="position:absolute;left:43449;top:17005;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" strokecolor="#1f497d [3215]" strokeweight="1pt">
                  <v:stroke endarrow="open"/>
                </v:shape>
                <v:shape id="Straight Arrow Connector 26" o:spid="_x0000_s1049" type="#_x0000_t32" style="position:absolute;left:43308;top:22674;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" strokecolor="#1f497d [3215]" strokeweight="1pt">
                  <v:stroke endarrow="open"/>
                </v:shape>
                <v:shape id="Straight Arrow Connector 27" o:spid="_x0000_s1050" type="#_x0000_t32" style="position:absolute;left:43308;top:29164;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" strokecolor="#1f497d [3215]" strokeweight="1pt">
                  <v:stroke endarrow="open"/>
                </v:shape>
                <v:shape id="Straight Arrow Connector 28" o:spid="_x0000_s1051" type="#_x0000_t32" style="position:absolute;left:43449;top:36294;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" strokecolor="#1f497d [3215]" strokeweight="1pt">
                  <v:stroke endarrow="open"/>
                </v:shape>
                <v:shape id="Straight Arrow Connector 29" o:spid="_x0000_s1052" type="#_x0000_t32" style="position:absolute;left:43449;top:40651;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" strokecolor="#1f497d [3215]" strokeweight="1pt">
                  <v:stroke endarrow="open"/>
                </v:shape>
                <v:shape id="Straight Arrow Connector 30" o:spid="_x0000_s1053" type="#_x0000_t32" style="position:absolute;left:43449;top:45154;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" strokecolor="#1f497d [3215]" strokeweight="1pt">
                  <v:stroke endarrow="open"/>
                </v:shape>
                <v:shape id="Straight Arrow Connector 31" o:spid="_x0000_s1054" type="#_x0000_t32" style="position:absolute;left:43449;top:49927;width:0;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" strokecolor="#1f497d [3215]" strokeweight="1pt">
                  <v:stroke endarrow="open"/>
                </v:shape>
                <w10:wrap type="tight"/>
              </v:group>
            </w:pict>
          </mc:Fallback>
        </mc:AlternateContent>
      </w:r>
    </w:p>
    <w:p w14:paraId="36B145F3" w14:textId="77777777" w:rsidR="00580D1C" w:rsidRDefault="00580D1C" w:rsidP="00580D1C">
      <w:pPr>
        <w:pStyle w:val="Authornameandaffiliation"/>
        <w:spacing w:after="120" w:line="276" w:lineRule="auto"/>
        <w:ind w:left="0" w:firstLine="720"/>
        <w:contextualSpacing w:val="0"/>
        <w:jc w:val="both"/>
      </w:pPr>
    </w:p>
    <w:p w14:paraId="49D55B2F" w14:textId="77777777" w:rsidR="00580D1C" w:rsidRDefault="00580D1C" w:rsidP="00580D1C">
      <w:pPr>
        <w:pStyle w:val="Authornameandaffiliation"/>
        <w:spacing w:after="120" w:line="276" w:lineRule="auto"/>
        <w:ind w:left="0" w:firstLine="720"/>
        <w:contextualSpacing w:val="0"/>
        <w:jc w:val="both"/>
      </w:pPr>
    </w:p>
    <w:p w14:paraId="19180719" w14:textId="77777777" w:rsidR="00580D1C" w:rsidRDefault="00580D1C" w:rsidP="00580D1C">
      <w:pPr>
        <w:pStyle w:val="Authornameandaffiliation"/>
        <w:spacing w:after="120" w:line="276" w:lineRule="auto"/>
        <w:ind w:left="0" w:firstLine="720"/>
        <w:contextualSpacing w:val="0"/>
        <w:jc w:val="both"/>
      </w:pPr>
    </w:p>
    <w:p w14:paraId="49D50892" w14:textId="77777777" w:rsidR="00580D1C" w:rsidRDefault="00580D1C" w:rsidP="00580D1C">
      <w:pPr>
        <w:pStyle w:val="Authornameandaffiliation"/>
        <w:spacing w:after="120" w:line="276" w:lineRule="auto"/>
        <w:ind w:left="0" w:firstLine="720"/>
        <w:contextualSpacing w:val="0"/>
        <w:jc w:val="both"/>
      </w:pPr>
    </w:p>
    <w:p w14:paraId="0CB6B59D" w14:textId="77777777" w:rsidR="00580D1C" w:rsidRDefault="00580D1C" w:rsidP="00580D1C">
      <w:pPr>
        <w:pStyle w:val="Authornameandaffiliation"/>
        <w:spacing w:after="120" w:line="276" w:lineRule="auto"/>
        <w:ind w:left="0" w:firstLine="720"/>
        <w:contextualSpacing w:val="0"/>
        <w:jc w:val="both"/>
      </w:pPr>
    </w:p>
    <w:p w14:paraId="58620314" w14:textId="77777777" w:rsidR="00580D1C" w:rsidRDefault="00580D1C" w:rsidP="00580D1C">
      <w:pPr>
        <w:pStyle w:val="Authornameandaffiliation"/>
        <w:spacing w:after="120" w:line="276" w:lineRule="auto"/>
        <w:ind w:left="0" w:firstLine="720"/>
        <w:contextualSpacing w:val="0"/>
        <w:jc w:val="both"/>
      </w:pPr>
    </w:p>
    <w:p w14:paraId="431CF533" w14:textId="77777777" w:rsidR="00580D1C" w:rsidRDefault="00580D1C" w:rsidP="00580D1C">
      <w:pPr>
        <w:pStyle w:val="Authornameandaffiliation"/>
        <w:spacing w:after="120" w:line="276" w:lineRule="auto"/>
        <w:ind w:left="0" w:firstLine="720"/>
        <w:contextualSpacing w:val="0"/>
        <w:jc w:val="both"/>
      </w:pPr>
    </w:p>
    <w:p w14:paraId="48F784B0" w14:textId="77777777" w:rsidR="00580D1C" w:rsidRDefault="00580D1C" w:rsidP="00580D1C">
      <w:pPr>
        <w:pStyle w:val="Authornameandaffiliation"/>
        <w:spacing w:after="120" w:line="276" w:lineRule="auto"/>
        <w:ind w:left="0" w:firstLine="720"/>
        <w:contextualSpacing w:val="0"/>
        <w:jc w:val="both"/>
      </w:pPr>
    </w:p>
    <w:p w14:paraId="5AAA21A3" w14:textId="77777777" w:rsidR="00580D1C" w:rsidRDefault="00580D1C" w:rsidP="00580D1C">
      <w:pPr>
        <w:pStyle w:val="Authornameandaffiliation"/>
        <w:spacing w:after="120" w:line="276" w:lineRule="auto"/>
        <w:ind w:left="0" w:firstLine="720"/>
        <w:contextualSpacing w:val="0"/>
        <w:jc w:val="both"/>
      </w:pPr>
    </w:p>
    <w:p w14:paraId="4BD951EA" w14:textId="77777777" w:rsidR="00580D1C" w:rsidRDefault="00580D1C" w:rsidP="00580D1C">
      <w:pPr>
        <w:pStyle w:val="Authornameandaffiliation"/>
        <w:spacing w:after="120" w:line="276" w:lineRule="auto"/>
        <w:ind w:left="0" w:firstLine="720"/>
        <w:contextualSpacing w:val="0"/>
        <w:jc w:val="both"/>
      </w:pPr>
    </w:p>
    <w:p w14:paraId="6B2866D5" w14:textId="77777777" w:rsidR="00580D1C" w:rsidRDefault="00580D1C" w:rsidP="00580D1C">
      <w:pPr>
        <w:pStyle w:val="Authornameandaffiliation"/>
        <w:spacing w:after="120" w:line="276" w:lineRule="auto"/>
        <w:ind w:left="0" w:firstLine="720"/>
        <w:contextualSpacing w:val="0"/>
        <w:jc w:val="both"/>
      </w:pPr>
    </w:p>
    <w:p w14:paraId="07FDD7A4" w14:textId="77777777" w:rsidR="00580D1C" w:rsidRDefault="00580D1C" w:rsidP="00580D1C">
      <w:pPr>
        <w:pStyle w:val="Authornameandaffiliation"/>
        <w:spacing w:after="120" w:line="276" w:lineRule="auto"/>
        <w:ind w:left="0" w:firstLine="720"/>
        <w:contextualSpacing w:val="0"/>
        <w:jc w:val="both"/>
      </w:pPr>
    </w:p>
    <w:p w14:paraId="30467589" w14:textId="77777777" w:rsidR="00580D1C" w:rsidRDefault="00580D1C" w:rsidP="00580D1C">
      <w:pPr>
        <w:pStyle w:val="Authornameandaffiliation"/>
        <w:spacing w:after="120" w:line="276" w:lineRule="auto"/>
        <w:ind w:left="0" w:firstLine="720"/>
        <w:contextualSpacing w:val="0"/>
        <w:jc w:val="both"/>
      </w:pPr>
    </w:p>
    <w:p w14:paraId="1A17E323" w14:textId="77777777" w:rsidR="00580D1C" w:rsidRDefault="00580D1C" w:rsidP="00580D1C">
      <w:pPr>
        <w:pStyle w:val="Authornameandaffiliation"/>
        <w:spacing w:after="120" w:line="276" w:lineRule="auto"/>
        <w:ind w:left="0" w:firstLine="720"/>
        <w:contextualSpacing w:val="0"/>
        <w:jc w:val="both"/>
      </w:pPr>
    </w:p>
    <w:p w14:paraId="21716B71" w14:textId="77777777" w:rsidR="00580D1C" w:rsidRDefault="00580D1C" w:rsidP="00580D1C">
      <w:pPr>
        <w:pStyle w:val="Authornameandaffiliation"/>
        <w:spacing w:after="120" w:line="276" w:lineRule="auto"/>
        <w:ind w:left="0" w:firstLine="720"/>
        <w:contextualSpacing w:val="0"/>
        <w:jc w:val="both"/>
      </w:pPr>
    </w:p>
    <w:p w14:paraId="17338A98" w14:textId="77777777" w:rsidR="00580D1C" w:rsidRDefault="00580D1C" w:rsidP="00580D1C">
      <w:pPr>
        <w:pStyle w:val="Authornameandaffiliation"/>
        <w:spacing w:after="120" w:line="276" w:lineRule="auto"/>
        <w:ind w:left="0" w:firstLine="720"/>
        <w:contextualSpacing w:val="0"/>
        <w:jc w:val="both"/>
      </w:pPr>
    </w:p>
    <w:p w14:paraId="2F58BA11" w14:textId="77777777" w:rsidR="00580D1C" w:rsidRDefault="00580D1C" w:rsidP="00580D1C">
      <w:pPr>
        <w:pStyle w:val="Authornameandaffiliation"/>
        <w:spacing w:after="120" w:line="276" w:lineRule="auto"/>
        <w:ind w:left="0" w:firstLine="720"/>
        <w:contextualSpacing w:val="0"/>
        <w:jc w:val="both"/>
      </w:pPr>
    </w:p>
    <w:p w14:paraId="79E6F7A3" w14:textId="77777777" w:rsidR="00580D1C" w:rsidRDefault="00580D1C" w:rsidP="00580D1C">
      <w:pPr>
        <w:pStyle w:val="Authornameandaffiliation"/>
        <w:spacing w:after="120" w:line="276" w:lineRule="auto"/>
        <w:ind w:left="0" w:firstLine="720"/>
        <w:contextualSpacing w:val="0"/>
        <w:jc w:val="both"/>
      </w:pPr>
    </w:p>
    <w:p w14:paraId="2CB723C6" w14:textId="235C4999" w:rsidR="00580D1C" w:rsidRDefault="00580D1C" w:rsidP="00580D1C">
      <w:pPr>
        <w:pStyle w:val="Authornameandaffiliation"/>
        <w:spacing w:after="120" w:line="276" w:lineRule="auto"/>
        <w:ind w:left="0" w:firstLine="720"/>
        <w:contextualSpacing w:val="0"/>
        <w:jc w:val="both"/>
      </w:pPr>
    </w:p>
    <w:p w14:paraId="26802948" w14:textId="1DBC7990" w:rsidR="00580D1C" w:rsidRDefault="00580D1C" w:rsidP="00580D1C">
      <w:pPr>
        <w:pStyle w:val="Authornameandaffiliation"/>
        <w:spacing w:after="120" w:line="276" w:lineRule="auto"/>
        <w:ind w:left="0" w:firstLine="720"/>
        <w:contextualSpacing w:val="0"/>
        <w:jc w:val="both"/>
      </w:pPr>
    </w:p>
    <w:p w14:paraId="62904AF3" w14:textId="77777777" w:rsidR="00580D1C" w:rsidRDefault="00580D1C" w:rsidP="00580D1C">
      <w:pPr>
        <w:pStyle w:val="Authornameandaffiliation"/>
        <w:spacing w:after="120" w:line="276" w:lineRule="auto"/>
        <w:ind w:left="0" w:firstLine="720"/>
        <w:contextualSpacing w:val="0"/>
        <w:jc w:val="both"/>
      </w:pPr>
    </w:p>
    <w:p w14:paraId="08E42AA4" w14:textId="2D23E004" w:rsidR="00580D1C" w:rsidRPr="00C432EB" w:rsidRDefault="00580D1C" w:rsidP="00580D1C">
      <w:pPr>
        <w:pStyle w:val="Authornameandaffiliation"/>
        <w:spacing w:before="120" w:after="120" w:line="276" w:lineRule="auto"/>
        <w:ind w:left="0" w:firstLine="720"/>
        <w:contextualSpacing w:val="0"/>
        <w:jc w:val="center"/>
        <w:rPr>
          <w:sz w:val="18"/>
          <w:szCs w:val="18"/>
        </w:rPr>
      </w:pPr>
      <w:r w:rsidRPr="00C432EB">
        <w:rPr>
          <w:i/>
          <w:sz w:val="18"/>
          <w:szCs w:val="18"/>
        </w:rPr>
        <w:t>Fig</w:t>
      </w:r>
      <w:r w:rsidR="00DD3789">
        <w:rPr>
          <w:i/>
          <w:sz w:val="18"/>
          <w:szCs w:val="18"/>
        </w:rPr>
        <w:t>.</w:t>
      </w:r>
      <w:r w:rsidRPr="00C432EB">
        <w:rPr>
          <w:i/>
          <w:sz w:val="18"/>
          <w:szCs w:val="18"/>
        </w:rPr>
        <w:t xml:space="preserve"> 1, PNRA review Process followed to issue Decommissioning Licensing to KANUPP</w:t>
      </w:r>
    </w:p>
    <w:p w14:paraId="32F58241" w14:textId="77777777" w:rsidR="00231158" w:rsidRDefault="00231158" w:rsidP="00231158">
      <w:pPr>
        <w:pStyle w:val="Heading2"/>
        <w:numPr>
          <w:ilvl w:val="1"/>
          <w:numId w:val="10"/>
        </w:numPr>
        <w:spacing w:before="200" w:beforeAutospacing="0" w:after="200" w:afterAutospacing="0"/>
        <w:rPr>
          <w:caps w:val="0"/>
        </w:rPr>
      </w:pPr>
      <w:r>
        <w:t>challenges FACED DURING LICENSING PROCESS</w:t>
      </w:r>
    </w:p>
    <w:p w14:paraId="0F92D859" w14:textId="77777777" w:rsidR="00231158" w:rsidRDefault="00231158" w:rsidP="00231158">
      <w:pPr>
        <w:pStyle w:val="BodyText"/>
      </w:pPr>
      <w:r>
        <w:t xml:space="preserve">Issuance of </w:t>
      </w:r>
      <w:r w:rsidRPr="00C97DF8">
        <w:t>decommissioning licens</w:t>
      </w:r>
      <w:r>
        <w:t xml:space="preserve">e </w:t>
      </w:r>
      <w:r w:rsidRPr="00C97DF8">
        <w:t xml:space="preserve">to </w:t>
      </w:r>
      <w:r>
        <w:t xml:space="preserve">KANUPP was an ice breaking </w:t>
      </w:r>
      <w:r w:rsidRPr="00C97DF8">
        <w:t>experience for PNRA</w:t>
      </w:r>
      <w:r>
        <w:t>.  It is worth to mention that the review of licensing submissions was performed by an</w:t>
      </w:r>
      <w:r w:rsidRPr="00C97DF8">
        <w:t xml:space="preserve"> experienced team without any technical assistance from an external organization or regulatory body of</w:t>
      </w:r>
      <w:r>
        <w:t xml:space="preserve"> </w:t>
      </w:r>
      <w:r w:rsidRPr="00C97DF8">
        <w:t>any other country</w:t>
      </w:r>
      <w:r>
        <w:t>. However</w:t>
      </w:r>
      <w:r w:rsidRPr="00C97DF8">
        <w:t xml:space="preserve">, PNRA faced some challenges during the </w:t>
      </w:r>
      <w:r>
        <w:t xml:space="preserve">whole licensing </w:t>
      </w:r>
      <w:r w:rsidRPr="00C97DF8">
        <w:t>process</w:t>
      </w:r>
      <w:r>
        <w:t xml:space="preserve"> which are described below:</w:t>
      </w:r>
    </w:p>
    <w:p w14:paraId="0F8294EB" w14:textId="77777777" w:rsidR="00231158" w:rsidRDefault="00231158" w:rsidP="00231158">
      <w:pPr>
        <w:pStyle w:val="BodyText"/>
        <w:numPr>
          <w:ilvl w:val="0"/>
          <w:numId w:val="38"/>
        </w:numPr>
        <w:spacing w:before="120" w:after="120"/>
        <w:ind w:left="0" w:firstLine="567"/>
        <w:contextualSpacing w:val="0"/>
      </w:pPr>
      <w:r w:rsidRPr="0005743B">
        <w:t xml:space="preserve"> </w:t>
      </w:r>
      <w:r>
        <w:t>Implementation of established regulatory framework for decommissioning was one of the challenges. PNRA proactively managed this challenge by formulating a taskforce with the mandate to assure that PNRA is equipped with sufficient regulatory requirements for safe decommissioning, decide the level of implementation of regulatory requirements specifically in the areas of emergency preparedness, physical protection, technical specifications, finalize format and contents of the licensing submissions and determine the gaps in the regulatory framework. The team identified all the relevant regulatory requirements, prepared a list of codes and standards, format and contents for the licensing programs and licensing documents for decommissioning.</w:t>
      </w:r>
    </w:p>
    <w:p w14:paraId="1F97B2E5" w14:textId="77777777" w:rsidR="00231158" w:rsidRDefault="00231158" w:rsidP="00231158">
      <w:pPr>
        <w:pStyle w:val="BodyText"/>
        <w:numPr>
          <w:ilvl w:val="0"/>
          <w:numId w:val="38"/>
        </w:numPr>
        <w:spacing w:before="120" w:after="120"/>
        <w:ind w:left="0" w:firstLine="567"/>
        <w:contextualSpacing w:val="0"/>
        <w:rPr>
          <w:color w:val="000000"/>
        </w:rPr>
      </w:pPr>
      <w:r>
        <w:t xml:space="preserve">PNRA </w:t>
      </w:r>
      <w:r w:rsidRPr="00F24B4D">
        <w:t>Regulations for Licensing of Nuclear Installations in Pakistan-PAK/909</w:t>
      </w:r>
      <w:r>
        <w:t xml:space="preserve"> requires that in </w:t>
      </w:r>
      <w:r w:rsidRPr="00E279D7">
        <w:rPr>
          <w:color w:val="000000"/>
        </w:rPr>
        <w:t>case</w:t>
      </w:r>
      <w:r>
        <w:rPr>
          <w:color w:val="000000"/>
        </w:rPr>
        <w:t>,</w:t>
      </w:r>
      <w:r w:rsidRPr="00E279D7">
        <w:rPr>
          <w:color w:val="000000"/>
        </w:rPr>
        <w:t xml:space="preserve"> the licensee intends to permanently </w:t>
      </w:r>
      <w:proofErr w:type="spellStart"/>
      <w:r w:rsidRPr="00E279D7">
        <w:rPr>
          <w:color w:val="000000"/>
        </w:rPr>
        <w:t>shutdown</w:t>
      </w:r>
      <w:proofErr w:type="spellEnd"/>
      <w:r w:rsidRPr="00E279D7">
        <w:rPr>
          <w:color w:val="000000"/>
        </w:rPr>
        <w:t xml:space="preserve"> the installation, he shall apply for decommissioning </w:t>
      </w:r>
      <w:r>
        <w:rPr>
          <w:color w:val="000000"/>
        </w:rPr>
        <w:t xml:space="preserve">license </w:t>
      </w:r>
      <w:r w:rsidRPr="00E279D7">
        <w:rPr>
          <w:color w:val="000000"/>
        </w:rPr>
        <w:t>at least three years before terminati</w:t>
      </w:r>
      <w:r>
        <w:rPr>
          <w:color w:val="000000"/>
        </w:rPr>
        <w:t>o</w:t>
      </w:r>
      <w:r w:rsidRPr="00E279D7">
        <w:rPr>
          <w:color w:val="000000"/>
        </w:rPr>
        <w:t xml:space="preserve">n </w:t>
      </w:r>
      <w:r>
        <w:rPr>
          <w:color w:val="000000"/>
        </w:rPr>
        <w:t xml:space="preserve">of </w:t>
      </w:r>
      <w:r w:rsidRPr="00E279D7">
        <w:rPr>
          <w:color w:val="000000"/>
        </w:rPr>
        <w:t xml:space="preserve">the operation of nuclear installation. </w:t>
      </w:r>
      <w:r>
        <w:rPr>
          <w:color w:val="000000"/>
        </w:rPr>
        <w:t xml:space="preserve">However, the licensee did not timely apply for decommissioning license of KANUPP despite of continuously taking up the matter by PNRA asking the </w:t>
      </w:r>
      <w:r>
        <w:rPr>
          <w:color w:val="000000"/>
        </w:rPr>
        <w:lastRenderedPageBreak/>
        <w:t>licensee for preparation of decommissioning, finalizing date for shut down of the plant to ensure compliance of the regulatory requirements. As preparation for decommissioning was first of its kind for the licensee, therefore, the final shut-down decision and announcement of date took considerable time. This delay was caused due to the preparation of FDP and other associated documents as required under PAK/909. As a result, the plant remained under operating license even after permanent shut-down. Thus, establishment of a mechanism is needed under which it must be obligatory for the licensee to make proper planning for shut-down and decommissioning.</w:t>
      </w:r>
    </w:p>
    <w:p w14:paraId="19B6C586" w14:textId="77777777" w:rsidR="00231158" w:rsidRDefault="00231158" w:rsidP="00231158">
      <w:pPr>
        <w:pStyle w:val="BodyText"/>
        <w:numPr>
          <w:ilvl w:val="0"/>
          <w:numId w:val="38"/>
        </w:numPr>
        <w:spacing w:before="120" w:after="120"/>
        <w:ind w:left="0" w:firstLine="567"/>
        <w:contextualSpacing w:val="0"/>
      </w:pPr>
      <w:r>
        <w:t>PNRA</w:t>
      </w:r>
      <w:r w:rsidRPr="00FF5B7F">
        <w:t xml:space="preserve"> Regulations for Licensing of Nuclear Installations in Pakistan-PAK/909</w:t>
      </w:r>
      <w:r>
        <w:t xml:space="preserve"> requires that the licensee shall submit licensing documents and states that u</w:t>
      </w:r>
      <w:r w:rsidRPr="00752CFD">
        <w:t xml:space="preserve">pon approval of these documents, the Authority may terminate the operating license and issue license for decommissioning of the installation. </w:t>
      </w:r>
      <w:r>
        <w:t xml:space="preserve">However, these regulations do not define time period for the decommissioning license which in case of construction license and operation license is ten (10) years. Even the </w:t>
      </w:r>
      <w:r w:rsidRPr="002D1E69">
        <w:t xml:space="preserve">Regulations on Decommissioning of Facilities </w:t>
      </w:r>
      <w:r>
        <w:t>u</w:t>
      </w:r>
      <w:r w:rsidRPr="002D1E69">
        <w:t>sing Radioactive Material – (PAK/930)</w:t>
      </w:r>
      <w:r>
        <w:t xml:space="preserve"> do not provide any time frame or validity period for decommissioning license. Non-availability of such requirement certainly pose difficulty in making of decision for the time period of decommissioning license. Keeping this in view, PNRA concluded to make a license condition, requiring that t</w:t>
      </w:r>
      <w:r w:rsidRPr="009E58BF">
        <w:t>he licensee shall seek PNRA permission for proceeding to next phases of</w:t>
      </w:r>
      <w:r>
        <w:t xml:space="preserve"> </w:t>
      </w:r>
      <w:r w:rsidRPr="009E58BF">
        <w:t>decommissioning (</w:t>
      </w:r>
      <w:r>
        <w:t>i.e</w:t>
      </w:r>
      <w:r w:rsidRPr="009E58BF">
        <w:t>. SAFSTOR surveillance</w:t>
      </w:r>
      <w:r>
        <w:t>,</w:t>
      </w:r>
      <w:r w:rsidRPr="009E58BF">
        <w:t xml:space="preserve"> decontamination &amp; dismantling) by</w:t>
      </w:r>
      <w:r>
        <w:t xml:space="preserve"> </w:t>
      </w:r>
      <w:r w:rsidRPr="009E58BF">
        <w:t>demonstrating that all required activities of previous phase have been completed</w:t>
      </w:r>
      <w:r>
        <w:t xml:space="preserve"> </w:t>
      </w:r>
      <w:r w:rsidRPr="009E58BF">
        <w:t>safely. The application for seeking the permission shall accompany updates of</w:t>
      </w:r>
      <w:r>
        <w:t xml:space="preserve"> </w:t>
      </w:r>
      <w:r w:rsidRPr="009E58BF">
        <w:t>licensing submissions for decommissioning license and shall be submitted by licensee</w:t>
      </w:r>
      <w:r>
        <w:t xml:space="preserve"> </w:t>
      </w:r>
      <w:r w:rsidRPr="009E58BF">
        <w:t>at least one (01) year before the start of the next phase of decommissioning.</w:t>
      </w:r>
    </w:p>
    <w:p w14:paraId="13C4605A" w14:textId="77777777" w:rsidR="00231158" w:rsidRDefault="00231158" w:rsidP="00231158">
      <w:pPr>
        <w:pStyle w:val="BodyText"/>
        <w:numPr>
          <w:ilvl w:val="0"/>
          <w:numId w:val="38"/>
        </w:numPr>
        <w:spacing w:before="120" w:after="120"/>
        <w:ind w:left="0" w:firstLine="567"/>
        <w:contextualSpacing w:val="0"/>
      </w:pPr>
      <w:r w:rsidRPr="00520CD6">
        <w:t xml:space="preserve">Regulations on the Safety of Nuclear Power Plants Operation - (PAK/913) </w:t>
      </w:r>
      <w:r>
        <w:t xml:space="preserve">requires </w:t>
      </w:r>
      <w:r w:rsidRPr="00520CD6">
        <w:t>that a human resource program shall be developed for ensuring that sufficient motivated and qualified personnel are available for the safe operation of the plant up to final shutdown</w:t>
      </w:r>
      <w:r>
        <w:t xml:space="preserve"> </w:t>
      </w:r>
      <w:r w:rsidRPr="00520CD6">
        <w:t>and for carrying out the decommissioning activities of the plant</w:t>
      </w:r>
      <w:r w:rsidRPr="00434E3B">
        <w:t xml:space="preserve"> </w:t>
      </w:r>
      <w:r>
        <w:t xml:space="preserve">in </w:t>
      </w:r>
      <w:r w:rsidRPr="00520CD6">
        <w:t xml:space="preserve">a safe manner. During the operation of plant, there were six crews </w:t>
      </w:r>
      <w:r>
        <w:t xml:space="preserve">duly </w:t>
      </w:r>
      <w:r w:rsidRPr="00520CD6">
        <w:t>licensed by PNRA who were responsible for the operation of KANUPP. However, when the decommissioning license was issued</w:t>
      </w:r>
      <w:r>
        <w:t>, the licensee</w:t>
      </w:r>
      <w:r w:rsidRPr="00520CD6">
        <w:t xml:space="preserve"> submitted </w:t>
      </w:r>
      <w:r>
        <w:t xml:space="preserve">a </w:t>
      </w:r>
      <w:r w:rsidRPr="00520CD6">
        <w:t xml:space="preserve">new organogram with reduced manpower. </w:t>
      </w:r>
      <w:r>
        <w:t xml:space="preserve">It was not clear that whether the licensee has retained experienced crew to perform safety related activities like </w:t>
      </w:r>
      <w:r w:rsidRPr="00520CD6">
        <w:t>defueling and dewatering</w:t>
      </w:r>
      <w:r>
        <w:t xml:space="preserve"> of the plant. Therefore, there is a need that the licensee should consider retaining of experienced professionals for performing safety related activities.</w:t>
      </w:r>
      <w:r w:rsidRPr="00520CD6">
        <w:t xml:space="preserve"> </w:t>
      </w:r>
    </w:p>
    <w:p w14:paraId="6FB118C9" w14:textId="77777777" w:rsidR="00231158" w:rsidRDefault="00231158" w:rsidP="00231158">
      <w:pPr>
        <w:pStyle w:val="BodyText"/>
        <w:spacing w:before="120" w:after="120"/>
        <w:contextualSpacing w:val="0"/>
      </w:pPr>
      <w:r w:rsidRPr="00E130BD">
        <w:t>Similarly, the responsibility of safe operation lies with the plant manager under regulations PAK/913</w:t>
      </w:r>
      <w:r w:rsidRPr="007872BE">
        <w:t xml:space="preserve"> </w:t>
      </w:r>
      <w:r>
        <w:t>during plant</w:t>
      </w:r>
      <w:r w:rsidRPr="00E130BD">
        <w:t xml:space="preserve"> operati</w:t>
      </w:r>
      <w:r>
        <w:t>o</w:t>
      </w:r>
      <w:r w:rsidRPr="00E130BD">
        <w:t>n.</w:t>
      </w:r>
      <w:r>
        <w:t xml:space="preserve"> However, the </w:t>
      </w:r>
      <w:r w:rsidRPr="00E130BD">
        <w:t>plant manager</w:t>
      </w:r>
      <w:r>
        <w:t xml:space="preserve"> retired while the plant was still under the operating license and the management assigned the responsibility to </w:t>
      </w:r>
      <w:r w:rsidRPr="00E130BD">
        <w:t>the Decommissioning Project Manager</w:t>
      </w:r>
      <w:r>
        <w:t xml:space="preserve"> which was violation of the regulatory requirements. PNRA raised the issue and the licensee agreed to fulfil the requirements till the issuance of </w:t>
      </w:r>
      <w:r w:rsidRPr="00E130BD">
        <w:t>decommissioning license.</w:t>
      </w:r>
    </w:p>
    <w:p w14:paraId="7810CAC8" w14:textId="77777777" w:rsidR="00231158" w:rsidRDefault="00231158" w:rsidP="00231158">
      <w:pPr>
        <w:pStyle w:val="BodyText"/>
        <w:numPr>
          <w:ilvl w:val="0"/>
          <w:numId w:val="38"/>
        </w:numPr>
        <w:spacing w:before="120" w:after="120"/>
        <w:ind w:left="0" w:firstLine="567"/>
        <w:contextualSpacing w:val="0"/>
      </w:pPr>
      <w:r>
        <w:t>For the preparation of FDP, IAEA SRS 45 ‘Standard Format and Content for Safety Related Decommissioning Documents’ were considered the main standards, however, SRS 45 does not describe the level of information to be provided in each decommissioning phase. The issue was resolved through frequent dialogues and the licensee agreed to provide complete information of Phase-I activities and also possible available information on Phase-II and Phase-III activities in the FDP.</w:t>
      </w:r>
      <w:r w:rsidRPr="00BA54AD">
        <w:t xml:space="preserve"> </w:t>
      </w:r>
    </w:p>
    <w:p w14:paraId="37404CEC" w14:textId="77777777" w:rsidR="00231158" w:rsidRPr="00E610EF" w:rsidRDefault="00231158" w:rsidP="00231158">
      <w:pPr>
        <w:pStyle w:val="Heading2"/>
        <w:numPr>
          <w:ilvl w:val="1"/>
          <w:numId w:val="10"/>
        </w:numPr>
        <w:spacing w:before="200" w:beforeAutospacing="0" w:after="200" w:afterAutospacing="0"/>
        <w:rPr>
          <w:caps w:val="0"/>
        </w:rPr>
      </w:pPr>
      <w:r w:rsidRPr="0045248A">
        <w:t>Conclusion</w:t>
      </w:r>
      <w:r>
        <w:t xml:space="preserve"> AND </w:t>
      </w:r>
      <w:r w:rsidRPr="00C464CD">
        <w:t xml:space="preserve">Future </w:t>
      </w:r>
      <w:r>
        <w:t>ENDEAVOURS</w:t>
      </w:r>
    </w:p>
    <w:p w14:paraId="0D883BD9" w14:textId="6728DE88" w:rsidR="00F45EEE" w:rsidRPr="00662532" w:rsidRDefault="00231158" w:rsidP="00D77D4A">
      <w:pPr>
        <w:pStyle w:val="BodyText"/>
        <w:spacing w:after="120"/>
        <w:contextualSpacing w:val="0"/>
      </w:pPr>
      <w:r>
        <w:t>PNRA has established comprehensive regulatory framework for decommissioning of nuclear installation. Further, PNRA has developed a competent review team which worked dedicatedly and indigenously completed the review process within the stipulated time. Thus, PNRA was capable to issue the decommissioning license to KANUPP. During the licensing process, the challenges faced were resolved by utilizing the inhouse resources, international feedback and IAEA guidelines. However, it is recognized that PNRA may face some challenges in future like maintenance of record, retention of staff capabilities, hands on training of staff for decontamination and dismantling techniques &amp; technologies, knowledge of disposal of radioactive waste including high level waste in deep geological disposal facility, etc. Further, PNRA has to make decision to grant license to spent fuel dry storage facility as a separate entity. In this regard, PNRA may seek IAEA support for capacity building of its staff so that all related activities and decisions making may be performed appropriately.</w:t>
      </w:r>
      <w:bookmarkStart w:id="0" w:name="_GoBack"/>
      <w:bookmarkEnd w:id="0"/>
    </w:p>
    <w:sectPr w:rsidR="00F45EEE" w:rsidRPr="00662532" w:rsidSect="0026525A">
      <w:headerReference w:type="even" r:id="rId17"/>
      <w:headerReference w:type="default" r:id="rId18"/>
      <w:footerReference w:type="even" r:id="rId19"/>
      <w:footerReference w:type="default" r:id="rId20"/>
      <w:headerReference w:type="first" r:id="rId21"/>
      <w:footerReference w:type="first" r:id="rId22"/>
      <w:type w:val="oddPage"/>
      <w:pgSz w:w="11907" w:h="16840" w:code="9"/>
      <w:pgMar w:top="1440" w:right="1440" w:bottom="1440" w:left="1440" w:header="539" w:footer="9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6F3FC" w14:textId="77777777" w:rsidR="0031022B" w:rsidRDefault="0031022B">
      <w:r>
        <w:separator/>
      </w:r>
    </w:p>
  </w:endnote>
  <w:endnote w:type="continuationSeparator" w:id="0">
    <w:p w14:paraId="2556E74B" w14:textId="77777777" w:rsidR="0031022B" w:rsidRDefault="00310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B217E" w14:textId="77777777" w:rsidR="00E20E70" w:rsidRDefault="00E20E70">
    <w:pPr>
      <w:pStyle w:val="zyxClassification1"/>
    </w:pPr>
    <w:r>
      <w:fldChar w:fldCharType="begin"/>
    </w:r>
    <w:r>
      <w:instrText xml:space="preserve"> DOCPROPERTY "IaeaClassification"  \* MERGEFORMAT </w:instrText>
    </w:r>
    <w:r>
      <w:fldChar w:fldCharType="end"/>
    </w:r>
  </w:p>
  <w:p w14:paraId="18E0BCF6" w14:textId="77777777" w:rsidR="00E20E70" w:rsidRDefault="00E20E70">
    <w:pPr>
      <w:pStyle w:val="zyxClassification2"/>
    </w:pPr>
    <w:r>
      <w:fldChar w:fldCharType="begin"/>
    </w:r>
    <w:r>
      <w:instrText>DOCPROPERTY "IaeaClassification2"  \* MERGEFORMAT</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866CE" w14:textId="77777777" w:rsidR="00E20E70" w:rsidRDefault="00E20E70">
    <w:pPr>
      <w:pStyle w:val="zyxClassification1"/>
    </w:pPr>
    <w:r>
      <w:fldChar w:fldCharType="begin"/>
    </w:r>
    <w:r>
      <w:instrText xml:space="preserve"> DOCPROPERTY "IaeaClassification"  \* MERGEFORMAT </w:instrText>
    </w:r>
    <w:r>
      <w:fldChar w:fldCharType="end"/>
    </w:r>
  </w:p>
  <w:p w14:paraId="277CAA6E" w14:textId="2BEAED91" w:rsidR="00E20E70" w:rsidRPr="00037321" w:rsidRDefault="00037321">
    <w:pPr>
      <w:pStyle w:val="zyxClassification2"/>
      <w:rPr>
        <w:rFonts w:ascii="Times New Roman" w:hAnsi="Times New Roman" w:cs="Times New Roman"/>
        <w:sz w:val="20"/>
      </w:rPr>
    </w:pPr>
    <w:r w:rsidRPr="00037321">
      <w:rPr>
        <w:rFonts w:ascii="Times New Roman" w:hAnsi="Times New Roman" w:cs="Times New Roman"/>
        <w:sz w:val="20"/>
      </w:rPr>
      <w:fldChar w:fldCharType="begin"/>
    </w:r>
    <w:r w:rsidRPr="00037321">
      <w:rPr>
        <w:rFonts w:ascii="Times New Roman" w:hAnsi="Times New Roman" w:cs="Times New Roman"/>
        <w:sz w:val="20"/>
      </w:rPr>
      <w:instrText xml:space="preserve"> PAGE </w:instrText>
    </w:r>
    <w:r w:rsidRPr="00037321">
      <w:rPr>
        <w:rFonts w:ascii="Times New Roman" w:hAnsi="Times New Roman" w:cs="Times New Roman"/>
        <w:sz w:val="20"/>
      </w:rPr>
      <w:fldChar w:fldCharType="separate"/>
    </w:r>
    <w:r w:rsidR="00532A0F">
      <w:rPr>
        <w:rFonts w:ascii="Times New Roman" w:hAnsi="Times New Roman" w:cs="Times New Roman"/>
        <w:noProof/>
        <w:sz w:val="20"/>
      </w:rPr>
      <w:t>1</w:t>
    </w:r>
    <w:r w:rsidRPr="00037321">
      <w:rPr>
        <w:rFonts w:ascii="Times New Roman" w:hAnsi="Times New Roman" w:cs="Times New Roman"/>
        <w:sz w:val="20"/>
      </w:rPr>
      <w:fldChar w:fldCharType="end"/>
    </w:r>
    <w:r w:rsidR="00E20E70" w:rsidRPr="00037321">
      <w:rPr>
        <w:rFonts w:ascii="Times New Roman" w:hAnsi="Times New Roman" w:cs="Times New Roman"/>
        <w:sz w:val="20"/>
      </w:rPr>
      <w:fldChar w:fldCharType="begin"/>
    </w:r>
    <w:r w:rsidR="00E20E70" w:rsidRPr="00037321">
      <w:rPr>
        <w:rFonts w:ascii="Times New Roman" w:hAnsi="Times New Roman" w:cs="Times New Roman"/>
        <w:sz w:val="20"/>
      </w:rPr>
      <w:instrText>DOCPROPERTY "IaeaClassification2"  \* MERGEFORMAT</w:instrText>
    </w:r>
    <w:r w:rsidR="00E20E70" w:rsidRPr="00037321">
      <w:rPr>
        <w:rFonts w:ascii="Times New Roman" w:hAnsi="Times New Roman" w:cs="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90" w:tblpY="15707"/>
      <w:tblOverlap w:val="never"/>
      <w:tblW w:w="10314" w:type="dxa"/>
      <w:tblLook w:val="0000" w:firstRow="0" w:lastRow="0" w:firstColumn="0" w:lastColumn="0" w:noHBand="0" w:noVBand="0"/>
    </w:tblPr>
    <w:tblGrid>
      <w:gridCol w:w="4644"/>
      <w:gridCol w:w="5670"/>
    </w:tblGrid>
    <w:tr w:rsidR="00E20E70" w14:paraId="11914824" w14:textId="77777777">
      <w:trPr>
        <w:cantSplit/>
      </w:trPr>
      <w:tc>
        <w:tcPr>
          <w:tcW w:w="4644" w:type="dxa"/>
        </w:tcPr>
        <w:p w14:paraId="01922AC8" w14:textId="77777777" w:rsidR="00E20E70" w:rsidRDefault="00E20E70">
          <w:pPr>
            <w:pStyle w:val="zyxDistribution"/>
            <w:framePr w:wrap="auto" w:vAnchor="margin" w:hAnchor="text" w:xAlign="left" w:yAlign="inline"/>
            <w:suppressOverlap w:val="0"/>
          </w:pPr>
          <w:r>
            <w:fldChar w:fldCharType="begin"/>
          </w:r>
          <w:r>
            <w:instrText xml:space="preserve"> DOCPROPERTY "IaeaDistribution"  \* MERGEFORMAT </w:instrText>
          </w:r>
          <w:r>
            <w:fldChar w:fldCharType="end"/>
          </w:r>
        </w:p>
        <w:p w14:paraId="5F7FDA0D" w14:textId="77777777" w:rsidR="00E20E70" w:rsidRDefault="00E20E70">
          <w:pPr>
            <w:pStyle w:val="zyxSensitivity"/>
            <w:framePr w:wrap="auto" w:vAnchor="margin" w:hAnchor="text" w:xAlign="left" w:yAlign="inline"/>
            <w:suppressOverlap w:val="0"/>
          </w:pPr>
          <w:r>
            <w:fldChar w:fldCharType="begin"/>
          </w:r>
          <w:r>
            <w:instrText xml:space="preserve"> DOCPROPERTY "IaeaSensitivity"  \* MERGEFORMAT </w:instrText>
          </w:r>
          <w:r>
            <w:fldChar w:fldCharType="end"/>
          </w:r>
        </w:p>
      </w:tc>
      <w:bookmarkStart w:id="2" w:name="DOC_bkmClassification2"/>
      <w:tc>
        <w:tcPr>
          <w:tcW w:w="5670" w:type="dxa"/>
          <w:tcMar>
            <w:right w:w="249" w:type="dxa"/>
          </w:tcMar>
        </w:tcPr>
        <w:p w14:paraId="46DD02AF"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2"/>
        <w:p w14:paraId="27BCD056" w14:textId="77777777" w:rsidR="00E20E70" w:rsidRDefault="00E20E70">
          <w:pPr>
            <w:spacing w:after="20" w:line="220" w:lineRule="exact"/>
            <w:jc w:val="right"/>
            <w:rPr>
              <w:rFonts w:ascii="Arial" w:hAnsi="Arial" w:cs="Arial"/>
              <w:color w:val="FF0000"/>
            </w:rPr>
          </w:pPr>
          <w:r>
            <w:rPr>
              <w:rFonts w:ascii="Arial" w:hAnsi="Arial"/>
              <w:b/>
            </w:rPr>
            <w:fldChar w:fldCharType="begin"/>
          </w:r>
          <w:r>
            <w:rPr>
              <w:rFonts w:ascii="Arial" w:hAnsi="Arial"/>
              <w:b/>
            </w:rPr>
            <w:instrText>DOCPROPERTY "IaeaConfidentialAttachments"  \* MERGEFORMAT</w:instrText>
          </w:r>
          <w:r>
            <w:rPr>
              <w:rFonts w:ascii="Arial" w:hAnsi="Arial"/>
              <w:b/>
            </w:rPr>
            <w:fldChar w:fldCharType="end"/>
          </w:r>
          <w:r>
            <w:rPr>
              <w:rFonts w:ascii="Arial" w:hAnsi="Arial" w:cs="Arial"/>
              <w:color w:val="FF0000"/>
            </w:rPr>
            <w:fldChar w:fldCharType="begin"/>
          </w:r>
          <w:r>
            <w:rPr>
              <w:rFonts w:ascii="Arial" w:hAnsi="Arial" w:cs="Arial"/>
              <w:color w:val="FF0000"/>
            </w:rPr>
            <w:instrText>DOCPROPERTY "IaeaClassification2"  \* MERGEFORMAT</w:instrText>
          </w:r>
          <w:r>
            <w:rPr>
              <w:rFonts w:ascii="Arial" w:hAnsi="Arial" w:cs="Arial"/>
              <w:color w:val="FF0000"/>
            </w:rPr>
            <w:fldChar w:fldCharType="end"/>
          </w:r>
        </w:p>
      </w:tc>
    </w:tr>
  </w:tbl>
  <w:bookmarkStart w:id="3" w:name="DOC_bkmFileName"/>
  <w:p w14:paraId="0D8938D7" w14:textId="77777777" w:rsidR="00E20E70" w:rsidRDefault="00E20E70">
    <w:r>
      <w:rPr>
        <w:sz w:val="16"/>
      </w:rPr>
      <w:fldChar w:fldCharType="begin"/>
    </w:r>
    <w:r>
      <w:rPr>
        <w:sz w:val="16"/>
      </w:rPr>
      <w:instrText xml:space="preserve"> FILENAME \* MERGEFORMAT </w:instrText>
    </w:r>
    <w:r>
      <w:rPr>
        <w:sz w:val="16"/>
      </w:rPr>
      <w:fldChar w:fldCharType="separate"/>
    </w:r>
    <w:r w:rsidR="00EC10FC">
      <w:rPr>
        <w:noProof/>
        <w:sz w:val="16"/>
      </w:rPr>
      <w:t>Example paper.docx</w:t>
    </w:r>
    <w:r>
      <w:rPr>
        <w:sz w:val="16"/>
      </w:rPr>
      <w:fldChar w:fldCharType="end"/>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DC816" w14:textId="77777777" w:rsidR="0031022B" w:rsidRDefault="0031022B">
      <w:r>
        <w:t>___________________________________________________________________________</w:t>
      </w:r>
    </w:p>
  </w:footnote>
  <w:footnote w:type="continuationSeparator" w:id="0">
    <w:p w14:paraId="6AC7F1D6" w14:textId="77777777" w:rsidR="0031022B" w:rsidRDefault="0031022B">
      <w:r>
        <w:t>___________________________________________________________________________</w:t>
      </w:r>
    </w:p>
  </w:footnote>
  <w:footnote w:type="continuationNotice" w:id="1">
    <w:p w14:paraId="6C6D0DC4" w14:textId="77777777" w:rsidR="0031022B" w:rsidRDefault="003102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1813F" w14:textId="5499F659" w:rsidR="00E20E70" w:rsidRDefault="00E4118E" w:rsidP="00E4118E">
    <w:pPr>
      <w:pStyle w:val="Runninghead"/>
    </w:pPr>
    <w:r>
      <w:t>141</w:t>
    </w:r>
    <w:r w:rsidR="00CF7AF3">
      <w:tab/>
    </w:r>
    <w:r w:rsidR="00E20E70">
      <w:fldChar w:fldCharType="begin"/>
    </w:r>
    <w:r w:rsidR="00E20E70">
      <w:instrText xml:space="preserve"> DOCPROPERTY "IaeaClassification"  \* MERGEFORMAT </w:instrText>
    </w:r>
    <w:r w:rsidR="00E20E70">
      <w:fldChar w:fldCharType="end"/>
    </w:r>
  </w:p>
  <w:p w14:paraId="6F2819C9" w14:textId="77777777" w:rsidR="00E20E70" w:rsidRDefault="00E20E70">
    <w:pPr>
      <w:pStyle w:val="zyxClassification2"/>
    </w:pPr>
    <w:r>
      <w:fldChar w:fldCharType="begin"/>
    </w:r>
    <w:r>
      <w:instrText>DOCPROPERTY "IaeaClassification2"  \* MERGEFORMAT</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D203F" w14:textId="41B15D61" w:rsidR="00E20E70" w:rsidRDefault="00A8310D" w:rsidP="00B82FA5">
    <w:pPr>
      <w:pStyle w:val="Runninghead"/>
    </w:pPr>
    <w:r>
      <w:t>Javed Iqbal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horzAnchor="page" w:tblpX="1333" w:tblpY="228"/>
      <w:tblOverlap w:val="never"/>
      <w:tblW w:w="10319" w:type="dxa"/>
      <w:tblLayout w:type="fixed"/>
      <w:tblLook w:val="0000" w:firstRow="0" w:lastRow="0" w:firstColumn="0" w:lastColumn="0" w:noHBand="0" w:noVBand="0"/>
    </w:tblPr>
    <w:tblGrid>
      <w:gridCol w:w="979"/>
      <w:gridCol w:w="3638"/>
      <w:gridCol w:w="5702"/>
    </w:tblGrid>
    <w:tr w:rsidR="00E20E70" w14:paraId="65B84B39" w14:textId="77777777">
      <w:trPr>
        <w:cantSplit/>
        <w:trHeight w:val="716"/>
      </w:trPr>
      <w:tc>
        <w:tcPr>
          <w:tcW w:w="979" w:type="dxa"/>
          <w:vMerge w:val="restart"/>
        </w:tcPr>
        <w:p w14:paraId="2D948F13" w14:textId="77777777" w:rsidR="00E20E70" w:rsidRDefault="00E20E70">
          <w:pPr>
            <w:spacing w:before="180"/>
            <w:ind w:left="17"/>
          </w:pPr>
        </w:p>
      </w:tc>
      <w:tc>
        <w:tcPr>
          <w:tcW w:w="3638" w:type="dxa"/>
          <w:vAlign w:val="bottom"/>
        </w:tcPr>
        <w:p w14:paraId="3741A6CB" w14:textId="77777777" w:rsidR="00E20E70" w:rsidRDefault="00E20E70">
          <w:pPr>
            <w:spacing w:after="20"/>
          </w:pPr>
        </w:p>
      </w:tc>
      <w:bookmarkStart w:id="1" w:name="DOC_bkmClassification1"/>
      <w:tc>
        <w:tcPr>
          <w:tcW w:w="5702" w:type="dxa"/>
          <w:vMerge w:val="restart"/>
          <w:tcMar>
            <w:right w:w="193" w:type="dxa"/>
          </w:tcMar>
        </w:tcPr>
        <w:p w14:paraId="6CA879E2" w14:textId="77777777" w:rsidR="00E20E70" w:rsidRDefault="00E20E70">
          <w:pPr>
            <w:pStyle w:val="zyxConfidBlack"/>
            <w:framePr w:wrap="auto" w:vAnchor="margin" w:hAnchor="text" w:xAlign="left" w:yAlign="inline"/>
            <w:suppressOverlap w:val="0"/>
          </w:pPr>
          <w:r>
            <w:fldChar w:fldCharType="begin"/>
          </w:r>
          <w:r>
            <w:instrText xml:space="preserve"> DOCPROPERTY "IaeaClassification"  \* MERGEFORMAT </w:instrText>
          </w:r>
          <w:r>
            <w:fldChar w:fldCharType="end"/>
          </w:r>
        </w:p>
        <w:bookmarkEnd w:id="1"/>
        <w:p w14:paraId="1658BF87" w14:textId="77777777" w:rsidR="00E20E70" w:rsidRDefault="00E20E70">
          <w:pPr>
            <w:pStyle w:val="zyxConfid2Red"/>
          </w:pPr>
          <w:r>
            <w:fldChar w:fldCharType="begin"/>
          </w:r>
          <w:r>
            <w:instrText>DOCPROPERTY "IaeaClassification2"  \* MERGEFORMAT</w:instrText>
          </w:r>
          <w:r>
            <w:fldChar w:fldCharType="end"/>
          </w:r>
        </w:p>
      </w:tc>
    </w:tr>
    <w:tr w:rsidR="00E20E70" w14:paraId="12F4B44A" w14:textId="77777777">
      <w:trPr>
        <w:cantSplit/>
        <w:trHeight w:val="167"/>
      </w:trPr>
      <w:tc>
        <w:tcPr>
          <w:tcW w:w="979" w:type="dxa"/>
          <w:vMerge/>
        </w:tcPr>
        <w:p w14:paraId="6A2AB7D9" w14:textId="77777777" w:rsidR="00E20E70" w:rsidRDefault="00E20E70">
          <w:pPr>
            <w:spacing w:before="57"/>
          </w:pPr>
        </w:p>
      </w:tc>
      <w:tc>
        <w:tcPr>
          <w:tcW w:w="3638" w:type="dxa"/>
          <w:vAlign w:val="bottom"/>
        </w:tcPr>
        <w:p w14:paraId="03DC007D" w14:textId="77777777" w:rsidR="00E20E70" w:rsidRDefault="00E20E70">
          <w:pPr>
            <w:pStyle w:val="Heading9"/>
            <w:spacing w:before="0" w:after="10"/>
          </w:pPr>
        </w:p>
      </w:tc>
      <w:tc>
        <w:tcPr>
          <w:tcW w:w="5702" w:type="dxa"/>
          <w:vMerge/>
          <w:vAlign w:val="bottom"/>
        </w:tcPr>
        <w:p w14:paraId="2A0B6A2B" w14:textId="77777777" w:rsidR="00E20E70" w:rsidRDefault="00E20E70">
          <w:pPr>
            <w:pStyle w:val="Heading9"/>
            <w:spacing w:before="0" w:after="10"/>
          </w:pPr>
        </w:p>
      </w:tc>
    </w:tr>
  </w:tbl>
  <w:p w14:paraId="50B524FE" w14:textId="77777777" w:rsidR="00E20E70" w:rsidRDefault="00E20E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B0123"/>
    <w:multiLevelType w:val="hybridMultilevel"/>
    <w:tmpl w:val="8410E2D2"/>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15:restartNumberingAfterBreak="0">
    <w:nsid w:val="0A271E86"/>
    <w:multiLevelType w:val="multilevel"/>
    <w:tmpl w:val="A08A77C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A24264"/>
    <w:multiLevelType w:val="multilevel"/>
    <w:tmpl w:val="F1EC865C"/>
    <w:lvl w:ilvl="0">
      <w:start w:val="1"/>
      <w:numFmt w:val="decimal"/>
      <w:pStyle w:val="AgendaList"/>
      <w:lvlText w:val="%1."/>
      <w:lvlJc w:val="left"/>
      <w:pPr>
        <w:tabs>
          <w:tab w:val="num" w:pos="459"/>
        </w:tabs>
        <w:ind w:left="45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19"/>
        </w:tabs>
        <w:ind w:left="919" w:hanging="459"/>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378"/>
        </w:tabs>
        <w:ind w:left="1378" w:hanging="459"/>
      </w:pPr>
      <w:rPr>
        <w:rFonts w:asci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811"/>
        </w:tabs>
        <w:ind w:left="811" w:hanging="360"/>
      </w:pPr>
      <w:rPr>
        <w:rFonts w:hint="default"/>
      </w:rPr>
    </w:lvl>
    <w:lvl w:ilvl="4">
      <w:start w:val="1"/>
      <w:numFmt w:val="lowerLetter"/>
      <w:lvlText w:val="(%5)"/>
      <w:lvlJc w:val="left"/>
      <w:pPr>
        <w:tabs>
          <w:tab w:val="num" w:pos="1171"/>
        </w:tabs>
        <w:ind w:left="1171" w:hanging="360"/>
      </w:pPr>
      <w:rPr>
        <w:rFonts w:hint="default"/>
      </w:rPr>
    </w:lvl>
    <w:lvl w:ilvl="5">
      <w:start w:val="1"/>
      <w:numFmt w:val="lowerRoman"/>
      <w:lvlText w:val="(%6)"/>
      <w:lvlJc w:val="left"/>
      <w:pPr>
        <w:tabs>
          <w:tab w:val="num" w:pos="1531"/>
        </w:tabs>
        <w:ind w:left="1531" w:hanging="360"/>
      </w:pPr>
      <w:rPr>
        <w:rFonts w:hint="default"/>
      </w:rPr>
    </w:lvl>
    <w:lvl w:ilvl="6">
      <w:start w:val="1"/>
      <w:numFmt w:val="decimal"/>
      <w:lvlText w:val="%7."/>
      <w:lvlJc w:val="left"/>
      <w:pPr>
        <w:tabs>
          <w:tab w:val="num" w:pos="1891"/>
        </w:tabs>
        <w:ind w:left="1891" w:hanging="360"/>
      </w:pPr>
      <w:rPr>
        <w:rFonts w:hint="default"/>
      </w:rPr>
    </w:lvl>
    <w:lvl w:ilvl="7">
      <w:start w:val="1"/>
      <w:numFmt w:val="lowerLetter"/>
      <w:lvlText w:val="%8."/>
      <w:lvlJc w:val="left"/>
      <w:pPr>
        <w:tabs>
          <w:tab w:val="num" w:pos="2251"/>
        </w:tabs>
        <w:ind w:left="2251" w:hanging="360"/>
      </w:pPr>
      <w:rPr>
        <w:rFonts w:hint="default"/>
      </w:rPr>
    </w:lvl>
    <w:lvl w:ilvl="8">
      <w:start w:val="1"/>
      <w:numFmt w:val="lowerRoman"/>
      <w:lvlText w:val="%9."/>
      <w:lvlJc w:val="left"/>
      <w:pPr>
        <w:tabs>
          <w:tab w:val="num" w:pos="2611"/>
        </w:tabs>
        <w:ind w:left="2611" w:hanging="360"/>
      </w:pPr>
      <w:rPr>
        <w:rFonts w:hint="default"/>
      </w:rPr>
    </w:lvl>
  </w:abstractNum>
  <w:abstractNum w:abstractNumId="3" w15:restartNumberingAfterBreak="0">
    <w:nsid w:val="179F5671"/>
    <w:multiLevelType w:val="hybridMultilevel"/>
    <w:tmpl w:val="67246400"/>
    <w:name w:val="HeadingTemplate2"/>
    <w:lvl w:ilvl="0" w:tplc="EDCE82DC">
      <w:start w:val="1"/>
      <w:numFmt w:val="bullet"/>
      <w:pStyle w:val="ListEmdash"/>
      <w:lvlText w:val="—"/>
      <w:lvlJc w:val="left"/>
      <w:pPr>
        <w:ind w:left="1287" w:hanging="360"/>
      </w:pPr>
      <w:rPr>
        <w:rFonts w:ascii="Times New Roman" w:hAnsi="Times New Roman" w:cs="Times New Roman"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1CE663AE"/>
    <w:multiLevelType w:val="hybridMultilevel"/>
    <w:tmpl w:val="2BB4F1C6"/>
    <w:name w:val="HeadingTemplate22"/>
    <w:lvl w:ilvl="0" w:tplc="DB862C6E">
      <w:start w:val="1"/>
      <w:numFmt w:val="lowerLetter"/>
      <w:pStyle w:val="ListNumbered"/>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83872"/>
    <w:multiLevelType w:val="hybridMultilevel"/>
    <w:tmpl w:val="3170DCCE"/>
    <w:lvl w:ilvl="0" w:tplc="3FF29240">
      <w:start w:val="1"/>
      <w:numFmt w:val="bullet"/>
      <w:pStyle w:val="BodyTextSummary"/>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150B8"/>
    <w:multiLevelType w:val="hybridMultilevel"/>
    <w:tmpl w:val="6E0AD082"/>
    <w:lvl w:ilvl="0" w:tplc="6FB05162">
      <w:start w:val="1"/>
      <w:numFmt w:val="lowerLetter"/>
      <w:lvlText w:val="(%1)."/>
      <w:lvlJc w:val="right"/>
      <w:pPr>
        <w:ind w:left="927" w:hanging="360"/>
      </w:pPr>
      <w:rPr>
        <w:rFonts w:hint="default"/>
        <w:b w:val="0"/>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7" w15:restartNumberingAfterBreak="0">
    <w:nsid w:val="2A1351A6"/>
    <w:multiLevelType w:val="hybridMultilevel"/>
    <w:tmpl w:val="2D30F834"/>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30C540B8"/>
    <w:multiLevelType w:val="hybridMultilevel"/>
    <w:tmpl w:val="EA742534"/>
    <w:lvl w:ilvl="0" w:tplc="FF68CE92">
      <w:start w:val="1"/>
      <w:numFmt w:val="bullet"/>
      <w:pStyle w:val="ListBulleted"/>
      <w:lvlText w:val=""/>
      <w:lvlJc w:val="left"/>
      <w:pPr>
        <w:tabs>
          <w:tab w:val="num" w:pos="1179"/>
        </w:tabs>
        <w:ind w:left="1179" w:hanging="360"/>
      </w:pPr>
      <w:rPr>
        <w:rFonts w:ascii="Symbol" w:hAnsi="Symbol" w:hint="default"/>
      </w:rPr>
    </w:lvl>
    <w:lvl w:ilvl="1" w:tplc="04090003" w:tentative="1">
      <w:start w:val="1"/>
      <w:numFmt w:val="bullet"/>
      <w:lvlText w:val="o"/>
      <w:lvlJc w:val="left"/>
      <w:pPr>
        <w:tabs>
          <w:tab w:val="num" w:pos="1899"/>
        </w:tabs>
        <w:ind w:left="1899" w:hanging="360"/>
      </w:pPr>
      <w:rPr>
        <w:rFonts w:ascii="Courier New" w:hAnsi="Courier New" w:hint="default"/>
      </w:rPr>
    </w:lvl>
    <w:lvl w:ilvl="2" w:tplc="04090005" w:tentative="1">
      <w:start w:val="1"/>
      <w:numFmt w:val="bullet"/>
      <w:lvlText w:val=""/>
      <w:lvlJc w:val="left"/>
      <w:pPr>
        <w:tabs>
          <w:tab w:val="num" w:pos="2619"/>
        </w:tabs>
        <w:ind w:left="2619" w:hanging="360"/>
      </w:pPr>
      <w:rPr>
        <w:rFonts w:ascii="Wingdings" w:hAnsi="Wingdings" w:hint="default"/>
      </w:rPr>
    </w:lvl>
    <w:lvl w:ilvl="3" w:tplc="04090001" w:tentative="1">
      <w:start w:val="1"/>
      <w:numFmt w:val="bullet"/>
      <w:lvlText w:val=""/>
      <w:lvlJc w:val="left"/>
      <w:pPr>
        <w:tabs>
          <w:tab w:val="num" w:pos="3339"/>
        </w:tabs>
        <w:ind w:left="3339" w:hanging="360"/>
      </w:pPr>
      <w:rPr>
        <w:rFonts w:ascii="Symbol" w:hAnsi="Symbol" w:hint="default"/>
      </w:rPr>
    </w:lvl>
    <w:lvl w:ilvl="4" w:tplc="04090003" w:tentative="1">
      <w:start w:val="1"/>
      <w:numFmt w:val="bullet"/>
      <w:lvlText w:val="o"/>
      <w:lvlJc w:val="left"/>
      <w:pPr>
        <w:tabs>
          <w:tab w:val="num" w:pos="4059"/>
        </w:tabs>
        <w:ind w:left="4059" w:hanging="360"/>
      </w:pPr>
      <w:rPr>
        <w:rFonts w:ascii="Courier New" w:hAnsi="Courier New" w:hint="default"/>
      </w:rPr>
    </w:lvl>
    <w:lvl w:ilvl="5" w:tplc="04090005" w:tentative="1">
      <w:start w:val="1"/>
      <w:numFmt w:val="bullet"/>
      <w:lvlText w:val=""/>
      <w:lvlJc w:val="left"/>
      <w:pPr>
        <w:tabs>
          <w:tab w:val="num" w:pos="4779"/>
        </w:tabs>
        <w:ind w:left="4779" w:hanging="360"/>
      </w:pPr>
      <w:rPr>
        <w:rFonts w:ascii="Wingdings" w:hAnsi="Wingdings" w:hint="default"/>
      </w:rPr>
    </w:lvl>
    <w:lvl w:ilvl="6" w:tplc="04090001" w:tentative="1">
      <w:start w:val="1"/>
      <w:numFmt w:val="bullet"/>
      <w:lvlText w:val=""/>
      <w:lvlJc w:val="left"/>
      <w:pPr>
        <w:tabs>
          <w:tab w:val="num" w:pos="5499"/>
        </w:tabs>
        <w:ind w:left="5499" w:hanging="360"/>
      </w:pPr>
      <w:rPr>
        <w:rFonts w:ascii="Symbol" w:hAnsi="Symbol" w:hint="default"/>
      </w:rPr>
    </w:lvl>
    <w:lvl w:ilvl="7" w:tplc="04090003" w:tentative="1">
      <w:start w:val="1"/>
      <w:numFmt w:val="bullet"/>
      <w:lvlText w:val="o"/>
      <w:lvlJc w:val="left"/>
      <w:pPr>
        <w:tabs>
          <w:tab w:val="num" w:pos="6219"/>
        </w:tabs>
        <w:ind w:left="6219" w:hanging="360"/>
      </w:pPr>
      <w:rPr>
        <w:rFonts w:ascii="Courier New" w:hAnsi="Courier New" w:hint="default"/>
      </w:rPr>
    </w:lvl>
    <w:lvl w:ilvl="8" w:tplc="04090005" w:tentative="1">
      <w:start w:val="1"/>
      <w:numFmt w:val="bullet"/>
      <w:lvlText w:val=""/>
      <w:lvlJc w:val="left"/>
      <w:pPr>
        <w:tabs>
          <w:tab w:val="num" w:pos="6939"/>
        </w:tabs>
        <w:ind w:left="6939" w:hanging="360"/>
      </w:pPr>
      <w:rPr>
        <w:rFonts w:ascii="Wingdings" w:hAnsi="Wingdings" w:hint="default"/>
      </w:rPr>
    </w:lvl>
  </w:abstractNum>
  <w:abstractNum w:abstractNumId="9" w15:restartNumberingAfterBreak="0">
    <w:nsid w:val="35CC0563"/>
    <w:multiLevelType w:val="hybridMultilevel"/>
    <w:tmpl w:val="87762ADA"/>
    <w:lvl w:ilvl="0" w:tplc="03D44C6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18048A"/>
    <w:multiLevelType w:val="hybridMultilevel"/>
    <w:tmpl w:val="1642268C"/>
    <w:name w:val="HeadingTemplate222"/>
    <w:lvl w:ilvl="0" w:tplc="309A0324">
      <w:start w:val="1"/>
      <w:numFmt w:val="decimal"/>
      <w:pStyle w:val="Reference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17250B"/>
    <w:multiLevelType w:val="multilevel"/>
    <w:tmpl w:val="CC8CC4DE"/>
    <w:name w:val="MultilevelTemplate"/>
    <w:lvl w:ilvl="0">
      <w:start w:val="1"/>
      <w:numFmt w:val="decimal"/>
      <w:lvlRestart w:val="0"/>
      <w:pStyle w:val="BodyTextMultiline"/>
      <w:lvlText w:val="%1."/>
      <w:lvlJc w:val="left"/>
      <w:pPr>
        <w:tabs>
          <w:tab w:val="num" w:pos="459"/>
        </w:tabs>
        <w:ind w:left="0" w:firstLine="0"/>
      </w:pPr>
    </w:lvl>
    <w:lvl w:ilvl="1">
      <w:start w:val="1"/>
      <w:numFmt w:val="decimal"/>
      <w:lvlText w:val="%1.%2."/>
      <w:lvlJc w:val="left"/>
      <w:pPr>
        <w:tabs>
          <w:tab w:val="num" w:pos="918"/>
        </w:tabs>
        <w:ind w:left="459" w:firstLine="0"/>
      </w:pPr>
    </w:lvl>
    <w:lvl w:ilvl="2">
      <w:start w:val="1"/>
      <w:numFmt w:val="decimal"/>
      <w:lvlText w:val="%1.%2.%3."/>
      <w:lvlJc w:val="left"/>
      <w:pPr>
        <w:tabs>
          <w:tab w:val="num" w:pos="1378"/>
        </w:tabs>
        <w:ind w:left="918" w:firstLine="0"/>
      </w:pPr>
    </w:lvl>
    <w:lvl w:ilvl="3">
      <w:start w:val="1"/>
      <w:numFmt w:val="decimal"/>
      <w:lvlText w:val="%1.%2.%3.%4."/>
      <w:lvlJc w:val="left"/>
      <w:pPr>
        <w:tabs>
          <w:tab w:val="num" w:pos="1837"/>
        </w:tabs>
        <w:ind w:left="1378" w:firstLine="0"/>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2" w15:restartNumberingAfterBreak="0">
    <w:nsid w:val="59EA217A"/>
    <w:multiLevelType w:val="hybridMultilevel"/>
    <w:tmpl w:val="7DCEBCBE"/>
    <w:lvl w:ilvl="0" w:tplc="C1DCCBEE">
      <w:start w:val="1"/>
      <w:numFmt w:val="bullet"/>
      <w:lvlText w:val="-"/>
      <w:lvlJc w:val="left"/>
      <w:pPr>
        <w:tabs>
          <w:tab w:val="num" w:pos="919"/>
        </w:tabs>
        <w:ind w:left="919" w:hanging="460"/>
      </w:pPr>
      <w:rPr>
        <w:rFonts w:ascii="Times New Roman" w:hAnsi="Times New Roman" w:cs="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8452E"/>
    <w:multiLevelType w:val="hybridMultilevel"/>
    <w:tmpl w:val="90CEA4E4"/>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4" w15:restartNumberingAfterBreak="0">
    <w:nsid w:val="6E8252C9"/>
    <w:multiLevelType w:val="hybridMultilevel"/>
    <w:tmpl w:val="B43A93BA"/>
    <w:lvl w:ilvl="0" w:tplc="CFBE2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D51093"/>
    <w:multiLevelType w:val="multilevel"/>
    <w:tmpl w:val="D8FA943C"/>
    <w:name w:val="HeadingTemplate"/>
    <w:lvl w:ilvl="0">
      <w:start w:val="1"/>
      <w:numFmt w:val="none"/>
      <w:lvlRestart w:val="0"/>
      <w:lvlText w:val=""/>
      <w:lvlJc w:val="left"/>
      <w:pPr>
        <w:tabs>
          <w:tab w:val="num" w:pos="459"/>
        </w:tabs>
        <w:ind w:left="0" w:firstLine="0"/>
      </w:pPr>
      <w:rPr>
        <w:rFonts w:hint="default"/>
      </w:rPr>
    </w:lvl>
    <w:lvl w:ilvl="1">
      <w:start w:val="1"/>
      <w:numFmt w:val="decimal"/>
      <w:lvlRestart w:val="0"/>
      <w:pStyle w:val="Heading2"/>
      <w:suff w:val="space"/>
      <w:lvlText w:val="%1%2."/>
      <w:lvlJc w:val="left"/>
      <w:pPr>
        <w:ind w:left="0" w:firstLine="0"/>
      </w:pPr>
      <w:rPr>
        <w:rFonts w:hint="default"/>
        <w:color w:val="auto"/>
      </w:rPr>
    </w:lvl>
    <w:lvl w:ilvl="2">
      <w:start w:val="1"/>
      <w:numFmt w:val="decimal"/>
      <w:lvlRestart w:val="0"/>
      <w:pStyle w:val="Heading3"/>
      <w:lvlText w:val="%1%2.%3."/>
      <w:lvlJc w:val="left"/>
      <w:pPr>
        <w:ind w:left="0" w:firstLine="0"/>
      </w:pPr>
      <w:rPr>
        <w:rFonts w:hint="default"/>
      </w:rPr>
    </w:lvl>
    <w:lvl w:ilvl="3">
      <w:start w:val="1"/>
      <w:numFmt w:val="decimal"/>
      <w:lvlRestart w:val="0"/>
      <w:pStyle w:val="Heading4"/>
      <w:lvlText w:val="%2.%3.%4."/>
      <w:lvlJc w:val="left"/>
      <w:pPr>
        <w:ind w:left="1701" w:firstLine="0"/>
      </w:pPr>
      <w:rPr>
        <w:rFonts w:hint="default"/>
      </w:rPr>
    </w:lvl>
    <w:lvl w:ilvl="4">
      <w:start w:val="1"/>
      <w:numFmt w:val="lowerLetter"/>
      <w:lvlRestart w:val="0"/>
      <w:lvlText w:val="%1(%5)"/>
      <w:lvlJc w:val="left"/>
      <w:pPr>
        <w:tabs>
          <w:tab w:val="num" w:pos="3345"/>
        </w:tabs>
        <w:ind w:left="2268" w:firstLine="0"/>
      </w:pPr>
      <w:rPr>
        <w:rFonts w:hint="default"/>
        <w:sz w:val="20"/>
      </w:rPr>
    </w:lvl>
    <w:lvl w:ilvl="5">
      <w:start w:val="1"/>
      <w:numFmt w:val="decimal"/>
      <w:lvlText w:val="%1.%2.%3.%4.%5.%6"/>
      <w:lvlJc w:val="left"/>
      <w:pPr>
        <w:tabs>
          <w:tab w:val="num" w:pos="3912"/>
        </w:tabs>
        <w:ind w:left="2835" w:firstLine="0"/>
      </w:pPr>
      <w:rPr>
        <w:rFonts w:hint="default"/>
      </w:rPr>
    </w:lvl>
    <w:lvl w:ilvl="6">
      <w:start w:val="1"/>
      <w:numFmt w:val="decimal"/>
      <w:lvlText w:val="%1.%2.%3.%4.%5.%6.%7"/>
      <w:lvlJc w:val="left"/>
      <w:pPr>
        <w:tabs>
          <w:tab w:val="num" w:pos="2432"/>
        </w:tabs>
        <w:ind w:left="2432" w:hanging="1298"/>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6"/>
        </w:tabs>
        <w:ind w:left="2716" w:hanging="1582"/>
      </w:pPr>
      <w:rPr>
        <w:rFonts w:hint="default"/>
      </w:rPr>
    </w:lvl>
  </w:abstractNum>
  <w:abstractNum w:abstractNumId="16" w15:restartNumberingAfterBreak="0">
    <w:nsid w:val="7665634F"/>
    <w:multiLevelType w:val="hybridMultilevel"/>
    <w:tmpl w:val="34482B46"/>
    <w:lvl w:ilvl="0" w:tplc="4A587E7C">
      <w:start w:val="1"/>
      <w:numFmt w:val="decimal"/>
      <w:lvlText w:val="%1."/>
      <w:lvlJc w:val="left"/>
      <w:pPr>
        <w:tabs>
          <w:tab w:val="num" w:pos="919"/>
        </w:tabs>
        <w:ind w:left="919" w:hanging="460"/>
      </w:pPr>
      <w:rPr>
        <w:rFonts w:ascii="Times New Roman" w:hAnsi="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76942DA"/>
    <w:multiLevelType w:val="hybridMultilevel"/>
    <w:tmpl w:val="EE1676A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5"/>
  </w:num>
  <w:num w:numId="4">
    <w:abstractNumId w:val="15"/>
  </w:num>
  <w:num w:numId="5">
    <w:abstractNumId w:val="15"/>
  </w:num>
  <w:num w:numId="6">
    <w:abstractNumId w:val="8"/>
  </w:num>
  <w:num w:numId="7">
    <w:abstractNumId w:val="12"/>
  </w:num>
  <w:num w:numId="8">
    <w:abstractNumId w:val="16"/>
  </w:num>
  <w:num w:numId="9">
    <w:abstractNumId w:val="2"/>
  </w:num>
  <w:num w:numId="10">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lvlText w:val="%1%2."/>
        <w:lvlJc w:val="left"/>
        <w:pPr>
          <w:ind w:left="0" w:firstLine="0"/>
        </w:pPr>
        <w:rPr>
          <w:rFonts w:hint="default"/>
          <w:color w:val="auto"/>
        </w:rPr>
      </w:lvl>
    </w:lvlOverride>
    <w:lvlOverride w:ilvl="2">
      <w:lvl w:ilvl="2">
        <w:start w:val="1"/>
        <w:numFmt w:val="decimal"/>
        <w:lvlRestart w:val="0"/>
        <w:pStyle w:val="Heading3"/>
        <w:lvlText w:val="%1%2.%3."/>
        <w:lvlJc w:val="left"/>
        <w:pPr>
          <w:ind w:left="0" w:firstLine="0"/>
        </w:pPr>
        <w:rPr>
          <w:rFonts w:hint="default"/>
        </w:rPr>
      </w:lvl>
    </w:lvlOverride>
    <w:lvlOverride w:ilvl="3">
      <w:lvl w:ilvl="3">
        <w:start w:val="1"/>
        <w:numFmt w:val="none"/>
        <w:lvlRestart w:val="0"/>
        <w:pStyle w:val="Heading4"/>
        <w:lvlText w:val=""/>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1">
    <w:abstractNumId w:val="15"/>
  </w:num>
  <w:num w:numId="12">
    <w:abstractNumId w:val="15"/>
  </w:num>
  <w:num w:numId="13">
    <w:abstractNumId w:val="15"/>
  </w:num>
  <w:num w:numId="14">
    <w:abstractNumId w:val="15"/>
    <w:lvlOverride w:ilvl="0">
      <w:lvl w:ilvl="0">
        <w:start w:val="1"/>
        <w:numFmt w:val="none"/>
        <w:lvlRestart w:val="0"/>
        <w:lvlText w:val=""/>
        <w:lvlJc w:val="left"/>
        <w:pPr>
          <w:tabs>
            <w:tab w:val="num" w:pos="459"/>
          </w:tabs>
          <w:ind w:left="0" w:firstLine="0"/>
        </w:pPr>
        <w:rPr>
          <w:rFonts w:hint="default"/>
        </w:rPr>
      </w:lvl>
    </w:lvlOverride>
    <w:lvlOverride w:ilvl="1">
      <w:lvl w:ilvl="1">
        <w:start w:val="1"/>
        <w:numFmt w:val="decimal"/>
        <w:lvlRestart w:val="0"/>
        <w:pStyle w:val="Heading2"/>
        <w:suff w:val="space"/>
        <w:lvlText w:val="%1%2."/>
        <w:lvlJc w:val="left"/>
        <w:pPr>
          <w:ind w:left="0" w:firstLine="0"/>
        </w:pPr>
        <w:rPr>
          <w:rFonts w:hint="default"/>
          <w:color w:val="auto"/>
        </w:rPr>
      </w:lvl>
    </w:lvlOverride>
    <w:lvlOverride w:ilvl="2">
      <w:lvl w:ilvl="2">
        <w:start w:val="1"/>
        <w:numFmt w:val="decimal"/>
        <w:lvlRestart w:val="0"/>
        <w:pStyle w:val="Heading3"/>
        <w:suff w:val="space"/>
        <w:lvlText w:val="%1%2.%3."/>
        <w:lvlJc w:val="left"/>
        <w:pPr>
          <w:ind w:left="0" w:firstLine="0"/>
        </w:pPr>
        <w:rPr>
          <w:rFonts w:hint="default"/>
        </w:rPr>
      </w:lvl>
    </w:lvlOverride>
    <w:lvlOverride w:ilvl="3">
      <w:lvl w:ilvl="3">
        <w:start w:val="1"/>
        <w:numFmt w:val="decimal"/>
        <w:lvlRestart w:val="0"/>
        <w:pStyle w:val="Heading4"/>
        <w:lvlText w:val="%2.%3.%4"/>
        <w:lvlJc w:val="left"/>
        <w:pPr>
          <w:tabs>
            <w:tab w:val="num" w:pos="2058"/>
          </w:tabs>
          <w:ind w:left="1701" w:firstLine="0"/>
        </w:pPr>
        <w:rPr>
          <w:rFonts w:hint="default"/>
        </w:rPr>
      </w:lvl>
    </w:lvlOverride>
    <w:lvlOverride w:ilvl="4">
      <w:lvl w:ilvl="4">
        <w:start w:val="1"/>
        <w:numFmt w:val="lowerLetter"/>
        <w:lvlRestart w:val="0"/>
        <w:lvlText w:val="%1(%5)"/>
        <w:lvlJc w:val="left"/>
        <w:pPr>
          <w:tabs>
            <w:tab w:val="num" w:pos="3345"/>
          </w:tabs>
          <w:ind w:left="2268" w:firstLine="0"/>
        </w:pPr>
        <w:rPr>
          <w:rFonts w:hint="default"/>
          <w:sz w:val="20"/>
        </w:rPr>
      </w:lvl>
    </w:lvlOverride>
    <w:lvlOverride w:ilvl="5">
      <w:lvl w:ilvl="5">
        <w:start w:val="1"/>
        <w:numFmt w:val="decimal"/>
        <w:lvlText w:val="%1.%2.%3.%4.%5.%6"/>
        <w:lvlJc w:val="left"/>
        <w:pPr>
          <w:tabs>
            <w:tab w:val="num" w:pos="3912"/>
          </w:tabs>
          <w:ind w:left="2835" w:firstLine="0"/>
        </w:pPr>
        <w:rPr>
          <w:rFonts w:hint="default"/>
        </w:rPr>
      </w:lvl>
    </w:lvlOverride>
    <w:lvlOverride w:ilvl="6">
      <w:lvl w:ilvl="6">
        <w:start w:val="1"/>
        <w:numFmt w:val="decimal"/>
        <w:lvlText w:val="%1.%2.%3.%4.%5.%6.%7"/>
        <w:lvlJc w:val="left"/>
        <w:pPr>
          <w:tabs>
            <w:tab w:val="num" w:pos="2432"/>
          </w:tabs>
          <w:ind w:left="2432" w:hanging="1298"/>
        </w:pPr>
        <w:rPr>
          <w:rFonts w:hint="default"/>
        </w:rPr>
      </w:lvl>
    </w:lvlOverride>
    <w:lvlOverride w:ilvl="7">
      <w:lvl w:ilvl="7">
        <w:start w:val="1"/>
        <w:numFmt w:val="decimal"/>
        <w:lvlText w:val="%1.%2.%3.%4.%5.%6.%7.%8"/>
        <w:lvlJc w:val="left"/>
        <w:pPr>
          <w:tabs>
            <w:tab w:val="num" w:pos="2574"/>
          </w:tabs>
          <w:ind w:left="2574" w:hanging="1440"/>
        </w:pPr>
        <w:rPr>
          <w:rFonts w:hint="default"/>
        </w:rPr>
      </w:lvl>
    </w:lvlOverride>
    <w:lvlOverride w:ilvl="8">
      <w:lvl w:ilvl="8">
        <w:start w:val="1"/>
        <w:numFmt w:val="decimal"/>
        <w:lvlText w:val="%1.%2.%3.%4.%5.%6.%7.%8.%9"/>
        <w:lvlJc w:val="left"/>
        <w:pPr>
          <w:tabs>
            <w:tab w:val="num" w:pos="2716"/>
          </w:tabs>
          <w:ind w:left="2716" w:hanging="1582"/>
        </w:pPr>
        <w:rPr>
          <w:rFonts w:hint="default"/>
        </w:rPr>
      </w:lvl>
    </w:lvlOverride>
  </w:num>
  <w:num w:numId="15">
    <w:abstractNumId w:val="15"/>
  </w:num>
  <w:num w:numId="16">
    <w:abstractNumId w:val="15"/>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3"/>
  </w:num>
  <w:num w:numId="21">
    <w:abstractNumId w:val="15"/>
  </w:num>
  <w:num w:numId="22">
    <w:abstractNumId w:val="4"/>
  </w:num>
  <w:num w:numId="23">
    <w:abstractNumId w:val="1"/>
  </w:num>
  <w:num w:numId="24">
    <w:abstractNumId w:val="14"/>
  </w:num>
  <w:num w:numId="25">
    <w:abstractNumId w:val="15"/>
  </w:num>
  <w:num w:numId="26">
    <w:abstractNumId w:val="15"/>
  </w:num>
  <w:num w:numId="27">
    <w:abstractNumId w:val="15"/>
  </w:num>
  <w:num w:numId="28">
    <w:abstractNumId w:val="15"/>
  </w:num>
  <w:num w:numId="29">
    <w:abstractNumId w:val="15"/>
  </w:num>
  <w:num w:numId="30">
    <w:abstractNumId w:val="10"/>
  </w:num>
  <w:num w:numId="31">
    <w:abstractNumId w:val="10"/>
  </w:num>
  <w:num w:numId="32">
    <w:abstractNumId w:val="15"/>
  </w:num>
  <w:num w:numId="33">
    <w:abstractNumId w:val="17"/>
  </w:num>
  <w:num w:numId="34">
    <w:abstractNumId w:val="9"/>
  </w:num>
  <w:num w:numId="35">
    <w:abstractNumId w:val="0"/>
  </w:num>
  <w:num w:numId="36">
    <w:abstractNumId w:val="13"/>
  </w:num>
  <w:num w:numId="37">
    <w:abstractNumId w:val="7"/>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LG_chkAction" w:val="0"/>
    <w:docVar w:name="DLG_chkApproval" w:val="-1"/>
    <w:docVar w:name="DLG_chkClearance" w:val="0"/>
    <w:docVar w:name="DLG_chkDiscuss" w:val="0"/>
    <w:docVar w:name="DLG_chkDraft" w:val="0"/>
    <w:docVar w:name="DLG_chkFiling" w:val="0"/>
    <w:docVar w:name="DLG_chkInformation" w:val="0"/>
    <w:docVar w:name="DLG_chkPassOn" w:val="0"/>
    <w:docVar w:name="DLG_chkRCS" w:val="0"/>
    <w:docVar w:name="DLG_chkRequest" w:val="0"/>
    <w:docVar w:name="DLG_chkReturn" w:val="0"/>
    <w:docVar w:name="DLG_chkSignature" w:val="0"/>
    <w:docVar w:name="DLG_txtSubject" w:val="Subject"/>
    <w:docVar w:name="SEC_Classification" w:val="None"/>
    <w:docVar w:name="SEC_ConfidentialAttachments" w:val="False"/>
  </w:docVars>
  <w:rsids>
    <w:rsidRoot w:val="00037321"/>
    <w:rsid w:val="00000438"/>
    <w:rsid w:val="000229AB"/>
    <w:rsid w:val="0002569A"/>
    <w:rsid w:val="00037321"/>
    <w:rsid w:val="000A0299"/>
    <w:rsid w:val="000A2990"/>
    <w:rsid w:val="000F7E94"/>
    <w:rsid w:val="001119D6"/>
    <w:rsid w:val="001308F2"/>
    <w:rsid w:val="001313E8"/>
    <w:rsid w:val="001C58F5"/>
    <w:rsid w:val="001C7137"/>
    <w:rsid w:val="001D5CEE"/>
    <w:rsid w:val="002071D9"/>
    <w:rsid w:val="00231158"/>
    <w:rsid w:val="00256822"/>
    <w:rsid w:val="0026525A"/>
    <w:rsid w:val="00274790"/>
    <w:rsid w:val="00285755"/>
    <w:rsid w:val="002A1F9C"/>
    <w:rsid w:val="002B29C2"/>
    <w:rsid w:val="002B48AC"/>
    <w:rsid w:val="002C4208"/>
    <w:rsid w:val="002C58BE"/>
    <w:rsid w:val="0031022B"/>
    <w:rsid w:val="00331070"/>
    <w:rsid w:val="00352DE1"/>
    <w:rsid w:val="003728E6"/>
    <w:rsid w:val="003B5E0E"/>
    <w:rsid w:val="003B6378"/>
    <w:rsid w:val="003D255A"/>
    <w:rsid w:val="00416949"/>
    <w:rsid w:val="00432155"/>
    <w:rsid w:val="004370D8"/>
    <w:rsid w:val="00472C43"/>
    <w:rsid w:val="00532A0F"/>
    <w:rsid w:val="00536792"/>
    <w:rsid w:val="00537496"/>
    <w:rsid w:val="00542DF1"/>
    <w:rsid w:val="00544ED3"/>
    <w:rsid w:val="00580D1C"/>
    <w:rsid w:val="0058477B"/>
    <w:rsid w:val="0058654F"/>
    <w:rsid w:val="00596ACA"/>
    <w:rsid w:val="005E39BC"/>
    <w:rsid w:val="005F00A0"/>
    <w:rsid w:val="00647F33"/>
    <w:rsid w:val="00662532"/>
    <w:rsid w:val="006B2274"/>
    <w:rsid w:val="006C79FD"/>
    <w:rsid w:val="00717C6F"/>
    <w:rsid w:val="007445DA"/>
    <w:rsid w:val="007B4FD1"/>
    <w:rsid w:val="00802381"/>
    <w:rsid w:val="00883848"/>
    <w:rsid w:val="00890FE3"/>
    <w:rsid w:val="00897ED5"/>
    <w:rsid w:val="008B6BB9"/>
    <w:rsid w:val="008F6E82"/>
    <w:rsid w:val="00911543"/>
    <w:rsid w:val="009519C9"/>
    <w:rsid w:val="009703E1"/>
    <w:rsid w:val="009A314C"/>
    <w:rsid w:val="009A7849"/>
    <w:rsid w:val="009D0B86"/>
    <w:rsid w:val="009D327B"/>
    <w:rsid w:val="009E0D5B"/>
    <w:rsid w:val="009E1558"/>
    <w:rsid w:val="00A42898"/>
    <w:rsid w:val="00A8310D"/>
    <w:rsid w:val="00AB6ACE"/>
    <w:rsid w:val="00AC5A3A"/>
    <w:rsid w:val="00AE039E"/>
    <w:rsid w:val="00B246DD"/>
    <w:rsid w:val="00B60B99"/>
    <w:rsid w:val="00B82FA5"/>
    <w:rsid w:val="00BD1400"/>
    <w:rsid w:val="00BD605C"/>
    <w:rsid w:val="00BE2A76"/>
    <w:rsid w:val="00C27011"/>
    <w:rsid w:val="00C432EB"/>
    <w:rsid w:val="00C54A96"/>
    <w:rsid w:val="00C65E60"/>
    <w:rsid w:val="00C93320"/>
    <w:rsid w:val="00CD25B4"/>
    <w:rsid w:val="00CE5A52"/>
    <w:rsid w:val="00CE74AA"/>
    <w:rsid w:val="00CF7AF3"/>
    <w:rsid w:val="00D26ADA"/>
    <w:rsid w:val="00D35A78"/>
    <w:rsid w:val="00D555A1"/>
    <w:rsid w:val="00D64DC2"/>
    <w:rsid w:val="00D77D4A"/>
    <w:rsid w:val="00DA46CA"/>
    <w:rsid w:val="00DD2775"/>
    <w:rsid w:val="00DD3789"/>
    <w:rsid w:val="00DF21EB"/>
    <w:rsid w:val="00E20E70"/>
    <w:rsid w:val="00E25B68"/>
    <w:rsid w:val="00E4118E"/>
    <w:rsid w:val="00E77559"/>
    <w:rsid w:val="00E84003"/>
    <w:rsid w:val="00E840EB"/>
    <w:rsid w:val="00EA7386"/>
    <w:rsid w:val="00EC10FC"/>
    <w:rsid w:val="00ED1316"/>
    <w:rsid w:val="00EE0041"/>
    <w:rsid w:val="00EE29B9"/>
    <w:rsid w:val="00F004EE"/>
    <w:rsid w:val="00F36B6D"/>
    <w:rsid w:val="00F411CC"/>
    <w:rsid w:val="00F42E23"/>
    <w:rsid w:val="00F45EEE"/>
    <w:rsid w:val="00F51E9C"/>
    <w:rsid w:val="00F523CA"/>
    <w:rsid w:val="00F74A9D"/>
    <w:rsid w:val="00FF386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A95A32"/>
  <w15:docId w15:val="{952FE3BA-A979-4362-9943-CB491A2CB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49" w:defSemiHidden="0" w:defUnhideWhenUsed="0" w:defQFormat="0" w:count="375">
    <w:lsdException w:name="Normal" w:locked="0"/>
    <w:lsdException w:name="heading 1" w:locked="0" w:uiPriority="4" w:qFormat="1"/>
    <w:lsdException w:name="heading 2" w:locked="0" w:uiPriority="4" w:qFormat="1"/>
    <w:lsdException w:name="heading 3" w:locked="0" w:uiPriority="4" w:qFormat="1"/>
    <w:lsdException w:name="heading 4" w:locked="0" w:uiPriority="0" w:qFormat="1"/>
    <w:lsdException w:name="heading 5" w:locked="0" w:uiPriority="0"/>
    <w:lsdException w:name="heading 6" w:locked="0" w:uiPriority="0"/>
    <w:lsdException w:name="heading 7" w:locked="0" w:semiHidden="1" w:uiPriority="0" w:unhideWhenUsed="1"/>
    <w:lsdException w:name="heading 8" w:locked="0" w:semiHidden="1" w:uiPriority="0" w:unhideWhenUsed="1"/>
    <w:lsdException w:name="heading 9" w:locked="0"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iPriority="99" w:unhideWhenUsed="1"/>
    <w:lsdException w:name="index heading" w:semiHidden="1" w:unhideWhenUsed="1"/>
    <w:lsdException w:name="caption" w:locked="0"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lsdException w:name="Closing" w:semiHidden="1" w:unhideWhenUsed="1"/>
    <w:lsdException w:name="Signature" w:semiHidden="1" w:unhideWhenUsed="1"/>
    <w:lsdException w:name="Default Paragraph Font" w:locked="0" w:semiHidden="1" w:uiPriority="0" w:unhideWhenUsed="1"/>
    <w:lsdException w:name="Body Text" w:locked="0" w:semiHidden="1" w:uiPriority="0" w:unhideWhenUsed="1" w:qFormat="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iPriority="99" w:unhideWhenUsed="1"/>
    <w:lsdException w:name="HTML Acronym" w:semiHidden="1" w:uiPriority="19" w:unhideWhenUsed="1"/>
    <w:lsdException w:name="HTML Address" w:semiHidden="1" w:uiPriority="1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0" w:semiHidden="1" w:unhideWhenUsed="1"/>
    <w:lsdException w:name="Table Grid" w:locked="0"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uiPriority w:val="49"/>
    <w:rsid w:val="00CF7AF3"/>
    <w:pPr>
      <w:overflowPunct w:val="0"/>
      <w:autoSpaceDE w:val="0"/>
      <w:autoSpaceDN w:val="0"/>
      <w:adjustRightInd w:val="0"/>
      <w:textAlignment w:val="baseline"/>
    </w:pPr>
    <w:rPr>
      <w:sz w:val="22"/>
      <w:lang w:eastAsia="en-US"/>
    </w:rPr>
  </w:style>
  <w:style w:type="paragraph" w:styleId="Heading1">
    <w:name w:val="heading 1"/>
    <w:aliases w:val="Paper title"/>
    <w:next w:val="Subtitle"/>
    <w:uiPriority w:val="4"/>
    <w:qFormat/>
    <w:rsid w:val="00EE29B9"/>
    <w:pPr>
      <w:spacing w:line="280" w:lineRule="atLeast"/>
      <w:ind w:left="567" w:right="567"/>
      <w:outlineLvl w:val="0"/>
    </w:pPr>
    <w:rPr>
      <w:rFonts w:ascii="Times New Roman Bold" w:hAnsi="Times New Roman Bold"/>
      <w:b/>
      <w:caps/>
      <w:sz w:val="24"/>
      <w:lang w:val="en-US" w:eastAsia="en-US"/>
    </w:rPr>
  </w:style>
  <w:style w:type="paragraph" w:styleId="Heading2">
    <w:name w:val="heading 2"/>
    <w:aliases w:val="1st level paper heading"/>
    <w:next w:val="BodyText"/>
    <w:uiPriority w:val="4"/>
    <w:qFormat/>
    <w:rsid w:val="00EE0041"/>
    <w:pPr>
      <w:widowControl w:val="0"/>
      <w:numPr>
        <w:ilvl w:val="1"/>
        <w:numId w:val="12"/>
      </w:numPr>
      <w:spacing w:before="100" w:beforeAutospacing="1" w:after="100" w:afterAutospacing="1" w:line="280" w:lineRule="atLeast"/>
      <w:outlineLvl w:val="1"/>
    </w:pPr>
    <w:rPr>
      <w:caps/>
      <w:lang w:eastAsia="en-US"/>
    </w:rPr>
  </w:style>
  <w:style w:type="paragraph" w:styleId="Heading3">
    <w:name w:val="heading 3"/>
    <w:aliases w:val="2nd level paper heading"/>
    <w:next w:val="BodyText"/>
    <w:uiPriority w:val="4"/>
    <w:qFormat/>
    <w:rsid w:val="00897ED5"/>
    <w:pPr>
      <w:widowControl w:val="0"/>
      <w:numPr>
        <w:ilvl w:val="2"/>
        <w:numId w:val="12"/>
      </w:numPr>
      <w:spacing w:before="240" w:after="240" w:line="240" w:lineRule="exact"/>
      <w:outlineLvl w:val="2"/>
    </w:pPr>
    <w:rPr>
      <w:b/>
      <w:lang w:eastAsia="en-US"/>
    </w:rPr>
  </w:style>
  <w:style w:type="paragraph" w:styleId="Heading4">
    <w:name w:val="heading 4"/>
    <w:aliases w:val="3rd level paper heading"/>
    <w:basedOn w:val="Normal"/>
    <w:next w:val="BodyText"/>
    <w:uiPriority w:val="4"/>
    <w:qFormat/>
    <w:rsid w:val="00897ED5"/>
    <w:pPr>
      <w:widowControl w:val="0"/>
      <w:numPr>
        <w:ilvl w:val="3"/>
        <w:numId w:val="12"/>
      </w:numPr>
      <w:spacing w:before="100" w:beforeAutospacing="1" w:after="100" w:afterAutospacing="1" w:line="240" w:lineRule="atLeast"/>
      <w:outlineLvl w:val="3"/>
    </w:pPr>
    <w:rPr>
      <w:i/>
      <w:sz w:val="20"/>
      <w:lang w:val="en-US"/>
    </w:rPr>
  </w:style>
  <w:style w:type="paragraph" w:styleId="Heading5">
    <w:name w:val="heading 5"/>
    <w:basedOn w:val="Normal"/>
    <w:next w:val="Normal"/>
    <w:uiPriority w:val="19"/>
    <w:locked/>
    <w:pPr>
      <w:overflowPunct/>
      <w:autoSpaceDE/>
      <w:autoSpaceDN/>
      <w:adjustRightInd/>
      <w:spacing w:before="240" w:after="60"/>
      <w:textAlignment w:val="auto"/>
      <w:outlineLvl w:val="4"/>
    </w:pPr>
    <w:rPr>
      <w:b/>
      <w:bCs/>
      <w:i/>
      <w:iCs/>
      <w:sz w:val="26"/>
      <w:szCs w:val="26"/>
      <w:lang w:val="en-US"/>
    </w:rPr>
  </w:style>
  <w:style w:type="paragraph" w:styleId="Heading6">
    <w:name w:val="heading 6"/>
    <w:basedOn w:val="Normal"/>
    <w:next w:val="Normal"/>
    <w:uiPriority w:val="19"/>
    <w:locked/>
    <w:pPr>
      <w:overflowPunct/>
      <w:autoSpaceDE/>
      <w:autoSpaceDN/>
      <w:adjustRightInd/>
      <w:spacing w:before="240" w:after="60"/>
      <w:textAlignment w:val="auto"/>
      <w:outlineLvl w:val="5"/>
    </w:pPr>
    <w:rPr>
      <w:b/>
      <w:bCs/>
      <w:szCs w:val="22"/>
      <w:lang w:val="en-US"/>
    </w:rPr>
  </w:style>
  <w:style w:type="paragraph" w:styleId="Heading7">
    <w:name w:val="heading 7"/>
    <w:basedOn w:val="Normal"/>
    <w:next w:val="Normal"/>
    <w:uiPriority w:val="19"/>
    <w:locked/>
    <w:pPr>
      <w:overflowPunct/>
      <w:autoSpaceDE/>
      <w:autoSpaceDN/>
      <w:adjustRightInd/>
      <w:spacing w:before="240" w:after="60"/>
      <w:textAlignment w:val="auto"/>
      <w:outlineLvl w:val="6"/>
    </w:pPr>
    <w:rPr>
      <w:szCs w:val="24"/>
      <w:lang w:val="en-US"/>
    </w:rPr>
  </w:style>
  <w:style w:type="paragraph" w:styleId="Heading8">
    <w:name w:val="heading 8"/>
    <w:basedOn w:val="Normal"/>
    <w:next w:val="Normal"/>
    <w:uiPriority w:val="19"/>
    <w:locked/>
    <w:pPr>
      <w:overflowPunct/>
      <w:autoSpaceDE/>
      <w:autoSpaceDN/>
      <w:adjustRightInd/>
      <w:spacing w:before="240" w:after="60"/>
      <w:textAlignment w:val="auto"/>
      <w:outlineLvl w:val="7"/>
    </w:pPr>
    <w:rPr>
      <w:i/>
      <w:iCs/>
      <w:szCs w:val="24"/>
      <w:lang w:val="en-US"/>
    </w:rPr>
  </w:style>
  <w:style w:type="paragraph" w:styleId="Heading9">
    <w:name w:val="heading 9"/>
    <w:basedOn w:val="Normal"/>
    <w:next w:val="Normal"/>
    <w:uiPriority w:val="19"/>
    <w:locked/>
    <w:pPr>
      <w:overflowPunct/>
      <w:autoSpaceDE/>
      <w:autoSpaceDN/>
      <w:adjustRightInd/>
      <w:spacing w:before="240" w:after="60"/>
      <w:textAlignment w:val="auto"/>
      <w:outlineLvl w:val="8"/>
    </w:pPr>
    <w:rPr>
      <w:rFonts w:ascii="Arial" w:hAnsi="Arial" w:cs="Arial"/>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647F33"/>
    <w:pPr>
      <w:spacing w:line="260" w:lineRule="atLeast"/>
      <w:ind w:firstLine="567"/>
      <w:contextualSpacing/>
      <w:jc w:val="both"/>
    </w:pPr>
    <w:rPr>
      <w:lang w:eastAsia="en-US"/>
    </w:rPr>
  </w:style>
  <w:style w:type="paragraph" w:styleId="BodyTextIndent">
    <w:name w:val="Body Text Indent"/>
    <w:basedOn w:val="BodyText"/>
    <w:uiPriority w:val="49"/>
    <w:locked/>
    <w:pPr>
      <w:ind w:left="1134" w:hanging="675"/>
    </w:pPr>
  </w:style>
  <w:style w:type="paragraph" w:customStyle="1" w:styleId="BodyTextMultiline">
    <w:name w:val="Body Text Multiline"/>
    <w:basedOn w:val="BodyText"/>
    <w:locked/>
    <w:pPr>
      <w:numPr>
        <w:numId w:val="1"/>
      </w:numPr>
    </w:pPr>
  </w:style>
  <w:style w:type="paragraph" w:customStyle="1" w:styleId="BodyTextSummary">
    <w:name w:val="Body Text Summary"/>
    <w:uiPriority w:val="49"/>
    <w:locked/>
    <w:pPr>
      <w:numPr>
        <w:numId w:val="2"/>
      </w:numPr>
      <w:tabs>
        <w:tab w:val="clear" w:pos="720"/>
      </w:tabs>
      <w:spacing w:after="170" w:line="280" w:lineRule="atLeast"/>
      <w:ind w:left="572" w:hanging="459"/>
      <w:jc w:val="both"/>
    </w:pPr>
    <w:rPr>
      <w:sz w:val="22"/>
      <w:szCs w:val="22"/>
      <w:lang w:eastAsia="en-US"/>
    </w:rPr>
  </w:style>
  <w:style w:type="paragraph" w:styleId="Caption">
    <w:name w:val="caption"/>
    <w:next w:val="Normal"/>
    <w:uiPriority w:val="49"/>
    <w:pPr>
      <w:spacing w:after="85"/>
    </w:pPr>
    <w:rPr>
      <w:bCs/>
      <w:sz w:val="18"/>
      <w:lang w:val="en-US" w:eastAsia="en-US"/>
    </w:rPr>
  </w:style>
  <w:style w:type="paragraph" w:styleId="Footer">
    <w:name w:val="footer"/>
    <w:basedOn w:val="Normal"/>
    <w:link w:val="FooterChar"/>
    <w:uiPriority w:val="99"/>
    <w:locked/>
    <w:pPr>
      <w:overflowPunct/>
      <w:autoSpaceDE/>
      <w:autoSpaceDN/>
      <w:adjustRightInd/>
      <w:textAlignment w:val="auto"/>
    </w:pPr>
    <w:rPr>
      <w:sz w:val="2"/>
      <w:lang w:val="en-US"/>
    </w:rPr>
  </w:style>
  <w:style w:type="paragraph" w:styleId="FootnoteText">
    <w:name w:val="footnote text"/>
    <w:semiHidden/>
    <w:locked/>
    <w:pPr>
      <w:tabs>
        <w:tab w:val="left" w:pos="459"/>
      </w:tabs>
      <w:spacing w:before="142"/>
      <w:ind w:left="459"/>
      <w:jc w:val="both"/>
    </w:pPr>
    <w:rPr>
      <w:sz w:val="18"/>
      <w:lang w:eastAsia="en-US"/>
    </w:rPr>
  </w:style>
  <w:style w:type="paragraph" w:styleId="Header">
    <w:name w:val="header"/>
    <w:next w:val="BodyText"/>
    <w:uiPriority w:val="49"/>
    <w:locked/>
    <w:pPr>
      <w:spacing w:after="85"/>
    </w:pPr>
    <w:rPr>
      <w:sz w:val="18"/>
      <w:lang w:val="en-US" w:eastAsia="en-US"/>
    </w:rPr>
  </w:style>
  <w:style w:type="paragraph" w:customStyle="1" w:styleId="ListBulleted">
    <w:name w:val="List Bulleted"/>
    <w:uiPriority w:val="7"/>
    <w:qFormat/>
    <w:locked/>
    <w:pPr>
      <w:numPr>
        <w:numId w:val="6"/>
      </w:numPr>
      <w:tabs>
        <w:tab w:val="clear" w:pos="1179"/>
        <w:tab w:val="left" w:pos="919"/>
      </w:tabs>
      <w:ind w:left="918" w:right="1134" w:hanging="459"/>
      <w:jc w:val="both"/>
    </w:pPr>
    <w:rPr>
      <w:sz w:val="22"/>
      <w:lang w:eastAsia="en-US"/>
    </w:rPr>
  </w:style>
  <w:style w:type="paragraph" w:customStyle="1" w:styleId="ListEmdash">
    <w:name w:val="List Emdash"/>
    <w:basedOn w:val="BodyText"/>
    <w:uiPriority w:val="6"/>
    <w:qFormat/>
    <w:rsid w:val="00717C6F"/>
    <w:pPr>
      <w:numPr>
        <w:numId w:val="20"/>
      </w:numPr>
      <w:ind w:left="709"/>
    </w:pPr>
  </w:style>
  <w:style w:type="paragraph" w:customStyle="1" w:styleId="ListNumbered">
    <w:name w:val="List Numbered"/>
    <w:basedOn w:val="BodyText"/>
    <w:uiPriority w:val="5"/>
    <w:qFormat/>
    <w:locked/>
    <w:rsid w:val="00717C6F"/>
    <w:pPr>
      <w:numPr>
        <w:numId w:val="22"/>
      </w:numPr>
    </w:pPr>
  </w:style>
  <w:style w:type="paragraph" w:styleId="Title">
    <w:name w:val="Title"/>
    <w:uiPriority w:val="2"/>
    <w:locked/>
    <w:pPr>
      <w:widowControl w:val="0"/>
      <w:spacing w:line="440" w:lineRule="exact"/>
      <w:jc w:val="center"/>
      <w:outlineLvl w:val="0"/>
    </w:pPr>
    <w:rPr>
      <w:rFonts w:ascii="Arial" w:hAnsi="Arial" w:cs="Arial"/>
      <w:bCs/>
      <w:sz w:val="42"/>
      <w:szCs w:val="32"/>
      <w:lang w:eastAsia="en-US"/>
    </w:rPr>
  </w:style>
  <w:style w:type="paragraph" w:customStyle="1" w:styleId="zyxConfid2Red">
    <w:name w:val="zyxConfid2Red"/>
    <w:basedOn w:val="Normal"/>
    <w:uiPriority w:val="49"/>
    <w:locked/>
    <w:pPr>
      <w:spacing w:after="20" w:line="220" w:lineRule="exact"/>
      <w:jc w:val="right"/>
    </w:pPr>
    <w:rPr>
      <w:rFonts w:ascii="Arial" w:hAnsi="Arial" w:cs="Arial"/>
      <w:color w:val="FF0000"/>
    </w:rPr>
  </w:style>
  <w:style w:type="paragraph" w:customStyle="1" w:styleId="zyxConfidRed">
    <w:name w:val="zyxConfidRed"/>
    <w:uiPriority w:val="49"/>
    <w:locked/>
    <w:pPr>
      <w:widowControl w:val="0"/>
      <w:spacing w:before="80"/>
      <w:jc w:val="right"/>
    </w:pPr>
    <w:rPr>
      <w:rFonts w:ascii="Arial" w:hAnsi="Arial"/>
      <w:b/>
      <w:caps/>
      <w:color w:val="FF0000"/>
      <w:sz w:val="40"/>
      <w:lang w:eastAsia="en-US"/>
    </w:rPr>
  </w:style>
  <w:style w:type="paragraph" w:customStyle="1" w:styleId="zyxConfidBlack">
    <w:name w:val="zyxConfidBlack"/>
    <w:basedOn w:val="zyxConfidRed"/>
    <w:uiPriority w:val="49"/>
    <w:locked/>
    <w:pPr>
      <w:framePr w:wrap="auto" w:vAnchor="page" w:hAnchor="page" w:x="1333" w:y="228"/>
      <w:widowControl/>
      <w:overflowPunct w:val="0"/>
      <w:autoSpaceDE w:val="0"/>
      <w:autoSpaceDN w:val="0"/>
      <w:adjustRightInd w:val="0"/>
      <w:suppressOverlap/>
      <w:textAlignment w:val="baseline"/>
    </w:pPr>
    <w:rPr>
      <w:rFonts w:cs="Arial"/>
      <w:bCs/>
      <w:color w:val="000000"/>
    </w:rPr>
  </w:style>
  <w:style w:type="paragraph" w:customStyle="1" w:styleId="zyxDistribution">
    <w:name w:val="zyxDistribution"/>
    <w:basedOn w:val="Normal"/>
    <w:uiPriority w:val="49"/>
    <w:locked/>
    <w:pPr>
      <w:framePr w:wrap="around" w:vAnchor="page" w:hAnchor="page" w:x="1390" w:y="15707"/>
      <w:widowControl w:val="0"/>
      <w:overflowPunct/>
      <w:autoSpaceDE/>
      <w:autoSpaceDN/>
      <w:adjustRightInd/>
      <w:spacing w:before="240" w:after="20"/>
      <w:ind w:left="142"/>
      <w:suppressOverlap/>
      <w:textAlignment w:val="auto"/>
    </w:pPr>
    <w:rPr>
      <w:rFonts w:ascii="Arial" w:hAnsi="Arial"/>
      <w:b/>
    </w:rPr>
  </w:style>
  <w:style w:type="paragraph" w:customStyle="1" w:styleId="zyxPrePrint">
    <w:name w:val="zyxPrePrint"/>
    <w:uiPriority w:val="49"/>
    <w:locked/>
    <w:pPr>
      <w:spacing w:after="60" w:line="280" w:lineRule="exact"/>
      <w:ind w:left="113"/>
    </w:pPr>
    <w:rPr>
      <w:sz w:val="22"/>
      <w:lang w:eastAsia="en-US"/>
    </w:rPr>
  </w:style>
  <w:style w:type="paragraph" w:customStyle="1" w:styleId="zyxFillIn">
    <w:name w:val="zyxFill_In"/>
    <w:basedOn w:val="zyxPrePrint"/>
    <w:uiPriority w:val="49"/>
    <w:locked/>
    <w:rPr>
      <w:b/>
    </w:rPr>
  </w:style>
  <w:style w:type="paragraph" w:customStyle="1" w:styleId="zyxLogo">
    <w:name w:val="zyxLogo"/>
    <w:basedOn w:val="Normal"/>
    <w:uiPriority w:val="49"/>
    <w:locked/>
    <w:pPr>
      <w:keepNext/>
      <w:spacing w:after="10"/>
    </w:pPr>
    <w:rPr>
      <w:rFonts w:ascii="Arial" w:hAnsi="Arial"/>
      <w:b/>
      <w:sz w:val="13"/>
    </w:rPr>
  </w:style>
  <w:style w:type="paragraph" w:customStyle="1" w:styleId="zyxP1Footer">
    <w:name w:val="zyxP1_Footer"/>
    <w:basedOn w:val="Normal"/>
    <w:uiPriority w:val="49"/>
    <w:locked/>
    <w:pPr>
      <w:widowControl w:val="0"/>
      <w:spacing w:line="160" w:lineRule="exact"/>
      <w:ind w:left="108"/>
    </w:pPr>
    <w:rPr>
      <w:sz w:val="14"/>
    </w:rPr>
  </w:style>
  <w:style w:type="paragraph" w:customStyle="1" w:styleId="zyxSensitivity">
    <w:name w:val="zyxSensitivity"/>
    <w:basedOn w:val="Normal"/>
    <w:uiPriority w:val="49"/>
    <w:locked/>
    <w:pPr>
      <w:framePr w:wrap="around" w:vAnchor="page" w:hAnchor="page" w:x="1390" w:y="15707"/>
      <w:widowControl w:val="0"/>
      <w:overflowPunct/>
      <w:autoSpaceDE/>
      <w:autoSpaceDN/>
      <w:adjustRightInd/>
      <w:spacing w:line="220" w:lineRule="exact"/>
      <w:ind w:left="142"/>
      <w:suppressOverlap/>
      <w:textAlignment w:val="auto"/>
    </w:pPr>
    <w:rPr>
      <w:rFonts w:ascii="Arial" w:hAnsi="Arial"/>
      <w:b/>
    </w:rPr>
  </w:style>
  <w:style w:type="paragraph" w:customStyle="1" w:styleId="zyxTitle">
    <w:name w:val="zyxTitle"/>
    <w:basedOn w:val="Normal"/>
    <w:uiPriority w:val="49"/>
    <w:locked/>
    <w:pPr>
      <w:keepNext/>
      <w:spacing w:line="420" w:lineRule="exact"/>
    </w:pPr>
    <w:rPr>
      <w:rFonts w:ascii="Arial" w:hAnsi="Arial"/>
      <w:sz w:val="40"/>
    </w:rPr>
  </w:style>
  <w:style w:type="character" w:styleId="FootnoteReference">
    <w:name w:val="footnote reference"/>
    <w:basedOn w:val="DefaultParagraphFont"/>
    <w:semiHidden/>
    <w:locked/>
    <w:rPr>
      <w:vertAlign w:val="superscript"/>
    </w:rPr>
  </w:style>
  <w:style w:type="paragraph" w:styleId="Subtitle">
    <w:name w:val="Subtitle"/>
    <w:next w:val="BodyText"/>
    <w:uiPriority w:val="3"/>
    <w:qFormat/>
    <w:rsid w:val="00B82FA5"/>
    <w:pPr>
      <w:spacing w:after="100" w:afterAutospacing="1" w:line="280" w:lineRule="atLeast"/>
      <w:ind w:left="567" w:right="567"/>
      <w:contextualSpacing/>
    </w:pPr>
    <w:rPr>
      <w:rFonts w:cs="Arial"/>
      <w:b/>
      <w:i/>
      <w:sz w:val="24"/>
      <w:szCs w:val="24"/>
      <w:lang w:val="en-US" w:eastAsia="en-US"/>
    </w:rPr>
  </w:style>
  <w:style w:type="paragraph" w:customStyle="1" w:styleId="AgendaList">
    <w:name w:val="Agenda List"/>
    <w:uiPriority w:val="49"/>
    <w:locked/>
    <w:pPr>
      <w:numPr>
        <w:numId w:val="9"/>
      </w:numPr>
      <w:tabs>
        <w:tab w:val="clear" w:pos="459"/>
        <w:tab w:val="left" w:pos="919"/>
      </w:tabs>
      <w:spacing w:after="240" w:line="240" w:lineRule="exact"/>
      <w:ind w:left="918"/>
      <w:jc w:val="both"/>
    </w:pPr>
    <w:rPr>
      <w:sz w:val="22"/>
      <w:lang w:eastAsia="en-US"/>
    </w:rPr>
  </w:style>
  <w:style w:type="paragraph" w:customStyle="1" w:styleId="zyxClassification1">
    <w:name w:val="zyxClassification1"/>
    <w:basedOn w:val="BodyText"/>
    <w:uiPriority w:val="49"/>
    <w:locked/>
    <w:pPr>
      <w:spacing w:line="280" w:lineRule="exact"/>
      <w:jc w:val="right"/>
    </w:pPr>
    <w:rPr>
      <w:rFonts w:ascii="Arial" w:hAnsi="Arial" w:cs="Arial"/>
      <w:b/>
      <w:bCs/>
      <w:caps/>
      <w:sz w:val="24"/>
    </w:rPr>
  </w:style>
  <w:style w:type="paragraph" w:customStyle="1" w:styleId="zyxClassification2">
    <w:name w:val="zyxClassification2"/>
    <w:basedOn w:val="Footer"/>
    <w:uiPriority w:val="49"/>
    <w:locked/>
    <w:pPr>
      <w:tabs>
        <w:tab w:val="center" w:pos="4320"/>
        <w:tab w:val="right" w:pos="8640"/>
      </w:tabs>
      <w:overflowPunct w:val="0"/>
      <w:autoSpaceDE w:val="0"/>
      <w:autoSpaceDN w:val="0"/>
      <w:adjustRightInd w:val="0"/>
      <w:ind w:firstLine="567"/>
      <w:jc w:val="right"/>
      <w:textAlignment w:val="baseline"/>
    </w:pPr>
    <w:rPr>
      <w:rFonts w:ascii="Arial" w:hAnsi="Arial" w:cs="Arial"/>
      <w:sz w:val="16"/>
      <w:lang w:val="en-GB"/>
    </w:rPr>
  </w:style>
  <w:style w:type="character" w:customStyle="1" w:styleId="FooterChar">
    <w:name w:val="Footer Char"/>
    <w:basedOn w:val="DefaultParagraphFont"/>
    <w:link w:val="Footer"/>
    <w:uiPriority w:val="99"/>
    <w:rsid w:val="00037321"/>
    <w:rPr>
      <w:sz w:val="2"/>
      <w:lang w:val="en-US" w:eastAsia="en-US"/>
    </w:rPr>
  </w:style>
  <w:style w:type="paragraph" w:customStyle="1" w:styleId="Runninghead">
    <w:name w:val="Running head"/>
    <w:basedOn w:val="Normal"/>
    <w:link w:val="RunningheadChar"/>
    <w:uiPriority w:val="49"/>
    <w:qFormat/>
    <w:rsid w:val="00B82FA5"/>
    <w:pPr>
      <w:jc w:val="center"/>
    </w:pPr>
    <w:rPr>
      <w:b/>
      <w:sz w:val="16"/>
      <w:szCs w:val="16"/>
    </w:rPr>
  </w:style>
  <w:style w:type="paragraph" w:customStyle="1" w:styleId="Authornameandaffiliation">
    <w:name w:val="Author name and affiliation"/>
    <w:link w:val="AuthornameandaffiliationChar"/>
    <w:uiPriority w:val="49"/>
    <w:qFormat/>
    <w:rsid w:val="00647F33"/>
    <w:pPr>
      <w:ind w:left="567"/>
      <w:contextualSpacing/>
    </w:pPr>
    <w:rPr>
      <w:lang w:val="en-US" w:eastAsia="en-US"/>
    </w:rPr>
  </w:style>
  <w:style w:type="character" w:customStyle="1" w:styleId="RunningheadChar">
    <w:name w:val="Running head Char"/>
    <w:basedOn w:val="DefaultParagraphFont"/>
    <w:link w:val="Runninghead"/>
    <w:uiPriority w:val="49"/>
    <w:rsid w:val="00B82FA5"/>
    <w:rPr>
      <w:b/>
      <w:sz w:val="16"/>
      <w:szCs w:val="16"/>
      <w:lang w:eastAsia="en-US"/>
    </w:rPr>
  </w:style>
  <w:style w:type="paragraph" w:customStyle="1" w:styleId="Abstracttext">
    <w:name w:val="Abstract text"/>
    <w:basedOn w:val="Authornameandaffiliation"/>
    <w:link w:val="AbstracttextChar"/>
    <w:uiPriority w:val="49"/>
    <w:qFormat/>
    <w:rsid w:val="00BD605C"/>
    <w:pPr>
      <w:spacing w:line="240" w:lineRule="atLeast"/>
      <w:ind w:left="0" w:firstLine="567"/>
    </w:pPr>
    <w:rPr>
      <w:sz w:val="18"/>
    </w:rPr>
  </w:style>
  <w:style w:type="character" w:customStyle="1" w:styleId="BodyTextChar">
    <w:name w:val="Body Text Char"/>
    <w:basedOn w:val="DefaultParagraphFont"/>
    <w:link w:val="BodyText"/>
    <w:rsid w:val="00647F33"/>
    <w:rPr>
      <w:lang w:eastAsia="en-US"/>
    </w:rPr>
  </w:style>
  <w:style w:type="character" w:customStyle="1" w:styleId="AuthornameandaffiliationChar">
    <w:name w:val="Author name and affiliation Char"/>
    <w:basedOn w:val="BodyTextChar"/>
    <w:link w:val="Authornameandaffiliation"/>
    <w:uiPriority w:val="49"/>
    <w:rsid w:val="00647F33"/>
    <w:rPr>
      <w:lang w:val="en-US" w:eastAsia="en-US"/>
    </w:rPr>
  </w:style>
  <w:style w:type="table" w:styleId="TableGrid">
    <w:name w:val="Table Grid"/>
    <w:basedOn w:val="TableNormal"/>
    <w:locked/>
    <w:rsid w:val="00472C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textChar">
    <w:name w:val="Abstract text Char"/>
    <w:basedOn w:val="AuthornameandaffiliationChar"/>
    <w:link w:val="Abstracttext"/>
    <w:uiPriority w:val="49"/>
    <w:rsid w:val="00BD605C"/>
    <w:rPr>
      <w:sz w:val="18"/>
      <w:lang w:val="en-US" w:eastAsia="en-US"/>
    </w:rPr>
  </w:style>
  <w:style w:type="paragraph" w:styleId="BalloonText">
    <w:name w:val="Balloon Text"/>
    <w:basedOn w:val="Normal"/>
    <w:link w:val="BalloonTextChar"/>
    <w:uiPriority w:val="49"/>
    <w:locked/>
    <w:rsid w:val="005F00A0"/>
    <w:rPr>
      <w:rFonts w:ascii="Tahoma" w:hAnsi="Tahoma" w:cs="Tahoma"/>
      <w:sz w:val="16"/>
      <w:szCs w:val="16"/>
    </w:rPr>
  </w:style>
  <w:style w:type="character" w:customStyle="1" w:styleId="BalloonTextChar">
    <w:name w:val="Balloon Text Char"/>
    <w:basedOn w:val="DefaultParagraphFont"/>
    <w:link w:val="BalloonText"/>
    <w:uiPriority w:val="49"/>
    <w:rsid w:val="005F00A0"/>
    <w:rPr>
      <w:rFonts w:ascii="Tahoma" w:hAnsi="Tahoma" w:cs="Tahoma"/>
      <w:sz w:val="16"/>
      <w:szCs w:val="16"/>
      <w:lang w:eastAsia="en-US"/>
    </w:rPr>
  </w:style>
  <w:style w:type="paragraph" w:customStyle="1" w:styleId="Figurecaption">
    <w:name w:val="Figure caption"/>
    <w:basedOn w:val="BodyText"/>
    <w:link w:val="FigurecaptionChar"/>
    <w:uiPriority w:val="49"/>
    <w:qFormat/>
    <w:locked/>
    <w:rsid w:val="00717C6F"/>
    <w:pPr>
      <w:jc w:val="center"/>
    </w:pPr>
    <w:rPr>
      <w:i/>
      <w:sz w:val="18"/>
    </w:rPr>
  </w:style>
  <w:style w:type="paragraph" w:customStyle="1" w:styleId="Otherunnumberedheadings">
    <w:name w:val="Other unnumbered headings"/>
    <w:next w:val="BodyText"/>
    <w:link w:val="OtherunnumberedheadingsChar"/>
    <w:uiPriority w:val="49"/>
    <w:qFormat/>
    <w:locked/>
    <w:rsid w:val="00D26ADA"/>
    <w:pPr>
      <w:spacing w:before="100" w:beforeAutospacing="1" w:after="100" w:afterAutospacing="1" w:line="260" w:lineRule="atLeast"/>
      <w:jc w:val="center"/>
    </w:pPr>
    <w:rPr>
      <w:rFonts w:ascii="Times New Roman Bold" w:hAnsi="Times New Roman Bold"/>
      <w:b/>
      <w:caps/>
      <w:lang w:eastAsia="en-US"/>
    </w:rPr>
  </w:style>
  <w:style w:type="character" w:customStyle="1" w:styleId="FigurecaptionChar">
    <w:name w:val="Figure caption Char"/>
    <w:basedOn w:val="BodyTextChar"/>
    <w:link w:val="Figurecaption"/>
    <w:uiPriority w:val="49"/>
    <w:rsid w:val="00717C6F"/>
    <w:rPr>
      <w:i/>
      <w:sz w:val="18"/>
      <w:lang w:eastAsia="en-US"/>
    </w:rPr>
  </w:style>
  <w:style w:type="paragraph" w:customStyle="1" w:styleId="Referencelist">
    <w:name w:val="Reference list"/>
    <w:basedOn w:val="BodyText"/>
    <w:link w:val="ReferencelistChar"/>
    <w:uiPriority w:val="49"/>
    <w:qFormat/>
    <w:rsid w:val="009E0D5B"/>
    <w:pPr>
      <w:numPr>
        <w:numId w:val="30"/>
      </w:numPr>
    </w:pPr>
    <w:rPr>
      <w:sz w:val="18"/>
      <w:szCs w:val="18"/>
    </w:rPr>
  </w:style>
  <w:style w:type="character" w:customStyle="1" w:styleId="OtherunnumberedheadingsChar">
    <w:name w:val="Other unnumbered headings Char"/>
    <w:basedOn w:val="BodyTextChar"/>
    <w:link w:val="Otherunnumberedheadings"/>
    <w:uiPriority w:val="49"/>
    <w:rsid w:val="00D26ADA"/>
    <w:rPr>
      <w:rFonts w:ascii="Times New Roman Bold" w:hAnsi="Times New Roman Bold"/>
      <w:b/>
      <w:caps/>
      <w:lang w:eastAsia="en-US"/>
    </w:rPr>
  </w:style>
  <w:style w:type="character" w:customStyle="1" w:styleId="ReferencelistChar">
    <w:name w:val="Reference list Char"/>
    <w:basedOn w:val="BodyTextChar"/>
    <w:link w:val="Referencelist"/>
    <w:uiPriority w:val="49"/>
    <w:rsid w:val="009E0D5B"/>
    <w:rPr>
      <w:sz w:val="18"/>
      <w:szCs w:val="18"/>
      <w:lang w:eastAsia="en-US"/>
    </w:rPr>
  </w:style>
  <w:style w:type="paragraph" w:customStyle="1" w:styleId="Tabletext">
    <w:name w:val="Table text"/>
    <w:basedOn w:val="BodyText"/>
    <w:link w:val="TabletextChar"/>
    <w:uiPriority w:val="49"/>
    <w:qFormat/>
    <w:rsid w:val="00883848"/>
    <w:pPr>
      <w:ind w:firstLine="0"/>
    </w:pPr>
  </w:style>
  <w:style w:type="character" w:customStyle="1" w:styleId="TabletextChar">
    <w:name w:val="Table text Char"/>
    <w:basedOn w:val="BodyTextChar"/>
    <w:link w:val="Tabletext"/>
    <w:uiPriority w:val="49"/>
    <w:rsid w:val="00883848"/>
    <w:rPr>
      <w:lang w:eastAsia="en-US"/>
    </w:rPr>
  </w:style>
  <w:style w:type="paragraph" w:customStyle="1" w:styleId="Default">
    <w:name w:val="Default"/>
    <w:rsid w:val="00C93320"/>
    <w:pPr>
      <w:autoSpaceDE w:val="0"/>
      <w:autoSpaceDN w:val="0"/>
      <w:adjustRightInd w:val="0"/>
    </w:pPr>
    <w:rPr>
      <w:rFonts w:eastAsiaTheme="minorEastAsia"/>
      <w:color w:val="000000"/>
      <w:sz w:val="24"/>
      <w:szCs w:val="24"/>
      <w:lang w:val="en-US" w:eastAsia="en-US"/>
    </w:rPr>
  </w:style>
  <w:style w:type="paragraph" w:styleId="ListParagraph">
    <w:name w:val="List Paragraph"/>
    <w:basedOn w:val="Normal"/>
    <w:uiPriority w:val="34"/>
    <w:qFormat/>
    <w:locked/>
    <w:rsid w:val="00E4118E"/>
    <w:pPr>
      <w:overflowPunct/>
      <w:autoSpaceDE/>
      <w:autoSpaceDN/>
      <w:adjustRightInd/>
      <w:spacing w:after="160" w:line="256" w:lineRule="auto"/>
      <w:ind w:left="720"/>
      <w:contextualSpacing/>
      <w:textAlignment w:val="auto"/>
    </w:pPr>
    <w:rPr>
      <w:rFonts w:asciiTheme="minorHAnsi" w:eastAsiaTheme="minorHAnsi" w:hAnsiTheme="minorHAnsi" w:cstheme="minorBidi"/>
      <w:szCs w:val="22"/>
      <w:lang w:val="en-US"/>
    </w:rPr>
  </w:style>
  <w:style w:type="paragraph" w:styleId="NormalWeb">
    <w:name w:val="Normal (Web)"/>
    <w:basedOn w:val="Normal"/>
    <w:uiPriority w:val="99"/>
    <w:unhideWhenUsed/>
    <w:locked/>
    <w:rsid w:val="00580D1C"/>
    <w:pPr>
      <w:overflowPunct/>
      <w:autoSpaceDE/>
      <w:autoSpaceDN/>
      <w:adjustRightInd/>
      <w:spacing w:before="100" w:beforeAutospacing="1" w:after="100" w:afterAutospacing="1"/>
      <w:textAlignment w:val="auto"/>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Neutron_moderato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s://en.wikipedia.org/wiki/Heavy_wate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nra.org/upload/legal_basis/regulations/PAK-918.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nra.org/upload/legal_basis/PAK-915%20(Rev.1).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nra.org/upload/legal_basis/regulations/PAK-930.pdf"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IAEA\Templates\O365\IAEA%20Blank%20(r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90D72D8323497419D0B0D490876AA9F" ma:contentTypeVersion="15" ma:contentTypeDescription="Create a new document." ma:contentTypeScope="" ma:versionID="3a24465035cb8b25a2285c02f74eba9b">
  <xsd:schema xmlns:xsd="http://www.w3.org/2001/XMLSchema" xmlns:xs="http://www.w3.org/2001/XMLSchema" xmlns:p="http://schemas.microsoft.com/office/2006/metadata/properties" xmlns:ns2="http://schemas.microsoft.com/sharepoint/v3/fields" xmlns:ns3="9a0cca68-9885-4579-a121-0ff71e341cd0" targetNamespace="http://schemas.microsoft.com/office/2006/metadata/properties" ma:root="true" ma:fieldsID="6df0075af1bdf4a1181bb0cd339a45ba" ns2:_="" ns3:_="">
    <xsd:import namespace="http://schemas.microsoft.com/sharepoint/v3/fields"/>
    <xsd:import namespace="9a0cca68-9885-4579-a121-0ff71e341cd0"/>
    <xsd:element name="properties">
      <xsd:complexType>
        <xsd:sequence>
          <xsd:element name="documentManagement">
            <xsd:complexType>
              <xsd:all>
                <xsd:element ref="ns2:_DCDateCreated" minOccurs="0"/>
                <xsd:element ref="ns2:_Version"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 nillable="true" ma:displayName="Date Created" ma:description="The date on which this resource was created" ma:format="DateTime" ma:internalName="_DCDateCreated" ma:readOnly="false">
      <xsd:simpleType>
        <xsd:restriction base="dms:DateTime"/>
      </xsd:simpleType>
    </xsd:element>
    <xsd:element name="_Version" ma:index="3" nillable="true" ma:displayName="Version" ma:internalName="_Vers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0cca68-9885-4579-a121-0ff71e341cd0"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dlc_DocIdPersistId xmlns="9a0cca68-9885-4579-a121-0ff71e341cd0" xsi:nil="true"/>
    <_DCDateCreated xmlns="http://schemas.microsoft.com/sharepoint/v3/fields" xsi:nil="true"/>
    <_dlc_DocId xmlns="9a0cca68-9885-4579-a121-0ff71e341cd0">4HWPYYT6XAN2-2121337104-8393</_dlc_DocId>
    <_dlc_DocIdUrl xmlns="9a0cca68-9885-4579-a121-0ff71e341cd0">
      <Url>https://nsns-new.sg.iaea.org/meetings/_layouts/15/DocIdRedir.aspx?ID=4HWPYYT6XAN2-2121337104-8393</Url>
      <Description>4HWPYYT6XAN2-2121337104-8393</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C6D817FB-1837-4E6D-A5D5-156D5AC4FB5F}">
  <ds:schemaRefs>
    <ds:schemaRef ds:uri="http://schemas.microsoft.com/sharepoint/v3/contenttype/forms"/>
  </ds:schemaRefs>
</ds:datastoreItem>
</file>

<file path=customXml/itemProps2.xml><?xml version="1.0" encoding="utf-8"?>
<ds:datastoreItem xmlns:ds="http://schemas.openxmlformats.org/officeDocument/2006/customXml" ds:itemID="{C9053951-862C-42BF-B886-50856CF0AEF5}">
  <ds:schemaRefs>
    <ds:schemaRef ds:uri="http://schemas.microsoft.com/sharepoint/events"/>
  </ds:schemaRefs>
</ds:datastoreItem>
</file>

<file path=customXml/itemProps3.xml><?xml version="1.0" encoding="utf-8"?>
<ds:datastoreItem xmlns:ds="http://schemas.openxmlformats.org/officeDocument/2006/customXml" ds:itemID="{27BE94C2-5F68-4097-AF76-2524047BD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9a0cca68-9885-4579-a121-0ff71e341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A277B6-36A2-436B-8C92-9C32115A04DF}">
  <ds:schemaRefs>
    <ds:schemaRef ds:uri="http://schemas.microsoft.com/office/2006/metadata/properties"/>
    <ds:schemaRef ds:uri="http://schemas.microsoft.com/office/infopath/2007/PartnerControls"/>
    <ds:schemaRef ds:uri="http://schemas.microsoft.com/sharepoint/v3/fields"/>
    <ds:schemaRef ds:uri="9a0cca68-9885-4579-a121-0ff71e341cd0"/>
  </ds:schemaRefs>
</ds:datastoreItem>
</file>

<file path=customXml/itemProps5.xml><?xml version="1.0" encoding="utf-8"?>
<ds:datastoreItem xmlns:ds="http://schemas.openxmlformats.org/officeDocument/2006/customXml" ds:itemID="{8FFA0634-4661-4C33-A232-C9DB76C4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IAEA Blank (r01)</Template>
  <TotalTime>26</TotalTime>
  <Pages>5</Pages>
  <Words>2861</Words>
  <Characters>16314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IAEA</vt:lpstr>
    </vt:vector>
  </TitlesOfParts>
  <Company>IAEA</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IAEA</dc:title>
  <dc:creator>Gemma Anna Ruffino</dc:creator>
  <cp:lastModifiedBy>Javed Iqbal</cp:lastModifiedBy>
  <cp:revision>36</cp:revision>
  <cp:lastPrinted>2015-12-01T10:27:00Z</cp:lastPrinted>
  <dcterms:created xsi:type="dcterms:W3CDTF">2023-01-31T11:04:00Z</dcterms:created>
  <dcterms:modified xsi:type="dcterms:W3CDTF">2023-01-31T12:14:00Z</dcterms:modified>
  <cp:category>IAEA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eaClassification">
    <vt:lpwstr/>
  </property>
  <property fmtid="{D5CDD505-2E9C-101B-9397-08002B2CF9AE}" pid="3" name="IaeaSensitivity">
    <vt:lpwstr/>
  </property>
  <property fmtid="{D5CDD505-2E9C-101B-9397-08002B2CF9AE}" pid="4" name="IaeaDistribution">
    <vt:lpwstr/>
  </property>
  <property fmtid="{D5CDD505-2E9C-101B-9397-08002B2CF9AE}" pid="5" name="IaeaSecurityClassifier">
    <vt:lpwstr/>
  </property>
  <property fmtid="{D5CDD505-2E9C-101B-9397-08002B2CF9AE}" pid="6" name="IaeaClassificationDate">
    <vt:lpwstr/>
  </property>
  <property fmtid="{D5CDD505-2E9C-101B-9397-08002B2CF9AE}" pid="7" name="IaeaTransmission">
    <vt:lpwstr/>
  </property>
  <property fmtid="{D5CDD505-2E9C-101B-9397-08002B2CF9AE}" pid="8" name="IaeaConfidentialAttachments">
    <vt:lpwstr/>
  </property>
  <property fmtid="{D5CDD505-2E9C-101B-9397-08002B2CF9AE}" pid="9" name="Typist">
    <vt:lpwstr>Initials-Ext</vt:lpwstr>
  </property>
  <property fmtid="{D5CDD505-2E9C-101B-9397-08002B2CF9AE}" pid="10" name="IaeaClassification2">
    <vt:lpwstr/>
  </property>
  <property fmtid="{D5CDD505-2E9C-101B-9397-08002B2CF9AE}" pid="11" name="ContentTypeId">
    <vt:lpwstr>0x010100D90D72D8323497419D0B0D490876AA9F</vt:lpwstr>
  </property>
  <property fmtid="{D5CDD505-2E9C-101B-9397-08002B2CF9AE}" pid="12" name="_dlc_DocIdItemGuid">
    <vt:lpwstr>061d8fe4-c58e-48da-b299-db7bcc303392</vt:lpwstr>
  </property>
</Properties>
</file>