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A5" w:rsidRPr="00EE29B9" w:rsidRDefault="00DB54D7" w:rsidP="00537496">
      <w:pPr>
        <w:pStyle w:val="Ttulo1"/>
      </w:pPr>
      <w:r>
        <w:t xml:space="preserve">decommissioning of josé cabrera npp </w:t>
      </w:r>
    </w:p>
    <w:p w:rsidR="003B5E0E" w:rsidRPr="003B5E0E" w:rsidRDefault="000102BB" w:rsidP="00537496">
      <w:pPr>
        <w:pStyle w:val="Subttulo"/>
      </w:pPr>
      <w:r>
        <w:t>Past, present, future</w:t>
      </w:r>
      <w:r w:rsidR="00DB54D7">
        <w:t xml:space="preserve"> and lessons learned</w:t>
      </w:r>
      <w:r w:rsidR="005A58A4">
        <w:t xml:space="preserve"> from a regulatory perspective</w:t>
      </w:r>
    </w:p>
    <w:p w:rsidR="00DE6EB0" w:rsidRPr="00B901D2" w:rsidRDefault="00DE6EB0" w:rsidP="00DE6EB0">
      <w:pPr>
        <w:pStyle w:val="Authornameandaffiliation"/>
        <w:rPr>
          <w:b/>
          <w:i/>
        </w:rPr>
      </w:pPr>
      <w:r w:rsidRPr="00B901D2">
        <w:rPr>
          <w:b/>
          <w:i/>
          <w:color w:val="FF0000"/>
        </w:rPr>
        <w:t>‘Decom2023_AbstractID#64’</w:t>
      </w:r>
    </w:p>
    <w:p w:rsidR="009703E1" w:rsidRDefault="009703E1" w:rsidP="00537496">
      <w:pPr>
        <w:pStyle w:val="Authornameandaffiliation"/>
      </w:pPr>
    </w:p>
    <w:p w:rsidR="003B5E0E" w:rsidRPr="003E7C20" w:rsidRDefault="003E7C20" w:rsidP="00537496">
      <w:pPr>
        <w:pStyle w:val="Authornameandaffiliation"/>
        <w:rPr>
          <w:lang w:val="es-ES"/>
        </w:rPr>
      </w:pPr>
      <w:r w:rsidRPr="003E7C20">
        <w:rPr>
          <w:lang w:val="es-ES"/>
        </w:rPr>
        <w:t>SOFIA LUQUE</w:t>
      </w:r>
    </w:p>
    <w:p w:rsidR="00FF386F" w:rsidRPr="003E7C20" w:rsidRDefault="003E7C20" w:rsidP="00537496">
      <w:pPr>
        <w:pStyle w:val="Authornameandaffiliation"/>
        <w:rPr>
          <w:lang w:val="es-ES"/>
        </w:rPr>
      </w:pPr>
      <w:r w:rsidRPr="003E7C20">
        <w:rPr>
          <w:lang w:val="es-ES"/>
        </w:rPr>
        <w:t>CSN</w:t>
      </w:r>
    </w:p>
    <w:p w:rsidR="00FF386F" w:rsidRPr="004509AF" w:rsidRDefault="003E7C20" w:rsidP="00537496">
      <w:pPr>
        <w:pStyle w:val="Authornameandaffiliation"/>
        <w:rPr>
          <w:lang w:val="es-ES"/>
        </w:rPr>
      </w:pPr>
      <w:r w:rsidRPr="004509AF">
        <w:rPr>
          <w:lang w:val="es-ES"/>
        </w:rPr>
        <w:t>Madrid</w:t>
      </w:r>
      <w:r w:rsidR="00FF386F" w:rsidRPr="004509AF">
        <w:rPr>
          <w:lang w:val="es-ES"/>
        </w:rPr>
        <w:t xml:space="preserve">, </w:t>
      </w:r>
      <w:r w:rsidRPr="004509AF">
        <w:rPr>
          <w:lang w:val="es-ES"/>
        </w:rPr>
        <w:t>Spain</w:t>
      </w:r>
    </w:p>
    <w:p w:rsidR="00FF386F" w:rsidRPr="004509AF" w:rsidRDefault="00FF386F" w:rsidP="00537496">
      <w:pPr>
        <w:pStyle w:val="Authornameandaffiliation"/>
        <w:rPr>
          <w:lang w:val="es-ES"/>
        </w:rPr>
      </w:pPr>
      <w:r w:rsidRPr="004509AF">
        <w:rPr>
          <w:lang w:val="es-ES"/>
        </w:rPr>
        <w:t xml:space="preserve">Email: </w:t>
      </w:r>
      <w:r w:rsidR="003E7C20" w:rsidRPr="004509AF">
        <w:rPr>
          <w:lang w:val="es-ES"/>
        </w:rPr>
        <w:t>slh@csn.es</w:t>
      </w:r>
    </w:p>
    <w:p w:rsidR="00FF386F" w:rsidRPr="004509AF" w:rsidRDefault="00FF386F" w:rsidP="00537496">
      <w:pPr>
        <w:pStyle w:val="Authornameandaffiliation"/>
        <w:rPr>
          <w:lang w:val="es-ES"/>
        </w:rPr>
      </w:pPr>
    </w:p>
    <w:p w:rsidR="00FF386F" w:rsidRPr="003E7C20" w:rsidRDefault="003E7C20" w:rsidP="00537496">
      <w:pPr>
        <w:pStyle w:val="Authornameandaffiliation"/>
        <w:rPr>
          <w:lang w:val="es-ES"/>
        </w:rPr>
      </w:pPr>
      <w:r w:rsidRPr="003E7C20">
        <w:rPr>
          <w:lang w:val="es-ES"/>
        </w:rPr>
        <w:t>SUSANA SOLÍS</w:t>
      </w:r>
    </w:p>
    <w:p w:rsidR="00FF386F" w:rsidRPr="003D3A21" w:rsidRDefault="003E7C20" w:rsidP="00537496">
      <w:pPr>
        <w:pStyle w:val="Authornameandaffiliation"/>
        <w:rPr>
          <w:lang w:val="es-ES"/>
        </w:rPr>
      </w:pPr>
      <w:r w:rsidRPr="003D3A21">
        <w:rPr>
          <w:lang w:val="es-ES"/>
        </w:rPr>
        <w:t>CSN</w:t>
      </w:r>
    </w:p>
    <w:p w:rsidR="00FF386F" w:rsidRPr="003D3A21" w:rsidRDefault="003E7C20" w:rsidP="00537496">
      <w:pPr>
        <w:pStyle w:val="Authornameandaffiliation"/>
        <w:rPr>
          <w:lang w:val="es-ES"/>
        </w:rPr>
      </w:pPr>
      <w:r w:rsidRPr="003D3A21">
        <w:rPr>
          <w:lang w:val="es-ES"/>
        </w:rPr>
        <w:t>Madrid, Spain</w:t>
      </w:r>
    </w:p>
    <w:p w:rsidR="00E23EE2" w:rsidRPr="003D3A21" w:rsidRDefault="00E23EE2" w:rsidP="00537496">
      <w:pPr>
        <w:pStyle w:val="Authornameandaffiliation"/>
        <w:rPr>
          <w:lang w:val="es-ES"/>
        </w:rPr>
      </w:pPr>
    </w:p>
    <w:p w:rsidR="00E23EE2" w:rsidRPr="003D3A21" w:rsidRDefault="00E23EE2" w:rsidP="00537496">
      <w:pPr>
        <w:pStyle w:val="Authornameandaffiliation"/>
        <w:rPr>
          <w:lang w:val="es-ES"/>
        </w:rPr>
      </w:pPr>
      <w:r w:rsidRPr="003D3A21">
        <w:rPr>
          <w:lang w:val="es-ES"/>
        </w:rPr>
        <w:t>JOSÉ LUIS REVILLA</w:t>
      </w:r>
    </w:p>
    <w:p w:rsidR="00E23EE2" w:rsidRDefault="00E23EE2" w:rsidP="00537496">
      <w:pPr>
        <w:pStyle w:val="Authornameandaffiliation"/>
      </w:pPr>
      <w:r>
        <w:t>CSN</w:t>
      </w:r>
    </w:p>
    <w:p w:rsidR="00E23EE2" w:rsidRPr="004509AF" w:rsidRDefault="00E23EE2" w:rsidP="00537496">
      <w:pPr>
        <w:pStyle w:val="Authornameandaffiliation"/>
      </w:pPr>
      <w:r>
        <w:t>Madrid, Spain</w:t>
      </w:r>
    </w:p>
    <w:p w:rsidR="00FF386F" w:rsidRPr="004509A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4509AF" w:rsidRDefault="004509AF" w:rsidP="00467391">
      <w:pPr>
        <w:pStyle w:val="Abstracttext"/>
        <w:jc w:val="both"/>
      </w:pPr>
      <w:r>
        <w:t>In Spain, the José Cabrera nuclear power plant</w:t>
      </w:r>
      <w:r w:rsidR="00DE6EB0">
        <w:t xml:space="preserve"> (NPP)</w:t>
      </w:r>
      <w:r>
        <w:t xml:space="preserve"> is facing the final stage of its decommissioning process, </w:t>
      </w:r>
      <w:r w:rsidR="0077482A">
        <w:t>where</w:t>
      </w:r>
      <w:r>
        <w:t xml:space="preserve"> the clean-up plan is currently ongoing. </w:t>
      </w:r>
    </w:p>
    <w:p w:rsidR="004509AF" w:rsidRDefault="004509AF" w:rsidP="00467391">
      <w:pPr>
        <w:pStyle w:val="Abstracttext"/>
        <w:jc w:val="both"/>
      </w:pPr>
      <w:r>
        <w:t>In accordance with Spanish regulations, the Spanish Nuclear Safety Council (CSN) is responsible for ensuring that nuclear facilities are managed safely in all stages of their life cycle, including decommissioning, with the aim of protecting workers, population and environment from the harmful effects of ionizing radiation</w:t>
      </w:r>
      <w:r w:rsidR="00C20DCA">
        <w:t xml:space="preserve">. </w:t>
      </w:r>
      <w:r w:rsidR="009D334F">
        <w:t>In addition, t</w:t>
      </w:r>
      <w:r>
        <w:t xml:space="preserve">he </w:t>
      </w:r>
      <w:r w:rsidR="009D334F">
        <w:t xml:space="preserve">National </w:t>
      </w:r>
      <w:r>
        <w:t xml:space="preserve">Radioactive Waste </w:t>
      </w:r>
      <w:r w:rsidR="009D334F">
        <w:t>Company, SA (Enresa)</w:t>
      </w:r>
      <w:r>
        <w:t xml:space="preserve"> is responsible for planning and performing the decommissioning of nuclear facilities. </w:t>
      </w:r>
    </w:p>
    <w:p w:rsidR="004509AF" w:rsidRDefault="004509AF" w:rsidP="00467391">
      <w:pPr>
        <w:pStyle w:val="Abstracttext"/>
        <w:jc w:val="both"/>
      </w:pPr>
      <w:r>
        <w:t xml:space="preserve">In this paper, we will </w:t>
      </w:r>
      <w:r w:rsidR="002C1567">
        <w:t>overview</w:t>
      </w:r>
      <w:r>
        <w:t xml:space="preserve"> the evolution of the decommissioning process of José Cabrera NPP, from a regulatory point of view, focusing on the current status of the site and </w:t>
      </w:r>
      <w:r w:rsidR="00C20DCA">
        <w:t>the regulatory challenges to undertake in the near future,</w:t>
      </w:r>
      <w:r w:rsidR="00D24AA9">
        <w:t xml:space="preserve"> outstanding</w:t>
      </w:r>
      <w:r>
        <w:t xml:space="preserve"> the lessons learned</w:t>
      </w:r>
      <w:r w:rsidR="00C20DCA">
        <w:t xml:space="preserve"> in this process, that have been analyzed by a </w:t>
      </w:r>
      <w:r>
        <w:t xml:space="preserve">working group </w:t>
      </w:r>
      <w:r w:rsidR="00C20DCA">
        <w:t xml:space="preserve">established </w:t>
      </w:r>
      <w:r>
        <w:t>between CSN and Enresa</w:t>
      </w:r>
      <w:r w:rsidR="00C20DCA">
        <w:t xml:space="preserve"> for this purpose</w:t>
      </w:r>
      <w:r>
        <w:t xml:space="preserve">. The objectives of the group, the selected topics to be </w:t>
      </w:r>
      <w:r w:rsidR="00DE6EB0">
        <w:t>analyzed</w:t>
      </w:r>
      <w:r>
        <w:t>, the selected methodology, and the main conclusions obtained are also presented in this extended abstract.</w:t>
      </w:r>
    </w:p>
    <w:p w:rsidR="00647F33" w:rsidRDefault="00F523CA" w:rsidP="00537496">
      <w:pPr>
        <w:pStyle w:val="Ttulo2"/>
        <w:numPr>
          <w:ilvl w:val="1"/>
          <w:numId w:val="10"/>
        </w:numPr>
      </w:pPr>
      <w:r>
        <w:t>INTRODUCTION</w:t>
      </w:r>
    </w:p>
    <w:p w:rsidR="00EE0041" w:rsidRDefault="00960430" w:rsidP="00960430">
      <w:pPr>
        <w:pStyle w:val="Textoindependiente"/>
      </w:pPr>
      <w:r>
        <w:t>J</w:t>
      </w:r>
      <w:r w:rsidRPr="00960430">
        <w:t>osé Cabrera NPP, was the first to be commissioned in Spain</w:t>
      </w:r>
      <w:r w:rsidR="00D7432F">
        <w:t>, back</w:t>
      </w:r>
      <w:r w:rsidRPr="00960430">
        <w:t xml:space="preserve"> in 1968.</w:t>
      </w:r>
      <w:r>
        <w:t xml:space="preserve"> </w:t>
      </w:r>
      <w:r w:rsidRPr="00960430">
        <w:t xml:space="preserve">It was a </w:t>
      </w:r>
      <w:r w:rsidR="00D7432F">
        <w:t xml:space="preserve">160 Megawatt </w:t>
      </w:r>
      <w:r w:rsidRPr="00960430">
        <w:t>P</w:t>
      </w:r>
      <w:r>
        <w:t xml:space="preserve">WR power reactor, </w:t>
      </w:r>
      <w:r w:rsidRPr="00960430">
        <w:t>located in the</w:t>
      </w:r>
      <w:r w:rsidR="002C1567">
        <w:t xml:space="preserve"> municipality of Almonacid de Zorita,</w:t>
      </w:r>
      <w:r w:rsidRPr="00960430">
        <w:t xml:space="preserve"> province of Guadalajara.</w:t>
      </w:r>
      <w:r>
        <w:t xml:space="preserve"> </w:t>
      </w:r>
      <w:r w:rsidRPr="00960430">
        <w:t>In April 2006</w:t>
      </w:r>
      <w:r w:rsidR="00D7432F">
        <w:t>, after 38 years operating,</w:t>
      </w:r>
      <w:r w:rsidRPr="00960430">
        <w:t xml:space="preserve"> </w:t>
      </w:r>
      <w:r w:rsidR="002C1567">
        <w:t>José Cabrera</w:t>
      </w:r>
      <w:r w:rsidR="00D7432F">
        <w:t xml:space="preserve"> </w:t>
      </w:r>
      <w:r w:rsidRPr="00960430">
        <w:t xml:space="preserve">was </w:t>
      </w:r>
      <w:r w:rsidR="002C1567">
        <w:t>shut down</w:t>
      </w:r>
      <w:r w:rsidR="00055FAE">
        <w:t>,</w:t>
      </w:r>
      <w:r w:rsidRPr="00960430">
        <w:t xml:space="preserve"> and </w:t>
      </w:r>
      <w:r w:rsidR="00055FAE">
        <w:t>its</w:t>
      </w:r>
      <w:r w:rsidR="00D7432F">
        <w:t xml:space="preserve"> decommissioning </w:t>
      </w:r>
      <w:r w:rsidR="00055FAE">
        <w:t>was authorized</w:t>
      </w:r>
      <w:r w:rsidR="00D7432F">
        <w:t xml:space="preserve"> </w:t>
      </w:r>
      <w:r w:rsidRPr="00960430">
        <w:t>on February 1st, 2010</w:t>
      </w:r>
      <w:r w:rsidR="008B6BB9">
        <w:t>.</w:t>
      </w:r>
      <w:r>
        <w:t xml:space="preserve"> </w:t>
      </w:r>
      <w:r w:rsidR="002C1567">
        <w:t xml:space="preserve">This entailed the first full dismantling of a nuclear power plant in Spain. </w:t>
      </w:r>
      <w:r w:rsidR="00851CA9" w:rsidRPr="00851CA9">
        <w:t>The dismantling activities include decommissioning and removal of conventional parts, segmentation with special cutting techniques of large radioactive systems and components, decontamination and demolition of buildings, and final site restoration.</w:t>
      </w:r>
      <w:r w:rsidR="00525DF2">
        <w:t xml:space="preserve"> </w:t>
      </w:r>
      <w:r w:rsidR="00C20DCA">
        <w:t>Currently</w:t>
      </w:r>
      <w:r w:rsidR="00055FAE">
        <w:t>, the c</w:t>
      </w:r>
      <w:r>
        <w:t>lean-up plan is being carried out</w:t>
      </w:r>
      <w:r w:rsidR="00C20DCA">
        <w:t xml:space="preserve"> with the aim of applying for the</w:t>
      </w:r>
      <w:r>
        <w:t xml:space="preserve"> licence termination </w:t>
      </w:r>
      <w:r w:rsidR="00C20DCA">
        <w:t>in the next few years</w:t>
      </w:r>
      <w:r>
        <w:t xml:space="preserve">. </w:t>
      </w:r>
    </w:p>
    <w:p w:rsidR="00960430" w:rsidRDefault="00960430" w:rsidP="00960430">
      <w:pPr>
        <w:pStyle w:val="Textoindependiente"/>
      </w:pPr>
      <w:r>
        <w:t xml:space="preserve">In this context, and taking into account </w:t>
      </w:r>
      <w:r w:rsidR="00D7432F">
        <w:t>the</w:t>
      </w:r>
      <w:r w:rsidR="00055FAE">
        <w:t xml:space="preserve"> </w:t>
      </w:r>
      <w:r w:rsidR="00C923AF">
        <w:t xml:space="preserve">Spanish </w:t>
      </w:r>
      <w:r w:rsidR="00055FAE">
        <w:t>ongoing</w:t>
      </w:r>
      <w:r w:rsidR="00231138">
        <w:t xml:space="preserve"> C</w:t>
      </w:r>
      <w:r w:rsidR="00C923AF">
        <w:t>losure</w:t>
      </w:r>
      <w:r w:rsidR="00D7432F">
        <w:t xml:space="preserve"> </w:t>
      </w:r>
      <w:r w:rsidR="00055FAE">
        <w:t xml:space="preserve">Plan of all of its nuclear power plants before </w:t>
      </w:r>
      <w:r w:rsidR="00DE6EB0">
        <w:t>2035 (</w:t>
      </w:r>
      <w:r w:rsidR="00014396">
        <w:t>PNIEC)</w:t>
      </w:r>
      <w:r w:rsidR="00D7432F">
        <w:t>,</w:t>
      </w:r>
      <w:r>
        <w:t xml:space="preserve"> the CSN and Enresa saw the need of recording and documenting the lessons learned from the decommissioning of José Cabrera NPP to be applied</w:t>
      </w:r>
      <w:r w:rsidR="00055FAE">
        <w:t xml:space="preserve"> to the forthcoming decommissioning projects, that will begin with the decommissioning of</w:t>
      </w:r>
      <w:r>
        <w:t xml:space="preserve"> Santa María de Garoña </w:t>
      </w:r>
      <w:r w:rsidR="00055FAE">
        <w:t>NPP in the second half of 2023.</w:t>
      </w:r>
      <w:r>
        <w:t xml:space="preserve"> </w:t>
      </w:r>
    </w:p>
    <w:p w:rsidR="00E25B68" w:rsidRDefault="002C1567" w:rsidP="0026525A">
      <w:pPr>
        <w:pStyle w:val="Ttulo2"/>
        <w:numPr>
          <w:ilvl w:val="1"/>
          <w:numId w:val="10"/>
        </w:numPr>
      </w:pPr>
      <w:r>
        <w:t>legal framework</w:t>
      </w:r>
    </w:p>
    <w:p w:rsidR="00C96DBC" w:rsidRDefault="00C96DBC" w:rsidP="00C96DBC">
      <w:pPr>
        <w:pStyle w:val="Textoindependiente"/>
      </w:pPr>
      <w:r>
        <w:t xml:space="preserve">In Spain, Law 15/1980, creating the Nuclear Safety Council, explicitly states that the CSN is </w:t>
      </w:r>
      <w:r w:rsidRPr="00C96DBC">
        <w:t>the only competent body in matters pertaining to nuclear safety and radiological protection</w:t>
      </w:r>
      <w:r w:rsidR="00353B86">
        <w:t>, including decommissioning activities</w:t>
      </w:r>
      <w:r>
        <w:t>. There</w:t>
      </w:r>
      <w:r w:rsidR="00DE6EB0">
        <w:t>fore, the CSN elaborates rules, which</w:t>
      </w:r>
      <w:r>
        <w:t xml:space="preserve"> will become part of the Regulatory Framework on the subje</w:t>
      </w:r>
      <w:r w:rsidR="00353B86">
        <w:t>ct under the scope of the rule</w:t>
      </w:r>
      <w:r w:rsidR="00DE6EB0">
        <w:t>,</w:t>
      </w:r>
      <w:r w:rsidR="00353B86">
        <w:t xml:space="preserve"> and evaluates and inspects that these activities are carried out in safe conditions.</w:t>
      </w:r>
    </w:p>
    <w:p w:rsidR="009A2541" w:rsidRDefault="00353B86" w:rsidP="009A2541">
      <w:pPr>
        <w:pStyle w:val="Textoindependiente"/>
      </w:pPr>
      <w:r>
        <w:lastRenderedPageBreak/>
        <w:t xml:space="preserve">Additionally, </w:t>
      </w:r>
      <w:r w:rsidR="009A2541">
        <w:t>Royal Decree 102/2014, for the responsible and safe management of spent fuel and radioactive waste, establishes that the dismantling and decommissioning activities are classified as a public service, and ENRESA is the public ent</w:t>
      </w:r>
      <w:r>
        <w:t xml:space="preserve">erprise in charge of this task (see </w:t>
      </w:r>
      <w:r w:rsidR="00DE6EB0">
        <w:t>Fig.</w:t>
      </w:r>
      <w:r>
        <w:t xml:space="preserve"> 1)</w:t>
      </w:r>
    </w:p>
    <w:p w:rsidR="009A2541" w:rsidRDefault="00B4575C" w:rsidP="009A2541">
      <w:pPr>
        <w:kinsoku w:val="0"/>
        <w:textAlignment w:val="auto"/>
      </w:pPr>
      <w:r>
        <w:rPr>
          <w:noProof/>
          <w:lang w:val="es-ES" w:eastAsia="es-ES"/>
        </w:rPr>
        <mc:AlternateContent>
          <mc:Choice Requires="wps">
            <w:drawing>
              <wp:anchor distT="45720" distB="45720" distL="114300" distR="114300" simplePos="0" relativeHeight="251663360" behindDoc="0" locked="0" layoutInCell="1" allowOverlap="1" wp14:anchorId="61E5F47F" wp14:editId="115F1D99">
                <wp:simplePos x="0" y="0"/>
                <wp:positionH relativeFrom="column">
                  <wp:posOffset>2832101</wp:posOffset>
                </wp:positionH>
                <wp:positionV relativeFrom="paragraph">
                  <wp:posOffset>25400</wp:posOffset>
                </wp:positionV>
                <wp:extent cx="1455420" cy="1404620"/>
                <wp:effectExtent l="952"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55420" cy="1404620"/>
                        </a:xfrm>
                        <a:prstGeom prst="rect">
                          <a:avLst/>
                        </a:prstGeom>
                        <a:noFill/>
                        <a:ln w="9525">
                          <a:noFill/>
                          <a:miter lim="800000"/>
                          <a:headEnd/>
                          <a:tailEnd/>
                        </a:ln>
                      </wps:spPr>
                      <wps:txbx>
                        <w:txbxContent>
                          <w:p w:rsidR="00AF2244" w:rsidRDefault="00AF2244" w:rsidP="00353B86">
                            <w:pPr>
                              <w:spacing w:line="192" w:lineRule="auto"/>
                              <w:jc w:val="center"/>
                              <w:rPr>
                                <w:rFonts w:asciiTheme="minorHAnsi" w:hAnsiTheme="minorHAnsi" w:cstheme="minorHAnsi"/>
                                <w:sz w:val="20"/>
                              </w:rPr>
                            </w:pPr>
                            <w:r w:rsidRPr="00B4575C">
                              <w:rPr>
                                <w:rFonts w:asciiTheme="minorHAnsi" w:hAnsiTheme="minorHAnsi" w:cstheme="minorHAnsi"/>
                                <w:sz w:val="20"/>
                              </w:rPr>
                              <w:t>Transfer of</w:t>
                            </w:r>
                          </w:p>
                          <w:p w:rsidR="00AF2244" w:rsidRPr="00B4575C" w:rsidRDefault="00AF2244" w:rsidP="00353B86">
                            <w:pPr>
                              <w:spacing w:line="192" w:lineRule="auto"/>
                              <w:jc w:val="center"/>
                              <w:rPr>
                                <w:rFonts w:asciiTheme="minorHAnsi" w:hAnsiTheme="minorHAnsi" w:cstheme="minorHAnsi"/>
                                <w:sz w:val="20"/>
                                <w:lang w:val="es-ES"/>
                              </w:rPr>
                            </w:pPr>
                            <w:r w:rsidRPr="00B4575C">
                              <w:rPr>
                                <w:rFonts w:asciiTheme="minorHAnsi" w:hAnsiTheme="minorHAnsi" w:cstheme="minorHAnsi"/>
                                <w:sz w:val="20"/>
                              </w:rPr>
                              <w:t>Ownership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E5F47F" id="_x0000_t202" coordsize="21600,21600" o:spt="202" path="m,l,21600r21600,l21600,xe">
                <v:stroke joinstyle="miter"/>
                <v:path gradientshapeok="t" o:connecttype="rect"/>
              </v:shapetype>
              <v:shape id="Cuadro de texto 2" o:spid="_x0000_s1026" type="#_x0000_t202" style="position:absolute;margin-left:223pt;margin-top:2pt;width:114.6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vGAIAAAsEAAAOAAAAZHJzL2Uyb0RvYy54bWysU9uO2yAQfa/Uf0C8N44tZy9WnNU221SV&#10;tttK234AARyjAkOBxE6/vgOOkqh9q+oHBJ7hzDlnhuXDaDQ5SB8U2JaWszkl0nIQyu5a+v3b5t0d&#10;JSEyK5gGK1t6lIE+rN6+WQ6ukRX0oIX0BEFsaAbX0j5G1xRF4L00LMzASYvBDrxhEY9+VwjPBkQ3&#10;uqjm85tiAC+cBy5DwL9PU5CuMn7XSR6/dF2QkeiWIreYV5/XbVqL1ZI1O89cr/iJBvsHFoYpi0XP&#10;UE8sMrL36i8oo7iHAF2ccTAFdJ3iMmtANeX8DzWvPXMya0FzgjvbFP4fLH85fPVEiZZW5S0llhls&#10;0nrPhAciJIlyjECqZNPgQoPZrw7z4/geRmx3lhzcM/AfgVhY98zu5KP3MPSSCaRZppvF1dUJJySQ&#10;7fAZBFZj+wgZaOy8IR6wR+UN9ha//BtNIlgMu3c8dwxpEZ4Y1ItFXWGIY6ys5zVezCVZk9BSR5wP&#10;8aMEQ9KmpR5HIsOyw3OIid0lJaVb2Cit81hoS4aW3i+qRb5wFTEq4tRqZVp6NxHNF5LoD1bkfWRK&#10;T3ssoO3JhSR8siCO2xETkzVbEEf0IytHKfiakGcP/hclA05mS8PPPfOSEv3Joqf3ZV2nUc6HenGb&#10;5PvryPY6wixHqJZGSqbtOubxT1qDe0TvNyrbcGFy4ooTl905vY400tfnnHV5w6vfAAAA//8DAFBL&#10;AwQUAAYACAAAACEAl2di598AAAAIAQAADwAAAGRycy9kb3ducmV2LnhtbEyPwU7DMBBE70j8g7VI&#10;XBB1amhaQjYVqsSFC6KEuxNvk4jYjmI3Tfl6lhO9jLSa1cybfDvbXkw0hs47hOUiAUGu9qZzDUL5&#10;+Xq/ARGidkb33hHCmQJsi+urXGfGn9wHTfvYCA5xIdMIbYxDJmWoW7I6LPxAjr2DH62OfI6NNKM+&#10;cbjtpUqSVFrdOW5o9UC7lurv/dEi3B125fnrzb//pJbKVTWZ7qGMiLc388sziEhz/H+GP3xGh4KZ&#10;Kn90Joge4XGV8JaIwMp2ul4qEBWCUk8KZJHLywHFLwAAAP//AwBQSwECLQAUAAYACAAAACEAtoM4&#10;kv4AAADhAQAAEwAAAAAAAAAAAAAAAAAAAAAAW0NvbnRlbnRfVHlwZXNdLnhtbFBLAQItABQABgAI&#10;AAAAIQA4/SH/1gAAAJQBAAALAAAAAAAAAAAAAAAAAC8BAABfcmVscy8ucmVsc1BLAQItABQABgAI&#10;AAAAIQBQ+tqvGAIAAAsEAAAOAAAAAAAAAAAAAAAAAC4CAABkcnMvZTJvRG9jLnhtbFBLAQItABQA&#10;BgAIAAAAIQCXZ2Ln3wAAAAgBAAAPAAAAAAAAAAAAAAAAAHIEAABkcnMvZG93bnJldi54bWxQSwUG&#10;AAAAAAQABADzAAAAfgUAAAAA&#10;" filled="f" stroked="f">
                <v:textbox style="mso-fit-shape-to-text:t">
                  <w:txbxContent>
                    <w:p w:rsidR="00AF2244" w:rsidRDefault="00AF2244" w:rsidP="00353B86">
                      <w:pPr>
                        <w:spacing w:line="192" w:lineRule="auto"/>
                        <w:jc w:val="center"/>
                        <w:rPr>
                          <w:rFonts w:asciiTheme="minorHAnsi" w:hAnsiTheme="minorHAnsi" w:cstheme="minorHAnsi"/>
                          <w:sz w:val="20"/>
                        </w:rPr>
                      </w:pPr>
                      <w:r w:rsidRPr="00B4575C">
                        <w:rPr>
                          <w:rFonts w:asciiTheme="minorHAnsi" w:hAnsiTheme="minorHAnsi" w:cstheme="minorHAnsi"/>
                          <w:sz w:val="20"/>
                        </w:rPr>
                        <w:t>Transfer of</w:t>
                      </w:r>
                    </w:p>
                    <w:p w:rsidR="00AF2244" w:rsidRPr="00B4575C" w:rsidRDefault="00AF2244" w:rsidP="00353B86">
                      <w:pPr>
                        <w:spacing w:line="192" w:lineRule="auto"/>
                        <w:jc w:val="center"/>
                        <w:rPr>
                          <w:rFonts w:asciiTheme="minorHAnsi" w:hAnsiTheme="minorHAnsi" w:cstheme="minorHAnsi"/>
                          <w:sz w:val="20"/>
                          <w:lang w:val="es-ES"/>
                        </w:rPr>
                      </w:pPr>
                      <w:r w:rsidRPr="00B4575C">
                        <w:rPr>
                          <w:rFonts w:asciiTheme="minorHAnsi" w:hAnsiTheme="minorHAnsi" w:cstheme="minorHAnsi"/>
                          <w:sz w:val="20"/>
                        </w:rPr>
                        <w:t>Ownership</w:t>
                      </w:r>
                    </w:p>
                  </w:txbxContent>
                </v:textbox>
              </v:shape>
            </w:pict>
          </mc:Fallback>
        </mc:AlternateContent>
      </w:r>
    </w:p>
    <w:p w:rsidR="00670F81" w:rsidRDefault="00B4575C" w:rsidP="00353B86">
      <w:pPr>
        <w:pStyle w:val="Descripcin"/>
        <w:jc w:val="center"/>
        <w:rPr>
          <w:i/>
        </w:rPr>
      </w:pPr>
      <w:r>
        <w:rPr>
          <w:noProof/>
          <w:lang w:val="es-ES" w:eastAsia="es-ES"/>
        </w:rPr>
        <mc:AlternateContent>
          <mc:Choice Requires="wps">
            <w:drawing>
              <wp:anchor distT="0" distB="0" distL="114300" distR="114300" simplePos="0" relativeHeight="251661312" behindDoc="0" locked="0" layoutInCell="1" allowOverlap="1" wp14:anchorId="548142DE" wp14:editId="3A02EAD0">
                <wp:simplePos x="0" y="0"/>
                <wp:positionH relativeFrom="column">
                  <wp:posOffset>3177540</wp:posOffset>
                </wp:positionH>
                <wp:positionV relativeFrom="paragraph">
                  <wp:posOffset>83185</wp:posOffset>
                </wp:positionV>
                <wp:extent cx="83820" cy="914400"/>
                <wp:effectExtent l="19050" t="0" r="30480" b="38100"/>
                <wp:wrapNone/>
                <wp:docPr id="20" name="Flecha abajo 20"/>
                <wp:cNvGraphicFramePr/>
                <a:graphic xmlns:a="http://schemas.openxmlformats.org/drawingml/2006/main">
                  <a:graphicData uri="http://schemas.microsoft.com/office/word/2010/wordprocessingShape">
                    <wps:wsp>
                      <wps:cNvSpPr/>
                      <wps:spPr>
                        <a:xfrm>
                          <a:off x="0" y="0"/>
                          <a:ext cx="83820"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A2E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0" o:spid="_x0000_s1026" type="#_x0000_t67" style="position:absolute;margin-left:250.2pt;margin-top:6.55pt;width:6.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dsdwIAAEEFAAAOAAAAZHJzL2Uyb0RvYy54bWysVMFu2zAMvQ/YPwi6r06yduuCOkXQosOA&#10;og3WDj0zslR7kEWNUuJkXz9KdtyiLXYYloMjiuSj+PSos/Nda8VWU2jQlXJ6NJFCO4VV4x5L+eP+&#10;6sOpFCGCq8Ci06Xc6yDPF+/fnXV+rmdYo600CQZxYd75UtYx+nlRBFXrFsIReu3YaZBaiGzSY1ER&#10;dIze2mI2mXwqOqTKEyodAu9e9k65yPjGaBVvjQk6CltKPlvMX8rfdfoWizOYPxL4ulHDMeAfTtFC&#10;47joCHUJEcSGmldQbaMIA5p4pLAt0JhG6dwDdzOdvOjmrgavcy9MTvAjTeH/waqb7YpEU5VyxvQ4&#10;aPmOrqxWNQhYw08UvM0cdT7MOfTOr2iwAi9TwztDbfrnVsQu87ofedW7KBRvnn48TeiKPV+mx8eT&#10;DFk85XoK8avGVqRFKSvs3JIIu8wobK9D5KIcf4hjIx2oP0Jexb3V6RTWfdeG2+Gis5ydhaQvLIkt&#10;sARAKe3itHfVUOl++2TCv9QnFxkzspUBE7JprB2xB4Ak0tfYPcwQn1J11uGYPPnbwfrkMSNXRhfH&#10;5LZxSG8BWO5qqNzHH0jqqUksrbHa82UT9lMQvLpqmPBrCHEFxLLnO+JRjrf8MRa7UuKwkqJG+v3W&#10;fopnNbJXio7HqJTh1wZIS2G/OdZpvm+eu2wcn3xOOqDnnvVzj9u0F8jXNOVHw6u8TPHRHpaGsH3g&#10;iV+mquwCp7h2KVWkg3ER+/HmN0Pp5TKH8ax5iNfuzqsEnlhNWrrfPQD5QXWR1XqDh5GD+Qvd9bEp&#10;0+FyE9E0WZRPvA5885xm4QxvSnoInts56unlW/wBAAD//wMAUEsDBBQABgAIAAAAIQB+MHHf4gAA&#10;AAoBAAAPAAAAZHJzL2Rvd25yZXYueG1sTI9RS8MwEMffBb9DOME3l9TaOWvTIYKCIojdYOwtbc+m&#10;rElqkm11n97zSR/v/j/+97tiOZmBHdCH3lkJyUwAQ9u4tredhPXq6WoBLERlWzU4ixK+McCyPD8r&#10;VN66o/3AQxU7RiU25EqCjnHMOQ+NRqPCzI1oKft03qhIo+9469WRys3Ar4WYc6N6Sxe0GvFRY7Or&#10;9kZC/7rZnlZ377u04l+69s8vp8XbVsrLi+nhHljEKf7B8KtP6lCSU+32tg1skJAJcUMoBWkCjIAs&#10;SefAalpktwnwsuD/Xyh/AAAA//8DAFBLAQItABQABgAIAAAAIQC2gziS/gAAAOEBAAATAAAAAAAA&#10;AAAAAAAAAAAAAABbQ29udGVudF9UeXBlc10ueG1sUEsBAi0AFAAGAAgAAAAhADj9If/WAAAAlAEA&#10;AAsAAAAAAAAAAAAAAAAALwEAAF9yZWxzLy5yZWxzUEsBAi0AFAAGAAgAAAAhAN3vV2x3AgAAQQUA&#10;AA4AAAAAAAAAAAAAAAAALgIAAGRycy9lMm9Eb2MueG1sUEsBAi0AFAAGAAgAAAAhAH4wcd/iAAAA&#10;CgEAAA8AAAAAAAAAAAAAAAAA0QQAAGRycy9kb3ducmV2LnhtbFBLBQYAAAAABAAEAPMAAADgBQAA&#10;AAA=&#10;" adj="20610" fillcolor="#4f81bd [3204]" strokecolor="#243f60 [1604]" strokeweight="2pt"/>
            </w:pict>
          </mc:Fallback>
        </mc:AlternateContent>
      </w:r>
      <w:r>
        <w:rPr>
          <w:noProof/>
          <w:lang w:val="es-ES" w:eastAsia="es-ES"/>
        </w:rPr>
        <w:drawing>
          <wp:inline distT="0" distB="0" distL="0" distR="0" wp14:anchorId="05C6DC6F" wp14:editId="39033E21">
            <wp:extent cx="5486400" cy="883920"/>
            <wp:effectExtent l="0" t="0" r="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noProof/>
          <w:lang w:val="es-ES" w:eastAsia="es-ES"/>
        </w:rPr>
        <w:drawing>
          <wp:inline distT="0" distB="0" distL="0" distR="0" wp14:anchorId="0AF2FDF6" wp14:editId="60962BDE">
            <wp:extent cx="5486400" cy="746760"/>
            <wp:effectExtent l="19050" t="0" r="3810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353B86" w:rsidRPr="00353B86">
        <w:rPr>
          <w:i/>
        </w:rPr>
        <w:t xml:space="preserve"> </w:t>
      </w:r>
    </w:p>
    <w:p w:rsidR="00670F81" w:rsidRPr="00670F81" w:rsidRDefault="00670F81" w:rsidP="00670F81">
      <w:pPr>
        <w:rPr>
          <w:lang w:val="en-US"/>
        </w:rPr>
      </w:pPr>
      <w:r w:rsidRPr="00670F81">
        <w:rPr>
          <w:lang w:val="es-ES"/>
        </w:rPr>
        <w:drawing>
          <wp:inline distT="0" distB="0" distL="0" distR="0" wp14:anchorId="22D210F0" wp14:editId="070960A4">
            <wp:extent cx="5732145" cy="2433955"/>
            <wp:effectExtent l="0" t="0" r="1905" b="4445"/>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2"/>
                    <a:stretch>
                      <a:fillRect/>
                    </a:stretch>
                  </pic:blipFill>
                  <pic:spPr>
                    <a:xfrm>
                      <a:off x="0" y="0"/>
                      <a:ext cx="5732145" cy="2433955"/>
                    </a:xfrm>
                    <a:prstGeom prst="rect">
                      <a:avLst/>
                    </a:prstGeom>
                  </pic:spPr>
                </pic:pic>
              </a:graphicData>
            </a:graphic>
          </wp:inline>
        </w:drawing>
      </w:r>
    </w:p>
    <w:p w:rsidR="00353B86" w:rsidRPr="00353B86" w:rsidRDefault="00353B86" w:rsidP="00353B86">
      <w:pPr>
        <w:pStyle w:val="Descripcin"/>
        <w:jc w:val="center"/>
        <w:rPr>
          <w:i/>
        </w:rPr>
      </w:pPr>
      <w:r w:rsidRPr="00353B86">
        <w:rPr>
          <w:i/>
        </w:rPr>
        <w:t>FIG 1: NPP´s cycle: From commissioning to decommissioning</w:t>
      </w:r>
    </w:p>
    <w:p w:rsidR="009A2541" w:rsidRPr="00353B86" w:rsidRDefault="009A2541" w:rsidP="009A2541">
      <w:pPr>
        <w:kinsoku w:val="0"/>
        <w:textAlignment w:val="auto"/>
        <w:rPr>
          <w:lang w:val="en-US"/>
        </w:rPr>
      </w:pPr>
    </w:p>
    <w:p w:rsidR="00C96DBC" w:rsidRDefault="00C96DBC" w:rsidP="00C96DBC">
      <w:pPr>
        <w:pStyle w:val="Textoindependiente"/>
      </w:pPr>
      <w:r>
        <w:t>On top of</w:t>
      </w:r>
      <w:r w:rsidR="00DE6EB0">
        <w:t xml:space="preserve"> the</w:t>
      </w:r>
      <w:r>
        <w:t xml:space="preserve"> previous Laws and Royal Decrees, there are sever</w:t>
      </w:r>
      <w:r w:rsidR="00353B86">
        <w:t>al other regulations that serve</w:t>
      </w:r>
      <w:r>
        <w:t xml:space="preserve"> as the framework for the regulatory requirements and conditions. </w:t>
      </w:r>
    </w:p>
    <w:p w:rsidR="00C96DBC" w:rsidRDefault="00C96DBC" w:rsidP="00C96DBC">
      <w:pPr>
        <w:pStyle w:val="Textoindependiente"/>
      </w:pPr>
      <w:r>
        <w:t>Furthermore, Art. 12 of the Royal Decree 1836/1999 provides for the regulation, by means of CSN Instructions, of aspects of nuclear safety and radiological protection during the dismantling and closure of the facility and during the post-closure surveillance and monitoring phase, including the scope and content of the safety demonstrations or studies at each stage.</w:t>
      </w:r>
    </w:p>
    <w:p w:rsidR="009D334F" w:rsidRDefault="00C96DBC" w:rsidP="00353B86">
      <w:pPr>
        <w:pStyle w:val="Textoindependiente"/>
      </w:pPr>
      <w:r>
        <w:t xml:space="preserve">Once the decommissioning activities are concluded, Article 33 of the Royal Decree 1836/1999 establishes that </w:t>
      </w:r>
      <w:r w:rsidR="00231138">
        <w:t xml:space="preserve">Ministry </w:t>
      </w:r>
      <w:r w:rsidR="00DE6EB0">
        <w:t xml:space="preserve">of Ecological Transition and Demographic Challenge </w:t>
      </w:r>
      <w:r w:rsidR="00231138">
        <w:t>(</w:t>
      </w:r>
      <w:r>
        <w:t>MINETAD</w:t>
      </w:r>
      <w:r w:rsidR="00231138">
        <w:t>)</w:t>
      </w:r>
      <w:r w:rsidR="00DE6EB0">
        <w:t>,</w:t>
      </w:r>
      <w:r>
        <w:t xml:space="preserve"> will issue a decommission</w:t>
      </w:r>
      <w:r w:rsidR="00DE6EB0">
        <w:t>ing</w:t>
      </w:r>
      <w:r>
        <w:t xml:space="preserve"> statement (license termination) that will free the facility from CSN control after receiving the CSN </w:t>
      </w:r>
      <w:r w:rsidR="00DE6EB0">
        <w:t xml:space="preserve">favourable </w:t>
      </w:r>
      <w:r>
        <w:t>report. In the case of restricted site releases, the decommission</w:t>
      </w:r>
      <w:r w:rsidR="00DE6EB0">
        <w:t>ing</w:t>
      </w:r>
      <w:r>
        <w:t xml:space="preserve"> statement also defines the restrictions on the future use of the site and the body responsible for maintaining and verifying the c</w:t>
      </w:r>
      <w:r w:rsidR="00353B86">
        <w:t>ompliance of such restrictions.</w:t>
      </w:r>
    </w:p>
    <w:p w:rsidR="00EE0041" w:rsidRDefault="009A4354" w:rsidP="0026525A">
      <w:pPr>
        <w:pStyle w:val="Ttulo2"/>
        <w:numPr>
          <w:ilvl w:val="1"/>
          <w:numId w:val="10"/>
        </w:numPr>
      </w:pPr>
      <w:r>
        <w:t xml:space="preserve">DISMANTLING OF </w:t>
      </w:r>
      <w:r w:rsidR="00353B86">
        <w:t xml:space="preserve">josé cabrera npp </w:t>
      </w:r>
    </w:p>
    <w:p w:rsidR="00C055B4" w:rsidRDefault="00C055B4" w:rsidP="00C055B4">
      <w:pPr>
        <w:pStyle w:val="Textoindependiente"/>
      </w:pPr>
      <w:r w:rsidRPr="00C055B4">
        <w:t>The Jos</w:t>
      </w:r>
      <w:r w:rsidR="00851E3E">
        <w:t xml:space="preserve">é Cabrera nuclear power plant </w:t>
      </w:r>
      <w:r w:rsidRPr="00C055B4">
        <w:t xml:space="preserve">was shut down by Ministerial Order on 20 April 2006. This entailed the first </w:t>
      </w:r>
      <w:r>
        <w:t xml:space="preserve">immediate </w:t>
      </w:r>
      <w:r w:rsidRPr="00C055B4">
        <w:t>full dismantling of</w:t>
      </w:r>
      <w:r>
        <w:t xml:space="preserve"> a nuclear power plant in Spain</w:t>
      </w:r>
      <w:r w:rsidR="00D22E21">
        <w:t xml:space="preserve">. </w:t>
      </w:r>
      <w:r w:rsidR="00DE6EB0">
        <w:t>Since t</w:t>
      </w:r>
      <w:r w:rsidR="00D22E21">
        <w:t>he</w:t>
      </w:r>
      <w:r>
        <w:t xml:space="preserve"> decommissioning permit was granted, the plant has been undergoing the dismantling of all of its structures, systems and components, until June 2022</w:t>
      </w:r>
      <w:r w:rsidR="00D22E21">
        <w:t>,</w:t>
      </w:r>
      <w:r>
        <w:t xml:space="preserve"> when the clean-up plan was approved by the CSN</w:t>
      </w:r>
      <w:r w:rsidRPr="00C055B4">
        <w:t xml:space="preserve"> </w:t>
      </w:r>
      <w:r>
        <w:t>(see F</w:t>
      </w:r>
      <w:r w:rsidR="00DE6EB0">
        <w:t>ig.</w:t>
      </w:r>
      <w:r>
        <w:t xml:space="preserve"> 2).</w:t>
      </w:r>
    </w:p>
    <w:p w:rsidR="00C055B4" w:rsidRPr="00C055B4" w:rsidRDefault="00C055B4" w:rsidP="00C055B4">
      <w:pPr>
        <w:pStyle w:val="Textoindependiente"/>
      </w:pPr>
    </w:p>
    <w:p w:rsidR="00353B86" w:rsidRDefault="007748BF" w:rsidP="007748BF">
      <w:pPr>
        <w:pStyle w:val="Textoindependiente"/>
        <w:ind w:firstLine="0"/>
      </w:pPr>
      <w:r>
        <w:rPr>
          <w:noProof/>
          <w:lang w:val="es-ES" w:eastAsia="es-ES"/>
        </w:rPr>
        <w:lastRenderedPageBreak/>
        <w:drawing>
          <wp:inline distT="0" distB="0" distL="0" distR="0" wp14:anchorId="0A3420CA" wp14:editId="1F57ADB8">
            <wp:extent cx="5737890" cy="169926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9702" cy="1729411"/>
                    </a:xfrm>
                    <a:prstGeom prst="rect">
                      <a:avLst/>
                    </a:prstGeom>
                    <a:noFill/>
                  </pic:spPr>
                </pic:pic>
              </a:graphicData>
            </a:graphic>
          </wp:inline>
        </w:drawing>
      </w:r>
    </w:p>
    <w:p w:rsidR="007748BF" w:rsidRPr="007748BF" w:rsidRDefault="007748BF" w:rsidP="007748BF">
      <w:pPr>
        <w:pStyle w:val="Textoindependiente"/>
        <w:ind w:firstLine="0"/>
        <w:jc w:val="center"/>
        <w:rPr>
          <w:i/>
          <w:lang w:val="en-US"/>
        </w:rPr>
      </w:pPr>
      <w:r w:rsidRPr="007748BF">
        <w:rPr>
          <w:i/>
          <w:lang w:val="en-US"/>
        </w:rPr>
        <w:t>FIG 2: José Cabrera NPP life cycle</w:t>
      </w:r>
    </w:p>
    <w:p w:rsidR="00353B86" w:rsidRPr="007748BF" w:rsidRDefault="00353B86" w:rsidP="00353B86">
      <w:pPr>
        <w:pStyle w:val="Textoindependiente"/>
        <w:jc w:val="center"/>
        <w:rPr>
          <w:lang w:val="en-US"/>
        </w:rPr>
      </w:pPr>
    </w:p>
    <w:p w:rsidR="009E6E05" w:rsidRDefault="00851E3E" w:rsidP="0048411D">
      <w:pPr>
        <w:pStyle w:val="Textoindependiente"/>
        <w:rPr>
          <w:lang w:val="en-US"/>
        </w:rPr>
      </w:pPr>
      <w:r>
        <w:rPr>
          <w:lang w:val="en-US"/>
        </w:rPr>
        <w:t xml:space="preserve">The permanent shutdown stage began with the approval by the </w:t>
      </w:r>
      <w:r w:rsidR="00557663">
        <w:rPr>
          <w:lang w:val="en-US"/>
        </w:rPr>
        <w:t>MINETAD</w:t>
      </w:r>
      <w:r w:rsidR="00D22275">
        <w:rPr>
          <w:lang w:val="en-US"/>
        </w:rPr>
        <w:t xml:space="preserve">, </w:t>
      </w:r>
      <w:r w:rsidR="0048411D">
        <w:rPr>
          <w:lang w:val="en-US"/>
        </w:rPr>
        <w:t>after</w:t>
      </w:r>
      <w:r>
        <w:rPr>
          <w:lang w:val="en-US"/>
        </w:rPr>
        <w:t xml:space="preserve"> favorable report of the CSN</w:t>
      </w:r>
      <w:r w:rsidR="00D22275">
        <w:rPr>
          <w:lang w:val="en-US"/>
        </w:rPr>
        <w:t>,</w:t>
      </w:r>
      <w:r>
        <w:rPr>
          <w:lang w:val="en-US"/>
        </w:rPr>
        <w:t xml:space="preserve"> of the prelim</w:t>
      </w:r>
      <w:r w:rsidRPr="00851E3E">
        <w:rPr>
          <w:lang w:val="en-US"/>
        </w:rPr>
        <w:t>inary Dismantling Plan</w:t>
      </w:r>
      <w:r w:rsidR="00D22275">
        <w:rPr>
          <w:lang w:val="en-US"/>
        </w:rPr>
        <w:t xml:space="preserve">. In this </w:t>
      </w:r>
      <w:r w:rsidR="00557663">
        <w:rPr>
          <w:lang w:val="en-US"/>
        </w:rPr>
        <w:t>stage,</w:t>
      </w:r>
      <w:r w:rsidR="00D22275">
        <w:rPr>
          <w:lang w:val="en-US"/>
        </w:rPr>
        <w:t xml:space="preserve"> the main activities carried out were the</w:t>
      </w:r>
      <w:r>
        <w:rPr>
          <w:lang w:val="en-US"/>
        </w:rPr>
        <w:t xml:space="preserve"> </w:t>
      </w:r>
      <w:r w:rsidR="00D22275">
        <w:rPr>
          <w:lang w:val="en-US"/>
        </w:rPr>
        <w:t xml:space="preserve">licensing of a </w:t>
      </w:r>
      <w:r w:rsidRPr="00851E3E">
        <w:rPr>
          <w:lang w:val="en-US"/>
        </w:rPr>
        <w:t xml:space="preserve">spent </w:t>
      </w:r>
      <w:r w:rsidR="00D22275">
        <w:rPr>
          <w:lang w:val="en-US"/>
        </w:rPr>
        <w:t xml:space="preserve">nuclear </w:t>
      </w:r>
      <w:r w:rsidRPr="00851E3E">
        <w:rPr>
          <w:lang w:val="en-US"/>
        </w:rPr>
        <w:t xml:space="preserve">fuel </w:t>
      </w:r>
      <w:r w:rsidR="00D22275">
        <w:rPr>
          <w:lang w:val="en-US"/>
        </w:rPr>
        <w:t>storage facility</w:t>
      </w:r>
      <w:r w:rsidR="00D22E21">
        <w:rPr>
          <w:lang w:val="en-US"/>
        </w:rPr>
        <w:t xml:space="preserve"> onsite</w:t>
      </w:r>
      <w:r w:rsidRPr="00851E3E">
        <w:rPr>
          <w:lang w:val="en-US"/>
        </w:rPr>
        <w:t xml:space="preserve"> and </w:t>
      </w:r>
      <w:r w:rsidR="00557663">
        <w:rPr>
          <w:lang w:val="en-US"/>
        </w:rPr>
        <w:t>other</w:t>
      </w:r>
      <w:r w:rsidR="00D22E21">
        <w:rPr>
          <w:lang w:val="en-US"/>
        </w:rPr>
        <w:t xml:space="preserve"> </w:t>
      </w:r>
      <w:r w:rsidRPr="00851E3E">
        <w:rPr>
          <w:lang w:val="en-US"/>
        </w:rPr>
        <w:t>pre-dismantling tasks</w:t>
      </w:r>
      <w:r w:rsidR="00D22275">
        <w:rPr>
          <w:lang w:val="en-US"/>
        </w:rPr>
        <w:t xml:space="preserve"> </w:t>
      </w:r>
      <w:r w:rsidR="00D22E21">
        <w:rPr>
          <w:lang w:val="en-US"/>
        </w:rPr>
        <w:t xml:space="preserve">such </w:t>
      </w:r>
      <w:r w:rsidR="00D22275">
        <w:rPr>
          <w:lang w:val="en-US"/>
        </w:rPr>
        <w:t>as the conditioning of operational waste</w:t>
      </w:r>
      <w:r w:rsidRPr="00851E3E">
        <w:rPr>
          <w:lang w:val="en-US"/>
        </w:rPr>
        <w:t>.</w:t>
      </w:r>
      <w:r w:rsidR="00557663">
        <w:rPr>
          <w:lang w:val="en-US"/>
        </w:rPr>
        <w:t xml:space="preserve"> T</w:t>
      </w:r>
      <w:r w:rsidR="009E6E05" w:rsidRPr="009E6E05">
        <w:rPr>
          <w:lang w:val="en-US"/>
        </w:rPr>
        <w:t xml:space="preserve">he </w:t>
      </w:r>
      <w:r w:rsidR="009E6E05">
        <w:rPr>
          <w:lang w:val="en-US"/>
        </w:rPr>
        <w:t>CSN has ensured</w:t>
      </w:r>
      <w:r w:rsidR="009E6E05" w:rsidRPr="009E6E05">
        <w:rPr>
          <w:lang w:val="en-US"/>
        </w:rPr>
        <w:t xml:space="preserve"> that safety requirements </w:t>
      </w:r>
      <w:r w:rsidR="009E6E05">
        <w:rPr>
          <w:lang w:val="en-US"/>
        </w:rPr>
        <w:t>were</w:t>
      </w:r>
      <w:r w:rsidR="009E6E05" w:rsidRPr="009E6E05">
        <w:rPr>
          <w:lang w:val="en-US"/>
        </w:rPr>
        <w:t xml:space="preserve"> being met by reviewing</w:t>
      </w:r>
      <w:r w:rsidR="009E6E05">
        <w:rPr>
          <w:lang w:val="en-US"/>
        </w:rPr>
        <w:t xml:space="preserve"> the</w:t>
      </w:r>
      <w:r w:rsidR="009E6E05" w:rsidRPr="009E6E05">
        <w:rPr>
          <w:lang w:val="en-US"/>
        </w:rPr>
        <w:t xml:space="preserve"> </w:t>
      </w:r>
      <w:r w:rsidR="009E6E05">
        <w:rPr>
          <w:lang w:val="en-US"/>
        </w:rPr>
        <w:t>official decommissioning documentation</w:t>
      </w:r>
      <w:r w:rsidR="009E6E05" w:rsidRPr="009E6E05">
        <w:rPr>
          <w:lang w:val="en-US"/>
        </w:rPr>
        <w:t>, conducting inspections, and moni</w:t>
      </w:r>
      <w:r w:rsidR="00557663">
        <w:rPr>
          <w:lang w:val="en-US"/>
        </w:rPr>
        <w:t>toring the status of activities (see Fig. 3).</w:t>
      </w:r>
    </w:p>
    <w:p w:rsidR="009D5F2A" w:rsidRDefault="009D5F2A" w:rsidP="0048411D">
      <w:pPr>
        <w:pStyle w:val="Textoindependiente"/>
        <w:rPr>
          <w:lang w:val="en-US"/>
        </w:rPr>
      </w:pPr>
      <w:r w:rsidRPr="009D5F2A">
        <w:rPr>
          <w:noProof/>
          <w:lang w:val="es-ES" w:eastAsia="es-ES"/>
        </w:rPr>
        <w:drawing>
          <wp:inline distT="0" distB="0" distL="0" distR="0" wp14:anchorId="07DE2CB2" wp14:editId="71655432">
            <wp:extent cx="4588961" cy="3027101"/>
            <wp:effectExtent l="0" t="0" r="2540" b="1905"/>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pic:cNvPicPr>
                      <a:picLocks noChangeAspect="1" noChangeArrowheads="1"/>
                    </pic:cNvPicPr>
                  </pic:nvPicPr>
                  <pic:blipFill>
                    <a:blip r:embed="rId24" cstate="print"/>
                    <a:srcRect/>
                    <a:stretch>
                      <a:fillRect/>
                    </a:stretch>
                  </pic:blipFill>
                  <pic:spPr bwMode="auto">
                    <a:xfrm>
                      <a:off x="0" y="0"/>
                      <a:ext cx="4588961" cy="3027101"/>
                    </a:xfrm>
                    <a:prstGeom prst="rect">
                      <a:avLst/>
                    </a:prstGeom>
                    <a:noFill/>
                    <a:ln w="9525" algn="ctr">
                      <a:noFill/>
                      <a:miter lim="800000"/>
                      <a:headEnd/>
                      <a:tailEnd/>
                    </a:ln>
                  </pic:spPr>
                </pic:pic>
              </a:graphicData>
            </a:graphic>
          </wp:inline>
        </w:drawing>
      </w:r>
    </w:p>
    <w:p w:rsidR="009D5F2A" w:rsidRDefault="009D5F2A" w:rsidP="009D5F2A">
      <w:pPr>
        <w:pStyle w:val="Textoindependiente"/>
        <w:ind w:firstLine="0"/>
        <w:jc w:val="center"/>
        <w:rPr>
          <w:i/>
          <w:lang w:val="en-US"/>
        </w:rPr>
      </w:pPr>
      <w:r>
        <w:rPr>
          <w:i/>
          <w:lang w:val="en-US"/>
        </w:rPr>
        <w:t xml:space="preserve">FIG.3. </w:t>
      </w:r>
      <w:r w:rsidRPr="009D5F2A">
        <w:rPr>
          <w:i/>
          <w:lang w:val="en-US"/>
        </w:rPr>
        <w:t>Decommissioning strategy for José Cabrera NPP</w:t>
      </w:r>
    </w:p>
    <w:p w:rsidR="009D5F2A" w:rsidRPr="009D5F2A" w:rsidRDefault="009D5F2A" w:rsidP="009D5F2A">
      <w:pPr>
        <w:pStyle w:val="Textoindependiente"/>
        <w:ind w:firstLine="0"/>
        <w:jc w:val="center"/>
        <w:rPr>
          <w:i/>
          <w:lang w:val="en-US"/>
        </w:rPr>
      </w:pPr>
    </w:p>
    <w:p w:rsidR="006E2108" w:rsidRDefault="0048411D" w:rsidP="0048411D">
      <w:pPr>
        <w:pStyle w:val="Textoindependiente"/>
        <w:rPr>
          <w:lang w:val="en-US"/>
        </w:rPr>
      </w:pPr>
      <w:r>
        <w:rPr>
          <w:lang w:val="en-US"/>
        </w:rPr>
        <w:t>Between 2010 and 2011, once the decommissioning stage had begun,</w:t>
      </w:r>
      <w:r w:rsidRPr="0048411D">
        <w:rPr>
          <w:lang w:val="en-US"/>
        </w:rPr>
        <w:t xml:space="preserve"> it was necessary to adapt some of the plant’s systems and auxiliary facilities to make them available and functional for the activities involved in dismantling.</w:t>
      </w:r>
      <w:r>
        <w:rPr>
          <w:lang w:val="en-US"/>
        </w:rPr>
        <w:t xml:space="preserve"> </w:t>
      </w:r>
      <w:r w:rsidR="00D22E21">
        <w:rPr>
          <w:lang w:val="en-US"/>
        </w:rPr>
        <w:t xml:space="preserve">One of the most </w:t>
      </w:r>
      <w:r w:rsidR="00557663">
        <w:rPr>
          <w:lang w:val="en-US"/>
        </w:rPr>
        <w:t>important</w:t>
      </w:r>
      <w:r w:rsidR="00D22E21">
        <w:rPr>
          <w:lang w:val="en-US"/>
        </w:rPr>
        <w:t xml:space="preserve"> </w:t>
      </w:r>
      <w:r w:rsidRPr="0048411D">
        <w:rPr>
          <w:lang w:val="en-US"/>
        </w:rPr>
        <w:t>was the transformation of the turbine building into the new Auxiliary Building for Dismantling, for the treatment and temporary storage of wast</w:t>
      </w:r>
      <w:r w:rsidR="00D22E21">
        <w:rPr>
          <w:lang w:val="en-US"/>
        </w:rPr>
        <w:t>e from the containment building, for which a tunnel that would connect both buildings was constructed.</w:t>
      </w:r>
      <w:r w:rsidR="009A4354">
        <w:rPr>
          <w:lang w:val="en-US"/>
        </w:rPr>
        <w:t xml:space="preserve"> </w:t>
      </w:r>
      <w:r w:rsidR="006E2108">
        <w:rPr>
          <w:lang w:val="en-US"/>
        </w:rPr>
        <w:t xml:space="preserve">From a regulatory point of view, this meant the assessment by the CSN experts in terms </w:t>
      </w:r>
      <w:r w:rsidR="00557663">
        <w:rPr>
          <w:lang w:val="en-US"/>
        </w:rPr>
        <w:t>of</w:t>
      </w:r>
      <w:r w:rsidR="006E2108">
        <w:rPr>
          <w:lang w:val="en-US"/>
        </w:rPr>
        <w:t xml:space="preserve"> radiological impact to public and environment; radiation protection of workers; management of radiological waste; ventilation systems; fire protection systems and quality assurance, being a core building in the dismantling of José Cabrera NPP.</w:t>
      </w:r>
    </w:p>
    <w:p w:rsidR="0048411D" w:rsidRPr="0048411D" w:rsidRDefault="00D22E21" w:rsidP="0048411D">
      <w:pPr>
        <w:pStyle w:val="Textoindependiente"/>
        <w:rPr>
          <w:lang w:val="en-US"/>
        </w:rPr>
      </w:pPr>
      <w:r>
        <w:rPr>
          <w:lang w:val="en-US"/>
        </w:rPr>
        <w:t>Additionally, non-radiological</w:t>
      </w:r>
      <w:r w:rsidR="0048411D">
        <w:rPr>
          <w:lang w:val="en-US"/>
        </w:rPr>
        <w:t xml:space="preserve"> buildings</w:t>
      </w:r>
      <w:r>
        <w:rPr>
          <w:lang w:val="en-US"/>
        </w:rPr>
        <w:t>, such</w:t>
      </w:r>
      <w:r w:rsidR="0048411D">
        <w:rPr>
          <w:lang w:val="en-US"/>
        </w:rPr>
        <w:t xml:space="preserve"> </w:t>
      </w:r>
      <w:r>
        <w:rPr>
          <w:lang w:val="en-US"/>
        </w:rPr>
        <w:t xml:space="preserve">as the diesel building, cooling towers, electrical building, control room and electrical transformer area, </w:t>
      </w:r>
      <w:r w:rsidR="0048411D">
        <w:rPr>
          <w:lang w:val="en-US"/>
        </w:rPr>
        <w:t xml:space="preserve">were </w:t>
      </w:r>
      <w:r>
        <w:rPr>
          <w:lang w:val="en-US"/>
        </w:rPr>
        <w:t>fully dismantled.</w:t>
      </w:r>
    </w:p>
    <w:p w:rsidR="006222C8" w:rsidRDefault="00D22E21" w:rsidP="0048411D">
      <w:pPr>
        <w:pStyle w:val="Textoindependiente"/>
        <w:rPr>
          <w:lang w:val="en-US"/>
        </w:rPr>
      </w:pPr>
      <w:r>
        <w:rPr>
          <w:lang w:val="en-US"/>
        </w:rPr>
        <w:t>Once these activities were finished, b</w:t>
      </w:r>
      <w:r w:rsidR="0048411D">
        <w:rPr>
          <w:lang w:val="en-US"/>
        </w:rPr>
        <w:t xml:space="preserve">etween 2012 and 2016, </w:t>
      </w:r>
      <w:r>
        <w:rPr>
          <w:lang w:val="en-US"/>
        </w:rPr>
        <w:t xml:space="preserve">it was the time of </w:t>
      </w:r>
      <w:r w:rsidR="0048411D">
        <w:rPr>
          <w:lang w:val="en-US"/>
        </w:rPr>
        <w:t xml:space="preserve">the radiological components. The primary circuit </w:t>
      </w:r>
      <w:r w:rsidR="000A33D1">
        <w:rPr>
          <w:lang w:val="en-US"/>
        </w:rPr>
        <w:t xml:space="preserve">was dismantled in the former spent fuel pool </w:t>
      </w:r>
      <w:r w:rsidR="0048411D">
        <w:rPr>
          <w:lang w:val="en-US"/>
        </w:rPr>
        <w:t xml:space="preserve">by </w:t>
      </w:r>
      <w:r w:rsidR="000A33D1">
        <w:rPr>
          <w:lang w:val="en-US"/>
        </w:rPr>
        <w:t xml:space="preserve">cutting under water </w:t>
      </w:r>
      <w:r w:rsidR="0048411D">
        <w:rPr>
          <w:lang w:val="en-US"/>
        </w:rPr>
        <w:t>the reactor internals and the reactor ves</w:t>
      </w:r>
      <w:r w:rsidR="000A33D1">
        <w:rPr>
          <w:lang w:val="en-US"/>
        </w:rPr>
        <w:t>sel with</w:t>
      </w:r>
      <w:r w:rsidR="0048411D">
        <w:rPr>
          <w:lang w:val="en-US"/>
        </w:rPr>
        <w:t xml:space="preserve"> remotely operated cutting tools. </w:t>
      </w:r>
      <w:r w:rsidR="006222C8">
        <w:rPr>
          <w:lang w:val="en-US"/>
        </w:rPr>
        <w:t xml:space="preserve">The rest of the primary circuit was also segmented and managed mainly as radioactive waste. </w:t>
      </w:r>
      <w:r w:rsidR="009E6E05">
        <w:rPr>
          <w:lang w:val="en-US"/>
        </w:rPr>
        <w:t>These activities were supervised by the resident inspector of the CSN at José Cabrera NPP and by the CSN experts in the matters involved.</w:t>
      </w:r>
      <w:r w:rsidR="006222C8">
        <w:rPr>
          <w:lang w:val="en-US"/>
        </w:rPr>
        <w:t xml:space="preserve"> </w:t>
      </w:r>
      <w:r w:rsidR="0048411D">
        <w:rPr>
          <w:lang w:val="en-US"/>
        </w:rPr>
        <w:t>After the</w:t>
      </w:r>
      <w:r w:rsidR="006222C8">
        <w:rPr>
          <w:lang w:val="en-US"/>
        </w:rPr>
        <w:t>se</w:t>
      </w:r>
      <w:r w:rsidR="0048411D">
        <w:rPr>
          <w:lang w:val="en-US"/>
        </w:rPr>
        <w:t xml:space="preserve"> components were removed, the </w:t>
      </w:r>
      <w:r w:rsidR="0048411D">
        <w:rPr>
          <w:lang w:val="en-US"/>
        </w:rPr>
        <w:lastRenderedPageBreak/>
        <w:t xml:space="preserve">surface decontamination tasks begun on the walls and floors of the various radiological buildings. </w:t>
      </w:r>
      <w:r w:rsidR="006222C8">
        <w:rPr>
          <w:lang w:val="en-US"/>
        </w:rPr>
        <w:t>An</w:t>
      </w:r>
      <w:r w:rsidR="0048411D" w:rsidRPr="0048411D">
        <w:rPr>
          <w:lang w:val="en-US"/>
        </w:rPr>
        <w:t xml:space="preserve"> </w:t>
      </w:r>
      <w:r w:rsidR="009E6E05">
        <w:rPr>
          <w:lang w:val="en-US"/>
        </w:rPr>
        <w:t xml:space="preserve">approved </w:t>
      </w:r>
      <w:r w:rsidR="0048411D" w:rsidRPr="0048411D">
        <w:rPr>
          <w:lang w:val="en-US"/>
        </w:rPr>
        <w:t>clearance methodology for surfaces</w:t>
      </w:r>
      <w:r w:rsidR="006222C8">
        <w:rPr>
          <w:lang w:val="en-US"/>
        </w:rPr>
        <w:t xml:space="preserve"> was applied, which guaranteed</w:t>
      </w:r>
      <w:r w:rsidR="0048411D" w:rsidRPr="0048411D">
        <w:rPr>
          <w:lang w:val="en-US"/>
        </w:rPr>
        <w:t xml:space="preserve"> the absence of residual contamina</w:t>
      </w:r>
      <w:r w:rsidR="006222C8">
        <w:rPr>
          <w:lang w:val="en-US"/>
        </w:rPr>
        <w:t xml:space="preserve">tion. </w:t>
      </w:r>
    </w:p>
    <w:p w:rsidR="0048411D" w:rsidRDefault="006222C8" w:rsidP="0048411D">
      <w:pPr>
        <w:pStyle w:val="Textoindependiente"/>
        <w:rPr>
          <w:lang w:val="en-US"/>
        </w:rPr>
      </w:pPr>
      <w:r>
        <w:rPr>
          <w:lang w:val="en-US"/>
        </w:rPr>
        <w:t>T</w:t>
      </w:r>
      <w:r w:rsidR="009E6E05">
        <w:rPr>
          <w:lang w:val="en-US"/>
        </w:rPr>
        <w:t xml:space="preserve">he next steps </w:t>
      </w:r>
      <w:r w:rsidR="009A4354">
        <w:rPr>
          <w:lang w:val="en-US"/>
        </w:rPr>
        <w:t>taken between 2017 and 2022, w</w:t>
      </w:r>
      <w:r w:rsidR="009E6E05">
        <w:rPr>
          <w:lang w:val="en-US"/>
        </w:rPr>
        <w:t>ere</w:t>
      </w:r>
      <w:r w:rsidR="0048411D" w:rsidRPr="0048411D">
        <w:rPr>
          <w:lang w:val="en-US"/>
        </w:rPr>
        <w:t xml:space="preserve"> the demolition of buildings and infrastructures using conventional methods.</w:t>
      </w:r>
      <w:r w:rsidR="009A4354">
        <w:rPr>
          <w:lang w:val="en-US"/>
        </w:rPr>
        <w:t xml:space="preserve"> </w:t>
      </w:r>
      <w:r w:rsidR="0048411D" w:rsidRPr="0048411D">
        <w:rPr>
          <w:lang w:val="en-US"/>
        </w:rPr>
        <w:t xml:space="preserve">Management of materials </w:t>
      </w:r>
      <w:r w:rsidR="009A4354">
        <w:rPr>
          <w:lang w:val="en-US"/>
        </w:rPr>
        <w:t>was</w:t>
      </w:r>
      <w:r w:rsidR="0048411D" w:rsidRPr="0048411D">
        <w:rPr>
          <w:lang w:val="en-US"/>
        </w:rPr>
        <w:t xml:space="preserve"> a key activity </w:t>
      </w:r>
      <w:r w:rsidR="009E6E05">
        <w:rPr>
          <w:lang w:val="en-US"/>
        </w:rPr>
        <w:t>focused</w:t>
      </w:r>
      <w:r w:rsidR="0048411D" w:rsidRPr="0048411D">
        <w:rPr>
          <w:lang w:val="en-US"/>
        </w:rPr>
        <w:t xml:space="preserve"> on </w:t>
      </w:r>
      <w:r w:rsidR="009A4354" w:rsidRPr="0048411D">
        <w:rPr>
          <w:lang w:val="en-US"/>
        </w:rPr>
        <w:t>optimizing</w:t>
      </w:r>
      <w:r w:rsidR="0048411D" w:rsidRPr="0048411D">
        <w:rPr>
          <w:lang w:val="en-US"/>
        </w:rPr>
        <w:t xml:space="preserve"> the volume of waste </w:t>
      </w:r>
      <w:r w:rsidR="009E6E05">
        <w:rPr>
          <w:lang w:val="en-US"/>
        </w:rPr>
        <w:t>that required</w:t>
      </w:r>
      <w:r w:rsidR="0048411D" w:rsidRPr="0048411D">
        <w:rPr>
          <w:lang w:val="en-US"/>
        </w:rPr>
        <w:t xml:space="preserve"> treatment by promoting policies for waste segregation and recycling</w:t>
      </w:r>
      <w:r w:rsidR="00557663">
        <w:rPr>
          <w:lang w:val="en-US"/>
        </w:rPr>
        <w:t xml:space="preserve"> (see Table 1).</w:t>
      </w:r>
      <w:r w:rsidR="009A4354">
        <w:rPr>
          <w:lang w:val="en-US"/>
        </w:rPr>
        <w:t xml:space="preserve"> </w:t>
      </w:r>
      <w:r w:rsidR="0048411D" w:rsidRPr="0048411D">
        <w:rPr>
          <w:lang w:val="en-US"/>
        </w:rPr>
        <w:t xml:space="preserve">Conventional materials </w:t>
      </w:r>
      <w:r w:rsidR="009A4354">
        <w:rPr>
          <w:lang w:val="en-US"/>
        </w:rPr>
        <w:t xml:space="preserve">were </w:t>
      </w:r>
      <w:r w:rsidR="0048411D" w:rsidRPr="0048411D">
        <w:rPr>
          <w:lang w:val="en-US"/>
        </w:rPr>
        <w:t>removed and sent to the relevant specific processing plants</w:t>
      </w:r>
      <w:r>
        <w:rPr>
          <w:lang w:val="en-US"/>
        </w:rPr>
        <w:t>, and</w:t>
      </w:r>
      <w:r w:rsidR="0048411D" w:rsidRPr="0048411D">
        <w:rPr>
          <w:lang w:val="en-US"/>
        </w:rPr>
        <w:t xml:space="preserve">, very low, low and intermediate level waste </w:t>
      </w:r>
      <w:r>
        <w:rPr>
          <w:lang w:val="en-US"/>
        </w:rPr>
        <w:t>was</w:t>
      </w:r>
      <w:r w:rsidR="0048411D" w:rsidRPr="0048411D">
        <w:rPr>
          <w:lang w:val="en-US"/>
        </w:rPr>
        <w:t xml:space="preserve"> sent to the</w:t>
      </w:r>
      <w:r w:rsidR="009E6E05">
        <w:rPr>
          <w:lang w:val="en-US"/>
        </w:rPr>
        <w:t xml:space="preserve"> disposal facility at El Cabril (Córdoba).</w:t>
      </w:r>
    </w:p>
    <w:p w:rsidR="009D5F2A" w:rsidRDefault="009D5F2A" w:rsidP="0048411D">
      <w:pPr>
        <w:pStyle w:val="Textoindependiente"/>
        <w:rPr>
          <w:lang w:val="en-US"/>
        </w:rPr>
      </w:pPr>
    </w:p>
    <w:p w:rsidR="00557663" w:rsidRPr="00340152" w:rsidRDefault="00557663" w:rsidP="00557663">
      <w:pPr>
        <w:pStyle w:val="Textoindependiente"/>
        <w:ind w:firstLine="0"/>
        <w:jc w:val="center"/>
        <w:rPr>
          <w:i/>
          <w:lang w:val="en-US"/>
        </w:rPr>
      </w:pPr>
      <w:r>
        <w:rPr>
          <w:lang w:val="en-US"/>
        </w:rPr>
        <w:t>TABLE 1.</w:t>
      </w:r>
      <w:r>
        <w:rPr>
          <w:lang w:val="en-US"/>
        </w:rPr>
        <w:tab/>
      </w:r>
      <w:r w:rsidRPr="00557663">
        <w:rPr>
          <w:lang w:val="en-US"/>
        </w:rPr>
        <w:t>RADIOACTIVE WASTE MANAGED IN JOSÉ CABRERA NPP DISMANTLING (IN TONS)</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1978"/>
        <w:gridCol w:w="1867"/>
      </w:tblGrid>
      <w:tr w:rsidR="009D5F2A" w:rsidTr="00340152">
        <w:trPr>
          <w:jc w:val="center"/>
        </w:trPr>
        <w:tc>
          <w:tcPr>
            <w:tcW w:w="0" w:type="auto"/>
            <w:tcBorders>
              <w:top w:val="single" w:sz="4" w:space="0" w:color="auto"/>
              <w:bottom w:val="single" w:sz="4" w:space="0" w:color="auto"/>
            </w:tcBorders>
          </w:tcPr>
          <w:p w:rsidR="009D5F2A" w:rsidRDefault="009D5F2A" w:rsidP="00AF2244">
            <w:pPr>
              <w:pStyle w:val="Textoindependiente"/>
              <w:ind w:firstLine="0"/>
            </w:pPr>
          </w:p>
        </w:tc>
        <w:tc>
          <w:tcPr>
            <w:tcW w:w="0" w:type="auto"/>
            <w:tcBorders>
              <w:top w:val="single" w:sz="4" w:space="0" w:color="auto"/>
              <w:bottom w:val="single" w:sz="4" w:space="0" w:color="auto"/>
            </w:tcBorders>
          </w:tcPr>
          <w:p w:rsidR="009D5F2A" w:rsidRDefault="009D5F2A" w:rsidP="00AF2244">
            <w:pPr>
              <w:pStyle w:val="Textoindependiente"/>
              <w:ind w:firstLine="0"/>
              <w:jc w:val="center"/>
            </w:pPr>
            <w:r>
              <w:t>PRIMARY CIRCUIT</w:t>
            </w:r>
          </w:p>
        </w:tc>
        <w:tc>
          <w:tcPr>
            <w:tcW w:w="0" w:type="auto"/>
            <w:tcBorders>
              <w:top w:val="single" w:sz="4" w:space="0" w:color="auto"/>
              <w:bottom w:val="single" w:sz="4" w:space="0" w:color="auto"/>
            </w:tcBorders>
          </w:tcPr>
          <w:p w:rsidR="009D5F2A" w:rsidRDefault="009D5F2A" w:rsidP="00340152">
            <w:pPr>
              <w:pStyle w:val="Textoindependiente"/>
              <w:ind w:firstLine="0"/>
              <w:jc w:val="center"/>
            </w:pPr>
            <w:r>
              <w:t xml:space="preserve">REST OF </w:t>
            </w:r>
            <w:r w:rsidR="00340152">
              <w:t>THE NPP</w:t>
            </w:r>
          </w:p>
        </w:tc>
      </w:tr>
      <w:tr w:rsidR="009D5F2A" w:rsidTr="00340152">
        <w:trPr>
          <w:jc w:val="center"/>
        </w:trPr>
        <w:tc>
          <w:tcPr>
            <w:tcW w:w="0" w:type="auto"/>
            <w:tcBorders>
              <w:top w:val="single" w:sz="4" w:space="0" w:color="auto"/>
            </w:tcBorders>
          </w:tcPr>
          <w:p w:rsidR="009D5F2A" w:rsidRDefault="009D5F2A" w:rsidP="00AF2244">
            <w:pPr>
              <w:pStyle w:val="Textoindependiente"/>
              <w:ind w:firstLine="0"/>
            </w:pPr>
            <w:r>
              <w:rPr>
                <w:rStyle w:val="TabletextChar"/>
              </w:rPr>
              <w:t>High Level Waste</w:t>
            </w:r>
          </w:p>
        </w:tc>
        <w:tc>
          <w:tcPr>
            <w:tcW w:w="0" w:type="auto"/>
            <w:tcBorders>
              <w:top w:val="single" w:sz="4" w:space="0" w:color="auto"/>
            </w:tcBorders>
          </w:tcPr>
          <w:p w:rsidR="009D5F2A" w:rsidRDefault="00340152" w:rsidP="00340152">
            <w:pPr>
              <w:pStyle w:val="Textoindependiente"/>
              <w:ind w:firstLine="0"/>
              <w:jc w:val="center"/>
            </w:pPr>
            <w:r>
              <w:t xml:space="preserve">40 </w:t>
            </w:r>
          </w:p>
        </w:tc>
        <w:tc>
          <w:tcPr>
            <w:tcW w:w="0" w:type="auto"/>
            <w:tcBorders>
              <w:top w:val="single" w:sz="4" w:space="0" w:color="auto"/>
            </w:tcBorders>
          </w:tcPr>
          <w:p w:rsidR="009D5F2A" w:rsidRDefault="00340152" w:rsidP="00AF2244">
            <w:pPr>
              <w:pStyle w:val="Textoindependiente"/>
              <w:ind w:firstLine="0"/>
              <w:jc w:val="center"/>
            </w:pPr>
            <w:r>
              <w:t>-</w:t>
            </w:r>
          </w:p>
        </w:tc>
      </w:tr>
      <w:tr w:rsidR="009D5F2A" w:rsidTr="00340152">
        <w:trPr>
          <w:jc w:val="center"/>
        </w:trPr>
        <w:tc>
          <w:tcPr>
            <w:tcW w:w="0" w:type="auto"/>
            <w:tcBorders>
              <w:bottom w:val="single" w:sz="4" w:space="0" w:color="auto"/>
            </w:tcBorders>
          </w:tcPr>
          <w:p w:rsidR="009D5F2A" w:rsidRDefault="009D5F2A" w:rsidP="00340152">
            <w:pPr>
              <w:pStyle w:val="Textoindependiente"/>
              <w:ind w:firstLine="0"/>
            </w:pPr>
            <w:r>
              <w:t xml:space="preserve">Very Low, Low and </w:t>
            </w:r>
            <w:r w:rsidR="00340152">
              <w:t>Intermediate</w:t>
            </w:r>
            <w:r>
              <w:t xml:space="preserve"> Level Waste</w:t>
            </w:r>
          </w:p>
        </w:tc>
        <w:tc>
          <w:tcPr>
            <w:tcW w:w="0" w:type="auto"/>
            <w:tcBorders>
              <w:bottom w:val="single" w:sz="4" w:space="0" w:color="auto"/>
            </w:tcBorders>
          </w:tcPr>
          <w:p w:rsidR="009D5F2A" w:rsidRDefault="00340152" w:rsidP="00340152">
            <w:pPr>
              <w:pStyle w:val="Textoindependiente"/>
              <w:ind w:firstLine="0"/>
              <w:jc w:val="center"/>
            </w:pPr>
            <w:r>
              <w:t xml:space="preserve">360 </w:t>
            </w:r>
          </w:p>
        </w:tc>
        <w:tc>
          <w:tcPr>
            <w:tcW w:w="0" w:type="auto"/>
            <w:tcBorders>
              <w:bottom w:val="single" w:sz="4" w:space="0" w:color="auto"/>
            </w:tcBorders>
          </w:tcPr>
          <w:p w:rsidR="009D5F2A" w:rsidRDefault="00340152" w:rsidP="00340152">
            <w:pPr>
              <w:pStyle w:val="Textoindependiente"/>
              <w:ind w:firstLine="0"/>
              <w:jc w:val="center"/>
            </w:pPr>
            <w:r>
              <w:t xml:space="preserve">3600 </w:t>
            </w:r>
          </w:p>
        </w:tc>
      </w:tr>
      <w:tr w:rsidR="00340152" w:rsidTr="00340152">
        <w:trPr>
          <w:jc w:val="center"/>
        </w:trPr>
        <w:tc>
          <w:tcPr>
            <w:tcW w:w="0" w:type="auto"/>
            <w:tcBorders>
              <w:top w:val="single" w:sz="4" w:space="0" w:color="auto"/>
              <w:bottom w:val="single" w:sz="4" w:space="0" w:color="auto"/>
            </w:tcBorders>
          </w:tcPr>
          <w:p w:rsidR="00340152" w:rsidRDefault="00340152" w:rsidP="00340152">
            <w:pPr>
              <w:pStyle w:val="Textoindependiente"/>
              <w:ind w:firstLine="0"/>
            </w:pPr>
            <w:r>
              <w:t xml:space="preserve">Total </w:t>
            </w:r>
          </w:p>
        </w:tc>
        <w:tc>
          <w:tcPr>
            <w:tcW w:w="0" w:type="auto"/>
            <w:tcBorders>
              <w:top w:val="single" w:sz="4" w:space="0" w:color="auto"/>
              <w:bottom w:val="single" w:sz="4" w:space="0" w:color="auto"/>
            </w:tcBorders>
          </w:tcPr>
          <w:p w:rsidR="00340152" w:rsidRDefault="00340152" w:rsidP="00AF2244">
            <w:pPr>
              <w:pStyle w:val="Textoindependiente"/>
              <w:ind w:firstLine="0"/>
              <w:jc w:val="center"/>
            </w:pPr>
            <w:r>
              <w:t>400</w:t>
            </w:r>
          </w:p>
        </w:tc>
        <w:tc>
          <w:tcPr>
            <w:tcW w:w="0" w:type="auto"/>
            <w:tcBorders>
              <w:top w:val="single" w:sz="4" w:space="0" w:color="auto"/>
              <w:bottom w:val="single" w:sz="4" w:space="0" w:color="auto"/>
            </w:tcBorders>
          </w:tcPr>
          <w:p w:rsidR="00340152" w:rsidRDefault="00340152" w:rsidP="00AF2244">
            <w:pPr>
              <w:pStyle w:val="Textoindependiente"/>
              <w:ind w:firstLine="0"/>
              <w:jc w:val="center"/>
            </w:pPr>
            <w:r>
              <w:t>3600</w:t>
            </w:r>
          </w:p>
        </w:tc>
      </w:tr>
    </w:tbl>
    <w:p w:rsidR="00340152" w:rsidRDefault="00340152" w:rsidP="0048411D">
      <w:pPr>
        <w:pStyle w:val="Textoindependiente"/>
        <w:rPr>
          <w:lang w:val="en-US"/>
        </w:rPr>
      </w:pPr>
    </w:p>
    <w:p w:rsidR="00D22E21" w:rsidRDefault="00D22E21" w:rsidP="0048411D">
      <w:pPr>
        <w:pStyle w:val="Textoindependiente"/>
        <w:rPr>
          <w:lang w:val="en-US"/>
        </w:rPr>
      </w:pPr>
      <w:r w:rsidRPr="00D22E21">
        <w:rPr>
          <w:lang w:val="en-US"/>
        </w:rPr>
        <w:t xml:space="preserve">In </w:t>
      </w:r>
      <w:r w:rsidR="00557663">
        <w:rPr>
          <w:lang w:val="en-US"/>
        </w:rPr>
        <w:t>2022,</w:t>
      </w:r>
      <w:r w:rsidR="009A4354">
        <w:rPr>
          <w:lang w:val="en-US"/>
        </w:rPr>
        <w:t xml:space="preserve"> the </w:t>
      </w:r>
      <w:r w:rsidR="009E6E05">
        <w:rPr>
          <w:lang w:val="en-US"/>
        </w:rPr>
        <w:t xml:space="preserve">last important building, the </w:t>
      </w:r>
      <w:r w:rsidR="009A4354">
        <w:rPr>
          <w:lang w:val="en-US"/>
        </w:rPr>
        <w:t>Auxiliary Building</w:t>
      </w:r>
      <w:r w:rsidR="009E6E05">
        <w:rPr>
          <w:lang w:val="en-US"/>
        </w:rPr>
        <w:t>,</w:t>
      </w:r>
      <w:r w:rsidR="009A4354">
        <w:rPr>
          <w:lang w:val="en-US"/>
        </w:rPr>
        <w:t xml:space="preserve"> was dismantled</w:t>
      </w:r>
      <w:r w:rsidR="006222C8">
        <w:rPr>
          <w:lang w:val="en-US"/>
        </w:rPr>
        <w:t>,</w:t>
      </w:r>
      <w:r w:rsidR="009A4354">
        <w:rPr>
          <w:lang w:val="en-US"/>
        </w:rPr>
        <w:t xml:space="preserve"> and </w:t>
      </w:r>
      <w:r w:rsidR="009E6E05">
        <w:rPr>
          <w:lang w:val="en-US"/>
        </w:rPr>
        <w:t>in June</w:t>
      </w:r>
      <w:r w:rsidR="006222C8">
        <w:rPr>
          <w:lang w:val="en-US"/>
        </w:rPr>
        <w:t>,</w:t>
      </w:r>
      <w:r w:rsidR="009A4354">
        <w:rPr>
          <w:lang w:val="en-US"/>
        </w:rPr>
        <w:t xml:space="preserve"> the Site Restorati</w:t>
      </w:r>
      <w:r w:rsidR="006222C8">
        <w:rPr>
          <w:lang w:val="en-US"/>
        </w:rPr>
        <w:t>on Plan was approved. This plan</w:t>
      </w:r>
      <w:r w:rsidR="009A4354">
        <w:rPr>
          <w:lang w:val="en-US"/>
        </w:rPr>
        <w:t xml:space="preserve"> aim</w:t>
      </w:r>
      <w:r w:rsidR="006222C8">
        <w:rPr>
          <w:lang w:val="en-US"/>
        </w:rPr>
        <w:t>s</w:t>
      </w:r>
      <w:r w:rsidR="009A4354">
        <w:rPr>
          <w:lang w:val="en-US"/>
        </w:rPr>
        <w:t xml:space="preserve"> </w:t>
      </w:r>
      <w:r w:rsidRPr="00D22E21">
        <w:rPr>
          <w:lang w:val="en-US"/>
        </w:rPr>
        <w:t>to ensure that the land</w:t>
      </w:r>
      <w:r w:rsidR="006222C8">
        <w:rPr>
          <w:lang w:val="en-US"/>
        </w:rPr>
        <w:t xml:space="preserve"> </w:t>
      </w:r>
      <w:r w:rsidRPr="00D22E21">
        <w:rPr>
          <w:lang w:val="en-US"/>
        </w:rPr>
        <w:t xml:space="preserve">to be released </w:t>
      </w:r>
      <w:r w:rsidR="006222C8">
        <w:rPr>
          <w:lang w:val="en-US"/>
        </w:rPr>
        <w:t xml:space="preserve">for industrial use </w:t>
      </w:r>
      <w:r w:rsidRPr="00D22E21">
        <w:rPr>
          <w:lang w:val="en-US"/>
        </w:rPr>
        <w:t>is free of residual radioactivity</w:t>
      </w:r>
      <w:r w:rsidR="006222C8">
        <w:rPr>
          <w:lang w:val="en-US"/>
        </w:rPr>
        <w:t xml:space="preserve"> above some approved release levels </w:t>
      </w:r>
      <w:r w:rsidRPr="00D22E21">
        <w:rPr>
          <w:lang w:val="en-US"/>
        </w:rPr>
        <w:t>before application is made for the declaration of decommissioning, with the aim of returning the site to its owner.</w:t>
      </w:r>
    </w:p>
    <w:p w:rsidR="009A4354" w:rsidRDefault="00340152" w:rsidP="00737D92">
      <w:pPr>
        <w:pStyle w:val="Ttulo2"/>
        <w:numPr>
          <w:ilvl w:val="1"/>
          <w:numId w:val="10"/>
        </w:numPr>
      </w:pPr>
      <w:r>
        <w:t>site restoration plan</w:t>
      </w:r>
    </w:p>
    <w:p w:rsidR="00A85589" w:rsidRDefault="006222C8" w:rsidP="0001550C">
      <w:pPr>
        <w:pStyle w:val="Textoindependiente"/>
      </w:pPr>
      <w:r>
        <w:t xml:space="preserve">Currently, the plant is implementing </w:t>
      </w:r>
      <w:r w:rsidR="00A85589">
        <w:t>the so-called Site Restoration Plan, or</w:t>
      </w:r>
      <w:r>
        <w:t xml:space="preserve"> clean-up plan</w:t>
      </w:r>
      <w:r w:rsidR="00A85589">
        <w:t>,</w:t>
      </w:r>
      <w:r>
        <w:t xml:space="preserve"> approved by the Ministry </w:t>
      </w:r>
      <w:r w:rsidR="00A85589">
        <w:t xml:space="preserve">of Industry, </w:t>
      </w:r>
      <w:r>
        <w:t xml:space="preserve">after favourable report of the CSN. This plan intends to reduce radioactivity in </w:t>
      </w:r>
      <w:r w:rsidR="00A85589">
        <w:t xml:space="preserve">surface, subsurface </w:t>
      </w:r>
      <w:r>
        <w:t xml:space="preserve">soils and groundwater </w:t>
      </w:r>
      <w:r w:rsidR="0001550C">
        <w:t xml:space="preserve">to a level that accomplishes the radiological criteria established in the Spanish regulations. </w:t>
      </w:r>
    </w:p>
    <w:p w:rsidR="006222C8" w:rsidRDefault="0001550C" w:rsidP="0001550C">
      <w:pPr>
        <w:pStyle w:val="Textoindependiente"/>
      </w:pPr>
      <w:r>
        <w:t xml:space="preserve">These criteria are established in </w:t>
      </w:r>
      <w:r w:rsidR="00A85589">
        <w:t xml:space="preserve">CSN </w:t>
      </w:r>
      <w:r>
        <w:t>Safety Instruction nº 13</w:t>
      </w:r>
      <w:r w:rsidR="00A85589">
        <w:t xml:space="preserve"> about radiological criteria for the release of nuclear installations</w:t>
      </w:r>
      <w:r>
        <w:t>, as follows: “</w:t>
      </w:r>
      <w:r w:rsidRPr="0001550C">
        <w:rPr>
          <w:i/>
        </w:rPr>
        <w:t>The effective dose to the individual</w:t>
      </w:r>
      <w:r>
        <w:rPr>
          <w:i/>
        </w:rPr>
        <w:t xml:space="preserve"> </w:t>
      </w:r>
      <w:r w:rsidRPr="0001550C">
        <w:rPr>
          <w:i/>
        </w:rPr>
        <w:t>representative of the critical group, due to the residual activity present in the lan</w:t>
      </w:r>
      <w:r>
        <w:rPr>
          <w:i/>
        </w:rPr>
        <w:t>d of the site, once released,</w:t>
      </w:r>
      <w:r w:rsidRPr="0001550C">
        <w:rPr>
          <w:i/>
        </w:rPr>
        <w:t xml:space="preserve"> must not e</w:t>
      </w:r>
      <w:r>
        <w:rPr>
          <w:i/>
        </w:rPr>
        <w:t xml:space="preserve">xceed the value of 0.1 mSv/year”. </w:t>
      </w:r>
      <w:r w:rsidR="00231138">
        <w:t>This radiological criterion</w:t>
      </w:r>
      <w:r>
        <w:t xml:space="preserve"> applies</w:t>
      </w:r>
      <w:r w:rsidRPr="0001550C">
        <w:t xml:space="preserve"> to the </w:t>
      </w:r>
      <w:r>
        <w:t>whole site</w:t>
      </w:r>
      <w:r w:rsidRPr="0001550C">
        <w:t xml:space="preserve">, whether </w:t>
      </w:r>
      <w:r>
        <w:t xml:space="preserve">it is for restricted or </w:t>
      </w:r>
      <w:r w:rsidRPr="0001550C">
        <w:t xml:space="preserve">unrestricted release. </w:t>
      </w:r>
      <w:r>
        <w:t>Additionally, t</w:t>
      </w:r>
      <w:r w:rsidRPr="0001550C">
        <w:t xml:space="preserve">he buildings, walls and structures to remain in the </w:t>
      </w:r>
      <w:r>
        <w:t>site</w:t>
      </w:r>
      <w:r w:rsidRPr="0001550C">
        <w:t xml:space="preserve"> must comply with the </w:t>
      </w:r>
      <w:r>
        <w:t>clearance levels</w:t>
      </w:r>
      <w:r w:rsidRPr="0001550C">
        <w:t xml:space="preserve"> recommended by the European Union in its publication Radiological Protection 113, "Recommended radiological protection criteria for the cleaning of buildings and debris from the dismantling of nuclear facilities»</w:t>
      </w:r>
      <w:r>
        <w:t>.</w:t>
      </w:r>
    </w:p>
    <w:p w:rsidR="0001550C" w:rsidRDefault="0001550C" w:rsidP="0001550C">
      <w:pPr>
        <w:pStyle w:val="Textoindependiente"/>
      </w:pPr>
      <w:r>
        <w:t xml:space="preserve">The approval of this plan has been assessed by the CSN experts </w:t>
      </w:r>
      <w:r w:rsidR="00A85589">
        <w:t>on</w:t>
      </w:r>
      <w:r>
        <w:t xml:space="preserve"> radiological impact to public and environment, hydrogeological impact and radiological </w:t>
      </w:r>
      <w:r w:rsidR="00A85589">
        <w:t xml:space="preserve">environmental </w:t>
      </w:r>
      <w:r>
        <w:t>surveillance</w:t>
      </w:r>
      <w:r w:rsidR="00A85589">
        <w:t xml:space="preserve">. Inspections are conducted in a quarterly basis to follow the evolution of the restoration. </w:t>
      </w:r>
    </w:p>
    <w:p w:rsidR="00A85589" w:rsidRPr="0001550C" w:rsidRDefault="00A85589" w:rsidP="0001550C">
      <w:pPr>
        <w:pStyle w:val="Textoindependiente"/>
      </w:pPr>
      <w:r>
        <w:t xml:space="preserve">After scoping, characterizing and carrying out the necessary remedial actions, the license must </w:t>
      </w:r>
      <w:r w:rsidRPr="00A85589">
        <w:t xml:space="preserve">demonstrate that a site </w:t>
      </w:r>
      <w:r>
        <w:t>complies</w:t>
      </w:r>
      <w:r w:rsidRPr="00A85589">
        <w:t xml:space="preserve"> with </w:t>
      </w:r>
      <w:r>
        <w:t xml:space="preserve">the radiological criteria. This </w:t>
      </w:r>
      <w:r w:rsidR="008760E1">
        <w:t xml:space="preserve">can </w:t>
      </w:r>
      <w:r>
        <w:t xml:space="preserve">be achieved by the US </w:t>
      </w:r>
      <w:r w:rsidRPr="00A85589">
        <w:t xml:space="preserve">Multi-Agency Radiation Survey and Site Investigation Manual (MARSSIM) </w:t>
      </w:r>
      <w:r>
        <w:t>methodology, which is included in the recommendations of the CSN Safety Guides 4.2 “Site Restoration Plan” and 4.3</w:t>
      </w:r>
      <w:r w:rsidRPr="00A85589">
        <w:t>.</w:t>
      </w:r>
      <w:r>
        <w:t xml:space="preserve"> “Methodology for the </w:t>
      </w:r>
      <w:r w:rsidR="00F77F46">
        <w:t xml:space="preserve">verification of the final status of the site prior to release. </w:t>
      </w:r>
      <w:r>
        <w:t>Generic</w:t>
      </w:r>
      <w:r w:rsidR="00F77F46">
        <w:t xml:space="preserve"> release levels”.</w:t>
      </w:r>
    </w:p>
    <w:p w:rsidR="00F004EE" w:rsidRDefault="00851CA9" w:rsidP="00737D92">
      <w:pPr>
        <w:pStyle w:val="Ttulo2"/>
        <w:numPr>
          <w:ilvl w:val="1"/>
          <w:numId w:val="10"/>
        </w:numPr>
      </w:pPr>
      <w:r>
        <w:t>LESSONS LEARNED</w:t>
      </w:r>
    </w:p>
    <w:p w:rsidR="00340152" w:rsidRDefault="00340152" w:rsidP="00340152">
      <w:pPr>
        <w:pStyle w:val="Textoindependiente"/>
      </w:pPr>
      <w:r>
        <w:t>Spain’s Ministry for Ecological Transition issued in 2019 a protocol for the orderly and staggered closure of the Spanish nuc</w:t>
      </w:r>
      <w:r w:rsidR="00B5132E">
        <w:t xml:space="preserve">lear park between 2027 and 2035, taking into account </w:t>
      </w:r>
      <w:r>
        <w:t xml:space="preserve">the provisions of the National Integrated Energy and Climate Plan </w:t>
      </w:r>
      <w:r w:rsidR="008760E1">
        <w:t xml:space="preserve">(PNIEC) </w:t>
      </w:r>
      <w:r>
        <w:t>2021-2030.</w:t>
      </w:r>
    </w:p>
    <w:p w:rsidR="00387881" w:rsidRPr="00387881" w:rsidRDefault="00340152" w:rsidP="00340152">
      <w:pPr>
        <w:pStyle w:val="Textoindependiente"/>
      </w:pPr>
      <w:r>
        <w:t>In this context, and i</w:t>
      </w:r>
      <w:r w:rsidR="00387881" w:rsidRPr="00387881">
        <w:t>n order to derive lessons learned from the decommissioning of José Cabrera NPP</w:t>
      </w:r>
      <w:r w:rsidR="00B5132E">
        <w:t xml:space="preserve"> for their</w:t>
      </w:r>
      <w:r>
        <w:t xml:space="preserve"> implementation to the forthcoming decommissioning processes</w:t>
      </w:r>
      <w:r w:rsidR="00387881" w:rsidRPr="00387881">
        <w:t>,</w:t>
      </w:r>
      <w:r w:rsidR="00376F67">
        <w:t xml:space="preserve"> and specifically, </w:t>
      </w:r>
      <w:r w:rsidR="00B5132E">
        <w:t xml:space="preserve">for its proximity, </w:t>
      </w:r>
      <w:r w:rsidR="00376F67">
        <w:t xml:space="preserve">for the decommissioning of Santa María de Garoña NPP, </w:t>
      </w:r>
      <w:r w:rsidR="00387881" w:rsidRPr="00387881">
        <w:t xml:space="preserve">a working group between CSN and Enresa was established to analyse such experience. </w:t>
      </w:r>
    </w:p>
    <w:p w:rsidR="00387881" w:rsidRDefault="00376F67" w:rsidP="00387881">
      <w:pPr>
        <w:pStyle w:val="Textoindependiente"/>
      </w:pPr>
      <w:r>
        <w:t xml:space="preserve">The objective of this WG was to identify the difficulties encountered by Enresa and CSN in the licensing process of José Cabrera NPP and establish improvement mechanisms to facilitate the decommissioning processes to come. </w:t>
      </w:r>
    </w:p>
    <w:p w:rsidR="00376F67" w:rsidRDefault="00376F67" w:rsidP="00387881">
      <w:pPr>
        <w:pStyle w:val="Textoindependiente"/>
      </w:pPr>
      <w:r>
        <w:lastRenderedPageBreak/>
        <w:t>The aim was to address four focus areas:</w:t>
      </w:r>
    </w:p>
    <w:p w:rsidR="00376F67" w:rsidRDefault="00B5132E" w:rsidP="00557663">
      <w:pPr>
        <w:pStyle w:val="ListEmdash"/>
      </w:pPr>
      <w:r>
        <w:t>Quality and content of the d</w:t>
      </w:r>
      <w:r w:rsidR="00376F67">
        <w:t>ocumentation</w:t>
      </w:r>
    </w:p>
    <w:p w:rsidR="00376F67" w:rsidRDefault="00376F67" w:rsidP="00557663">
      <w:pPr>
        <w:pStyle w:val="ListEmdash"/>
      </w:pPr>
      <w:r>
        <w:t xml:space="preserve">Coordination </w:t>
      </w:r>
      <w:r w:rsidR="00B5132E">
        <w:t xml:space="preserve">between CSN and </w:t>
      </w:r>
      <w:r>
        <w:t>ENRESA</w:t>
      </w:r>
    </w:p>
    <w:p w:rsidR="00376F67" w:rsidRDefault="008468E8" w:rsidP="00557663">
      <w:pPr>
        <w:pStyle w:val="ListEmdash"/>
      </w:pPr>
      <w:r>
        <w:t xml:space="preserve">Authorization </w:t>
      </w:r>
      <w:r w:rsidR="00376F67">
        <w:t>conditions</w:t>
      </w:r>
    </w:p>
    <w:p w:rsidR="00376F67" w:rsidRDefault="008468E8" w:rsidP="00557663">
      <w:pPr>
        <w:pStyle w:val="ListEmdash"/>
      </w:pPr>
      <w:r>
        <w:t xml:space="preserve">Workers </w:t>
      </w:r>
      <w:r w:rsidR="00376F67">
        <w:t xml:space="preserve">Licensing </w:t>
      </w:r>
    </w:p>
    <w:p w:rsidR="00B5132E" w:rsidRDefault="00B5132E" w:rsidP="00B5132E">
      <w:pPr>
        <w:pStyle w:val="Textoindependiente"/>
      </w:pPr>
      <w:r>
        <w:t xml:space="preserve">To develop this work, five meetings were held with the participation of 10 decommissioning experts from both, CSN and ENRESA. The conclusions obtained were stated in nine fact sheets were a summary of the problem, the lessons learned and some improvement recommendations were exposed. </w:t>
      </w:r>
    </w:p>
    <w:p w:rsidR="00B5132E" w:rsidRDefault="009D4CB2" w:rsidP="0096475D">
      <w:pPr>
        <w:pStyle w:val="Textoindependiente"/>
      </w:pPr>
      <w:r>
        <w:t>Regarding the quality and content of the documentation the main conclusion was that there was a necessity of a good planning and a meticulous preliminary review of the documentation before getting involved in the official assessment process, in order to optimize deadlines.</w:t>
      </w:r>
      <w:r w:rsidR="00AF2244">
        <w:t xml:space="preserve"> </w:t>
      </w:r>
      <w:r w:rsidR="0096475D">
        <w:t>All the</w:t>
      </w:r>
      <w:r w:rsidR="00AF2244">
        <w:t xml:space="preserve"> technical</w:t>
      </w:r>
      <w:r w:rsidR="0096475D">
        <w:t xml:space="preserve"> </w:t>
      </w:r>
      <w:r>
        <w:t xml:space="preserve">information </w:t>
      </w:r>
      <w:r w:rsidR="0096475D">
        <w:t xml:space="preserve">to be </w:t>
      </w:r>
      <w:r w:rsidR="00AF2244">
        <w:t>exchanged between</w:t>
      </w:r>
      <w:r>
        <w:t xml:space="preserve"> CSN and Enresa should be centralized through the </w:t>
      </w:r>
      <w:r w:rsidR="00AF2244">
        <w:t xml:space="preserve">enabled </w:t>
      </w:r>
      <w:r>
        <w:t xml:space="preserve">channels, </w:t>
      </w:r>
      <w:r w:rsidR="0096475D">
        <w:t xml:space="preserve">such </w:t>
      </w:r>
      <w:r>
        <w:t xml:space="preserve">as the </w:t>
      </w:r>
      <w:r w:rsidR="00AF2244">
        <w:t>one</w:t>
      </w:r>
      <w:r>
        <w:t xml:space="preserve"> between the project manager of the CSN and the responsible </w:t>
      </w:r>
      <w:r w:rsidR="0096475D">
        <w:t xml:space="preserve">for the licensing of the project in </w:t>
      </w:r>
      <w:r w:rsidR="00AF2244">
        <w:t>ENRESA</w:t>
      </w:r>
      <w:r w:rsidR="0096475D">
        <w:t>. The information exchange should try to be agile</w:t>
      </w:r>
      <w:r w:rsidR="00AF2244">
        <w:t xml:space="preserve">, </w:t>
      </w:r>
      <w:r w:rsidR="0096475D">
        <w:t>official, and accomplish with the deadlines established in the regulations. This, again, requires a good planning phase.</w:t>
      </w:r>
    </w:p>
    <w:p w:rsidR="00AF2244" w:rsidRDefault="0096475D" w:rsidP="0096475D">
      <w:pPr>
        <w:pStyle w:val="Textoindependiente"/>
      </w:pPr>
      <w:r>
        <w:t xml:space="preserve">In terms of the authorization conditions, </w:t>
      </w:r>
      <w:r w:rsidR="00AF2244">
        <w:t xml:space="preserve">the main lesson learned was that </w:t>
      </w:r>
      <w:r>
        <w:t xml:space="preserve">it should be taken into account that </w:t>
      </w:r>
      <w:r w:rsidR="00AF2244">
        <w:t xml:space="preserve">in </w:t>
      </w:r>
      <w:r>
        <w:t>the decommissioning process</w:t>
      </w:r>
      <w:r w:rsidR="00AF2244">
        <w:t xml:space="preserve">, the facility </w:t>
      </w:r>
      <w:r>
        <w:t xml:space="preserve">is </w:t>
      </w:r>
      <w:r w:rsidR="00AF2244">
        <w:t xml:space="preserve">constantly changing, therefore, the conditions established in the decommissioning authorization should be sufficiently adaptable to the new situations generated and consequently the regulation process should adapt to it in a graded approach. This graded approach is applicable also to the </w:t>
      </w:r>
      <w:r w:rsidR="00B13EBC">
        <w:t>worker’s</w:t>
      </w:r>
      <w:r w:rsidR="00AF2244">
        <w:t xml:space="preserve"> licences. </w:t>
      </w:r>
    </w:p>
    <w:p w:rsidR="00E20E70" w:rsidRDefault="00851CA9" w:rsidP="00737D92">
      <w:pPr>
        <w:pStyle w:val="Ttulo2"/>
        <w:numPr>
          <w:ilvl w:val="1"/>
          <w:numId w:val="10"/>
        </w:numPr>
      </w:pPr>
      <w:r>
        <w:t>CONCLUSIONS</w:t>
      </w:r>
    </w:p>
    <w:p w:rsidR="00851CA9" w:rsidRDefault="00AF2244" w:rsidP="0078730E">
      <w:pPr>
        <w:pStyle w:val="Textoindependiente"/>
      </w:pPr>
      <w:r>
        <w:t xml:space="preserve">In </w:t>
      </w:r>
      <w:r w:rsidR="00670F81">
        <w:t>February</w:t>
      </w:r>
      <w:r>
        <w:t xml:space="preserve"> 2010, </w:t>
      </w:r>
      <w:r w:rsidR="007C479F">
        <w:t>the decommissioning authorization of José Cabrera NPP was</w:t>
      </w:r>
      <w:r>
        <w:t xml:space="preserve"> granted</w:t>
      </w:r>
      <w:r w:rsidR="007C479F">
        <w:t>. This phase has been carried out successfully by ENRESA under the supervision and control of the CSN</w:t>
      </w:r>
      <w:r>
        <w:t>, and currently</w:t>
      </w:r>
      <w:r w:rsidR="007C479F">
        <w:t xml:space="preserve"> it is facing its last stage prior to the licence termination application. T</w:t>
      </w:r>
      <w:r>
        <w:t>he CSN is</w:t>
      </w:r>
      <w:r w:rsidR="007C479F">
        <w:t xml:space="preserve"> currently</w:t>
      </w:r>
      <w:r>
        <w:t xml:space="preserve"> involved in the process of licensing of Santa María de Garoña NPP decommissioning plan. In order to derive lessons learned from the decommissioning of José Cabrera NPP, of application to this licensing process, a working group between CSN and Enresa was established to analyse such experience. </w:t>
      </w:r>
      <w:r w:rsidR="007C479F">
        <w:t>This has appeared to be a good practice in the Spanish decommissioning strategy</w:t>
      </w:r>
      <w:r>
        <w:t xml:space="preserve">. </w:t>
      </w:r>
      <w:bookmarkStart w:id="0" w:name="_GoBack"/>
      <w:bookmarkEnd w:id="0"/>
    </w:p>
    <w:sectPr w:rsidR="00851CA9" w:rsidSect="0026525A">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DB" w:rsidRDefault="001A4FDB">
      <w:r>
        <w:separator/>
      </w:r>
    </w:p>
  </w:endnote>
  <w:endnote w:type="continuationSeparator" w:id="0">
    <w:p w:rsidR="001A4FDB" w:rsidRDefault="001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44" w:rsidRDefault="00AF2244">
    <w:pPr>
      <w:pStyle w:val="zyxClassification1"/>
    </w:pPr>
    <w:r>
      <w:fldChar w:fldCharType="begin"/>
    </w:r>
    <w:r>
      <w:instrText xml:space="preserve"> DOCPROPERTY "IaeaClassification"  \* MERGEFORMAT </w:instrText>
    </w:r>
    <w:r>
      <w:fldChar w:fldCharType="end"/>
    </w:r>
  </w:p>
  <w:p w:rsidR="00AF2244" w:rsidRDefault="00AF2244">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44" w:rsidRDefault="00AF2244">
    <w:pPr>
      <w:pStyle w:val="zyxClassification1"/>
    </w:pPr>
    <w:r>
      <w:fldChar w:fldCharType="begin"/>
    </w:r>
    <w:r>
      <w:instrText xml:space="preserve"> DOCPROPERTY "IaeaClassification"  \* MERGEFORMAT </w:instrText>
    </w:r>
    <w:r>
      <w:fldChar w:fldCharType="end"/>
    </w:r>
  </w:p>
  <w:p w:rsidR="00AF2244" w:rsidRPr="00037321" w:rsidRDefault="00AF2244">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C286F">
      <w:rPr>
        <w:rFonts w:ascii="Times New Roman" w:hAnsi="Times New Roman" w:cs="Times New Roman"/>
        <w:noProof/>
        <w:sz w:val="20"/>
      </w:rPr>
      <w:t>3</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AF2244">
      <w:trPr>
        <w:cantSplit/>
      </w:trPr>
      <w:tc>
        <w:tcPr>
          <w:tcW w:w="4644" w:type="dxa"/>
        </w:tcPr>
        <w:p w:rsidR="00AF2244" w:rsidRDefault="00AF2244">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AF2244" w:rsidRDefault="00AF2244">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rsidR="00AF2244" w:rsidRDefault="00AF2244">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rsidR="00AF2244" w:rsidRDefault="00AF2244">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AF2244" w:rsidRDefault="00AF2244">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DB" w:rsidRDefault="001A4FDB">
      <w:r>
        <w:t>___________________________________________________________________________</w:t>
      </w:r>
    </w:p>
  </w:footnote>
  <w:footnote w:type="continuationSeparator" w:id="0">
    <w:p w:rsidR="001A4FDB" w:rsidRDefault="001A4FDB">
      <w:r>
        <w:t>___________________________________________________________________________</w:t>
      </w:r>
    </w:p>
  </w:footnote>
  <w:footnote w:type="continuationNotice" w:id="1">
    <w:p w:rsidR="001A4FDB" w:rsidRDefault="001A4F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44" w:rsidRDefault="00AF2244" w:rsidP="00CF7AF3">
    <w:pPr>
      <w:pStyle w:val="Runninghead"/>
    </w:pPr>
    <w:r>
      <w:tab/>
      <w:t>IAEA-CN-269/00</w:t>
    </w:r>
  </w:p>
  <w:p w:rsidR="00AF2244" w:rsidRPr="009E1558" w:rsidRDefault="00AF2244"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rsidR="00AF2244" w:rsidRDefault="00AF2244"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rsidR="00AF2244" w:rsidRDefault="00AF2244">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44" w:rsidRPr="00DB54D7" w:rsidRDefault="00AF2244" w:rsidP="00B82FA5">
    <w:pPr>
      <w:pStyle w:val="Runninghead"/>
      <w:rPr>
        <w:lang w:val="es-ES"/>
      </w:rPr>
    </w:pPr>
    <w:r w:rsidRPr="00DB54D7">
      <w:rPr>
        <w:lang w:val="es-ES"/>
      </w:rPr>
      <w:t>SOFIA LUQUE</w:t>
    </w:r>
    <w:r>
      <w:rPr>
        <w:lang w:val="es-ES"/>
      </w:rPr>
      <w:t xml:space="preserve">, </w:t>
    </w:r>
    <w:r w:rsidRPr="00DB54D7">
      <w:rPr>
        <w:lang w:val="es-ES"/>
      </w:rPr>
      <w:t>SUSANA SOLÍS</w:t>
    </w:r>
    <w:r w:rsidR="007C479F">
      <w:rPr>
        <w:lang w:val="es-ES"/>
      </w:rPr>
      <w:t>,</w:t>
    </w:r>
    <w:r>
      <w:rPr>
        <w:lang w:val="es-ES"/>
      </w:rPr>
      <w:t xml:space="preserve"> JOSÉ LUIS REVILLA</w:t>
    </w:r>
    <w:r w:rsidRPr="00DB54D7">
      <w:rPr>
        <w:lang w:val="es-ES"/>
      </w:rPr>
      <w:t xml:space="preserve"> </w:t>
    </w:r>
    <w:r>
      <w:rPr>
        <w:lang w:val="es-ES"/>
      </w:rPr>
      <w:t>et 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AF2244">
      <w:trPr>
        <w:cantSplit/>
        <w:trHeight w:val="716"/>
      </w:trPr>
      <w:tc>
        <w:tcPr>
          <w:tcW w:w="979" w:type="dxa"/>
          <w:vMerge w:val="restart"/>
        </w:tcPr>
        <w:p w:rsidR="00AF2244" w:rsidRDefault="00AF2244">
          <w:pPr>
            <w:spacing w:before="180"/>
            <w:ind w:left="17"/>
          </w:pPr>
        </w:p>
      </w:tc>
      <w:tc>
        <w:tcPr>
          <w:tcW w:w="3638" w:type="dxa"/>
          <w:vAlign w:val="bottom"/>
        </w:tcPr>
        <w:p w:rsidR="00AF2244" w:rsidRDefault="00AF2244">
          <w:pPr>
            <w:spacing w:after="20"/>
          </w:pPr>
        </w:p>
      </w:tc>
      <w:bookmarkStart w:id="1" w:name="DOC_bkmClassification1"/>
      <w:tc>
        <w:tcPr>
          <w:tcW w:w="5702" w:type="dxa"/>
          <w:vMerge w:val="restart"/>
          <w:tcMar>
            <w:right w:w="193" w:type="dxa"/>
          </w:tcMar>
        </w:tcPr>
        <w:p w:rsidR="00AF2244" w:rsidRDefault="00AF2244">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AF2244" w:rsidRDefault="00AF2244">
          <w:pPr>
            <w:pStyle w:val="zyxConfid2Red"/>
          </w:pPr>
          <w:r>
            <w:fldChar w:fldCharType="begin"/>
          </w:r>
          <w:r>
            <w:instrText>DOCPROPERTY "IaeaClassification2"  \* MERGEFORMAT</w:instrText>
          </w:r>
          <w:r>
            <w:fldChar w:fldCharType="end"/>
          </w:r>
        </w:p>
      </w:tc>
    </w:tr>
    <w:tr w:rsidR="00AF2244">
      <w:trPr>
        <w:cantSplit/>
        <w:trHeight w:val="167"/>
      </w:trPr>
      <w:tc>
        <w:tcPr>
          <w:tcW w:w="979" w:type="dxa"/>
          <w:vMerge/>
        </w:tcPr>
        <w:p w:rsidR="00AF2244" w:rsidRDefault="00AF2244">
          <w:pPr>
            <w:spacing w:before="57"/>
          </w:pPr>
        </w:p>
      </w:tc>
      <w:tc>
        <w:tcPr>
          <w:tcW w:w="3638" w:type="dxa"/>
          <w:vAlign w:val="bottom"/>
        </w:tcPr>
        <w:p w:rsidR="00AF2244" w:rsidRDefault="00AF2244">
          <w:pPr>
            <w:pStyle w:val="Ttulo9"/>
            <w:spacing w:before="0" w:after="10"/>
          </w:pPr>
        </w:p>
      </w:tc>
      <w:tc>
        <w:tcPr>
          <w:tcW w:w="5702" w:type="dxa"/>
          <w:vMerge/>
          <w:vAlign w:val="bottom"/>
        </w:tcPr>
        <w:p w:rsidR="00AF2244" w:rsidRDefault="00AF2244">
          <w:pPr>
            <w:pStyle w:val="Ttulo9"/>
            <w:spacing w:before="0" w:after="10"/>
          </w:pPr>
        </w:p>
      </w:tc>
    </w:tr>
  </w:tbl>
  <w:p w:rsidR="00AF2244" w:rsidRDefault="00AF22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4AC3"/>
    <w:multiLevelType w:val="hybridMultilevel"/>
    <w:tmpl w:val="A650FA7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2F14F53"/>
    <w:multiLevelType w:val="hybridMultilevel"/>
    <w:tmpl w:val="F10CDFC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536299"/>
    <w:multiLevelType w:val="hybridMultilevel"/>
    <w:tmpl w:val="8A0EBF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33AA1"/>
    <w:multiLevelType w:val="hybridMultilevel"/>
    <w:tmpl w:val="866098CE"/>
    <w:lvl w:ilvl="0" w:tplc="32B0F99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2B1320A"/>
    <w:multiLevelType w:val="hybridMultilevel"/>
    <w:tmpl w:val="AAE6EDEE"/>
    <w:lvl w:ilvl="0" w:tplc="648CECD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7"/>
  </w:num>
  <w:num w:numId="3">
    <w:abstractNumId w:val="14"/>
  </w:num>
  <w:num w:numId="4">
    <w:abstractNumId w:val="14"/>
  </w:num>
  <w:num w:numId="5">
    <w:abstractNumId w:val="14"/>
  </w:num>
  <w:num w:numId="6">
    <w:abstractNumId w:val="9"/>
  </w:num>
  <w:num w:numId="7">
    <w:abstractNumId w:val="12"/>
  </w:num>
  <w:num w:numId="8">
    <w:abstractNumId w:val="16"/>
  </w:num>
  <w:num w:numId="9">
    <w:abstractNumId w:val="2"/>
  </w:num>
  <w:num w:numId="10">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4"/>
  </w:num>
  <w:num w:numId="12">
    <w:abstractNumId w:val="14"/>
  </w:num>
  <w:num w:numId="13">
    <w:abstractNumId w:val="14"/>
  </w:num>
  <w:num w:numId="14">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4"/>
  </w:num>
  <w:num w:numId="16">
    <w:abstractNumId w:val="14"/>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4"/>
  </w:num>
  <w:num w:numId="22">
    <w:abstractNumId w:val="6"/>
  </w:num>
  <w:num w:numId="23">
    <w:abstractNumId w:val="1"/>
  </w:num>
  <w:num w:numId="24">
    <w:abstractNumId w:val="13"/>
  </w:num>
  <w:num w:numId="25">
    <w:abstractNumId w:val="14"/>
  </w:num>
  <w:num w:numId="26">
    <w:abstractNumId w:val="14"/>
  </w:num>
  <w:num w:numId="27">
    <w:abstractNumId w:val="14"/>
  </w:num>
  <w:num w:numId="28">
    <w:abstractNumId w:val="14"/>
  </w:num>
  <w:num w:numId="29">
    <w:abstractNumId w:val="14"/>
  </w:num>
  <w:num w:numId="30">
    <w:abstractNumId w:val="10"/>
  </w:num>
  <w:num w:numId="31">
    <w:abstractNumId w:val="10"/>
  </w:num>
  <w:num w:numId="32">
    <w:abstractNumId w:val="14"/>
  </w:num>
  <w:num w:numId="33">
    <w:abstractNumId w:val="0"/>
  </w:num>
  <w:num w:numId="34">
    <w:abstractNumId w:val="3"/>
  </w:num>
  <w:num w:numId="35">
    <w:abstractNumId w:val="14"/>
  </w:num>
  <w:num w:numId="36">
    <w:abstractNumId w:val="5"/>
  </w:num>
  <w:num w:numId="37">
    <w:abstractNumId w:val="15"/>
  </w:num>
  <w:num w:numId="38">
    <w:abstractNumId w:val="8"/>
  </w:num>
  <w:num w:numId="39">
    <w:abstractNumId w:val="14"/>
  </w:num>
  <w:num w:numId="40">
    <w:abstractNumId w:val="14"/>
  </w:num>
  <w:num w:numId="41">
    <w:abstractNumId w:val="14"/>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102BB"/>
    <w:rsid w:val="00014396"/>
    <w:rsid w:val="0001550C"/>
    <w:rsid w:val="000229AB"/>
    <w:rsid w:val="0002569A"/>
    <w:rsid w:val="00037321"/>
    <w:rsid w:val="00050CBB"/>
    <w:rsid w:val="00055FAE"/>
    <w:rsid w:val="000A0299"/>
    <w:rsid w:val="000A2990"/>
    <w:rsid w:val="000A33D1"/>
    <w:rsid w:val="000F7E94"/>
    <w:rsid w:val="00104ADA"/>
    <w:rsid w:val="001119D6"/>
    <w:rsid w:val="001308F2"/>
    <w:rsid w:val="001313E8"/>
    <w:rsid w:val="00172C66"/>
    <w:rsid w:val="001809AB"/>
    <w:rsid w:val="001A4FDB"/>
    <w:rsid w:val="001B643B"/>
    <w:rsid w:val="001C58F5"/>
    <w:rsid w:val="001C7137"/>
    <w:rsid w:val="001D5CEE"/>
    <w:rsid w:val="002071D9"/>
    <w:rsid w:val="00231138"/>
    <w:rsid w:val="00254C31"/>
    <w:rsid w:val="00256822"/>
    <w:rsid w:val="0026525A"/>
    <w:rsid w:val="00274790"/>
    <w:rsid w:val="00285755"/>
    <w:rsid w:val="002A1F9C"/>
    <w:rsid w:val="002B29C2"/>
    <w:rsid w:val="002C1567"/>
    <w:rsid w:val="002C4208"/>
    <w:rsid w:val="002E23E0"/>
    <w:rsid w:val="002E3283"/>
    <w:rsid w:val="00331070"/>
    <w:rsid w:val="00340152"/>
    <w:rsid w:val="00352DE1"/>
    <w:rsid w:val="00353B86"/>
    <w:rsid w:val="003728E6"/>
    <w:rsid w:val="00376F67"/>
    <w:rsid w:val="00387881"/>
    <w:rsid w:val="003B5E0E"/>
    <w:rsid w:val="003B6378"/>
    <w:rsid w:val="003D255A"/>
    <w:rsid w:val="003D3A21"/>
    <w:rsid w:val="003E7C20"/>
    <w:rsid w:val="00416949"/>
    <w:rsid w:val="00432155"/>
    <w:rsid w:val="004370D8"/>
    <w:rsid w:val="004509AF"/>
    <w:rsid w:val="00467391"/>
    <w:rsid w:val="00472C43"/>
    <w:rsid w:val="0048411D"/>
    <w:rsid w:val="004D6F59"/>
    <w:rsid w:val="00525DF2"/>
    <w:rsid w:val="00532A0F"/>
    <w:rsid w:val="00537496"/>
    <w:rsid w:val="00542DF1"/>
    <w:rsid w:val="00544ED3"/>
    <w:rsid w:val="00557663"/>
    <w:rsid w:val="0058477B"/>
    <w:rsid w:val="0058654F"/>
    <w:rsid w:val="00596ACA"/>
    <w:rsid w:val="005A58A4"/>
    <w:rsid w:val="005D2A53"/>
    <w:rsid w:val="005E39BC"/>
    <w:rsid w:val="005F00A0"/>
    <w:rsid w:val="006222C8"/>
    <w:rsid w:val="00647F33"/>
    <w:rsid w:val="00662532"/>
    <w:rsid w:val="00670F81"/>
    <w:rsid w:val="006B2274"/>
    <w:rsid w:val="006E2108"/>
    <w:rsid w:val="00717C6F"/>
    <w:rsid w:val="00737D92"/>
    <w:rsid w:val="00737FC2"/>
    <w:rsid w:val="007445DA"/>
    <w:rsid w:val="0077482A"/>
    <w:rsid w:val="007748BF"/>
    <w:rsid w:val="0078730E"/>
    <w:rsid w:val="007B4FD1"/>
    <w:rsid w:val="007C479F"/>
    <w:rsid w:val="00802381"/>
    <w:rsid w:val="008468E8"/>
    <w:rsid w:val="00851CA9"/>
    <w:rsid w:val="00851E3E"/>
    <w:rsid w:val="008760E1"/>
    <w:rsid w:val="00883848"/>
    <w:rsid w:val="00897ED5"/>
    <w:rsid w:val="008B6BB9"/>
    <w:rsid w:val="008F6E82"/>
    <w:rsid w:val="00911543"/>
    <w:rsid w:val="00943FF5"/>
    <w:rsid w:val="009519C9"/>
    <w:rsid w:val="00960430"/>
    <w:rsid w:val="0096475D"/>
    <w:rsid w:val="009703E1"/>
    <w:rsid w:val="009A2541"/>
    <w:rsid w:val="009A4354"/>
    <w:rsid w:val="009A7849"/>
    <w:rsid w:val="009D0B86"/>
    <w:rsid w:val="009D334F"/>
    <w:rsid w:val="009D4CB2"/>
    <w:rsid w:val="009D5F2A"/>
    <w:rsid w:val="009E0D5B"/>
    <w:rsid w:val="009E1558"/>
    <w:rsid w:val="009E6E05"/>
    <w:rsid w:val="00A42898"/>
    <w:rsid w:val="00A85589"/>
    <w:rsid w:val="00AA32B9"/>
    <w:rsid w:val="00AB6ACE"/>
    <w:rsid w:val="00AC5A3A"/>
    <w:rsid w:val="00AF2244"/>
    <w:rsid w:val="00B13EBC"/>
    <w:rsid w:val="00B246DD"/>
    <w:rsid w:val="00B4575C"/>
    <w:rsid w:val="00B476D8"/>
    <w:rsid w:val="00B5132E"/>
    <w:rsid w:val="00B60B99"/>
    <w:rsid w:val="00B82FA5"/>
    <w:rsid w:val="00BC1435"/>
    <w:rsid w:val="00BD1400"/>
    <w:rsid w:val="00BD605C"/>
    <w:rsid w:val="00BE2A76"/>
    <w:rsid w:val="00C055B4"/>
    <w:rsid w:val="00C20DCA"/>
    <w:rsid w:val="00C54A96"/>
    <w:rsid w:val="00C5726E"/>
    <w:rsid w:val="00C65E60"/>
    <w:rsid w:val="00C923AF"/>
    <w:rsid w:val="00C96DBC"/>
    <w:rsid w:val="00CE5A52"/>
    <w:rsid w:val="00CF7AF3"/>
    <w:rsid w:val="00D04B39"/>
    <w:rsid w:val="00D22275"/>
    <w:rsid w:val="00D22E21"/>
    <w:rsid w:val="00D24AA9"/>
    <w:rsid w:val="00D26ADA"/>
    <w:rsid w:val="00D35A78"/>
    <w:rsid w:val="00D555A1"/>
    <w:rsid w:val="00D64DC2"/>
    <w:rsid w:val="00D7432F"/>
    <w:rsid w:val="00DA46CA"/>
    <w:rsid w:val="00DB54D7"/>
    <w:rsid w:val="00DE6EB0"/>
    <w:rsid w:val="00DF21EB"/>
    <w:rsid w:val="00E20E70"/>
    <w:rsid w:val="00E23EE2"/>
    <w:rsid w:val="00E25B68"/>
    <w:rsid w:val="00E84003"/>
    <w:rsid w:val="00EA7AEF"/>
    <w:rsid w:val="00EC10FC"/>
    <w:rsid w:val="00ED1316"/>
    <w:rsid w:val="00EE0041"/>
    <w:rsid w:val="00EE29B9"/>
    <w:rsid w:val="00F004EE"/>
    <w:rsid w:val="00F411CC"/>
    <w:rsid w:val="00F42E23"/>
    <w:rsid w:val="00F45EEE"/>
    <w:rsid w:val="00F51E9C"/>
    <w:rsid w:val="00F523CA"/>
    <w:rsid w:val="00F74A9D"/>
    <w:rsid w:val="00F77F46"/>
    <w:rsid w:val="00FC286F"/>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04605"/>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9D5F2A"/>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C269E8-7B97-401C-8E08-67CEBE8D292B}" type="doc">
      <dgm:prSet loTypeId="urn:microsoft.com/office/officeart/2005/8/layout/hProcess11" loCatId="process" qsTypeId="urn:microsoft.com/office/officeart/2005/8/quickstyle/simple1" qsCatId="simple" csTypeId="urn:microsoft.com/office/officeart/2005/8/colors/accent1_2" csCatId="accent1" phldr="1"/>
      <dgm:spPr/>
    </dgm:pt>
    <dgm:pt modelId="{F7196C42-E293-4791-8E7C-C13A71669007}">
      <dgm:prSet phldrT="[Texto]"/>
      <dgm:spPr/>
      <dgm:t>
        <a:bodyPr/>
        <a:lstStyle/>
        <a:p>
          <a:r>
            <a:rPr lang="es-ES"/>
            <a:t>Operator (license holder)</a:t>
          </a:r>
        </a:p>
      </dgm:t>
    </dgm:pt>
    <dgm:pt modelId="{77C35683-7DF8-4752-94B6-B4AD46D10079}" type="parTrans" cxnId="{BA059C7B-24E1-4D1A-A246-7E8D00F8211C}">
      <dgm:prSet/>
      <dgm:spPr/>
      <dgm:t>
        <a:bodyPr/>
        <a:lstStyle/>
        <a:p>
          <a:endParaRPr lang="es-ES"/>
        </a:p>
      </dgm:t>
    </dgm:pt>
    <dgm:pt modelId="{7C20CACD-9A8A-4080-A87A-C8810801FA2A}" type="sibTrans" cxnId="{BA059C7B-24E1-4D1A-A246-7E8D00F8211C}">
      <dgm:prSet/>
      <dgm:spPr/>
      <dgm:t>
        <a:bodyPr/>
        <a:lstStyle/>
        <a:p>
          <a:endParaRPr lang="es-ES"/>
        </a:p>
      </dgm:t>
    </dgm:pt>
    <dgm:pt modelId="{58A50444-0385-422E-AD49-A66F1A77F6ED}">
      <dgm:prSet phldrT="[Texto]"/>
      <dgm:spPr/>
      <dgm:t>
        <a:bodyPr/>
        <a:lstStyle/>
        <a:p>
          <a:r>
            <a:rPr lang="es-ES"/>
            <a:t>ENRESA</a:t>
          </a:r>
        </a:p>
      </dgm:t>
    </dgm:pt>
    <dgm:pt modelId="{8288AE9E-BC3D-4EEB-89CD-E65593B2FEC4}" type="parTrans" cxnId="{D7D5ECB9-7457-4F3E-B7DC-770345EBBDA4}">
      <dgm:prSet/>
      <dgm:spPr/>
      <dgm:t>
        <a:bodyPr/>
        <a:lstStyle/>
        <a:p>
          <a:endParaRPr lang="es-ES"/>
        </a:p>
      </dgm:t>
    </dgm:pt>
    <dgm:pt modelId="{CE1D7E99-59A9-494A-9D74-C7F8661894BD}" type="sibTrans" cxnId="{D7D5ECB9-7457-4F3E-B7DC-770345EBBDA4}">
      <dgm:prSet/>
      <dgm:spPr/>
      <dgm:t>
        <a:bodyPr/>
        <a:lstStyle/>
        <a:p>
          <a:endParaRPr lang="es-ES"/>
        </a:p>
      </dgm:t>
    </dgm:pt>
    <dgm:pt modelId="{BBAE8BBF-CBE5-4707-91D1-DB64C420DE14}" type="pres">
      <dgm:prSet presAssocID="{5BC269E8-7B97-401C-8E08-67CEBE8D292B}" presName="Name0" presStyleCnt="0">
        <dgm:presLayoutVars>
          <dgm:dir/>
          <dgm:resizeHandles val="exact"/>
        </dgm:presLayoutVars>
      </dgm:prSet>
      <dgm:spPr/>
    </dgm:pt>
    <dgm:pt modelId="{8E20EE41-5576-41C8-A6C2-72C3E7901665}" type="pres">
      <dgm:prSet presAssocID="{5BC269E8-7B97-401C-8E08-67CEBE8D292B}" presName="arrow" presStyleLbl="bgShp" presStyleIdx="0" presStyleCnt="1"/>
      <dgm:spPr/>
    </dgm:pt>
    <dgm:pt modelId="{EAFD35EF-6A6F-4FE2-B35D-6B6A52C09BE8}" type="pres">
      <dgm:prSet presAssocID="{5BC269E8-7B97-401C-8E08-67CEBE8D292B}" presName="points" presStyleCnt="0"/>
      <dgm:spPr/>
    </dgm:pt>
    <dgm:pt modelId="{0C403C1C-0284-4499-B972-05A5D17FFF33}" type="pres">
      <dgm:prSet presAssocID="{F7196C42-E293-4791-8E7C-C13A71669007}" presName="compositeA" presStyleCnt="0"/>
      <dgm:spPr/>
    </dgm:pt>
    <dgm:pt modelId="{2AA2D067-EECE-468E-A5FD-3FB51998F251}" type="pres">
      <dgm:prSet presAssocID="{F7196C42-E293-4791-8E7C-C13A71669007}" presName="textA" presStyleLbl="revTx" presStyleIdx="0" presStyleCnt="2" custLinFactY="50000" custLinFactNeighborX="2215" custLinFactNeighborY="100000">
        <dgm:presLayoutVars>
          <dgm:bulletEnabled val="1"/>
        </dgm:presLayoutVars>
      </dgm:prSet>
      <dgm:spPr/>
      <dgm:t>
        <a:bodyPr/>
        <a:lstStyle/>
        <a:p>
          <a:endParaRPr lang="es-ES"/>
        </a:p>
      </dgm:t>
    </dgm:pt>
    <dgm:pt modelId="{B1CF18E7-6A69-4336-A619-9CD9B29FC1AE}" type="pres">
      <dgm:prSet presAssocID="{F7196C42-E293-4791-8E7C-C13A71669007}" presName="circleA" presStyleLbl="node1" presStyleIdx="0" presStyleCnt="2"/>
      <dgm:spPr/>
    </dgm:pt>
    <dgm:pt modelId="{145BF862-8DB5-4537-8828-26236B47BFAC}" type="pres">
      <dgm:prSet presAssocID="{F7196C42-E293-4791-8E7C-C13A71669007}" presName="spaceA" presStyleCnt="0"/>
      <dgm:spPr/>
    </dgm:pt>
    <dgm:pt modelId="{06384366-9D85-4A9D-AF9E-234880DB288C}" type="pres">
      <dgm:prSet presAssocID="{7C20CACD-9A8A-4080-A87A-C8810801FA2A}" presName="space" presStyleCnt="0"/>
      <dgm:spPr/>
    </dgm:pt>
    <dgm:pt modelId="{778CB725-68B2-4BC1-9076-F8ADA912DDA4}" type="pres">
      <dgm:prSet presAssocID="{58A50444-0385-422E-AD49-A66F1A77F6ED}" presName="compositeB" presStyleCnt="0"/>
      <dgm:spPr/>
    </dgm:pt>
    <dgm:pt modelId="{47205436-9798-41D0-9F0B-E4D94E5E3E5D}" type="pres">
      <dgm:prSet presAssocID="{58A50444-0385-422E-AD49-A66F1A77F6ED}" presName="textB" presStyleLbl="revTx" presStyleIdx="1" presStyleCnt="2">
        <dgm:presLayoutVars>
          <dgm:bulletEnabled val="1"/>
        </dgm:presLayoutVars>
      </dgm:prSet>
      <dgm:spPr/>
      <dgm:t>
        <a:bodyPr/>
        <a:lstStyle/>
        <a:p>
          <a:endParaRPr lang="es-ES"/>
        </a:p>
      </dgm:t>
    </dgm:pt>
    <dgm:pt modelId="{A57308B4-30C7-498A-BB28-8BDBFB13C48C}" type="pres">
      <dgm:prSet presAssocID="{58A50444-0385-422E-AD49-A66F1A77F6ED}" presName="circleB" presStyleLbl="node1" presStyleIdx="1" presStyleCnt="2"/>
      <dgm:spPr/>
    </dgm:pt>
    <dgm:pt modelId="{5F0FA93A-3288-46BA-B484-531911B9D38B}" type="pres">
      <dgm:prSet presAssocID="{58A50444-0385-422E-AD49-A66F1A77F6ED}" presName="spaceB" presStyleCnt="0"/>
      <dgm:spPr/>
    </dgm:pt>
  </dgm:ptLst>
  <dgm:cxnLst>
    <dgm:cxn modelId="{D7D5ECB9-7457-4F3E-B7DC-770345EBBDA4}" srcId="{5BC269E8-7B97-401C-8E08-67CEBE8D292B}" destId="{58A50444-0385-422E-AD49-A66F1A77F6ED}" srcOrd="1" destOrd="0" parTransId="{8288AE9E-BC3D-4EEB-89CD-E65593B2FEC4}" sibTransId="{CE1D7E99-59A9-494A-9D74-C7F8661894BD}"/>
    <dgm:cxn modelId="{FD7FF077-2C33-4E65-9443-295EBBF442CD}" type="presOf" srcId="{F7196C42-E293-4791-8E7C-C13A71669007}" destId="{2AA2D067-EECE-468E-A5FD-3FB51998F251}" srcOrd="0" destOrd="0" presId="urn:microsoft.com/office/officeart/2005/8/layout/hProcess11"/>
    <dgm:cxn modelId="{91280F91-FA09-476B-AA1D-6A51EC4C9FF5}" type="presOf" srcId="{58A50444-0385-422E-AD49-A66F1A77F6ED}" destId="{47205436-9798-41D0-9F0B-E4D94E5E3E5D}" srcOrd="0" destOrd="0" presId="urn:microsoft.com/office/officeart/2005/8/layout/hProcess11"/>
    <dgm:cxn modelId="{BA059C7B-24E1-4D1A-A246-7E8D00F8211C}" srcId="{5BC269E8-7B97-401C-8E08-67CEBE8D292B}" destId="{F7196C42-E293-4791-8E7C-C13A71669007}" srcOrd="0" destOrd="0" parTransId="{77C35683-7DF8-4752-94B6-B4AD46D10079}" sibTransId="{7C20CACD-9A8A-4080-A87A-C8810801FA2A}"/>
    <dgm:cxn modelId="{1E83EC02-8140-40C2-AC68-FF45C86E4056}" type="presOf" srcId="{5BC269E8-7B97-401C-8E08-67CEBE8D292B}" destId="{BBAE8BBF-CBE5-4707-91D1-DB64C420DE14}" srcOrd="0" destOrd="0" presId="urn:microsoft.com/office/officeart/2005/8/layout/hProcess11"/>
    <dgm:cxn modelId="{BAD92107-0130-468F-BC00-EC1AC4E08CFD}" type="presParOf" srcId="{BBAE8BBF-CBE5-4707-91D1-DB64C420DE14}" destId="{8E20EE41-5576-41C8-A6C2-72C3E7901665}" srcOrd="0" destOrd="0" presId="urn:microsoft.com/office/officeart/2005/8/layout/hProcess11"/>
    <dgm:cxn modelId="{10721EE9-55C3-4BC8-8303-121C9D51F253}" type="presParOf" srcId="{BBAE8BBF-CBE5-4707-91D1-DB64C420DE14}" destId="{EAFD35EF-6A6F-4FE2-B35D-6B6A52C09BE8}" srcOrd="1" destOrd="0" presId="urn:microsoft.com/office/officeart/2005/8/layout/hProcess11"/>
    <dgm:cxn modelId="{BF5FE3FC-DE71-4E8C-A57D-DC26B95CB712}" type="presParOf" srcId="{EAFD35EF-6A6F-4FE2-B35D-6B6A52C09BE8}" destId="{0C403C1C-0284-4499-B972-05A5D17FFF33}" srcOrd="0" destOrd="0" presId="urn:microsoft.com/office/officeart/2005/8/layout/hProcess11"/>
    <dgm:cxn modelId="{22E2626D-6436-4284-B84A-988E3C3E58D1}" type="presParOf" srcId="{0C403C1C-0284-4499-B972-05A5D17FFF33}" destId="{2AA2D067-EECE-468E-A5FD-3FB51998F251}" srcOrd="0" destOrd="0" presId="urn:microsoft.com/office/officeart/2005/8/layout/hProcess11"/>
    <dgm:cxn modelId="{A72F4F4C-A853-42FE-A0E3-7CE1D80954E5}" type="presParOf" srcId="{0C403C1C-0284-4499-B972-05A5D17FFF33}" destId="{B1CF18E7-6A69-4336-A619-9CD9B29FC1AE}" srcOrd="1" destOrd="0" presId="urn:microsoft.com/office/officeart/2005/8/layout/hProcess11"/>
    <dgm:cxn modelId="{C131C89A-93B9-42FA-8EDB-8209E862DDC3}" type="presParOf" srcId="{0C403C1C-0284-4499-B972-05A5D17FFF33}" destId="{145BF862-8DB5-4537-8828-26236B47BFAC}" srcOrd="2" destOrd="0" presId="urn:microsoft.com/office/officeart/2005/8/layout/hProcess11"/>
    <dgm:cxn modelId="{7C2EDE2C-CCAA-464C-86B1-BE6C0C401FAE}" type="presParOf" srcId="{EAFD35EF-6A6F-4FE2-B35D-6B6A52C09BE8}" destId="{06384366-9D85-4A9D-AF9E-234880DB288C}" srcOrd="1" destOrd="0" presId="urn:microsoft.com/office/officeart/2005/8/layout/hProcess11"/>
    <dgm:cxn modelId="{0C718FBA-D9A4-4092-9F7D-FD7C3EEA6A41}" type="presParOf" srcId="{EAFD35EF-6A6F-4FE2-B35D-6B6A52C09BE8}" destId="{778CB725-68B2-4BC1-9076-F8ADA912DDA4}" srcOrd="2" destOrd="0" presId="urn:microsoft.com/office/officeart/2005/8/layout/hProcess11"/>
    <dgm:cxn modelId="{66026487-D5DC-41B4-8B44-A4421ADA571B}" type="presParOf" srcId="{778CB725-68B2-4BC1-9076-F8ADA912DDA4}" destId="{47205436-9798-41D0-9F0B-E4D94E5E3E5D}" srcOrd="0" destOrd="0" presId="urn:microsoft.com/office/officeart/2005/8/layout/hProcess11"/>
    <dgm:cxn modelId="{DD974633-797D-43D5-9880-032B135406F9}" type="presParOf" srcId="{778CB725-68B2-4BC1-9076-F8ADA912DDA4}" destId="{A57308B4-30C7-498A-BB28-8BDBFB13C48C}" srcOrd="1" destOrd="0" presId="urn:microsoft.com/office/officeart/2005/8/layout/hProcess11"/>
    <dgm:cxn modelId="{783452B8-A09A-48D8-9F5D-E612414660BC}" type="presParOf" srcId="{778CB725-68B2-4BC1-9076-F8ADA912DDA4}" destId="{5F0FA93A-3288-46BA-B484-531911B9D38B}" srcOrd="2" destOrd="0" presId="urn:microsoft.com/office/officeart/2005/8/layout/hProcess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356A49-985F-414A-86CB-B8D6686F99C0}" type="doc">
      <dgm:prSet loTypeId="urn:microsoft.com/office/officeart/2005/8/layout/chevron1" loCatId="process" qsTypeId="urn:microsoft.com/office/officeart/2005/8/quickstyle/simple1" qsCatId="simple" csTypeId="urn:microsoft.com/office/officeart/2005/8/colors/colorful2" csCatId="colorful" phldr="1"/>
      <dgm:spPr/>
    </dgm:pt>
    <dgm:pt modelId="{2FD97457-655E-4269-9A71-6B8E2A261BA6}">
      <dgm:prSet phldrT="[Texto]"/>
      <dgm:spPr/>
      <dgm:t>
        <a:bodyPr/>
        <a:lstStyle/>
        <a:p>
          <a:r>
            <a:rPr lang="es-ES"/>
            <a:t>Operational phase</a:t>
          </a:r>
        </a:p>
      </dgm:t>
    </dgm:pt>
    <dgm:pt modelId="{105B3CE1-45A4-47E4-935B-36501C4F04B8}" type="parTrans" cxnId="{298BED6B-C3F5-4F6C-82A6-92D26587F34D}">
      <dgm:prSet/>
      <dgm:spPr/>
      <dgm:t>
        <a:bodyPr/>
        <a:lstStyle/>
        <a:p>
          <a:endParaRPr lang="es-ES"/>
        </a:p>
      </dgm:t>
    </dgm:pt>
    <dgm:pt modelId="{3AFDBD26-CB52-45F8-B16B-7DFD0935942B}" type="sibTrans" cxnId="{298BED6B-C3F5-4F6C-82A6-92D26587F34D}">
      <dgm:prSet/>
      <dgm:spPr/>
      <dgm:t>
        <a:bodyPr/>
        <a:lstStyle/>
        <a:p>
          <a:endParaRPr lang="es-ES"/>
        </a:p>
      </dgm:t>
    </dgm:pt>
    <dgm:pt modelId="{A7A0D685-94C5-4573-AD95-B7B418001374}">
      <dgm:prSet phldrT="[Texto]"/>
      <dgm:spPr/>
      <dgm:t>
        <a:bodyPr/>
        <a:lstStyle/>
        <a:p>
          <a:r>
            <a:rPr lang="es-ES"/>
            <a:t>Permanent Shutdown</a:t>
          </a:r>
        </a:p>
      </dgm:t>
    </dgm:pt>
    <dgm:pt modelId="{83AB4F46-6C0A-4D3B-BC5A-D9B81302E6EA}" type="parTrans" cxnId="{E2DF87B5-E172-4599-B634-3B5CCFD24C39}">
      <dgm:prSet/>
      <dgm:spPr/>
      <dgm:t>
        <a:bodyPr/>
        <a:lstStyle/>
        <a:p>
          <a:endParaRPr lang="es-ES"/>
        </a:p>
      </dgm:t>
    </dgm:pt>
    <dgm:pt modelId="{1562C904-A67E-4EA5-BFB8-2EBCA0BA0226}" type="sibTrans" cxnId="{E2DF87B5-E172-4599-B634-3B5CCFD24C39}">
      <dgm:prSet/>
      <dgm:spPr/>
      <dgm:t>
        <a:bodyPr/>
        <a:lstStyle/>
        <a:p>
          <a:endParaRPr lang="es-ES"/>
        </a:p>
      </dgm:t>
    </dgm:pt>
    <dgm:pt modelId="{7210BBDD-2C0B-4BE9-99A1-1C11C8DF3F21}">
      <dgm:prSet phldrT="[Texto]"/>
      <dgm:spPr/>
      <dgm:t>
        <a:bodyPr/>
        <a:lstStyle/>
        <a:p>
          <a:r>
            <a:rPr lang="es-ES"/>
            <a:t>Transition phase</a:t>
          </a:r>
        </a:p>
      </dgm:t>
    </dgm:pt>
    <dgm:pt modelId="{6B149132-5413-4F9F-A258-9C76EB3DD018}" type="parTrans" cxnId="{52835BF1-2B77-4DB3-8CCC-C118FBE42324}">
      <dgm:prSet/>
      <dgm:spPr/>
      <dgm:t>
        <a:bodyPr/>
        <a:lstStyle/>
        <a:p>
          <a:endParaRPr lang="es-ES"/>
        </a:p>
      </dgm:t>
    </dgm:pt>
    <dgm:pt modelId="{B460DCD2-2268-4D72-B1FD-69F2C096FFDA}" type="sibTrans" cxnId="{52835BF1-2B77-4DB3-8CCC-C118FBE42324}">
      <dgm:prSet/>
      <dgm:spPr/>
      <dgm:t>
        <a:bodyPr/>
        <a:lstStyle/>
        <a:p>
          <a:endParaRPr lang="es-ES"/>
        </a:p>
      </dgm:t>
    </dgm:pt>
    <dgm:pt modelId="{938E2096-03FA-4C73-92FB-F3CAD86038F6}">
      <dgm:prSet phldrT="[Texto]"/>
      <dgm:spPr/>
      <dgm:t>
        <a:bodyPr/>
        <a:lstStyle/>
        <a:p>
          <a:r>
            <a:rPr lang="es-ES"/>
            <a:t>Dismantling phase</a:t>
          </a:r>
        </a:p>
      </dgm:t>
    </dgm:pt>
    <dgm:pt modelId="{A3780476-5687-400B-B757-3414016B6673}" type="parTrans" cxnId="{ED01CD2B-27E3-4BC4-9DD6-76ABB3074C7C}">
      <dgm:prSet/>
      <dgm:spPr/>
      <dgm:t>
        <a:bodyPr/>
        <a:lstStyle/>
        <a:p>
          <a:endParaRPr lang="es-ES"/>
        </a:p>
      </dgm:t>
    </dgm:pt>
    <dgm:pt modelId="{B3C38F65-3EBA-484C-B0D3-2CF81F35BA68}" type="sibTrans" cxnId="{ED01CD2B-27E3-4BC4-9DD6-76ABB3074C7C}">
      <dgm:prSet/>
      <dgm:spPr/>
      <dgm:t>
        <a:bodyPr/>
        <a:lstStyle/>
        <a:p>
          <a:endParaRPr lang="es-ES"/>
        </a:p>
      </dgm:t>
    </dgm:pt>
    <dgm:pt modelId="{5203E867-6F14-45F1-8323-34399EE81F3A}">
      <dgm:prSet phldrT="[Texto]"/>
      <dgm:spPr/>
      <dgm:t>
        <a:bodyPr/>
        <a:lstStyle/>
        <a:p>
          <a:r>
            <a:rPr lang="es-ES"/>
            <a:t>Licence Termination</a:t>
          </a:r>
        </a:p>
      </dgm:t>
    </dgm:pt>
    <dgm:pt modelId="{7A4D57C2-B3D3-4BA2-84DE-BD5EF0E5D1EA}" type="parTrans" cxnId="{3DFD25C7-F0DB-45A6-B721-8212785ED012}">
      <dgm:prSet/>
      <dgm:spPr/>
      <dgm:t>
        <a:bodyPr/>
        <a:lstStyle/>
        <a:p>
          <a:endParaRPr lang="es-ES"/>
        </a:p>
      </dgm:t>
    </dgm:pt>
    <dgm:pt modelId="{0000F4D2-C9BA-42F0-9D46-8624C86D5BF8}" type="sibTrans" cxnId="{3DFD25C7-F0DB-45A6-B721-8212785ED012}">
      <dgm:prSet/>
      <dgm:spPr/>
      <dgm:t>
        <a:bodyPr/>
        <a:lstStyle/>
        <a:p>
          <a:endParaRPr lang="es-ES"/>
        </a:p>
      </dgm:t>
    </dgm:pt>
    <dgm:pt modelId="{D8F73FF0-B1C9-4859-9CB6-90BF6BF8801B}" type="pres">
      <dgm:prSet presAssocID="{65356A49-985F-414A-86CB-B8D6686F99C0}" presName="Name0" presStyleCnt="0">
        <dgm:presLayoutVars>
          <dgm:dir/>
          <dgm:animLvl val="lvl"/>
          <dgm:resizeHandles val="exact"/>
        </dgm:presLayoutVars>
      </dgm:prSet>
      <dgm:spPr/>
    </dgm:pt>
    <dgm:pt modelId="{5A723FA9-E43D-4DBA-8FCA-EC097452127C}" type="pres">
      <dgm:prSet presAssocID="{2FD97457-655E-4269-9A71-6B8E2A261BA6}" presName="parTxOnly" presStyleLbl="node1" presStyleIdx="0" presStyleCnt="5">
        <dgm:presLayoutVars>
          <dgm:chMax val="0"/>
          <dgm:chPref val="0"/>
          <dgm:bulletEnabled val="1"/>
        </dgm:presLayoutVars>
      </dgm:prSet>
      <dgm:spPr/>
      <dgm:t>
        <a:bodyPr/>
        <a:lstStyle/>
        <a:p>
          <a:endParaRPr lang="es-ES"/>
        </a:p>
      </dgm:t>
    </dgm:pt>
    <dgm:pt modelId="{F98B1E79-2617-4DEE-AA2D-7B0279BE1F5B}" type="pres">
      <dgm:prSet presAssocID="{3AFDBD26-CB52-45F8-B16B-7DFD0935942B}" presName="parTxOnlySpace" presStyleCnt="0"/>
      <dgm:spPr/>
    </dgm:pt>
    <dgm:pt modelId="{CE802F9D-98B4-4EE2-BD2D-F16513D1A95C}" type="pres">
      <dgm:prSet presAssocID="{A7A0D685-94C5-4573-AD95-B7B418001374}" presName="parTxOnly" presStyleLbl="node1" presStyleIdx="1" presStyleCnt="5">
        <dgm:presLayoutVars>
          <dgm:chMax val="0"/>
          <dgm:chPref val="0"/>
          <dgm:bulletEnabled val="1"/>
        </dgm:presLayoutVars>
      </dgm:prSet>
      <dgm:spPr/>
      <dgm:t>
        <a:bodyPr/>
        <a:lstStyle/>
        <a:p>
          <a:endParaRPr lang="es-ES"/>
        </a:p>
      </dgm:t>
    </dgm:pt>
    <dgm:pt modelId="{828F5CFE-9986-40AE-B6F6-CF04DDFBE5A5}" type="pres">
      <dgm:prSet presAssocID="{1562C904-A67E-4EA5-BFB8-2EBCA0BA0226}" presName="parTxOnlySpace" presStyleCnt="0"/>
      <dgm:spPr/>
    </dgm:pt>
    <dgm:pt modelId="{7CE83214-429D-43FA-87B1-342AC671A353}" type="pres">
      <dgm:prSet presAssocID="{7210BBDD-2C0B-4BE9-99A1-1C11C8DF3F21}" presName="parTxOnly" presStyleLbl="node1" presStyleIdx="2" presStyleCnt="5">
        <dgm:presLayoutVars>
          <dgm:chMax val="0"/>
          <dgm:chPref val="0"/>
          <dgm:bulletEnabled val="1"/>
        </dgm:presLayoutVars>
      </dgm:prSet>
      <dgm:spPr/>
      <dgm:t>
        <a:bodyPr/>
        <a:lstStyle/>
        <a:p>
          <a:endParaRPr lang="es-ES"/>
        </a:p>
      </dgm:t>
    </dgm:pt>
    <dgm:pt modelId="{A4AA3EA9-CE35-4FDE-B3E2-6AA31929E3D6}" type="pres">
      <dgm:prSet presAssocID="{B460DCD2-2268-4D72-B1FD-69F2C096FFDA}" presName="parTxOnlySpace" presStyleCnt="0"/>
      <dgm:spPr/>
    </dgm:pt>
    <dgm:pt modelId="{7EE13FC3-A742-4EB8-9B0C-3CDAB23C637F}" type="pres">
      <dgm:prSet presAssocID="{938E2096-03FA-4C73-92FB-F3CAD86038F6}" presName="parTxOnly" presStyleLbl="node1" presStyleIdx="3" presStyleCnt="5">
        <dgm:presLayoutVars>
          <dgm:chMax val="0"/>
          <dgm:chPref val="0"/>
          <dgm:bulletEnabled val="1"/>
        </dgm:presLayoutVars>
      </dgm:prSet>
      <dgm:spPr/>
      <dgm:t>
        <a:bodyPr/>
        <a:lstStyle/>
        <a:p>
          <a:endParaRPr lang="es-ES"/>
        </a:p>
      </dgm:t>
    </dgm:pt>
    <dgm:pt modelId="{01E59CD7-789E-42DB-BB99-E031D23E1CFD}" type="pres">
      <dgm:prSet presAssocID="{B3C38F65-3EBA-484C-B0D3-2CF81F35BA68}" presName="parTxOnlySpace" presStyleCnt="0"/>
      <dgm:spPr/>
    </dgm:pt>
    <dgm:pt modelId="{2D29DA29-B718-4A32-B603-A137D29EBE56}" type="pres">
      <dgm:prSet presAssocID="{5203E867-6F14-45F1-8323-34399EE81F3A}" presName="parTxOnly" presStyleLbl="node1" presStyleIdx="4" presStyleCnt="5">
        <dgm:presLayoutVars>
          <dgm:chMax val="0"/>
          <dgm:chPref val="0"/>
          <dgm:bulletEnabled val="1"/>
        </dgm:presLayoutVars>
      </dgm:prSet>
      <dgm:spPr/>
      <dgm:t>
        <a:bodyPr/>
        <a:lstStyle/>
        <a:p>
          <a:endParaRPr lang="es-ES"/>
        </a:p>
      </dgm:t>
    </dgm:pt>
  </dgm:ptLst>
  <dgm:cxnLst>
    <dgm:cxn modelId="{05103701-7A79-400B-8057-FC644C37C153}" type="presOf" srcId="{5203E867-6F14-45F1-8323-34399EE81F3A}" destId="{2D29DA29-B718-4A32-B603-A137D29EBE56}" srcOrd="0" destOrd="0" presId="urn:microsoft.com/office/officeart/2005/8/layout/chevron1"/>
    <dgm:cxn modelId="{3DFD25C7-F0DB-45A6-B721-8212785ED012}" srcId="{65356A49-985F-414A-86CB-B8D6686F99C0}" destId="{5203E867-6F14-45F1-8323-34399EE81F3A}" srcOrd="4" destOrd="0" parTransId="{7A4D57C2-B3D3-4BA2-84DE-BD5EF0E5D1EA}" sibTransId="{0000F4D2-C9BA-42F0-9D46-8624C86D5BF8}"/>
    <dgm:cxn modelId="{67A1C89C-F101-45D4-8B20-27F6F0556CCA}" type="presOf" srcId="{938E2096-03FA-4C73-92FB-F3CAD86038F6}" destId="{7EE13FC3-A742-4EB8-9B0C-3CDAB23C637F}" srcOrd="0" destOrd="0" presId="urn:microsoft.com/office/officeart/2005/8/layout/chevron1"/>
    <dgm:cxn modelId="{DC48E75D-211D-4EA4-96BA-819782472355}" type="presOf" srcId="{2FD97457-655E-4269-9A71-6B8E2A261BA6}" destId="{5A723FA9-E43D-4DBA-8FCA-EC097452127C}" srcOrd="0" destOrd="0" presId="urn:microsoft.com/office/officeart/2005/8/layout/chevron1"/>
    <dgm:cxn modelId="{52835BF1-2B77-4DB3-8CCC-C118FBE42324}" srcId="{65356A49-985F-414A-86CB-B8D6686F99C0}" destId="{7210BBDD-2C0B-4BE9-99A1-1C11C8DF3F21}" srcOrd="2" destOrd="0" parTransId="{6B149132-5413-4F9F-A258-9C76EB3DD018}" sibTransId="{B460DCD2-2268-4D72-B1FD-69F2C096FFDA}"/>
    <dgm:cxn modelId="{E4F36F92-66BB-45A1-86AA-871CE2B9D31F}" type="presOf" srcId="{7210BBDD-2C0B-4BE9-99A1-1C11C8DF3F21}" destId="{7CE83214-429D-43FA-87B1-342AC671A353}" srcOrd="0" destOrd="0" presId="urn:microsoft.com/office/officeart/2005/8/layout/chevron1"/>
    <dgm:cxn modelId="{ED01CD2B-27E3-4BC4-9DD6-76ABB3074C7C}" srcId="{65356A49-985F-414A-86CB-B8D6686F99C0}" destId="{938E2096-03FA-4C73-92FB-F3CAD86038F6}" srcOrd="3" destOrd="0" parTransId="{A3780476-5687-400B-B757-3414016B6673}" sibTransId="{B3C38F65-3EBA-484C-B0D3-2CF81F35BA68}"/>
    <dgm:cxn modelId="{35E9931B-3B0E-481A-B596-0928DA71F29C}" type="presOf" srcId="{A7A0D685-94C5-4573-AD95-B7B418001374}" destId="{CE802F9D-98B4-4EE2-BD2D-F16513D1A95C}" srcOrd="0" destOrd="0" presId="urn:microsoft.com/office/officeart/2005/8/layout/chevron1"/>
    <dgm:cxn modelId="{E2DF87B5-E172-4599-B634-3B5CCFD24C39}" srcId="{65356A49-985F-414A-86CB-B8D6686F99C0}" destId="{A7A0D685-94C5-4573-AD95-B7B418001374}" srcOrd="1" destOrd="0" parTransId="{83AB4F46-6C0A-4D3B-BC5A-D9B81302E6EA}" sibTransId="{1562C904-A67E-4EA5-BFB8-2EBCA0BA0226}"/>
    <dgm:cxn modelId="{298BED6B-C3F5-4F6C-82A6-92D26587F34D}" srcId="{65356A49-985F-414A-86CB-B8D6686F99C0}" destId="{2FD97457-655E-4269-9A71-6B8E2A261BA6}" srcOrd="0" destOrd="0" parTransId="{105B3CE1-45A4-47E4-935B-36501C4F04B8}" sibTransId="{3AFDBD26-CB52-45F8-B16B-7DFD0935942B}"/>
    <dgm:cxn modelId="{82352885-DEBA-4FFD-A67F-DD26C65605B8}" type="presOf" srcId="{65356A49-985F-414A-86CB-B8D6686F99C0}" destId="{D8F73FF0-B1C9-4859-9CB6-90BF6BF8801B}" srcOrd="0" destOrd="0" presId="urn:microsoft.com/office/officeart/2005/8/layout/chevron1"/>
    <dgm:cxn modelId="{6BE78BE5-E3DB-4512-9024-E0369AA7B5CD}" type="presParOf" srcId="{D8F73FF0-B1C9-4859-9CB6-90BF6BF8801B}" destId="{5A723FA9-E43D-4DBA-8FCA-EC097452127C}" srcOrd="0" destOrd="0" presId="urn:microsoft.com/office/officeart/2005/8/layout/chevron1"/>
    <dgm:cxn modelId="{D5CD6098-3EB9-47F0-995B-AB215C234254}" type="presParOf" srcId="{D8F73FF0-B1C9-4859-9CB6-90BF6BF8801B}" destId="{F98B1E79-2617-4DEE-AA2D-7B0279BE1F5B}" srcOrd="1" destOrd="0" presId="urn:microsoft.com/office/officeart/2005/8/layout/chevron1"/>
    <dgm:cxn modelId="{721035F7-1410-41FC-AAD2-87FBE5F9DA65}" type="presParOf" srcId="{D8F73FF0-B1C9-4859-9CB6-90BF6BF8801B}" destId="{CE802F9D-98B4-4EE2-BD2D-F16513D1A95C}" srcOrd="2" destOrd="0" presId="urn:microsoft.com/office/officeart/2005/8/layout/chevron1"/>
    <dgm:cxn modelId="{7B51363B-ED97-481A-9472-F8CE95CCA9B9}" type="presParOf" srcId="{D8F73FF0-B1C9-4859-9CB6-90BF6BF8801B}" destId="{828F5CFE-9986-40AE-B6F6-CF04DDFBE5A5}" srcOrd="3" destOrd="0" presId="urn:microsoft.com/office/officeart/2005/8/layout/chevron1"/>
    <dgm:cxn modelId="{AD485DD6-2962-4C7B-A279-CCC058CE5FEC}" type="presParOf" srcId="{D8F73FF0-B1C9-4859-9CB6-90BF6BF8801B}" destId="{7CE83214-429D-43FA-87B1-342AC671A353}" srcOrd="4" destOrd="0" presId="urn:microsoft.com/office/officeart/2005/8/layout/chevron1"/>
    <dgm:cxn modelId="{AC7AB5A7-57F9-44F7-8A9B-1955BEDB67EF}" type="presParOf" srcId="{D8F73FF0-B1C9-4859-9CB6-90BF6BF8801B}" destId="{A4AA3EA9-CE35-4FDE-B3E2-6AA31929E3D6}" srcOrd="5" destOrd="0" presId="urn:microsoft.com/office/officeart/2005/8/layout/chevron1"/>
    <dgm:cxn modelId="{1BB53889-400C-4C0C-A0A8-67A637450536}" type="presParOf" srcId="{D8F73FF0-B1C9-4859-9CB6-90BF6BF8801B}" destId="{7EE13FC3-A742-4EB8-9B0C-3CDAB23C637F}" srcOrd="6" destOrd="0" presId="urn:microsoft.com/office/officeart/2005/8/layout/chevron1"/>
    <dgm:cxn modelId="{2005DBCA-B9F1-4293-9366-96BAFBFDC9BE}" type="presParOf" srcId="{D8F73FF0-B1C9-4859-9CB6-90BF6BF8801B}" destId="{01E59CD7-789E-42DB-BB99-E031D23E1CFD}" srcOrd="7" destOrd="0" presId="urn:microsoft.com/office/officeart/2005/8/layout/chevron1"/>
    <dgm:cxn modelId="{BB23922B-B5DE-4296-9039-4803592B7E11}" type="presParOf" srcId="{D8F73FF0-B1C9-4859-9CB6-90BF6BF8801B}" destId="{2D29DA29-B718-4A32-B603-A137D29EBE56}" srcOrd="8"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0EE41-5576-41C8-A6C2-72C3E7901665}">
      <dsp:nvSpPr>
        <dsp:cNvPr id="0" name=""/>
        <dsp:cNvSpPr/>
      </dsp:nvSpPr>
      <dsp:spPr>
        <a:xfrm>
          <a:off x="0" y="265176"/>
          <a:ext cx="5486400" cy="353568"/>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AA2D067-EECE-468E-A5FD-3FB51998F251}">
      <dsp:nvSpPr>
        <dsp:cNvPr id="0" name=""/>
        <dsp:cNvSpPr/>
      </dsp:nvSpPr>
      <dsp:spPr>
        <a:xfrm>
          <a:off x="53410" y="530352"/>
          <a:ext cx="2408604" cy="353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es-ES" sz="1200" kern="1200"/>
            <a:t>Operator (license holder)</a:t>
          </a:r>
        </a:p>
      </dsp:txBody>
      <dsp:txXfrm>
        <a:off x="53410" y="530352"/>
        <a:ext cx="2408604" cy="353568"/>
      </dsp:txXfrm>
    </dsp:sp>
    <dsp:sp modelId="{B1CF18E7-6A69-4336-A619-9CD9B29FC1AE}">
      <dsp:nvSpPr>
        <dsp:cNvPr id="0" name=""/>
        <dsp:cNvSpPr/>
      </dsp:nvSpPr>
      <dsp:spPr>
        <a:xfrm>
          <a:off x="1160166" y="397764"/>
          <a:ext cx="88392" cy="883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05436-9798-41D0-9F0B-E4D94E5E3E5D}">
      <dsp:nvSpPr>
        <dsp:cNvPr id="0" name=""/>
        <dsp:cNvSpPr/>
      </dsp:nvSpPr>
      <dsp:spPr>
        <a:xfrm>
          <a:off x="2529095" y="530352"/>
          <a:ext cx="2408604" cy="353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ES" sz="1200" kern="1200"/>
            <a:t>ENRESA</a:t>
          </a:r>
        </a:p>
      </dsp:txBody>
      <dsp:txXfrm>
        <a:off x="2529095" y="530352"/>
        <a:ext cx="2408604" cy="353568"/>
      </dsp:txXfrm>
    </dsp:sp>
    <dsp:sp modelId="{A57308B4-30C7-498A-BB28-8BDBFB13C48C}">
      <dsp:nvSpPr>
        <dsp:cNvPr id="0" name=""/>
        <dsp:cNvSpPr/>
      </dsp:nvSpPr>
      <dsp:spPr>
        <a:xfrm>
          <a:off x="3689201" y="397764"/>
          <a:ext cx="88392" cy="883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723FA9-E43D-4DBA-8FCA-EC097452127C}">
      <dsp:nvSpPr>
        <dsp:cNvPr id="0" name=""/>
        <dsp:cNvSpPr/>
      </dsp:nvSpPr>
      <dsp:spPr>
        <a:xfrm>
          <a:off x="1339" y="134957"/>
          <a:ext cx="1192113" cy="476845"/>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Operational phase</a:t>
          </a:r>
        </a:p>
      </dsp:txBody>
      <dsp:txXfrm>
        <a:off x="239762" y="134957"/>
        <a:ext cx="715268" cy="476845"/>
      </dsp:txXfrm>
    </dsp:sp>
    <dsp:sp modelId="{CE802F9D-98B4-4EE2-BD2D-F16513D1A95C}">
      <dsp:nvSpPr>
        <dsp:cNvPr id="0" name=""/>
        <dsp:cNvSpPr/>
      </dsp:nvSpPr>
      <dsp:spPr>
        <a:xfrm>
          <a:off x="1074241" y="134957"/>
          <a:ext cx="1192113" cy="47684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Permanent Shutdown</a:t>
          </a:r>
        </a:p>
      </dsp:txBody>
      <dsp:txXfrm>
        <a:off x="1312664" y="134957"/>
        <a:ext cx="715268" cy="476845"/>
      </dsp:txXfrm>
    </dsp:sp>
    <dsp:sp modelId="{7CE83214-429D-43FA-87B1-342AC671A353}">
      <dsp:nvSpPr>
        <dsp:cNvPr id="0" name=""/>
        <dsp:cNvSpPr/>
      </dsp:nvSpPr>
      <dsp:spPr>
        <a:xfrm>
          <a:off x="2147143" y="134957"/>
          <a:ext cx="1192113" cy="476845"/>
        </a:xfrm>
        <a:prstGeom prst="chevron">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Transition phase</a:t>
          </a:r>
        </a:p>
      </dsp:txBody>
      <dsp:txXfrm>
        <a:off x="2385566" y="134957"/>
        <a:ext cx="715268" cy="476845"/>
      </dsp:txXfrm>
    </dsp:sp>
    <dsp:sp modelId="{7EE13FC3-A742-4EB8-9B0C-3CDAB23C637F}">
      <dsp:nvSpPr>
        <dsp:cNvPr id="0" name=""/>
        <dsp:cNvSpPr/>
      </dsp:nvSpPr>
      <dsp:spPr>
        <a:xfrm>
          <a:off x="3220045" y="134957"/>
          <a:ext cx="1192113" cy="476845"/>
        </a:xfrm>
        <a:prstGeom prst="chevron">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Dismantling phase</a:t>
          </a:r>
        </a:p>
      </dsp:txBody>
      <dsp:txXfrm>
        <a:off x="3458468" y="134957"/>
        <a:ext cx="715268" cy="476845"/>
      </dsp:txXfrm>
    </dsp:sp>
    <dsp:sp modelId="{2D29DA29-B718-4A32-B603-A137D29EBE56}">
      <dsp:nvSpPr>
        <dsp:cNvPr id="0" name=""/>
        <dsp:cNvSpPr/>
      </dsp:nvSpPr>
      <dsp:spPr>
        <a:xfrm>
          <a:off x="4292947" y="134957"/>
          <a:ext cx="1192113" cy="476845"/>
        </a:xfrm>
        <a:prstGeom prst="chevron">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Licence Termination</a:t>
          </a:r>
        </a:p>
      </dsp:txBody>
      <dsp:txXfrm>
        <a:off x="4531370" y="134957"/>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5.xml><?xml version="1.0" encoding="utf-8"?>
<ds:datastoreItem xmlns:ds="http://schemas.openxmlformats.org/officeDocument/2006/customXml" ds:itemID="{C40EE134-4E8C-464B-86F7-7AB20B02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5</Pages>
  <Words>2079</Words>
  <Characters>11436</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LUQUE HEREDIA SOFIA</cp:lastModifiedBy>
  <cp:revision>2</cp:revision>
  <cp:lastPrinted>2015-12-01T10:27:00Z</cp:lastPrinted>
  <dcterms:created xsi:type="dcterms:W3CDTF">2023-01-30T18:08:00Z</dcterms:created>
  <dcterms:modified xsi:type="dcterms:W3CDTF">2023-01-30T18:08:00Z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