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2A03" w14:textId="1ADBB81C" w:rsidR="00E20E70" w:rsidRPr="002A1A7D" w:rsidRDefault="00E62509" w:rsidP="00537496">
      <w:pPr>
        <w:pStyle w:val="Heading1"/>
      </w:pPr>
      <w:r w:rsidRPr="00E62509">
        <w:t xml:space="preserve">US Nuclear Regulatory Commission Decommissioning </w:t>
      </w:r>
      <w:r w:rsidRPr="002A1A7D">
        <w:t>Guidance and Research Initiatives</w:t>
      </w:r>
    </w:p>
    <w:p w14:paraId="1FD33AC9" w14:textId="77777777" w:rsidR="00E62509" w:rsidRPr="002A1A7D" w:rsidRDefault="00E62509" w:rsidP="00537496">
      <w:pPr>
        <w:pStyle w:val="Authornameandaffiliation"/>
        <w:rPr>
          <w:b/>
          <w:bCs/>
          <w:i/>
          <w:iCs/>
        </w:rPr>
      </w:pPr>
    </w:p>
    <w:p w14:paraId="7D7F50F0" w14:textId="7410F840" w:rsidR="003B5E0E" w:rsidRPr="002A1A7D" w:rsidRDefault="0053683E" w:rsidP="00537496">
      <w:pPr>
        <w:pStyle w:val="Authornameandaffiliation"/>
      </w:pPr>
      <w:r w:rsidRPr="002A1A7D">
        <w:t>C</w:t>
      </w:r>
      <w:r w:rsidR="00AB39A5" w:rsidRPr="002A1A7D">
        <w:t>ynthia</w:t>
      </w:r>
      <w:r w:rsidRPr="002A1A7D">
        <w:t xml:space="preserve"> Barr</w:t>
      </w:r>
    </w:p>
    <w:p w14:paraId="1850F51C" w14:textId="24EF86C6" w:rsidR="00FF386F" w:rsidRPr="002A1A7D" w:rsidRDefault="0053683E" w:rsidP="00537496">
      <w:pPr>
        <w:pStyle w:val="Authornameandaffiliation"/>
      </w:pPr>
      <w:r w:rsidRPr="002A1A7D">
        <w:t xml:space="preserve">US Nuclear Regulatory Commission </w:t>
      </w:r>
    </w:p>
    <w:p w14:paraId="74D7F8A1" w14:textId="302D28DB" w:rsidR="00FF386F" w:rsidRPr="002A1A7D" w:rsidRDefault="0053683E" w:rsidP="00537496">
      <w:pPr>
        <w:pStyle w:val="Authornameandaffiliation"/>
      </w:pPr>
      <w:r w:rsidRPr="002A1A7D">
        <w:t>Rockville, M</w:t>
      </w:r>
      <w:r w:rsidR="00AB39A5" w:rsidRPr="002A1A7D">
        <w:t>D</w:t>
      </w:r>
      <w:r w:rsidRPr="002A1A7D">
        <w:t>, United States</w:t>
      </w:r>
    </w:p>
    <w:p w14:paraId="1C6A20F1" w14:textId="3822A065" w:rsidR="00FF386F" w:rsidRPr="002A1A7D" w:rsidRDefault="00FF386F" w:rsidP="00537496">
      <w:pPr>
        <w:pStyle w:val="Authornameandaffiliation"/>
      </w:pPr>
      <w:r w:rsidRPr="002A1A7D">
        <w:t xml:space="preserve">Email: </w:t>
      </w:r>
      <w:r w:rsidR="00B10550">
        <w:t>Cynthia.barr</w:t>
      </w:r>
      <w:r w:rsidRPr="002A1A7D">
        <w:t>@</w:t>
      </w:r>
      <w:r w:rsidR="00B10550">
        <w:t>nrc</w:t>
      </w:r>
      <w:r w:rsidRPr="002A1A7D">
        <w:t>.</w:t>
      </w:r>
      <w:r w:rsidR="00B10550">
        <w:t>gov</w:t>
      </w:r>
    </w:p>
    <w:p w14:paraId="2E7E78F8" w14:textId="77777777" w:rsidR="00FF386F" w:rsidRPr="002A1A7D" w:rsidRDefault="00FF386F" w:rsidP="00537496">
      <w:pPr>
        <w:pStyle w:val="Authornameandaffiliation"/>
      </w:pPr>
    </w:p>
    <w:p w14:paraId="44F39D82" w14:textId="67ADE7ED" w:rsidR="00FF386F" w:rsidRDefault="00AB39A5" w:rsidP="00537496">
      <w:pPr>
        <w:pStyle w:val="Authornameandaffiliation"/>
      </w:pPr>
      <w:r w:rsidRPr="002A1A7D">
        <w:t xml:space="preserve">Bruce </w:t>
      </w:r>
      <w:r>
        <w:t xml:space="preserve">Watson </w:t>
      </w:r>
    </w:p>
    <w:p w14:paraId="7A2DE089" w14:textId="77777777" w:rsidR="00AB39A5" w:rsidRDefault="00AB39A5" w:rsidP="00AB39A5">
      <w:pPr>
        <w:pStyle w:val="Authornameandaffiliation"/>
      </w:pPr>
      <w:r>
        <w:t xml:space="preserve">US Nuclear Regulatory Commission </w:t>
      </w:r>
    </w:p>
    <w:p w14:paraId="4D0BE43A" w14:textId="5C3F53AB" w:rsidR="00AB39A5" w:rsidRDefault="00AB39A5" w:rsidP="00AB39A5">
      <w:pPr>
        <w:pStyle w:val="Authornameandaffiliation"/>
      </w:pPr>
      <w:r>
        <w:t>Rockville, MD, United States</w:t>
      </w:r>
    </w:p>
    <w:p w14:paraId="31F85951" w14:textId="3A180B65" w:rsidR="001074BC" w:rsidRPr="002A1A7D" w:rsidRDefault="001074BC" w:rsidP="001074BC">
      <w:pPr>
        <w:pStyle w:val="Authornameandaffiliation"/>
      </w:pPr>
      <w:r w:rsidRPr="002A1A7D">
        <w:t xml:space="preserve">Email: </w:t>
      </w:r>
      <w:r w:rsidR="00B10550">
        <w:t>bruce.watson</w:t>
      </w:r>
      <w:r w:rsidRPr="002A1A7D">
        <w:t>@</w:t>
      </w:r>
      <w:r w:rsidR="00B10550">
        <w:t>nrc</w:t>
      </w:r>
      <w:r w:rsidRPr="002A1A7D">
        <w:t>.</w:t>
      </w:r>
      <w:r w:rsidR="00B10550">
        <w:t>gov</w:t>
      </w:r>
    </w:p>
    <w:p w14:paraId="0479B5B8" w14:textId="4C3D0B37" w:rsidR="00AB39A5" w:rsidRDefault="00AB39A5" w:rsidP="00AB39A5">
      <w:pPr>
        <w:pStyle w:val="Authornameandaffiliation"/>
      </w:pPr>
    </w:p>
    <w:p w14:paraId="5CE41FBC" w14:textId="6087F6D7" w:rsidR="00AB39A5" w:rsidRDefault="00AB39A5" w:rsidP="00AB39A5">
      <w:pPr>
        <w:pStyle w:val="Authornameandaffiliation"/>
      </w:pPr>
      <w:r>
        <w:t>Christepher McKenney</w:t>
      </w:r>
    </w:p>
    <w:p w14:paraId="1C5F4515" w14:textId="77777777" w:rsidR="00AB39A5" w:rsidRDefault="00AB39A5" w:rsidP="00AB39A5">
      <w:pPr>
        <w:pStyle w:val="Authornameandaffiliation"/>
      </w:pPr>
      <w:r>
        <w:t xml:space="preserve">US Nuclear Regulatory Commission </w:t>
      </w:r>
    </w:p>
    <w:p w14:paraId="0DE9E922" w14:textId="77777777" w:rsidR="00AB39A5" w:rsidRDefault="00AB39A5" w:rsidP="00AB39A5">
      <w:pPr>
        <w:pStyle w:val="Authornameandaffiliation"/>
      </w:pPr>
      <w:r>
        <w:t>Rockville, MD, United States</w:t>
      </w:r>
    </w:p>
    <w:p w14:paraId="1F8740A9" w14:textId="6B16DE60" w:rsidR="001074BC" w:rsidRPr="002A1A7D" w:rsidRDefault="001074BC" w:rsidP="001074BC">
      <w:pPr>
        <w:pStyle w:val="Authornameandaffiliation"/>
      </w:pPr>
      <w:r w:rsidRPr="002A1A7D">
        <w:t xml:space="preserve">Email: </w:t>
      </w:r>
      <w:r w:rsidR="00B10550">
        <w:t>Christepher.mckenney</w:t>
      </w:r>
      <w:r w:rsidRPr="002A1A7D">
        <w:t>@</w:t>
      </w:r>
      <w:r w:rsidR="00B10550">
        <w:t>nrc</w:t>
      </w:r>
      <w:r w:rsidRPr="002A1A7D">
        <w:t>.</w:t>
      </w:r>
      <w:r w:rsidR="00B10550">
        <w:t>gov</w:t>
      </w:r>
    </w:p>
    <w:p w14:paraId="2221670C" w14:textId="77777777" w:rsidR="001074BC" w:rsidRDefault="001074BC" w:rsidP="00537496">
      <w:pPr>
        <w:pStyle w:val="Authornameandaffiliation"/>
        <w:rPr>
          <w:b/>
        </w:rPr>
      </w:pPr>
    </w:p>
    <w:p w14:paraId="57857091" w14:textId="22228A53" w:rsidR="00647F33" w:rsidRPr="00647F33" w:rsidRDefault="00647F33" w:rsidP="00537496">
      <w:pPr>
        <w:pStyle w:val="Authornameandaffiliation"/>
        <w:rPr>
          <w:b/>
        </w:rPr>
      </w:pPr>
      <w:r w:rsidRPr="00647F33">
        <w:rPr>
          <w:b/>
        </w:rPr>
        <w:t>Abstract</w:t>
      </w:r>
    </w:p>
    <w:p w14:paraId="353C524E" w14:textId="77777777" w:rsidR="00647F33" w:rsidRDefault="00647F33" w:rsidP="00537496">
      <w:pPr>
        <w:pStyle w:val="Authornameandaffiliation"/>
      </w:pPr>
    </w:p>
    <w:p w14:paraId="662E43B0" w14:textId="04515310" w:rsidR="00647F33" w:rsidRPr="00BD605C" w:rsidRDefault="008E01B4" w:rsidP="00537496">
      <w:pPr>
        <w:pStyle w:val="Abstracttext"/>
      </w:pPr>
      <w:r w:rsidRPr="008E01B4">
        <w:t>The United States Nuclear Regulatory Commission (NRC) is actively updating decommissioning guidance and sponsoring related research to support decommissioning of complex materials and reactor sites. Guidance improvements are related to lessons learned from review of decommissioning plans and final status surveys</w:t>
      </w:r>
      <w:r w:rsidR="00307911">
        <w:t>,</w:t>
      </w:r>
      <w:r w:rsidRPr="008E01B4">
        <w:t xml:space="preserve"> as well as changes and advances in technology over time. Decommissioning guidance update topics include subsurface investigations</w:t>
      </w:r>
      <w:r w:rsidR="00307911">
        <w:t xml:space="preserve"> (e.g., </w:t>
      </w:r>
      <w:r w:rsidRPr="008E01B4">
        <w:t>survey methods</w:t>
      </w:r>
      <w:r w:rsidR="00DE3C7B">
        <w:t xml:space="preserve"> for subsurface materials</w:t>
      </w:r>
      <w:r w:rsidR="00307911">
        <w:t>)</w:t>
      </w:r>
      <w:r w:rsidRPr="008E01B4">
        <w:t xml:space="preserve">; analysis of continuously collected data using modern data logging systems; and </w:t>
      </w:r>
      <w:r w:rsidR="00307911">
        <w:t xml:space="preserve">use </w:t>
      </w:r>
      <w:r w:rsidRPr="008E01B4">
        <w:t xml:space="preserve">of cover systems, </w:t>
      </w:r>
      <w:r w:rsidR="00307911">
        <w:t>(</w:t>
      </w:r>
      <w:r w:rsidR="00FC072A">
        <w:t xml:space="preserve">e.g., </w:t>
      </w:r>
      <w:r w:rsidRPr="008E01B4">
        <w:t>evapotranspiration covers</w:t>
      </w:r>
      <w:r w:rsidR="00FC072A">
        <w:t>)</w:t>
      </w:r>
      <w:r w:rsidRPr="008E01B4">
        <w:t xml:space="preserve"> in site remediation and uranium mill tailings. </w:t>
      </w:r>
      <w:r w:rsidR="00FC072A">
        <w:t xml:space="preserve">NRC is also developing a generic communication on methods for prevention and control of </w:t>
      </w:r>
      <w:r w:rsidR="00FC072A" w:rsidRPr="008E01B4">
        <w:t>discrete radioactive particles</w:t>
      </w:r>
      <w:r w:rsidR="00FC072A">
        <w:t xml:space="preserve"> (DRPs) at decommissioning sites</w:t>
      </w:r>
      <w:r w:rsidR="00971509">
        <w:t>; and is considering the need for guidance related to survey and dosimetry considerations for DRPs.</w:t>
      </w:r>
      <w:r w:rsidR="00FC072A" w:rsidRPr="008E01B4">
        <w:t xml:space="preserve"> </w:t>
      </w:r>
      <w:r w:rsidR="00095EAE">
        <w:t xml:space="preserve">In addition to the guidance updates, </w:t>
      </w:r>
      <w:r w:rsidR="00FC072A" w:rsidRPr="008E01B4">
        <w:t xml:space="preserve">NRC is </w:t>
      </w:r>
      <w:r w:rsidR="00095EAE">
        <w:t>sponsoring development of</w:t>
      </w:r>
      <w:r w:rsidR="00FC072A" w:rsidRPr="008E01B4">
        <w:t xml:space="preserve"> </w:t>
      </w:r>
      <w:r w:rsidR="005A290B">
        <w:t xml:space="preserve">subsurface </w:t>
      </w:r>
      <w:r w:rsidR="008F50E6">
        <w:t xml:space="preserve">assessment </w:t>
      </w:r>
      <w:r w:rsidR="005A290B">
        <w:t>tools</w:t>
      </w:r>
      <w:r w:rsidR="008F50E6">
        <w:t xml:space="preserve">. </w:t>
      </w:r>
      <w:r w:rsidRPr="008E01B4">
        <w:t xml:space="preserve">Pacific Northwest National Laboratory’s Visual Sample Plan </w:t>
      </w:r>
      <w:r w:rsidR="0052589F">
        <w:t xml:space="preserve">(VSP) </w:t>
      </w:r>
      <w:r w:rsidRPr="008E01B4">
        <w:t xml:space="preserve">computer code </w:t>
      </w:r>
      <w:r w:rsidR="0052589F">
        <w:t xml:space="preserve">is </w:t>
      </w:r>
      <w:r w:rsidRPr="008E01B4">
        <w:t xml:space="preserve">used to design and analyze data from radiological surveys </w:t>
      </w:r>
      <w:r w:rsidR="0052589F">
        <w:t>and is</w:t>
      </w:r>
      <w:r w:rsidRPr="008E01B4">
        <w:t xml:space="preserve"> being updated to support NRC’s guidance initiatives </w:t>
      </w:r>
      <w:r w:rsidR="0052589F">
        <w:t xml:space="preserve">with inclusion of new </w:t>
      </w:r>
      <w:r w:rsidRPr="008E01B4">
        <w:t xml:space="preserve">tools to support </w:t>
      </w:r>
      <w:r w:rsidR="00501AD2">
        <w:t xml:space="preserve">optimization of </w:t>
      </w:r>
      <w:r w:rsidRPr="008E01B4">
        <w:t xml:space="preserve">survey </w:t>
      </w:r>
      <w:proofErr w:type="gramStart"/>
      <w:r w:rsidRPr="008E01B4">
        <w:t>design</w:t>
      </w:r>
      <w:r w:rsidR="00501AD2">
        <w:t>s;</w:t>
      </w:r>
      <w:proofErr w:type="gramEnd"/>
      <w:r w:rsidRPr="008E01B4">
        <w:t xml:space="preserve"> </w:t>
      </w:r>
      <w:r w:rsidR="008F50E6">
        <w:t xml:space="preserve">and </w:t>
      </w:r>
      <w:r w:rsidRPr="008E01B4">
        <w:t>data visualization and analysis</w:t>
      </w:r>
      <w:r w:rsidR="00501AD2">
        <w:t xml:space="preserve"> for the subsurface</w:t>
      </w:r>
      <w:r w:rsidR="00B92E7A">
        <w:t xml:space="preserve">. VSP is also being updated to allow </w:t>
      </w:r>
      <w:r w:rsidRPr="008E01B4">
        <w:t xml:space="preserve">importation and analysis of continuously collected data. Guidance updates are being conducted with the input of NRC stakeholders </w:t>
      </w:r>
      <w:r w:rsidR="00A61D8E">
        <w:t>as part of</w:t>
      </w:r>
      <w:r w:rsidRPr="008E01B4">
        <w:t xml:space="preserve"> the guidance development process. NRC releases its guidance documents for public comment and has hosted </w:t>
      </w:r>
      <w:proofErr w:type="gramStart"/>
      <w:r w:rsidRPr="008E01B4">
        <w:t>a number of</w:t>
      </w:r>
      <w:proofErr w:type="gramEnd"/>
      <w:r w:rsidRPr="008E01B4">
        <w:t xml:space="preserve"> public meetings and technical workshops on decommissioning topics of interest to its licensees, stakeholders, agreement state</w:t>
      </w:r>
      <w:r w:rsidR="00B92E7A">
        <w:t>s</w:t>
      </w:r>
      <w:r w:rsidRPr="008E01B4">
        <w:t xml:space="preserve"> and federal partners. NRC is also providing feedback to industry on development of its own guidance to provide a standard format and content specific to the decommissioning of nuclear reactors in the United States.</w:t>
      </w:r>
    </w:p>
    <w:p w14:paraId="17E7B079" w14:textId="77777777" w:rsidR="00647F33" w:rsidRDefault="00F523CA" w:rsidP="00537496">
      <w:pPr>
        <w:pStyle w:val="Heading2"/>
        <w:numPr>
          <w:ilvl w:val="1"/>
          <w:numId w:val="10"/>
        </w:numPr>
      </w:pPr>
      <w:r>
        <w:t>INTRODUCTION</w:t>
      </w:r>
    </w:p>
    <w:p w14:paraId="2E69DD43" w14:textId="3C779F6D" w:rsidR="00A24463" w:rsidRDefault="00670E0F" w:rsidP="00A24463">
      <w:pPr>
        <w:pStyle w:val="BodyText"/>
      </w:pPr>
      <w:r w:rsidRPr="00670E0F">
        <w:t xml:space="preserve">The Nuclear </w:t>
      </w:r>
      <w:r>
        <w:t>Regulatory Commission</w:t>
      </w:r>
      <w:r w:rsidR="00A32003">
        <w:t xml:space="preserve"> (NRC)</w:t>
      </w:r>
      <w:r w:rsidR="00635FEA">
        <w:t xml:space="preserve"> </w:t>
      </w:r>
      <w:r>
        <w:t xml:space="preserve">has been actively updating its guidance to address lessons learned from review of decommissioning and license termination plans and final status surveys to support the release of complex materials and reactor sites. Recent guidance updates have included </w:t>
      </w:r>
      <w:r w:rsidR="00597398">
        <w:t xml:space="preserve">Revisions to </w:t>
      </w:r>
      <w:r>
        <w:t xml:space="preserve">NRC’s </w:t>
      </w:r>
      <w:r w:rsidRPr="004B49D3">
        <w:rPr>
          <w:i/>
          <w:iCs/>
        </w:rPr>
        <w:t xml:space="preserve">Consolidated Decommissioning Guidance:  Characterization, Survey and </w:t>
      </w:r>
      <w:r w:rsidR="004B49D3" w:rsidRPr="004B49D3">
        <w:rPr>
          <w:i/>
          <w:iCs/>
        </w:rPr>
        <w:t>Determination</w:t>
      </w:r>
      <w:r w:rsidRPr="004B49D3">
        <w:rPr>
          <w:i/>
          <w:iCs/>
        </w:rPr>
        <w:t xml:space="preserve"> of Radiological Criteria</w:t>
      </w:r>
      <w:r>
        <w:t xml:space="preserve">, NUREG-1757, Volume 2 </w:t>
      </w:r>
      <w:r w:rsidR="00597398">
        <w:t>(</w:t>
      </w:r>
      <w:r>
        <w:t>Revision 2</w:t>
      </w:r>
      <w:r w:rsidR="00597398">
        <w:t>)</w:t>
      </w:r>
      <w:r>
        <w:t xml:space="preserve"> and</w:t>
      </w:r>
      <w:r w:rsidR="004B49D3">
        <w:t xml:space="preserve"> the </w:t>
      </w:r>
      <w:r w:rsidR="004B49D3" w:rsidRPr="004B49D3">
        <w:rPr>
          <w:i/>
          <w:iCs/>
        </w:rPr>
        <w:t>Multi-Agency Radiation Survey and Site Investigation Manual</w:t>
      </w:r>
      <w:r w:rsidR="004B49D3">
        <w:t>,</w:t>
      </w:r>
      <w:r>
        <w:t xml:space="preserve"> MARSSIM, </w:t>
      </w:r>
      <w:r w:rsidR="00597398">
        <w:t>(</w:t>
      </w:r>
      <w:r>
        <w:t>Rev</w:t>
      </w:r>
      <w:r w:rsidR="00597398">
        <w:t>ision</w:t>
      </w:r>
      <w:r>
        <w:t xml:space="preserve"> 2</w:t>
      </w:r>
      <w:r w:rsidR="00597398">
        <w:t>)</w:t>
      </w:r>
      <w:r>
        <w:t xml:space="preserve">. </w:t>
      </w:r>
      <w:r w:rsidR="00597398">
        <w:t xml:space="preserve">The final </w:t>
      </w:r>
      <w:r w:rsidR="004B49D3">
        <w:t>NUREG-1757, Volume 2</w:t>
      </w:r>
      <w:r w:rsidR="00597398">
        <w:t>,</w:t>
      </w:r>
      <w:r w:rsidR="004B49D3">
        <w:t xml:space="preserve"> Rev. 2 was published in July 2022</w:t>
      </w:r>
      <w:r w:rsidR="00597398">
        <w:t xml:space="preserve"> after addressing over </w:t>
      </w:r>
      <w:r w:rsidR="00F33BE9">
        <w:t>20</w:t>
      </w:r>
      <w:r w:rsidR="00597398">
        <w:t>0 comments on the draft document</w:t>
      </w:r>
      <w:r w:rsidR="004B49D3">
        <w:t xml:space="preserve">. Draft MARSSIM, Rev. 2 was published in </w:t>
      </w:r>
      <w:r w:rsidR="00EE4EAA">
        <w:t>June</w:t>
      </w:r>
      <w:r w:rsidR="005165A2">
        <w:t xml:space="preserve"> 2021 and the MARSSIM working group is currently addressing United States Environmental Protection Agency (</w:t>
      </w:r>
      <w:r w:rsidR="009770C3">
        <w:t xml:space="preserve">US </w:t>
      </w:r>
      <w:r w:rsidR="005165A2">
        <w:t xml:space="preserve">EPA) Science Advisory Board (SAB) </w:t>
      </w:r>
      <w:r w:rsidR="00597398">
        <w:t xml:space="preserve">peer review </w:t>
      </w:r>
      <w:r w:rsidR="005165A2">
        <w:t>comments on the draft document, along with public comments received</w:t>
      </w:r>
      <w:r w:rsidR="009770C3">
        <w:t xml:space="preserve"> on the draft report</w:t>
      </w:r>
      <w:r w:rsidR="005165A2">
        <w:t xml:space="preserve">. The final MARSSIM, Rev. 2, is expected to be published in 2024. </w:t>
      </w:r>
      <w:r w:rsidR="00EE4EAA">
        <w:t>Comments received on NUREG-1757, Volume 2, Rev. 2, and MARSSIM, Rev. 2, that were more difficult to address include the need for additional guidance on subsurface radiological surveys (</w:t>
      </w:r>
      <w:r w:rsidR="009770C3">
        <w:t xml:space="preserve">guidance on final status surveys </w:t>
      </w:r>
      <w:r w:rsidR="00EE4EAA">
        <w:t>akin to MARSSIM for surveys of surface soils or building</w:t>
      </w:r>
      <w:r w:rsidR="009770C3">
        <w:t xml:space="preserve"> </w:t>
      </w:r>
      <w:r w:rsidR="00EE4EAA">
        <w:t>s</w:t>
      </w:r>
      <w:r w:rsidR="009770C3">
        <w:t>urfaces</w:t>
      </w:r>
      <w:r w:rsidR="00EE4EAA">
        <w:t xml:space="preserve">) and the need for guidance on survey </w:t>
      </w:r>
      <w:r w:rsidR="009770C3">
        <w:t xml:space="preserve">and dosimetry considerations </w:t>
      </w:r>
      <w:r w:rsidR="00EE4EAA">
        <w:t>for discrete radioactive particles. Additionally, changes in technology over time have necessitate</w:t>
      </w:r>
      <w:r w:rsidR="009770C3">
        <w:t>d</w:t>
      </w:r>
      <w:r w:rsidR="00EE4EAA">
        <w:t xml:space="preserve"> updates to guidance documents. For example, more licensees are </w:t>
      </w:r>
      <w:r w:rsidR="004C7D67">
        <w:t xml:space="preserve">turning to radiological surveys </w:t>
      </w:r>
      <w:r w:rsidR="00BB2E5E">
        <w:t xml:space="preserve">conducted </w:t>
      </w:r>
      <w:r w:rsidR="004C7D67">
        <w:t xml:space="preserve">without surveyor vigilance </w:t>
      </w:r>
      <w:r w:rsidR="00AB72B9">
        <w:t xml:space="preserve">and with the </w:t>
      </w:r>
      <w:r w:rsidR="009770C3">
        <w:t>aid of</w:t>
      </w:r>
      <w:r w:rsidR="004C7D67">
        <w:t xml:space="preserve"> </w:t>
      </w:r>
      <w:r w:rsidR="00EE4EAA">
        <w:t>global positioni</w:t>
      </w:r>
      <w:r w:rsidR="00520CE6">
        <w:t xml:space="preserve">ng system </w:t>
      </w:r>
      <w:r w:rsidR="003C305B">
        <w:t xml:space="preserve">(GPS) </w:t>
      </w:r>
      <w:r w:rsidR="00520CE6">
        <w:t>instrumentation and geographic information system</w:t>
      </w:r>
      <w:r w:rsidR="00893652">
        <w:t xml:space="preserve"> </w:t>
      </w:r>
      <w:r w:rsidR="003C305B">
        <w:lastRenderedPageBreak/>
        <w:t xml:space="preserve">(GIS) </w:t>
      </w:r>
      <w:r w:rsidR="00520CE6">
        <w:t>software</w:t>
      </w:r>
      <w:r w:rsidR="003303FA">
        <w:t xml:space="preserve"> </w:t>
      </w:r>
      <w:r w:rsidR="00893652">
        <w:t>with stronger reliance on post-processing of data</w:t>
      </w:r>
      <w:r w:rsidR="00BB2E5E">
        <w:t xml:space="preserve">. </w:t>
      </w:r>
      <w:r w:rsidR="00DD180E">
        <w:t xml:space="preserve">Use of more modern data logging systems is </w:t>
      </w:r>
      <w:r w:rsidR="00B6025D">
        <w:t>an evolution from</w:t>
      </w:r>
      <w:r w:rsidR="00BB2E5E">
        <w:t xml:space="preserve"> traditional walk-over surveys</w:t>
      </w:r>
      <w:r w:rsidR="00893652">
        <w:t xml:space="preserve"> </w:t>
      </w:r>
      <w:r w:rsidR="0032170E">
        <w:t xml:space="preserve">(i.e., surveys </w:t>
      </w:r>
      <w:r w:rsidR="00BB2E5E">
        <w:t xml:space="preserve">with a </w:t>
      </w:r>
      <w:r w:rsidR="00893652">
        <w:t xml:space="preserve">surveyor listening to the audible </w:t>
      </w:r>
      <w:r w:rsidR="00B344CA">
        <w:t>increase in counts to determine areas for follow-up investigation</w:t>
      </w:r>
      <w:r w:rsidR="0032170E">
        <w:t xml:space="preserve">), which </w:t>
      </w:r>
      <w:r w:rsidR="003B4EE4">
        <w:t xml:space="preserve">have been increasingly adding </w:t>
      </w:r>
      <w:r w:rsidR="0010695B">
        <w:t>technology to assist the surveyors</w:t>
      </w:r>
      <w:r w:rsidR="0032170E">
        <w:t xml:space="preserve"> with their surveys</w:t>
      </w:r>
      <w:r w:rsidR="004C7D67">
        <w:t>.</w:t>
      </w:r>
      <w:r w:rsidR="00A53A3B">
        <w:t xml:space="preserve"> In addition to guidance updates, NRC is working to develop </w:t>
      </w:r>
      <w:r w:rsidR="005F44B9">
        <w:t>tools</w:t>
      </w:r>
      <w:r w:rsidR="00A53A3B">
        <w:t xml:space="preserve"> to facilitate implementation of proposed methodologies</w:t>
      </w:r>
      <w:r w:rsidR="005F44B9">
        <w:t xml:space="preserve"> </w:t>
      </w:r>
      <w:r w:rsidR="002B3B88">
        <w:t>for data evaluation using</w:t>
      </w:r>
      <w:r w:rsidR="005F44B9">
        <w:t xml:space="preserve"> existing software such as Visual Sample Plan, currently used to design radiological surveys, </w:t>
      </w:r>
      <w:r w:rsidR="002B3B88">
        <w:t>analyse</w:t>
      </w:r>
      <w:r w:rsidR="005F44B9">
        <w:t xml:space="preserve"> data, and evaluate compliance with r</w:t>
      </w:r>
      <w:r w:rsidR="005F7AD5">
        <w:t>elease</w:t>
      </w:r>
      <w:r w:rsidR="005F44B9">
        <w:t xml:space="preserve"> criteria.</w:t>
      </w:r>
    </w:p>
    <w:p w14:paraId="51EC0D42" w14:textId="5660C731" w:rsidR="00E25B68" w:rsidRDefault="000F1847" w:rsidP="0026525A">
      <w:pPr>
        <w:pStyle w:val="Heading2"/>
        <w:numPr>
          <w:ilvl w:val="1"/>
          <w:numId w:val="10"/>
        </w:numPr>
      </w:pPr>
      <w:r>
        <w:t>SUBSURACE GUIDANCE</w:t>
      </w:r>
    </w:p>
    <w:p w14:paraId="0F033135" w14:textId="40298B08" w:rsidR="00EE0041" w:rsidRDefault="00A24463" w:rsidP="005C3772">
      <w:pPr>
        <w:pStyle w:val="BodyText"/>
      </w:pPr>
      <w:r>
        <w:t xml:space="preserve">NRC began to develop </w:t>
      </w:r>
      <w:r w:rsidR="002E0035">
        <w:t xml:space="preserve">subsurface </w:t>
      </w:r>
      <w:r>
        <w:t>guidance</w:t>
      </w:r>
      <w:r w:rsidR="002B7982">
        <w:t xml:space="preserve"> with </w:t>
      </w:r>
      <w:r w:rsidR="002B7982" w:rsidRPr="002B7982">
        <w:rPr>
          <w:i/>
          <w:iCs/>
        </w:rPr>
        <w:t>A Subsurface Decision</w:t>
      </w:r>
      <w:r w:rsidRPr="002B7982">
        <w:rPr>
          <w:i/>
          <w:iCs/>
        </w:rPr>
        <w:t xml:space="preserve"> </w:t>
      </w:r>
      <w:r w:rsidR="002B7982" w:rsidRPr="002B7982">
        <w:rPr>
          <w:i/>
          <w:iCs/>
        </w:rPr>
        <w:t>Model for Supporting Environmental Compliance</w:t>
      </w:r>
      <w:r w:rsidR="002B7982">
        <w:t xml:space="preserve"> </w:t>
      </w:r>
      <w:r w:rsidR="00A4471E">
        <w:t xml:space="preserve">(NUREG/CR-7021) </w:t>
      </w:r>
      <w:r w:rsidR="002B7982">
        <w:t xml:space="preserve">published in </w:t>
      </w:r>
      <w:r w:rsidR="00A4471E">
        <w:t xml:space="preserve">January </w:t>
      </w:r>
      <w:r w:rsidR="002B7982">
        <w:t>201</w:t>
      </w:r>
      <w:r w:rsidR="005852CF">
        <w:t>2</w:t>
      </w:r>
      <w:r w:rsidR="002B7982">
        <w:t xml:space="preserve">. The </w:t>
      </w:r>
      <w:r w:rsidR="00767013">
        <w:t>technical</w:t>
      </w:r>
      <w:r w:rsidR="002B7982">
        <w:t xml:space="preserve"> document walked through the </w:t>
      </w:r>
      <w:r w:rsidR="005C3772">
        <w:t xml:space="preserve">MARSSIM </w:t>
      </w:r>
      <w:r w:rsidR="002B7982">
        <w:t>radiation survey and site investigation process from historical site assessment to</w:t>
      </w:r>
      <w:r w:rsidR="004662B2">
        <w:t xml:space="preserve"> </w:t>
      </w:r>
      <w:r w:rsidR="00484ED3">
        <w:t>the compliance phase</w:t>
      </w:r>
      <w:r w:rsidR="002B7982">
        <w:t xml:space="preserve"> provid</w:t>
      </w:r>
      <w:r w:rsidR="00A4471E">
        <w:t>ing</w:t>
      </w:r>
      <w:r w:rsidR="002B7982">
        <w:t xml:space="preserve"> a method</w:t>
      </w:r>
      <w:r w:rsidR="00767013">
        <w:t>ology and recommended tools</w:t>
      </w:r>
      <w:r w:rsidR="002B7982">
        <w:t xml:space="preserve"> to </w:t>
      </w:r>
      <w:r w:rsidR="00767013">
        <w:t>facilitate</w:t>
      </w:r>
      <w:r w:rsidR="005C3772">
        <w:t xml:space="preserve"> </w:t>
      </w:r>
      <w:r w:rsidR="00767013">
        <w:t>remedial and compliance</w:t>
      </w:r>
      <w:r w:rsidR="005C3772">
        <w:t xml:space="preserve"> decision</w:t>
      </w:r>
      <w:r w:rsidR="00767013">
        <w:t>-making</w:t>
      </w:r>
      <w:r w:rsidR="005C3772">
        <w:t xml:space="preserve"> when subsurface residual radioactivity is present. </w:t>
      </w:r>
      <w:r w:rsidR="00767013">
        <w:t xml:space="preserve">Figure 1 shows the steps in the </w:t>
      </w:r>
      <w:r w:rsidR="00F5650B">
        <w:t>subsurface decision model framework.</w:t>
      </w:r>
    </w:p>
    <w:p w14:paraId="216EB66F" w14:textId="59689F25" w:rsidR="000974E7" w:rsidRDefault="000974E7" w:rsidP="005C3772">
      <w:pPr>
        <w:pStyle w:val="BodyText"/>
      </w:pPr>
      <w:r w:rsidRPr="00533143">
        <w:rPr>
          <w:noProof/>
        </w:rPr>
        <w:drawing>
          <wp:anchor distT="0" distB="0" distL="114300" distR="114300" simplePos="0" relativeHeight="251658240" behindDoc="0" locked="0" layoutInCell="1" allowOverlap="1" wp14:anchorId="01EEEB43" wp14:editId="06558FDC">
            <wp:simplePos x="0" y="0"/>
            <wp:positionH relativeFrom="margin">
              <wp:posOffset>80035</wp:posOffset>
            </wp:positionH>
            <wp:positionV relativeFrom="margin">
              <wp:posOffset>2846248</wp:posOffset>
            </wp:positionV>
            <wp:extent cx="5240020" cy="3386455"/>
            <wp:effectExtent l="19050" t="19050" r="17780" b="2349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0020" cy="338645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p>
    <w:p w14:paraId="1242D08A" w14:textId="5F97B0DB" w:rsidR="005C3772" w:rsidRDefault="005C3772" w:rsidP="005C3772">
      <w:pPr>
        <w:pStyle w:val="BodyText"/>
      </w:pPr>
    </w:p>
    <w:p w14:paraId="130C7056" w14:textId="12F0AFAD" w:rsidR="003E14D1" w:rsidRDefault="003E14D1" w:rsidP="00533143">
      <w:pPr>
        <w:pStyle w:val="BodyText"/>
        <w:jc w:val="center"/>
      </w:pPr>
    </w:p>
    <w:p w14:paraId="6A263DF1" w14:textId="6C736C85" w:rsidR="008F1EE3" w:rsidRPr="00802381" w:rsidRDefault="008F1EE3" w:rsidP="00533143">
      <w:pPr>
        <w:pStyle w:val="Caption"/>
        <w:ind w:left="567"/>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w:t>
      </w:r>
      <w:r w:rsidR="00533143">
        <w:rPr>
          <w:i/>
        </w:rPr>
        <w:t>Flow diagram for the performance based subsurface compliance framework</w:t>
      </w:r>
      <w:r>
        <w:rPr>
          <w:i/>
        </w:rPr>
        <w:t>.</w:t>
      </w:r>
      <w:r w:rsidR="00533143">
        <w:rPr>
          <w:i/>
        </w:rPr>
        <w:t xml:space="preserve">  Image credit:  NUREG/CR-7021, Figure 3.3.</w:t>
      </w:r>
    </w:p>
    <w:p w14:paraId="0E82BCF1" w14:textId="296DB617" w:rsidR="005C3772" w:rsidRPr="008F1EE3" w:rsidRDefault="005C3772" w:rsidP="005C3772">
      <w:pPr>
        <w:pStyle w:val="BodyText"/>
        <w:rPr>
          <w:b/>
          <w:bCs/>
        </w:rPr>
      </w:pPr>
    </w:p>
    <w:p w14:paraId="436DCDD4" w14:textId="225EEEE9" w:rsidR="005C3772" w:rsidRDefault="005F7AD5" w:rsidP="005C3772">
      <w:pPr>
        <w:pStyle w:val="BodyText"/>
      </w:pPr>
      <w:r>
        <w:t xml:space="preserve">Subsurface investigations represent unique challenges given the </w:t>
      </w:r>
      <w:r w:rsidR="00392813">
        <w:t>potentially large volume of</w:t>
      </w:r>
      <w:r w:rsidR="0032172F">
        <w:t xml:space="preserve"> </w:t>
      </w:r>
      <w:r>
        <w:t>heterogene</w:t>
      </w:r>
      <w:r w:rsidR="00392813">
        <w:t xml:space="preserve">ous subsurface </w:t>
      </w:r>
      <w:r>
        <w:t>material</w:t>
      </w:r>
      <w:r w:rsidR="00A22007">
        <w:t>s</w:t>
      </w:r>
      <w:r>
        <w:t xml:space="preserve"> </w:t>
      </w:r>
      <w:r w:rsidR="00392813">
        <w:t>requir</w:t>
      </w:r>
      <w:r w:rsidR="00ED762A">
        <w:t>ing</w:t>
      </w:r>
      <w:r w:rsidR="00392813">
        <w:t xml:space="preserve"> sampling, a</w:t>
      </w:r>
      <w:r w:rsidR="0032172F">
        <w:t>s well as</w:t>
      </w:r>
      <w:r w:rsidR="00392813">
        <w:t xml:space="preserve"> the inability </w:t>
      </w:r>
      <w:r w:rsidR="0048444F">
        <w:t xml:space="preserve">to rely on relatively cheap </w:t>
      </w:r>
      <w:r w:rsidR="00942250">
        <w:t>f</w:t>
      </w:r>
      <w:r w:rsidR="00392813">
        <w:t xml:space="preserve">ield </w:t>
      </w:r>
      <w:r w:rsidR="0048444F">
        <w:t>instrumentation to detect areas of elevated activity between sample locations</w:t>
      </w:r>
      <w:r w:rsidR="00D20CF1">
        <w:t>—a tactic used on more accessible surface soils</w:t>
      </w:r>
      <w:r w:rsidR="0048444F">
        <w:t>.</w:t>
      </w:r>
      <w:r w:rsidR="00A22007">
        <w:t xml:space="preserve"> </w:t>
      </w:r>
      <w:r w:rsidR="003F0798">
        <w:t>I</w:t>
      </w:r>
      <w:r w:rsidR="00942250">
        <w:t xml:space="preserve">nadequate sample size and </w:t>
      </w:r>
      <w:r w:rsidR="00AC7FEB">
        <w:t xml:space="preserve">unclear </w:t>
      </w:r>
      <w:r w:rsidR="00942250">
        <w:t>exposure scenario</w:t>
      </w:r>
      <w:r w:rsidR="003F0798">
        <w:t>s</w:t>
      </w:r>
      <w:r w:rsidR="00942250">
        <w:t xml:space="preserve"> for buried residual radioactivity </w:t>
      </w:r>
      <w:r w:rsidR="0039763C">
        <w:t>present challenges to</w:t>
      </w:r>
      <w:r w:rsidR="003F0798">
        <w:t xml:space="preserve"> </w:t>
      </w:r>
      <w:r w:rsidR="0039763C">
        <w:t>risk-</w:t>
      </w:r>
      <w:r w:rsidR="00484ED3">
        <w:t xml:space="preserve">informed </w:t>
      </w:r>
      <w:r w:rsidR="003F0798">
        <w:t>remedia</w:t>
      </w:r>
      <w:r w:rsidR="0039763C">
        <w:t>l and final status survey decision-making</w:t>
      </w:r>
      <w:r w:rsidR="00D20CF1">
        <w:t xml:space="preserve">. </w:t>
      </w:r>
      <w:r w:rsidR="00E0711B">
        <w:t xml:space="preserve">In some cases, </w:t>
      </w:r>
      <w:r w:rsidR="00225B45">
        <w:t xml:space="preserve">decommissioning sites </w:t>
      </w:r>
      <w:r w:rsidR="00E0711B">
        <w:t xml:space="preserve">resort to </w:t>
      </w:r>
      <w:r w:rsidR="00942250">
        <w:t xml:space="preserve">extensive </w:t>
      </w:r>
      <w:r w:rsidR="00014AE7">
        <w:t>soil removal</w:t>
      </w:r>
      <w:r w:rsidR="002F5960">
        <w:t xml:space="preserve"> and </w:t>
      </w:r>
      <w:r w:rsidR="003F0798">
        <w:t>exhaustive</w:t>
      </w:r>
      <w:r w:rsidR="002F5960">
        <w:t xml:space="preserve"> sampling of </w:t>
      </w:r>
      <w:r w:rsidR="00014AE7">
        <w:t xml:space="preserve">exposed </w:t>
      </w:r>
      <w:r w:rsidR="002F5960">
        <w:t>surfaces</w:t>
      </w:r>
      <w:r w:rsidR="00014AE7">
        <w:t xml:space="preserve"> during </w:t>
      </w:r>
      <w:r w:rsidR="00A14869">
        <w:t xml:space="preserve">the </w:t>
      </w:r>
      <w:r w:rsidR="00014AE7">
        <w:t>remediation</w:t>
      </w:r>
      <w:r w:rsidR="00A14869">
        <w:t xml:space="preserve"> process</w:t>
      </w:r>
      <w:r w:rsidR="00440F36">
        <w:t xml:space="preserve"> to demonstrate compliance with release criteria</w:t>
      </w:r>
      <w:r w:rsidR="00225B45">
        <w:t xml:space="preserve"> leading to a potentially</w:t>
      </w:r>
      <w:r w:rsidR="00B10A3C">
        <w:t xml:space="preserve"> inefficient albeit effective approach to remediation and decommissioning.</w:t>
      </w:r>
      <w:r w:rsidR="00484ED3">
        <w:t xml:space="preserve"> </w:t>
      </w:r>
      <w:r w:rsidR="00A14869">
        <w:t>The objective of th</w:t>
      </w:r>
      <w:r w:rsidR="0023384E">
        <w:t>e subsurface</w:t>
      </w:r>
      <w:r w:rsidR="00A14869">
        <w:t xml:space="preserve"> guidance is </w:t>
      </w:r>
      <w:r w:rsidR="0023384E">
        <w:t xml:space="preserve">therefore, </w:t>
      </w:r>
      <w:r w:rsidR="00A14869">
        <w:t xml:space="preserve">to </w:t>
      </w:r>
      <w:r w:rsidR="00D64AA1">
        <w:t>provide</w:t>
      </w:r>
      <w:r w:rsidR="004003A0">
        <w:t xml:space="preserve"> licensees</w:t>
      </w:r>
      <w:r w:rsidR="005F55A9">
        <w:t xml:space="preserve"> the flexibility</w:t>
      </w:r>
      <w:r w:rsidR="00D64AA1">
        <w:t xml:space="preserve"> </w:t>
      </w:r>
      <w:r w:rsidR="004003A0">
        <w:t xml:space="preserve">to </w:t>
      </w:r>
      <w:r w:rsidR="005F55A9">
        <w:t>leverag</w:t>
      </w:r>
      <w:r w:rsidR="00394033">
        <w:t>e</w:t>
      </w:r>
      <w:r w:rsidR="002E1DD2">
        <w:t xml:space="preserve"> and combine various types of </w:t>
      </w:r>
      <w:r w:rsidR="006D43B9">
        <w:t xml:space="preserve">survey </w:t>
      </w:r>
      <w:r w:rsidR="005F55A9">
        <w:t>data</w:t>
      </w:r>
      <w:r w:rsidR="00937E08">
        <w:t xml:space="preserve"> and </w:t>
      </w:r>
      <w:r w:rsidR="00394033">
        <w:t xml:space="preserve">make </w:t>
      </w:r>
      <w:r w:rsidR="00427CD1">
        <w:t>us</w:t>
      </w:r>
      <w:r w:rsidR="00394033">
        <w:t>e of</w:t>
      </w:r>
      <w:r w:rsidR="00427CD1">
        <w:t xml:space="preserve"> </w:t>
      </w:r>
      <w:r w:rsidR="00937E08">
        <w:t xml:space="preserve">geospatial modeling and </w:t>
      </w:r>
      <w:r w:rsidR="0062278A">
        <w:t xml:space="preserve">simulation as surrogates for </w:t>
      </w:r>
      <w:r w:rsidR="005342BA">
        <w:t>surface scanning</w:t>
      </w:r>
      <w:r w:rsidR="00440F36">
        <w:t xml:space="preserve"> to </w:t>
      </w:r>
      <w:r w:rsidR="006D43B9">
        <w:t xml:space="preserve">increase efficiency and optimize risk reduction </w:t>
      </w:r>
      <w:r w:rsidR="002E1DD2">
        <w:t>across the</w:t>
      </w:r>
      <w:r w:rsidR="006D43B9">
        <w:t xml:space="preserve"> site</w:t>
      </w:r>
      <w:r w:rsidR="00607764">
        <w:t>.</w:t>
      </w:r>
    </w:p>
    <w:p w14:paraId="6F731E9C" w14:textId="5317FC4E" w:rsidR="0018482B" w:rsidRDefault="0018482B" w:rsidP="005C3772">
      <w:pPr>
        <w:pStyle w:val="BodyText"/>
      </w:pPr>
      <w:r>
        <w:lastRenderedPageBreak/>
        <w:t xml:space="preserve">NRC contracted with SC&amp;A to develop a technical </w:t>
      </w:r>
      <w:r w:rsidR="00BD0F32">
        <w:t xml:space="preserve">basis to support subsurface survey design and decision-making using </w:t>
      </w:r>
      <w:r w:rsidR="00D956C8">
        <w:t xml:space="preserve">NUREG/CR-7021 as a starting point. SC&amp;A </w:t>
      </w:r>
      <w:r w:rsidR="00BD0F32">
        <w:t>published a final white paper in</w:t>
      </w:r>
      <w:r w:rsidR="00D956C8">
        <w:t xml:space="preserve"> September 2022</w:t>
      </w:r>
      <w:r w:rsidR="00B135FA">
        <w:t>, recommending a subset of tools available in the Spatial Analysis Decision Assistance (SADA) code</w:t>
      </w:r>
      <w:r w:rsidR="00805C9C">
        <w:t xml:space="preserve"> (SC&amp;A, 2022)</w:t>
      </w:r>
      <w:r w:rsidR="00BD0F32">
        <w:t>. Recommended tools</w:t>
      </w:r>
      <w:r w:rsidR="00B135FA">
        <w:t xml:space="preserve"> includ</w:t>
      </w:r>
      <w:r w:rsidR="00BD0F32">
        <w:t>ed</w:t>
      </w:r>
      <w:r w:rsidR="00B135FA">
        <w:t xml:space="preserve"> Bayesian </w:t>
      </w:r>
      <w:proofErr w:type="spellStart"/>
      <w:r w:rsidR="00B135FA">
        <w:t>Ellipgrid</w:t>
      </w:r>
      <w:proofErr w:type="spellEnd"/>
      <w:r w:rsidR="00B135FA">
        <w:t xml:space="preserve"> and Markov Bayes</w:t>
      </w:r>
      <w:r w:rsidR="0065561C">
        <w:t xml:space="preserve"> co-kriging. </w:t>
      </w:r>
      <w:r w:rsidR="00211EB4">
        <w:t>Initial sampl</w:t>
      </w:r>
      <w:r w:rsidR="003941E7">
        <w:t xml:space="preserve">e sizes would be based on </w:t>
      </w:r>
      <w:proofErr w:type="spellStart"/>
      <w:r w:rsidR="003941E7">
        <w:t>a</w:t>
      </w:r>
      <w:proofErr w:type="spellEnd"/>
      <w:r w:rsidR="00FD0FFF">
        <w:t xml:space="preserve"> geometric</w:t>
      </w:r>
      <w:r w:rsidR="003941E7">
        <w:t xml:space="preserve"> approach that used </w:t>
      </w:r>
      <w:r w:rsidR="0065561C">
        <w:t xml:space="preserve">Bayesian </w:t>
      </w:r>
      <w:proofErr w:type="spellStart"/>
      <w:r w:rsidR="0065561C">
        <w:t>Ellipgrid</w:t>
      </w:r>
      <w:proofErr w:type="spellEnd"/>
      <w:r w:rsidR="0065561C">
        <w:t xml:space="preserve"> </w:t>
      </w:r>
      <w:r w:rsidR="003941E7">
        <w:t xml:space="preserve">for the identification of elevated </w:t>
      </w:r>
      <w:r w:rsidR="0065561C">
        <w:t xml:space="preserve">volumes of concern in the subsurface. The </w:t>
      </w:r>
      <w:r w:rsidR="00D9457D">
        <w:t xml:space="preserve">minimum </w:t>
      </w:r>
      <w:r w:rsidR="0065561C">
        <w:t xml:space="preserve">elevated volume </w:t>
      </w:r>
      <w:r w:rsidR="003941E7">
        <w:t xml:space="preserve">of concern </w:t>
      </w:r>
      <w:r w:rsidR="0065561C">
        <w:t>could be based on</w:t>
      </w:r>
      <w:r w:rsidR="00D9457D">
        <w:t xml:space="preserve"> data collected during the historical site assessment, </w:t>
      </w:r>
      <w:r w:rsidR="00A41D61">
        <w:t xml:space="preserve">as well as </w:t>
      </w:r>
      <w:r w:rsidR="00D9457D">
        <w:t>modeling</w:t>
      </w:r>
      <w:r w:rsidR="00A41D61">
        <w:t xml:space="preserve"> results (e.g., d</w:t>
      </w:r>
      <w:r w:rsidR="00062B5C">
        <w:t xml:space="preserve">ose modeling </w:t>
      </w:r>
      <w:r w:rsidR="00D9457D">
        <w:t xml:space="preserve">could be used </w:t>
      </w:r>
      <w:r w:rsidR="00062B5C">
        <w:t xml:space="preserve">to </w:t>
      </w:r>
      <w:r w:rsidR="00D9457D">
        <w:t xml:space="preserve">assess </w:t>
      </w:r>
      <w:r w:rsidR="00062B5C">
        <w:t>the risk</w:t>
      </w:r>
      <w:r w:rsidR="00D9457D">
        <w:t>-significance of</w:t>
      </w:r>
      <w:r w:rsidR="00062B5C">
        <w:t xml:space="preserve"> small-elevated volumes in the subsurface</w:t>
      </w:r>
      <w:r w:rsidR="00A41D61">
        <w:t>)</w:t>
      </w:r>
      <w:r w:rsidR="00062B5C">
        <w:t>.</w:t>
      </w:r>
      <w:r w:rsidR="00164877">
        <w:t xml:space="preserve"> </w:t>
      </w:r>
      <w:r w:rsidR="00062B5C">
        <w:t xml:space="preserve">After </w:t>
      </w:r>
      <w:r w:rsidR="00164877">
        <w:t>an</w:t>
      </w:r>
      <w:r w:rsidR="00062B5C">
        <w:t xml:space="preserve"> initial round of sampling, Markov Bayes </w:t>
      </w:r>
      <w:r w:rsidR="00D9457D">
        <w:t>w</w:t>
      </w:r>
      <w:r w:rsidR="00062B5C">
        <w:t>a</w:t>
      </w:r>
      <w:r w:rsidR="00D9457D">
        <w:t xml:space="preserve">s proposed to </w:t>
      </w:r>
      <w:r w:rsidR="00AC4019">
        <w:t>guide</w:t>
      </w:r>
      <w:r w:rsidR="00062B5C">
        <w:t xml:space="preserve"> secondary survey design </w:t>
      </w:r>
      <w:r w:rsidR="00AC4019">
        <w:t>and the</w:t>
      </w:r>
      <w:r w:rsidR="00062B5C">
        <w:t xml:space="preserve"> collect</w:t>
      </w:r>
      <w:r w:rsidR="00AC4019">
        <w:t>ion of</w:t>
      </w:r>
      <w:r w:rsidR="00062B5C">
        <w:t xml:space="preserve"> </w:t>
      </w:r>
      <w:r w:rsidR="004C5B8F">
        <w:t xml:space="preserve">additional </w:t>
      </w:r>
      <w:r w:rsidR="00AC4019">
        <w:t>d</w:t>
      </w:r>
      <w:r w:rsidR="004C5B8F">
        <w:t>ata to inform</w:t>
      </w:r>
      <w:r w:rsidR="00A41D61">
        <w:t xml:space="preserve"> the compliance phase</w:t>
      </w:r>
      <w:r w:rsidR="004C5B8F">
        <w:t xml:space="preserve">. </w:t>
      </w:r>
    </w:p>
    <w:p w14:paraId="4E45958A" w14:textId="6BB265AE" w:rsidR="00AC4019" w:rsidRDefault="00AC4019" w:rsidP="005C3772">
      <w:pPr>
        <w:pStyle w:val="BodyText"/>
      </w:pPr>
      <w:r>
        <w:t>Pacific Northwest National Laboratory (PNNL) considered the recommendations of SC&amp;A as well as made its own recommendations for tools to be added to the Visual Sample Plan (VSP) software program</w:t>
      </w:r>
      <w:r w:rsidR="00621356">
        <w:t xml:space="preserve"> to enhance its subsurface </w:t>
      </w:r>
      <w:r w:rsidR="00B03358">
        <w:t>data analysis capabilities</w:t>
      </w:r>
      <w:r w:rsidR="00805C9C">
        <w:t xml:space="preserve"> (PNNL, 2022)</w:t>
      </w:r>
      <w:r>
        <w:t xml:space="preserve">. PNNL produced a scoping report published in November 2022 which proposed </w:t>
      </w:r>
      <w:r w:rsidR="00C73E6E">
        <w:t>several</w:t>
      </w:r>
      <w:r>
        <w:t xml:space="preserve"> improvements to the VSP code </w:t>
      </w:r>
      <w:r w:rsidR="00AE2F5F">
        <w:t>related to (i) data</w:t>
      </w:r>
      <w:r w:rsidR="0052104C">
        <w:t xml:space="preserve"> </w:t>
      </w:r>
      <w:r w:rsidR="001D3514">
        <w:t>quality/</w:t>
      </w:r>
      <w:r w:rsidR="0052104C">
        <w:t>management</w:t>
      </w:r>
      <w:r w:rsidR="00AE2F5F">
        <w:t>, (ii) visualization, (iii) geostatistical modeling</w:t>
      </w:r>
      <w:r w:rsidR="0052104C">
        <w:t xml:space="preserve">, and (iv) </w:t>
      </w:r>
      <w:r w:rsidR="0019302C">
        <w:t>compliance evaluations</w:t>
      </w:r>
      <w:r w:rsidR="00C1615C">
        <w:t xml:space="preserve">. </w:t>
      </w:r>
      <w:r w:rsidR="0070302E">
        <w:t xml:space="preserve">As a first step, three-dimensional </w:t>
      </w:r>
      <w:proofErr w:type="gramStart"/>
      <w:r w:rsidR="0070302E">
        <w:t>capabilities</w:t>
      </w:r>
      <w:proofErr w:type="gramEnd"/>
      <w:r w:rsidR="0070302E">
        <w:t xml:space="preserve"> and consideration of anisotropy in variogram fitting is being implemented in F</w:t>
      </w:r>
      <w:r w:rsidR="00164877">
        <w:t xml:space="preserve">iscal </w:t>
      </w:r>
      <w:r w:rsidR="0070302E">
        <w:t>Y</w:t>
      </w:r>
      <w:r w:rsidR="00164877">
        <w:t xml:space="preserve">ear (FY) </w:t>
      </w:r>
      <w:r w:rsidR="0070302E">
        <w:t>2023. Longer term projects include</w:t>
      </w:r>
      <w:r w:rsidR="004604B3">
        <w:t xml:space="preserve"> </w:t>
      </w:r>
      <w:r w:rsidR="0060121F">
        <w:t>development o</w:t>
      </w:r>
      <w:r w:rsidR="00F75902">
        <w:t xml:space="preserve">f </w:t>
      </w:r>
      <w:r w:rsidR="002205F8">
        <w:t xml:space="preserve">multi-variate geostatistical methods </w:t>
      </w:r>
      <w:r w:rsidR="00F75902">
        <w:t>to allow</w:t>
      </w:r>
      <w:r w:rsidR="0060121F">
        <w:t xml:space="preserve"> </w:t>
      </w:r>
      <w:r w:rsidR="007C5265">
        <w:t xml:space="preserve">data from </w:t>
      </w:r>
      <w:r w:rsidR="004604B3">
        <w:t>disparate sources</w:t>
      </w:r>
      <w:r w:rsidR="00470443">
        <w:t xml:space="preserve"> </w:t>
      </w:r>
      <w:r w:rsidR="00F75902">
        <w:t>to be combined</w:t>
      </w:r>
      <w:r w:rsidR="002205F8">
        <w:t xml:space="preserve">. </w:t>
      </w:r>
      <w:r w:rsidR="002C6E0C">
        <w:t>Inclusion of multi-variate geostatistical methods will allow l</w:t>
      </w:r>
      <w:r w:rsidR="00C25C2F">
        <w:t>everag</w:t>
      </w:r>
      <w:r w:rsidR="002C6E0C">
        <w:t>ing</w:t>
      </w:r>
      <w:r w:rsidR="00C25C2F">
        <w:t xml:space="preserve"> </w:t>
      </w:r>
      <w:r w:rsidR="002C6E0C">
        <w:t xml:space="preserve">of less accurate field </w:t>
      </w:r>
      <w:r w:rsidR="00C25C2F">
        <w:t xml:space="preserve">data </w:t>
      </w:r>
      <w:r w:rsidR="002C6E0C">
        <w:t xml:space="preserve">with higher quality data </w:t>
      </w:r>
      <w:r w:rsidR="00C25C2F">
        <w:t xml:space="preserve">in </w:t>
      </w:r>
      <w:r w:rsidR="00301D96">
        <w:t>favour</w:t>
      </w:r>
      <w:r w:rsidR="00C25C2F">
        <w:t xml:space="preserve"> of </w:t>
      </w:r>
      <w:r w:rsidR="003C3C3C">
        <w:t xml:space="preserve">higher quality decision </w:t>
      </w:r>
      <w:r w:rsidR="00B04010">
        <w:t>data support (</w:t>
      </w:r>
      <w:r w:rsidR="003C3C3C">
        <w:t xml:space="preserve">recognizing the benefit </w:t>
      </w:r>
      <w:r w:rsidR="00B04010">
        <w:t xml:space="preserve">of more informed decisions </w:t>
      </w:r>
      <w:r w:rsidR="003C3C3C">
        <w:t xml:space="preserve">versus </w:t>
      </w:r>
      <w:r w:rsidR="00B04010">
        <w:t xml:space="preserve">simply the collection of </w:t>
      </w:r>
      <w:r w:rsidR="003C3C3C">
        <w:t>higher quality</w:t>
      </w:r>
      <w:r w:rsidR="00B04010">
        <w:t>, but more expensive</w:t>
      </w:r>
      <w:r w:rsidR="003C3C3C">
        <w:t xml:space="preserve"> data</w:t>
      </w:r>
      <w:r w:rsidR="00B04010">
        <w:t>)</w:t>
      </w:r>
      <w:r w:rsidR="00BA4D54">
        <w:t xml:space="preserve">. </w:t>
      </w:r>
      <w:r w:rsidR="00635FEA">
        <w:t>M</w:t>
      </w:r>
      <w:r w:rsidR="00C1615C">
        <w:t>achine learning</w:t>
      </w:r>
      <w:r w:rsidR="00635FEA">
        <w:t xml:space="preserve"> (</w:t>
      </w:r>
      <w:r w:rsidR="000974E7">
        <w:t xml:space="preserve">e.g., </w:t>
      </w:r>
      <w:r w:rsidR="00635FEA">
        <w:t>few-shot</w:t>
      </w:r>
      <w:r w:rsidR="000974E7">
        <w:t xml:space="preserve"> learning</w:t>
      </w:r>
      <w:r w:rsidR="00635FEA">
        <w:t>)</w:t>
      </w:r>
      <w:r w:rsidR="00C1615C">
        <w:t xml:space="preserve"> coupled with </w:t>
      </w:r>
      <w:r w:rsidR="00E65AFD">
        <w:t xml:space="preserve">remote subsurface sensing techniques </w:t>
      </w:r>
      <w:r w:rsidR="00D53949">
        <w:t>and high-performance forward modeling</w:t>
      </w:r>
      <w:r w:rsidR="00C1615C">
        <w:t xml:space="preserve"> </w:t>
      </w:r>
      <w:r w:rsidR="000974E7">
        <w:t>is</w:t>
      </w:r>
      <w:r w:rsidR="00C1615C">
        <w:t xml:space="preserve"> also </w:t>
      </w:r>
      <w:r w:rsidR="000974E7">
        <w:t xml:space="preserve">being </w:t>
      </w:r>
      <w:r w:rsidR="00C1615C">
        <w:t>evaluated as a potential method</w:t>
      </w:r>
      <w:r w:rsidR="005C0731">
        <w:t xml:space="preserve"> for</w:t>
      </w:r>
      <w:r w:rsidR="004F5F9C">
        <w:t xml:space="preserve"> filling in data gaps to make better</w:t>
      </w:r>
      <w:r w:rsidR="00860051">
        <w:t xml:space="preserve">, more risk-informed </w:t>
      </w:r>
      <w:r w:rsidR="004F5F9C">
        <w:t>subsurface decisions</w:t>
      </w:r>
      <w:r w:rsidR="00C1615C">
        <w:t>.</w:t>
      </w:r>
    </w:p>
    <w:p w14:paraId="2C825463" w14:textId="434D7A7A" w:rsidR="003254E4" w:rsidRDefault="00C53C0E" w:rsidP="005C3772">
      <w:pPr>
        <w:pStyle w:val="BodyText"/>
      </w:pPr>
      <w:r>
        <w:t xml:space="preserve">NRC </w:t>
      </w:r>
      <w:r w:rsidR="003C3C3C">
        <w:t>plans to</w:t>
      </w:r>
      <w:r>
        <w:t xml:space="preserve"> publish guidance in two phases. </w:t>
      </w:r>
      <w:r w:rsidR="003254E4">
        <w:t xml:space="preserve">NRC </w:t>
      </w:r>
      <w:r w:rsidR="001B3887">
        <w:t>is</w:t>
      </w:r>
      <w:r w:rsidR="003254E4">
        <w:t xml:space="preserve"> in the process of publishing interim staff guidance </w:t>
      </w:r>
      <w:r w:rsidR="001671B7">
        <w:t xml:space="preserve">(ISG) </w:t>
      </w:r>
      <w:r w:rsidR="001B3887">
        <w:t>on subsurface surveys</w:t>
      </w:r>
      <w:r>
        <w:t xml:space="preserve"> in Phase 1</w:t>
      </w:r>
      <w:r w:rsidR="00476E58">
        <w:t xml:space="preserve">. </w:t>
      </w:r>
      <w:r>
        <w:t>Phase 1 g</w:t>
      </w:r>
      <w:r w:rsidR="00476E58">
        <w:t>uidance topics include</w:t>
      </w:r>
      <w:r w:rsidR="001B3887">
        <w:t xml:space="preserve"> extension of MARSSIM to open surfaces (e.g., excavations, sub-structures, and materials planned for onsite reuse</w:t>
      </w:r>
      <w:r w:rsidR="001671B7">
        <w:t>)</w:t>
      </w:r>
      <w:r w:rsidR="00476E58">
        <w:t xml:space="preserve"> in the subsurface</w:t>
      </w:r>
      <w:r w:rsidR="001671B7">
        <w:t>. The ISG will include information on methods to survey hard-to-access locations</w:t>
      </w:r>
      <w:r w:rsidR="00476E58">
        <w:t xml:space="preserve"> (</w:t>
      </w:r>
      <w:r w:rsidR="0078448A">
        <w:t xml:space="preserve">embedded </w:t>
      </w:r>
      <w:r w:rsidR="00476E58">
        <w:t xml:space="preserve">piping, sumps, and </w:t>
      </w:r>
      <w:r w:rsidR="0078448A">
        <w:t>ducts)</w:t>
      </w:r>
      <w:r w:rsidR="001671B7">
        <w:t xml:space="preserve">, </w:t>
      </w:r>
      <w:r w:rsidR="0078448A">
        <w:t xml:space="preserve">and </w:t>
      </w:r>
      <w:r w:rsidR="001671B7">
        <w:t xml:space="preserve">evaluation of the efficacy of in-situ object counting systems </w:t>
      </w:r>
      <w:r w:rsidR="0078448A">
        <w:t xml:space="preserve">(ISCOS) </w:t>
      </w:r>
      <w:r w:rsidR="001671B7">
        <w:t xml:space="preserve">to survey of </w:t>
      </w:r>
      <w:r w:rsidR="00B91485">
        <w:t>subsurface substructures and materials</w:t>
      </w:r>
      <w:r w:rsidR="001671B7">
        <w:t xml:space="preserve"> given </w:t>
      </w:r>
      <w:r w:rsidR="00B91485">
        <w:t>the</w:t>
      </w:r>
      <w:r w:rsidR="001671B7">
        <w:t xml:space="preserve"> rather large field of view </w:t>
      </w:r>
      <w:r w:rsidR="00B91485">
        <w:t>of ISOCS. G</w:t>
      </w:r>
      <w:r w:rsidR="003254E4">
        <w:t xml:space="preserve">uidance on use of commonly used decommissioning dose modeling codes for calculation of derived concentration guideline levels </w:t>
      </w:r>
      <w:r w:rsidR="0078448A">
        <w:t>(</w:t>
      </w:r>
      <w:r w:rsidR="00AD21C8">
        <w:t>or DCGLs</w:t>
      </w:r>
      <w:r w:rsidR="0078448A">
        <w:t>)</w:t>
      </w:r>
      <w:r w:rsidR="00AD21C8">
        <w:t xml:space="preserve"> for subs</w:t>
      </w:r>
      <w:r w:rsidR="0078448A">
        <w:t xml:space="preserve">urface materials (e.g., </w:t>
      </w:r>
      <w:r w:rsidR="00812A22">
        <w:t xml:space="preserve">reactor basement substructures </w:t>
      </w:r>
      <w:r w:rsidR="00AD21C8">
        <w:t>located within the saturated zone</w:t>
      </w:r>
      <w:r w:rsidR="00812A22">
        <w:t>);</w:t>
      </w:r>
      <w:r w:rsidR="00B91485">
        <w:t xml:space="preserve"> assessment of risk from multiple contaminated media,</w:t>
      </w:r>
      <w:r w:rsidR="00476E58">
        <w:t xml:space="preserve"> including existing groundwater contamination</w:t>
      </w:r>
      <w:r w:rsidR="00812A22">
        <w:t>;</w:t>
      </w:r>
      <w:r w:rsidR="00476E58">
        <w:t xml:space="preserve"> </w:t>
      </w:r>
      <w:r w:rsidR="00B91485">
        <w:t xml:space="preserve">groundwater monitoring </w:t>
      </w:r>
      <w:r w:rsidR="00476E58">
        <w:t>considerations</w:t>
      </w:r>
      <w:r w:rsidR="00812A22">
        <w:t>;</w:t>
      </w:r>
      <w:r w:rsidR="00476E58">
        <w:t xml:space="preserve"> and </w:t>
      </w:r>
      <w:r w:rsidR="00812A22">
        <w:t xml:space="preserve">evaluation </w:t>
      </w:r>
      <w:r w:rsidR="00476E58">
        <w:t>of uncertainty and support for parameters important to dose from the groundwater pathway will also be included</w:t>
      </w:r>
      <w:r w:rsidR="00812A22">
        <w:t xml:space="preserve"> in the ISG</w:t>
      </w:r>
      <w:r w:rsidR="00476E58">
        <w:t>.</w:t>
      </w:r>
      <w:r w:rsidR="00812A22">
        <w:t xml:space="preserve"> The ISG is expected to be published in late summer 2023.</w:t>
      </w:r>
      <w:r w:rsidR="00E36086">
        <w:t xml:space="preserve"> During Phase 2, NRC plans to update NUREG/CR-7021 considering the </w:t>
      </w:r>
      <w:r w:rsidR="00D30FA1">
        <w:t xml:space="preserve">state-of-the-art in </w:t>
      </w:r>
      <w:r w:rsidR="00514FCD">
        <w:t xml:space="preserve">geostatistical </w:t>
      </w:r>
      <w:r w:rsidR="00D30FA1">
        <w:t>methods</w:t>
      </w:r>
      <w:r w:rsidR="00514FCD">
        <w:t xml:space="preserve"> </w:t>
      </w:r>
      <w:r w:rsidR="00080CA7">
        <w:t>for subsurface decision support</w:t>
      </w:r>
      <w:r w:rsidR="00FF76B2">
        <w:t>.</w:t>
      </w:r>
    </w:p>
    <w:p w14:paraId="0D237935" w14:textId="64ECAFF7" w:rsidR="0042683E" w:rsidRDefault="0042683E" w:rsidP="00537496">
      <w:pPr>
        <w:pStyle w:val="Heading2"/>
      </w:pPr>
      <w:r>
        <w:t>Discrete Radioactive particles</w:t>
      </w:r>
    </w:p>
    <w:p w14:paraId="51D437CB" w14:textId="3C0BB7FB" w:rsidR="00551A46" w:rsidRDefault="00D73398" w:rsidP="001D7A19">
      <w:pPr>
        <w:pStyle w:val="BodyText"/>
      </w:pPr>
      <w:r>
        <w:t xml:space="preserve">Discrete radioactive particles (DRP) have recently become a concern at some decommissioning sites. </w:t>
      </w:r>
      <w:r w:rsidR="008D4AB1">
        <w:t xml:space="preserve">In November 2022, NRC held a workshop </w:t>
      </w:r>
      <w:r w:rsidR="008E5EFB">
        <w:t>to discuss technical issues associated with generation, control, survey, and internal dosimetry</w:t>
      </w:r>
      <w:r>
        <w:t xml:space="preserve"> of DRPs</w:t>
      </w:r>
      <w:r w:rsidR="00080CA7">
        <w:t xml:space="preserve">. </w:t>
      </w:r>
      <w:r w:rsidR="008E5EFB">
        <w:t xml:space="preserve">Because DRPs represent point </w:t>
      </w:r>
      <w:r w:rsidR="00951042">
        <w:t>versus ar</w:t>
      </w:r>
      <w:r w:rsidR="00FC5635">
        <w:t>eal</w:t>
      </w:r>
      <w:r w:rsidR="00951042">
        <w:t xml:space="preserve"> or volumetric sources, </w:t>
      </w:r>
      <w:r w:rsidR="00FC5635">
        <w:t>special consideration</w:t>
      </w:r>
      <w:r w:rsidR="00DD6012">
        <w:t>s</w:t>
      </w:r>
      <w:r w:rsidR="00FC5635">
        <w:t xml:space="preserve"> apply when attempting to </w:t>
      </w:r>
      <w:r>
        <w:t>detect</w:t>
      </w:r>
      <w:r w:rsidR="00FC5635">
        <w:t xml:space="preserve"> </w:t>
      </w:r>
      <w:r>
        <w:t xml:space="preserve">DRPs </w:t>
      </w:r>
      <w:r w:rsidR="00FC5635">
        <w:t xml:space="preserve">in the field </w:t>
      </w:r>
      <w:r>
        <w:t>using tradition</w:t>
      </w:r>
      <w:r w:rsidR="00FC5635">
        <w:t>al</w:t>
      </w:r>
      <w:r>
        <w:t xml:space="preserve"> scanning approaches</w:t>
      </w:r>
      <w:r w:rsidR="00FC5635">
        <w:t>.</w:t>
      </w:r>
      <w:r>
        <w:t xml:space="preserve"> </w:t>
      </w:r>
      <w:r w:rsidR="00F33EA9">
        <w:t xml:space="preserve">Oak Ridge Institute for Science and Education (ORISE)/Oak Ridge Associated Universities (ORAU) was tasked with developing </w:t>
      </w:r>
      <w:r w:rsidR="00080CA7">
        <w:t xml:space="preserve">scan minimum detectable activities </w:t>
      </w:r>
      <w:r w:rsidR="00CE7957">
        <w:t xml:space="preserve">(MDA) </w:t>
      </w:r>
      <w:r w:rsidR="00080CA7">
        <w:t xml:space="preserve">for DRPs as well as </w:t>
      </w:r>
      <w:r w:rsidR="00F33EA9">
        <w:t xml:space="preserve">identifying </w:t>
      </w:r>
      <w:r w:rsidR="00080CA7">
        <w:t xml:space="preserve">good practices for </w:t>
      </w:r>
      <w:r w:rsidR="00FC5635">
        <w:t xml:space="preserve">DRP </w:t>
      </w:r>
      <w:r w:rsidR="00080CA7">
        <w:t>survey design and implementation</w:t>
      </w:r>
      <w:r w:rsidR="00B37370">
        <w:t xml:space="preserve">. </w:t>
      </w:r>
      <w:r w:rsidR="009A6926">
        <w:t>ORISE considered 4 radionuclides (Co</w:t>
      </w:r>
      <w:r w:rsidR="00FC5635">
        <w:t>balt</w:t>
      </w:r>
      <w:r w:rsidR="009A6926">
        <w:t>-60, C</w:t>
      </w:r>
      <w:r w:rsidR="00FC5635">
        <w:t>e</w:t>
      </w:r>
      <w:r w:rsidR="009A6926">
        <w:t>s</w:t>
      </w:r>
      <w:r w:rsidR="00FC5635">
        <w:t>ium</w:t>
      </w:r>
      <w:r w:rsidR="009A6926">
        <w:t>-137, Th</w:t>
      </w:r>
      <w:r w:rsidR="00FC5635">
        <w:t>orium</w:t>
      </w:r>
      <w:r w:rsidR="009A6926">
        <w:t>-232, and Am</w:t>
      </w:r>
      <w:r w:rsidR="00FC5635">
        <w:t>ericium</w:t>
      </w:r>
      <w:r w:rsidR="009A6926">
        <w:t xml:space="preserve">-241) and various surveyor speeds, </w:t>
      </w:r>
      <w:r w:rsidR="00CE7957">
        <w:t>detector/source distances and soil depths in assessing sca</w:t>
      </w:r>
      <w:r w:rsidR="00A522E2">
        <w:t>n</w:t>
      </w:r>
      <w:r w:rsidR="00CE7957">
        <w:t xml:space="preserve"> MDAs</w:t>
      </w:r>
      <w:r w:rsidR="00FC5635">
        <w:t xml:space="preserve">. </w:t>
      </w:r>
      <w:r w:rsidR="008D593C">
        <w:t>Best- and worst</w:t>
      </w:r>
      <w:r w:rsidR="00CE7957">
        <w:t xml:space="preserve">-case scenarios </w:t>
      </w:r>
      <w:r w:rsidR="00FC5635">
        <w:t xml:space="preserve">were considered </w:t>
      </w:r>
      <w:r w:rsidR="00CE7957">
        <w:t xml:space="preserve">with the detector passing directly over the DRP and </w:t>
      </w:r>
      <w:r w:rsidR="00FC5635">
        <w:t xml:space="preserve">the detector located at the </w:t>
      </w:r>
      <w:r w:rsidR="003D0E03">
        <w:t xml:space="preserve">furthest </w:t>
      </w:r>
      <w:r w:rsidR="00FC5635">
        <w:t xml:space="preserve">distance </w:t>
      </w:r>
      <w:r w:rsidR="003D0E03">
        <w:t xml:space="preserve">away from the DRP. </w:t>
      </w:r>
      <w:r w:rsidR="00FC5635">
        <w:t>The Monte Carlo N</w:t>
      </w:r>
      <w:r w:rsidR="00740495">
        <w:t>-</w:t>
      </w:r>
      <w:r w:rsidR="00FC5635">
        <w:t>P</w:t>
      </w:r>
      <w:r w:rsidR="00740495">
        <w:t>article®</w:t>
      </w:r>
      <w:r w:rsidR="00FC5635">
        <w:t xml:space="preserve"> </w:t>
      </w:r>
      <w:r w:rsidR="00740495">
        <w:t xml:space="preserve">code </w:t>
      </w:r>
      <w:r w:rsidR="00FC5635">
        <w:t>(</w:t>
      </w:r>
      <w:r w:rsidR="003D0E03">
        <w:t>MCNP</w:t>
      </w:r>
      <w:r w:rsidR="00FC5635">
        <w:t>)</w:t>
      </w:r>
      <w:r w:rsidR="003D0E03">
        <w:t xml:space="preserve"> was used to calculate detector efficiencies a</w:t>
      </w:r>
      <w:r w:rsidR="00740495">
        <w:t>t</w:t>
      </w:r>
      <w:r w:rsidR="003D0E03">
        <w:t xml:space="preserve"> various points along </w:t>
      </w:r>
      <w:r w:rsidR="00740495">
        <w:t>a hypothetical survey</w:t>
      </w:r>
      <w:r w:rsidR="003D0E03">
        <w:t xml:space="preserve"> transect. The MCNP results were fit to a log logistic model as a function of offset distance to the DRP for the various distances</w:t>
      </w:r>
      <w:r w:rsidR="007D0E56">
        <w:t xml:space="preserve">. Detector response as a function of time </w:t>
      </w:r>
      <w:r w:rsidR="00452233">
        <w:t>w</w:t>
      </w:r>
      <w:r w:rsidR="00740495">
        <w:t>as</w:t>
      </w:r>
      <w:r w:rsidR="00452233">
        <w:t xml:space="preserve"> constructed </w:t>
      </w:r>
      <w:r w:rsidR="00740495">
        <w:t xml:space="preserve">for the two </w:t>
      </w:r>
      <w:r w:rsidR="00452233">
        <w:t>scenario</w:t>
      </w:r>
      <w:r w:rsidR="00740495">
        <w:t>s</w:t>
      </w:r>
      <w:r w:rsidR="00F6110F">
        <w:t xml:space="preserve">. When the detector passes over the DRP, a single peak is observed, while </w:t>
      </w:r>
      <w:r w:rsidR="00452233">
        <w:t>two peaks</w:t>
      </w:r>
      <w:r w:rsidR="00F6110F">
        <w:t xml:space="preserve"> are observed for the scenario when the detector is at its maximum distance from the DRP</w:t>
      </w:r>
      <w:r w:rsidR="00452233">
        <w:t xml:space="preserve">. The total integrated response </w:t>
      </w:r>
      <w:r w:rsidR="00F6110F">
        <w:t xml:space="preserve">for the worst-case scenario </w:t>
      </w:r>
      <w:r w:rsidR="00452233">
        <w:t>was calculated as the are</w:t>
      </w:r>
      <w:r w:rsidR="00B55B38">
        <w:t>a</w:t>
      </w:r>
      <w:r w:rsidR="00452233">
        <w:t xml:space="preserve"> under </w:t>
      </w:r>
      <w:r w:rsidR="00452233">
        <w:lastRenderedPageBreak/>
        <w:t>the peak</w:t>
      </w:r>
      <w:r w:rsidR="00F6110F">
        <w:t xml:space="preserve"> using </w:t>
      </w:r>
      <w:r w:rsidR="00A522E2">
        <w:t>the</w:t>
      </w:r>
      <w:r w:rsidR="00F6110F">
        <w:t xml:space="preserve"> trapezoidal </w:t>
      </w:r>
      <w:r w:rsidR="00A522E2">
        <w:t xml:space="preserve">estimation </w:t>
      </w:r>
      <w:r w:rsidR="00F6110F">
        <w:t>method</w:t>
      </w:r>
      <w:r w:rsidR="003C096B">
        <w:t>. Scan MDAs were calculated using a modified version of the scan</w:t>
      </w:r>
      <w:r w:rsidR="00F6110F">
        <w:t xml:space="preserve"> minimum detectable concentration</w:t>
      </w:r>
      <w:r w:rsidR="003C096B">
        <w:t xml:space="preserve"> </w:t>
      </w:r>
      <w:r w:rsidR="00F6110F">
        <w:t>(</w:t>
      </w:r>
      <w:r w:rsidR="003C096B">
        <w:t>MDC</w:t>
      </w:r>
      <w:r w:rsidR="00F6110F">
        <w:t>)</w:t>
      </w:r>
      <w:r w:rsidR="003C096B">
        <w:t xml:space="preserve"> equations in NUREG-1507.</w:t>
      </w:r>
      <w:r w:rsidR="00551A46">
        <w:t xml:space="preserve"> Generally, results were as expected with higher scan MDAs for greater detector to ground surface distances, greater depth of DRP below ground surface, faster surveyor velocities, and for the more pessimistic scenario where the detector is the furthest distance from the DRP source. Exceptions are </w:t>
      </w:r>
      <w:r w:rsidR="00F6110F">
        <w:t xml:space="preserve">noted including a case where </w:t>
      </w:r>
      <w:r w:rsidR="00551A46">
        <w:t>the scan MDAs for ground</w:t>
      </w:r>
      <w:r w:rsidR="0057678C">
        <w:t>-</w:t>
      </w:r>
      <w:r w:rsidR="00551A46">
        <w:t>to</w:t>
      </w:r>
      <w:r w:rsidR="0057678C">
        <w:t>-</w:t>
      </w:r>
      <w:r w:rsidR="00551A46">
        <w:t xml:space="preserve">detector distance of 10 cm is slightly lower than the 7.5 cm under certain pessimistic scenarios and when the DRPs are below the surface. One possible explanation </w:t>
      </w:r>
      <w:r w:rsidR="00F6110F">
        <w:t xml:space="preserve">for this non-intuitive result </w:t>
      </w:r>
      <w:r w:rsidR="00551A46">
        <w:t xml:space="preserve">is that there is higher soil attenuation for the 7.5 cm distance under these scenarios given the angle between the source and detector. </w:t>
      </w:r>
      <w:r w:rsidR="00CF259B">
        <w:t>ORAU published a technical report documenting its findings with respect to survey of DRPs (</w:t>
      </w:r>
      <w:r w:rsidR="009C2A56">
        <w:t>Altic</w:t>
      </w:r>
      <w:r w:rsidR="00CF259B" w:rsidRPr="0077377F">
        <w:t>, 2022</w:t>
      </w:r>
      <w:r w:rsidR="00CF259B">
        <w:t>).</w:t>
      </w:r>
    </w:p>
    <w:p w14:paraId="65506589" w14:textId="75D9C6B5" w:rsidR="0042683E" w:rsidRDefault="001D7A19" w:rsidP="000C4D7E">
      <w:pPr>
        <w:pStyle w:val="BodyText"/>
      </w:pPr>
      <w:r>
        <w:t>Because particles are relatively insoluble</w:t>
      </w:r>
      <w:r w:rsidR="004937FF">
        <w:t xml:space="preserve"> </w:t>
      </w:r>
      <w:r>
        <w:t>and tend to be more stationary</w:t>
      </w:r>
      <w:r w:rsidR="007F2EDA">
        <w:t xml:space="preserve"> (due to potential jaggedness and non-uniformity</w:t>
      </w:r>
      <w:r w:rsidR="004B4064">
        <w:t>,</w:t>
      </w:r>
      <w:r w:rsidR="007F2EDA">
        <w:t xml:space="preserve"> </w:t>
      </w:r>
      <w:r w:rsidR="00560479">
        <w:t xml:space="preserve">DRPs </w:t>
      </w:r>
      <w:r w:rsidR="007F2EDA">
        <w:t>can become lodged in the respiratory or gastrointestinal tract)</w:t>
      </w:r>
      <w:r>
        <w:t xml:space="preserve">, International Commission on Radiation Protection (ICRP) 26/30 biokinetic models do not necessarily represent DRP </w:t>
      </w:r>
      <w:r w:rsidR="00551A46">
        <w:t>behaviour</w:t>
      </w:r>
      <w:r>
        <w:t xml:space="preserve"> in the body. Therefore,</w:t>
      </w:r>
      <w:r w:rsidR="00551A46">
        <w:t xml:space="preserve"> NRC also contracted with</w:t>
      </w:r>
      <w:r>
        <w:t xml:space="preserve"> </w:t>
      </w:r>
      <w:r w:rsidR="00B37370">
        <w:t xml:space="preserve">Renaissance Code Development </w:t>
      </w:r>
      <w:r>
        <w:t xml:space="preserve">(RCD) </w:t>
      </w:r>
      <w:r w:rsidR="00B37370">
        <w:t>to develop dose conversion factors for DRPs.</w:t>
      </w:r>
      <w:r w:rsidR="00080CA7">
        <w:t xml:space="preserve"> </w:t>
      </w:r>
      <w:r w:rsidR="000C4D7E">
        <w:t>The focus of the RCD work is on recommended ulceration dose threshold for internal DRPs, and development of dose coefficients or dose conversion factors primarily for stationary DRPs for the skin surface, upper respiratory tract, and small and large intestine.</w:t>
      </w:r>
      <w:r w:rsidR="00CF259B">
        <w:t xml:space="preserve"> The PIMAL and VARSKIN computer codes were used to support this tasking. A technical </w:t>
      </w:r>
      <w:r w:rsidR="00805C9C">
        <w:t>report will be published in 2023. RCD’s presentation at the DRP workshop presenting tables of DCFs for various radionuclides and materials is publicly available (</w:t>
      </w:r>
      <w:r w:rsidR="00805C9C" w:rsidRPr="0077377F">
        <w:t>RCD, 2022</w:t>
      </w:r>
      <w:r w:rsidR="00805C9C">
        <w:t>).</w:t>
      </w:r>
    </w:p>
    <w:p w14:paraId="4EC16E81" w14:textId="14ADDE83" w:rsidR="00CA2F24" w:rsidRPr="0042683E" w:rsidRDefault="00CA2F24" w:rsidP="000C4D7E">
      <w:pPr>
        <w:pStyle w:val="BodyText"/>
      </w:pPr>
      <w:r>
        <w:t xml:space="preserve">NRC plans to develop a generic communication to address </w:t>
      </w:r>
      <w:r w:rsidR="001C229A">
        <w:t>issues associated with control of DRPs during decommissioning activities</w:t>
      </w:r>
      <w:r w:rsidR="00785971">
        <w:t xml:space="preserve"> (e.g., ventilatio</w:t>
      </w:r>
      <w:r w:rsidR="00BC3155">
        <w:t>n, containment,</w:t>
      </w:r>
      <w:r w:rsidR="00785971">
        <w:t xml:space="preserve"> </w:t>
      </w:r>
      <w:r w:rsidR="0020614A">
        <w:t xml:space="preserve">tenting, </w:t>
      </w:r>
      <w:r w:rsidR="00874E9C">
        <w:t xml:space="preserve">filtering, </w:t>
      </w:r>
      <w:r w:rsidR="00785971">
        <w:t>and other controls to prevent the release of DRPs into the environment)</w:t>
      </w:r>
      <w:r w:rsidR="00F778B3">
        <w:t>, as well as proper documentation</w:t>
      </w:r>
      <w:r w:rsidR="00384760">
        <w:t>/reporting</w:t>
      </w:r>
      <w:r w:rsidR="00031EB2">
        <w:t xml:space="preserve"> and survey following risk-significant </w:t>
      </w:r>
      <w:r w:rsidR="00496C15">
        <w:t xml:space="preserve">decommissioning </w:t>
      </w:r>
      <w:r w:rsidR="00031EB2">
        <w:t>activities that have the potential to release radioactivity to the environment</w:t>
      </w:r>
      <w:r w:rsidR="001C229A">
        <w:t xml:space="preserve">. </w:t>
      </w:r>
      <w:r w:rsidR="00C33906" w:rsidRPr="00C92AD2">
        <w:t>The intent of the generic communication is to inform licensees about how particles can be generated and become an issue, including experiences from recent power reactor decommissioning projects. Additionally, the communication will reinforce the importance of good housekeeping techniques to reduce DRPs and keep them localized</w:t>
      </w:r>
      <w:r w:rsidR="00C33906">
        <w:t xml:space="preserve"> </w:t>
      </w:r>
      <w:r w:rsidR="007F26DB">
        <w:t>during waste packaging, reactor vessel segmentation, a</w:t>
      </w:r>
      <w:r w:rsidR="00805C9C">
        <w:t>nd other risk-significant decommissioning activities</w:t>
      </w:r>
      <w:r w:rsidR="007F26DB">
        <w:t xml:space="preserve"> </w:t>
      </w:r>
      <w:r w:rsidR="00C33906" w:rsidRPr="00C92AD2">
        <w:t>which will mitigate future DRP issues at decommissioning sites.</w:t>
      </w:r>
      <w:r w:rsidR="001C229A">
        <w:t xml:space="preserve"> The generic communication is </w:t>
      </w:r>
      <w:r w:rsidR="007F26DB">
        <w:t xml:space="preserve">planned to be issued in </w:t>
      </w:r>
      <w:r w:rsidR="004331A7">
        <w:t>late</w:t>
      </w:r>
      <w:r w:rsidR="007F26DB">
        <w:t xml:space="preserve">-2023. The need for guidance on survey and </w:t>
      </w:r>
      <w:r w:rsidR="006C2009">
        <w:t xml:space="preserve">internal </w:t>
      </w:r>
      <w:r w:rsidR="007F26DB">
        <w:t xml:space="preserve">dosimetry </w:t>
      </w:r>
      <w:r w:rsidR="006C2009">
        <w:t>associated with</w:t>
      </w:r>
      <w:r w:rsidR="007F26DB">
        <w:t xml:space="preserve"> DRPs </w:t>
      </w:r>
      <w:r w:rsidR="00805C9C">
        <w:t xml:space="preserve">in decommissioning </w:t>
      </w:r>
      <w:r w:rsidR="007F26DB">
        <w:t xml:space="preserve">is also being considered. </w:t>
      </w:r>
    </w:p>
    <w:p w14:paraId="331BA495" w14:textId="50157413" w:rsidR="00F004EE" w:rsidRDefault="000F1847" w:rsidP="00537496">
      <w:pPr>
        <w:pStyle w:val="Heading2"/>
      </w:pPr>
      <w:r>
        <w:t>continu</w:t>
      </w:r>
      <w:r w:rsidR="00635FEA">
        <w:t>OU</w:t>
      </w:r>
      <w:r>
        <w:t>sly collected data</w:t>
      </w:r>
    </w:p>
    <w:p w14:paraId="6F4793F7" w14:textId="0E93EF69" w:rsidR="00C46AEA" w:rsidRDefault="005612B3" w:rsidP="00E14457">
      <w:pPr>
        <w:pStyle w:val="BodyText"/>
      </w:pPr>
      <w:r>
        <w:t>Owing to significant technological advancements over the past two decades, NRC l</w:t>
      </w:r>
      <w:r w:rsidR="00B22FCB">
        <w:t xml:space="preserve">icensees have increasingly used </w:t>
      </w:r>
      <w:r w:rsidR="00B55D15">
        <w:t xml:space="preserve">more modern </w:t>
      </w:r>
      <w:r w:rsidR="00B22FCB">
        <w:t xml:space="preserve">survey instrumentation and data capture tools, including GPS and GIS technologies. </w:t>
      </w:r>
      <w:r w:rsidR="00B55D15">
        <w:t>N</w:t>
      </w:r>
      <w:r w:rsidR="001940DE">
        <w:t xml:space="preserve">ewer scanning instruments and mobile systems represent attractive options for </w:t>
      </w:r>
      <w:r w:rsidR="00EB55D1">
        <w:t xml:space="preserve">radiological </w:t>
      </w:r>
      <w:r w:rsidR="001940DE">
        <w:t xml:space="preserve">assessment. </w:t>
      </w:r>
      <w:r w:rsidR="007B3C8C">
        <w:t xml:space="preserve">In its peer review of draft MARSSIM, Rev. 2, </w:t>
      </w:r>
      <w:r w:rsidR="00EB55D1">
        <w:t xml:space="preserve">EPA’s SAB </w:t>
      </w:r>
      <w:r w:rsidR="00B0634B">
        <w:t xml:space="preserve">noted </w:t>
      </w:r>
      <w:r w:rsidR="007B3C8C">
        <w:t>that “t</w:t>
      </w:r>
      <w:r w:rsidR="00CA4A49">
        <w:t>o be technically appropriate and useful for performing environmental</w:t>
      </w:r>
      <w:r w:rsidR="001940DE">
        <w:t xml:space="preserve"> </w:t>
      </w:r>
      <w:r w:rsidR="00CA4A49">
        <w:t>radiological surveys, statistical and uncertainty methodologies should be updated for</w:t>
      </w:r>
      <w:r w:rsidR="001940DE">
        <w:t xml:space="preserve"> </w:t>
      </w:r>
      <w:r w:rsidR="00CA4A49">
        <w:t>modern detection systems with data logging.</w:t>
      </w:r>
      <w:r w:rsidR="007B3C8C">
        <w:t>”</w:t>
      </w:r>
    </w:p>
    <w:p w14:paraId="64066892" w14:textId="521951D0" w:rsidR="00CB6F6F" w:rsidRDefault="00C46AEA" w:rsidP="00E14457">
      <w:pPr>
        <w:pStyle w:val="BodyText"/>
      </w:pPr>
      <w:r>
        <w:t xml:space="preserve">NRC contracted with ORAU to develop methods for evaluation of continuously collected survey data without surveyor vigilance in </w:t>
      </w:r>
      <w:r w:rsidRPr="0077377F">
        <w:t>NUREG-1507, Rev. 1</w:t>
      </w:r>
      <w:r w:rsidR="004F16B8" w:rsidRPr="0077377F">
        <w:t>,</w:t>
      </w:r>
      <w:r w:rsidR="004F16B8">
        <w:t xml:space="preserve"> </w:t>
      </w:r>
      <w:r w:rsidR="004F16B8" w:rsidRPr="004F16B8">
        <w:rPr>
          <w:i/>
          <w:iCs/>
        </w:rPr>
        <w:t>Minimum Detectable Concentrations with Typical Radiation Survey for Instruments for Various Contaminants and Field Conditions</w:t>
      </w:r>
      <w:r>
        <w:t>. NUREG-1507</w:t>
      </w:r>
      <w:r w:rsidR="004F16B8">
        <w:t>, Rev. 0,</w:t>
      </w:r>
      <w:r>
        <w:t xml:space="preserve"> </w:t>
      </w:r>
      <w:r w:rsidR="004F16B8">
        <w:t>developed a methodology for calculation of scan MDCs for surveys conducted with surveyor vigilanc</w:t>
      </w:r>
      <w:r w:rsidR="00B55D15">
        <w:t>e--</w:t>
      </w:r>
      <w:r w:rsidR="004F16B8">
        <w:t xml:space="preserve">that is surveys conducted with the surveyor listening to </w:t>
      </w:r>
      <w:r w:rsidR="00825877">
        <w:t>the</w:t>
      </w:r>
      <w:r w:rsidR="004F16B8">
        <w:t xml:space="preserve"> </w:t>
      </w:r>
      <w:r w:rsidR="00B55D15">
        <w:t xml:space="preserve">audible </w:t>
      </w:r>
      <w:r w:rsidR="00825877">
        <w:t>response of a detector with the surveyor stopping to count longer in cases where an audible increase in counts</w:t>
      </w:r>
      <w:r w:rsidR="004B4064">
        <w:t xml:space="preserve"> is observed</w:t>
      </w:r>
      <w:r w:rsidR="00825877">
        <w:t>.</w:t>
      </w:r>
      <w:r w:rsidR="004F16B8">
        <w:t xml:space="preserve"> </w:t>
      </w:r>
      <w:r w:rsidR="00825877">
        <w:t>However, with use of the newer technologies the surveyor is typically taken out of the p</w:t>
      </w:r>
      <w:r w:rsidR="004B4064">
        <w:t>rocess</w:t>
      </w:r>
      <w:r w:rsidR="00825877">
        <w:t xml:space="preserve"> and post-processing of the continuously collected data without surveyor vigilance </w:t>
      </w:r>
      <w:r w:rsidR="00CB6F6F">
        <w:t xml:space="preserve">is typically employed. This new paradigm invalidates the </w:t>
      </w:r>
      <w:r w:rsidR="00CB6F6F" w:rsidRPr="00CB6F6F">
        <w:rPr>
          <w:i/>
          <w:iCs/>
        </w:rPr>
        <w:t>a priori</w:t>
      </w:r>
      <w:r w:rsidR="00CB6F6F">
        <w:t xml:space="preserve"> scan MDC equations available in NUREG-1507. </w:t>
      </w:r>
    </w:p>
    <w:p w14:paraId="32EA3AF0" w14:textId="6E45D85C" w:rsidR="00E14457" w:rsidRDefault="00C0508A" w:rsidP="00E14457">
      <w:pPr>
        <w:pStyle w:val="BodyText"/>
      </w:pPr>
      <w:r>
        <w:t xml:space="preserve">ORAU set out to develop a </w:t>
      </w:r>
      <w:r w:rsidR="006E5C1D">
        <w:t>post-processed investigation level</w:t>
      </w:r>
      <w:r w:rsidR="00E14457">
        <w:t xml:space="preserve"> </w:t>
      </w:r>
      <w:r w:rsidR="00C65398">
        <w:t>(IL)</w:t>
      </w:r>
      <w:r w:rsidR="00D55CB7">
        <w:t xml:space="preserve"> to identify areas for follow-up investigation and </w:t>
      </w:r>
      <w:r w:rsidR="00C65398">
        <w:t xml:space="preserve">developed </w:t>
      </w:r>
      <w:r w:rsidR="00046C04">
        <w:t xml:space="preserve">an </w:t>
      </w:r>
      <w:r w:rsidR="00E14457" w:rsidRPr="003466C4">
        <w:rPr>
          <w:i/>
          <w:iCs/>
        </w:rPr>
        <w:t>a posteriori</w:t>
      </w:r>
      <w:r w:rsidR="00E14457">
        <w:t xml:space="preserve"> scan sensitivity methodology</w:t>
      </w:r>
      <w:r w:rsidR="003466C4">
        <w:t xml:space="preserve"> </w:t>
      </w:r>
      <w:r w:rsidR="00612762">
        <w:t xml:space="preserve">in Section 6.3 of </w:t>
      </w:r>
      <w:r w:rsidR="003466C4">
        <w:t>NUREG-1507, Rev. 1</w:t>
      </w:r>
      <w:r w:rsidR="00E14457">
        <w:t xml:space="preserve">. </w:t>
      </w:r>
      <w:r w:rsidR="00D55CB7">
        <w:t>ORAU</w:t>
      </w:r>
      <w:r w:rsidR="00E14457">
        <w:t xml:space="preserve"> </w:t>
      </w:r>
      <w:r w:rsidR="00D55CB7">
        <w:t xml:space="preserve">used </w:t>
      </w:r>
      <w:r w:rsidR="00E14457">
        <w:t>commercially available statistical software</w:t>
      </w:r>
      <w:r w:rsidR="006E5C1D">
        <w:t xml:space="preserve"> </w:t>
      </w:r>
      <w:r w:rsidR="00E14457">
        <w:t xml:space="preserve">for evaluating </w:t>
      </w:r>
      <w:r w:rsidR="00D55CB7">
        <w:t xml:space="preserve">the survey </w:t>
      </w:r>
      <w:r w:rsidR="00E14457">
        <w:t xml:space="preserve">data and setting </w:t>
      </w:r>
      <w:r w:rsidR="00C65398">
        <w:t>the</w:t>
      </w:r>
      <w:r w:rsidR="00E14457">
        <w:t xml:space="preserve"> </w:t>
      </w:r>
      <w:r w:rsidR="00C65398">
        <w:t>IL</w:t>
      </w:r>
      <w:r w:rsidR="00E14457">
        <w:t xml:space="preserve"> relative to representative background populations.</w:t>
      </w:r>
      <w:r w:rsidR="006E5C1D">
        <w:t xml:space="preserve"> </w:t>
      </w:r>
      <w:r w:rsidR="00E14457">
        <w:t>Common statistical IL values, above which anomaly investigations are performed,</w:t>
      </w:r>
      <w:r w:rsidR="006E5C1D">
        <w:t xml:space="preserve"> </w:t>
      </w:r>
      <w:r w:rsidR="00E14457">
        <w:t>include z-scores (normality assumed) or various background threshold value</w:t>
      </w:r>
      <w:r w:rsidR="006E5C1D">
        <w:t xml:space="preserve"> </w:t>
      </w:r>
      <w:r w:rsidR="00E14457">
        <w:t xml:space="preserve">calculations, </w:t>
      </w:r>
      <w:r w:rsidR="00D55CB7">
        <w:t xml:space="preserve">including use of the </w:t>
      </w:r>
      <w:r w:rsidR="00E14457">
        <w:t xml:space="preserve">upper tolerance level (UTL), upper simultaneous limit (USL), </w:t>
      </w:r>
      <w:r w:rsidR="00D55CB7">
        <w:t>and</w:t>
      </w:r>
      <w:r w:rsidR="006E5C1D">
        <w:t xml:space="preserve"> </w:t>
      </w:r>
      <w:r w:rsidR="00E14457">
        <w:t>other statistic</w:t>
      </w:r>
      <w:r w:rsidR="00D55CB7">
        <w:t>s</w:t>
      </w:r>
      <w:r w:rsidR="00E14457">
        <w:t xml:space="preserve"> when the underlying </w:t>
      </w:r>
      <w:r w:rsidR="00E14457">
        <w:lastRenderedPageBreak/>
        <w:t>data distribution is unknown or otherwise does not</w:t>
      </w:r>
      <w:r w:rsidR="006E5C1D">
        <w:t xml:space="preserve"> </w:t>
      </w:r>
      <w:r w:rsidR="00E14457">
        <w:t>exhibit the characteristics of a normal distribution.</w:t>
      </w:r>
      <w:r w:rsidR="009C69FF">
        <w:t xml:space="preserve"> Various examples are provided </w:t>
      </w:r>
      <w:r w:rsidR="009C69FF" w:rsidRPr="0077377F">
        <w:t>(</w:t>
      </w:r>
      <w:proofErr w:type="spellStart"/>
      <w:r w:rsidR="00E644A8">
        <w:t>Al</w:t>
      </w:r>
      <w:r w:rsidR="009C2A56">
        <w:t>bequist</w:t>
      </w:r>
      <w:proofErr w:type="spellEnd"/>
      <w:r w:rsidR="00E644A8">
        <w:t xml:space="preserve">, </w:t>
      </w:r>
      <w:r w:rsidR="009C69FF" w:rsidRPr="0077377F">
        <w:t>2020).</w:t>
      </w:r>
      <w:r w:rsidR="00AA2824">
        <w:t xml:space="preserve"> See Figure 2 below for an example use of UTL and USL for establishment of IL for continuously collected data.</w:t>
      </w:r>
    </w:p>
    <w:p w14:paraId="638163A4" w14:textId="09E9FE32" w:rsidR="00E14457" w:rsidRDefault="00DA3E13" w:rsidP="00A51AAC">
      <w:pPr>
        <w:pStyle w:val="BodyText"/>
      </w:pPr>
      <w:r>
        <w:t>Recently,</w:t>
      </w:r>
      <w:r w:rsidR="00D55CB7">
        <w:t xml:space="preserve"> </w:t>
      </w:r>
      <w:r w:rsidR="00E14457" w:rsidRPr="00571B7B">
        <w:t xml:space="preserve">PNNL was tasked </w:t>
      </w:r>
      <w:r>
        <w:t>with</w:t>
      </w:r>
      <w:r w:rsidR="00E14457" w:rsidRPr="00571B7B">
        <w:t xml:space="preserve"> scop</w:t>
      </w:r>
      <w:r>
        <w:t>ing</w:t>
      </w:r>
      <w:r w:rsidR="00E14457" w:rsidRPr="00571B7B">
        <w:t xml:space="preserve"> out VSP tools to facilitate </w:t>
      </w:r>
      <w:r w:rsidR="000172F3">
        <w:t>importation and analysis</w:t>
      </w:r>
      <w:r w:rsidR="00E14457" w:rsidRPr="00571B7B">
        <w:t xml:space="preserve"> of continuously collected data including </w:t>
      </w:r>
      <w:r w:rsidR="00B65014">
        <w:t xml:space="preserve">(i) development of tools to facilitate data importation, visualization and analysis </w:t>
      </w:r>
      <w:r w:rsidR="00A51AAC">
        <w:t xml:space="preserve">of </w:t>
      </w:r>
      <w:r w:rsidR="00B65014">
        <w:t>survey</w:t>
      </w:r>
      <w:r w:rsidR="00A51AAC">
        <w:t xml:space="preserve"> data collected</w:t>
      </w:r>
      <w:r w:rsidR="00B65014">
        <w:t xml:space="preserve"> without surveyor vigilance, (ii) </w:t>
      </w:r>
      <w:r w:rsidR="00A51AAC">
        <w:t xml:space="preserve">calculation of </w:t>
      </w:r>
      <w:r w:rsidRPr="00DA3E13">
        <w:rPr>
          <w:i/>
          <w:iCs/>
        </w:rPr>
        <w:t>a priori</w:t>
      </w:r>
      <w:r>
        <w:t xml:space="preserve"> </w:t>
      </w:r>
      <w:r w:rsidR="00A51AAC">
        <w:t>scan MDC</w:t>
      </w:r>
      <w:r>
        <w:t>s</w:t>
      </w:r>
      <w:r w:rsidR="00A51AAC">
        <w:t xml:space="preserve"> for continuously collected data, and (iii) methods to identify areas for follow-up investigation. The scoping report </w:t>
      </w:r>
      <w:r w:rsidR="00E576AF">
        <w:t xml:space="preserve">will be completed in FY2023. </w:t>
      </w:r>
      <w:r w:rsidR="00E14457">
        <w:t>PNNL is also finaliz</w:t>
      </w:r>
      <w:r w:rsidR="00A51AAC">
        <w:t>ing</w:t>
      </w:r>
      <w:r w:rsidR="00E14457">
        <w:t xml:space="preserve"> a “scan MDC” report presenting a</w:t>
      </w:r>
      <w:r w:rsidR="00AA2824">
        <w:t xml:space="preserve"> novel</w:t>
      </w:r>
      <w:r w:rsidR="00E14457">
        <w:t xml:space="preserve"> lag k method for </w:t>
      </w:r>
      <w:r w:rsidR="00E14457" w:rsidRPr="00A51AAC">
        <w:rPr>
          <w:i/>
          <w:iCs/>
        </w:rPr>
        <w:t>a priori</w:t>
      </w:r>
      <w:r w:rsidR="00E14457">
        <w:t xml:space="preserve"> calculation of</w:t>
      </w:r>
      <w:r w:rsidR="00967C28">
        <w:t xml:space="preserve"> </w:t>
      </w:r>
      <w:r w:rsidR="00E14457">
        <w:t>scan MDC</w:t>
      </w:r>
      <w:r w:rsidR="00A51AAC">
        <w:t xml:space="preserve"> in FY2023</w:t>
      </w:r>
      <w:r w:rsidR="00E14457">
        <w:t>.</w:t>
      </w:r>
    </w:p>
    <w:p w14:paraId="4E5CEE42" w14:textId="5E2D4353" w:rsidR="00E576AF" w:rsidRDefault="00E576AF" w:rsidP="00A51AAC">
      <w:pPr>
        <w:pStyle w:val="BodyText"/>
      </w:pPr>
    </w:p>
    <w:p w14:paraId="097CAFD5" w14:textId="0F722858" w:rsidR="00E576AF" w:rsidRDefault="00E576AF" w:rsidP="00A51AAC">
      <w:pPr>
        <w:pStyle w:val="BodyText"/>
      </w:pPr>
    </w:p>
    <w:p w14:paraId="298260A8" w14:textId="6685EAD2" w:rsidR="00E576AF" w:rsidRDefault="00E576AF" w:rsidP="00A51AAC">
      <w:pPr>
        <w:pStyle w:val="BodyText"/>
      </w:pPr>
      <w:r w:rsidRPr="00E576AF">
        <w:rPr>
          <w:noProof/>
        </w:rPr>
        <w:drawing>
          <wp:inline distT="0" distB="0" distL="0" distR="0" wp14:anchorId="42F9E6D5" wp14:editId="5B55BAEA">
            <wp:extent cx="4915561" cy="3481856"/>
            <wp:effectExtent l="0" t="0" r="0" b="4445"/>
            <wp:docPr id="5" name="Picture 4">
              <a:extLst xmlns:a="http://schemas.openxmlformats.org/drawingml/2006/main">
                <a:ext uri="{FF2B5EF4-FFF2-40B4-BE49-F238E27FC236}">
                  <a16:creationId xmlns:a16="http://schemas.microsoft.com/office/drawing/2014/main" id="{A4189A04-34BB-E40D-9168-A3742B48D3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4189A04-34BB-E40D-9168-A3742B48D3C0}"/>
                        </a:ext>
                      </a:extLst>
                    </pic:cNvPr>
                    <pic:cNvPicPr>
                      <a:picLocks noChangeAspect="1"/>
                    </pic:cNvPicPr>
                  </pic:nvPicPr>
                  <pic:blipFill>
                    <a:blip r:embed="rId12"/>
                    <a:stretch>
                      <a:fillRect/>
                    </a:stretch>
                  </pic:blipFill>
                  <pic:spPr>
                    <a:xfrm>
                      <a:off x="0" y="0"/>
                      <a:ext cx="4920130" cy="3485092"/>
                    </a:xfrm>
                    <a:prstGeom prst="rect">
                      <a:avLst/>
                    </a:prstGeom>
                  </pic:spPr>
                </pic:pic>
              </a:graphicData>
            </a:graphic>
          </wp:inline>
        </w:drawing>
      </w:r>
    </w:p>
    <w:p w14:paraId="30B1919C" w14:textId="2E429870" w:rsidR="00E576AF" w:rsidRPr="00802381" w:rsidRDefault="00E576AF" w:rsidP="00E576AF">
      <w:pPr>
        <w:pStyle w:val="Caption"/>
        <w:ind w:left="567"/>
        <w:rPr>
          <w:i/>
          <w:sz w:val="20"/>
        </w:rPr>
      </w:pPr>
      <w:r w:rsidRPr="00802381">
        <w:rPr>
          <w:i/>
        </w:rPr>
        <w:t xml:space="preserve">FIG. </w:t>
      </w:r>
      <w:r>
        <w:rPr>
          <w:i/>
        </w:rPr>
        <w:t xml:space="preserve">2. </w:t>
      </w:r>
      <w:r w:rsidR="009C6CB1">
        <w:rPr>
          <w:i/>
        </w:rPr>
        <w:t xml:space="preserve">Evaluation of Use of </w:t>
      </w:r>
      <w:r w:rsidR="00254CBC">
        <w:rPr>
          <w:i/>
        </w:rPr>
        <w:t>Upper Tolerance Limit (</w:t>
      </w:r>
      <w:r w:rsidR="009C6CB1">
        <w:rPr>
          <w:i/>
        </w:rPr>
        <w:t>UTL</w:t>
      </w:r>
      <w:r w:rsidR="00254CBC">
        <w:rPr>
          <w:i/>
        </w:rPr>
        <w:t>)</w:t>
      </w:r>
      <w:r w:rsidR="009C6CB1">
        <w:rPr>
          <w:i/>
        </w:rPr>
        <w:t xml:space="preserve"> and </w:t>
      </w:r>
      <w:r w:rsidR="00254CBC">
        <w:rPr>
          <w:i/>
        </w:rPr>
        <w:t>Upper Simultaneous Limit (</w:t>
      </w:r>
      <w:r w:rsidR="009C6CB1">
        <w:rPr>
          <w:i/>
        </w:rPr>
        <w:t>USL</w:t>
      </w:r>
      <w:r w:rsidR="00254CBC">
        <w:rPr>
          <w:i/>
        </w:rPr>
        <w:t>)</w:t>
      </w:r>
      <w:r w:rsidR="009C6CB1">
        <w:rPr>
          <w:i/>
        </w:rPr>
        <w:t xml:space="preserve"> for a Background and Background Plus Signal </w:t>
      </w:r>
      <w:r w:rsidR="00882695">
        <w:rPr>
          <w:i/>
        </w:rPr>
        <w:t>of 3,000 cpm-to-concentration ratio.</w:t>
      </w:r>
      <w:r>
        <w:rPr>
          <w:i/>
        </w:rPr>
        <w:t xml:space="preserve">  Image credit:  NUREG</w:t>
      </w:r>
      <w:r w:rsidR="00882695">
        <w:rPr>
          <w:i/>
        </w:rPr>
        <w:t>-1507, Rev. 1</w:t>
      </w:r>
      <w:r>
        <w:rPr>
          <w:i/>
        </w:rPr>
        <w:t xml:space="preserve">, Figure </w:t>
      </w:r>
      <w:r w:rsidR="00882695">
        <w:rPr>
          <w:i/>
        </w:rPr>
        <w:t>6-7</w:t>
      </w:r>
      <w:r>
        <w:rPr>
          <w:i/>
        </w:rPr>
        <w:t>.</w:t>
      </w:r>
    </w:p>
    <w:p w14:paraId="129D6DB8" w14:textId="251F1347" w:rsidR="00E20E70" w:rsidRDefault="00961699" w:rsidP="00537496">
      <w:pPr>
        <w:pStyle w:val="Heading2"/>
      </w:pPr>
      <w:r>
        <w:t xml:space="preserve">engineered </w:t>
      </w:r>
      <w:r w:rsidR="00A519D1">
        <w:t xml:space="preserve">SURFACE </w:t>
      </w:r>
      <w:commentRangeStart w:id="0"/>
      <w:r>
        <w:t>covers</w:t>
      </w:r>
      <w:commentRangeEnd w:id="0"/>
      <w:r w:rsidR="00A519D1">
        <w:rPr>
          <w:rStyle w:val="CommentReference"/>
          <w:caps w:val="0"/>
        </w:rPr>
        <w:commentReference w:id="0"/>
      </w:r>
    </w:p>
    <w:p w14:paraId="3BD9FB30" w14:textId="707C033B" w:rsidR="00F563A6" w:rsidRDefault="00F563A6" w:rsidP="002874AA">
      <w:pPr>
        <w:pStyle w:val="BodyText"/>
        <w:ind w:firstLine="540"/>
        <w:rPr>
          <w:lang w:val="en-US"/>
        </w:rPr>
      </w:pPr>
      <w:r w:rsidRPr="00F563A6">
        <w:rPr>
          <w:lang w:val="en-US"/>
        </w:rPr>
        <w:t>Engineered surface covers can be a risk-significant barrier at many disposal sites</w:t>
      </w:r>
      <w:r w:rsidR="0020169D">
        <w:rPr>
          <w:lang w:val="en-US"/>
        </w:rPr>
        <w:t xml:space="preserve"> and most notably</w:t>
      </w:r>
      <w:r w:rsidR="002874AA">
        <w:rPr>
          <w:lang w:val="en-US"/>
        </w:rPr>
        <w:t xml:space="preserve"> uranium mill tailings </w:t>
      </w:r>
      <w:r w:rsidR="0069043A">
        <w:rPr>
          <w:lang w:val="en-US"/>
        </w:rPr>
        <w:t xml:space="preserve">disposal </w:t>
      </w:r>
      <w:r w:rsidR="002874AA">
        <w:rPr>
          <w:lang w:val="en-US"/>
        </w:rPr>
        <w:t>sites</w:t>
      </w:r>
      <w:r>
        <w:rPr>
          <w:lang w:val="en-US"/>
        </w:rPr>
        <w:t xml:space="preserve">. </w:t>
      </w:r>
      <w:r w:rsidRPr="00F563A6">
        <w:rPr>
          <w:lang w:val="en-US"/>
        </w:rPr>
        <w:t xml:space="preserve">Engineered covers </w:t>
      </w:r>
      <w:r w:rsidR="002874AA">
        <w:rPr>
          <w:lang w:val="en-US"/>
        </w:rPr>
        <w:t>serve several different functions including the following:</w:t>
      </w:r>
    </w:p>
    <w:p w14:paraId="6F5ECD14" w14:textId="77777777" w:rsidR="005803B5" w:rsidRDefault="005803B5" w:rsidP="002874AA">
      <w:pPr>
        <w:pStyle w:val="BodyText"/>
        <w:ind w:firstLine="540"/>
        <w:rPr>
          <w:lang w:val="en-US"/>
        </w:rPr>
      </w:pPr>
    </w:p>
    <w:p w14:paraId="472F9EC3" w14:textId="3B79978D" w:rsidR="00F563A6" w:rsidRPr="002874AA" w:rsidRDefault="002874AA" w:rsidP="00635FEA">
      <w:pPr>
        <w:pStyle w:val="ListEmdash"/>
        <w:numPr>
          <w:ilvl w:val="0"/>
          <w:numId w:val="34"/>
        </w:numPr>
      </w:pPr>
      <w:r w:rsidRPr="002874AA">
        <w:t>Serv</w:t>
      </w:r>
      <w:r w:rsidR="0020169D">
        <w:t>ing</w:t>
      </w:r>
      <w:r w:rsidRPr="002874AA">
        <w:t xml:space="preserve"> as an infiltration </w:t>
      </w:r>
      <w:proofErr w:type="gramStart"/>
      <w:r w:rsidRPr="002874AA">
        <w:t>barrier</w:t>
      </w:r>
      <w:r w:rsidR="00F563A6" w:rsidRPr="002874AA">
        <w:t>;</w:t>
      </w:r>
      <w:proofErr w:type="gramEnd"/>
    </w:p>
    <w:p w14:paraId="2C05F1CB" w14:textId="478D4D02" w:rsidR="00F563A6" w:rsidRPr="002874AA" w:rsidRDefault="002874AA" w:rsidP="00635FEA">
      <w:pPr>
        <w:pStyle w:val="BodyText"/>
        <w:numPr>
          <w:ilvl w:val="0"/>
          <w:numId w:val="34"/>
        </w:numPr>
      </w:pPr>
      <w:r w:rsidRPr="002874AA">
        <w:t>Limit</w:t>
      </w:r>
      <w:r w:rsidR="0020169D">
        <w:t xml:space="preserve">ing </w:t>
      </w:r>
      <w:r w:rsidRPr="002874AA">
        <w:t xml:space="preserve">dose from surface </w:t>
      </w:r>
      <w:r w:rsidR="0020169D">
        <w:t xml:space="preserve">exposure </w:t>
      </w:r>
      <w:r w:rsidRPr="002874AA">
        <w:t xml:space="preserve">pathways (external </w:t>
      </w:r>
      <w:r w:rsidR="0020169D">
        <w:t xml:space="preserve">and inhalation </w:t>
      </w:r>
      <w:r w:rsidRPr="002874AA">
        <w:t>pathway</w:t>
      </w:r>
      <w:r w:rsidR="0020169D">
        <w:t>s</w:t>
      </w:r>
      <w:proofErr w:type="gramStart"/>
      <w:r w:rsidRPr="002874AA">
        <w:t>)</w:t>
      </w:r>
      <w:r w:rsidR="00F563A6" w:rsidRPr="002874AA">
        <w:t>;</w:t>
      </w:r>
      <w:proofErr w:type="gramEnd"/>
    </w:p>
    <w:p w14:paraId="4938F554" w14:textId="7BC5D3A6" w:rsidR="00027F16" w:rsidRDefault="002874AA" w:rsidP="00635FEA">
      <w:pPr>
        <w:pStyle w:val="BodyText"/>
        <w:numPr>
          <w:ilvl w:val="0"/>
          <w:numId w:val="34"/>
        </w:numPr>
      </w:pPr>
      <w:r w:rsidRPr="002874AA">
        <w:t>Provid</w:t>
      </w:r>
      <w:r w:rsidR="0020169D">
        <w:t>ing</w:t>
      </w:r>
      <w:r w:rsidRPr="002874AA">
        <w:t xml:space="preserve"> isolation </w:t>
      </w:r>
      <w:r w:rsidR="0020169D">
        <w:t>of waste</w:t>
      </w:r>
      <w:r w:rsidRPr="002874AA">
        <w:t xml:space="preserve"> (e.g., clay barrier to mitigate release of radon)</w:t>
      </w:r>
      <w:r w:rsidR="00027F16">
        <w:t>;</w:t>
      </w:r>
      <w:r w:rsidR="00BA6E56" w:rsidRPr="00BA6E56">
        <w:t xml:space="preserve"> and </w:t>
      </w:r>
    </w:p>
    <w:p w14:paraId="2F7E87F8" w14:textId="5721C7AC" w:rsidR="00F563A6" w:rsidRDefault="007301E0" w:rsidP="00635FEA">
      <w:pPr>
        <w:pStyle w:val="BodyText"/>
        <w:numPr>
          <w:ilvl w:val="0"/>
          <w:numId w:val="34"/>
        </w:numPr>
      </w:pPr>
      <w:r>
        <w:t xml:space="preserve">Provide physical </w:t>
      </w:r>
      <w:r w:rsidR="00BA6E56" w:rsidRPr="00BA6E56">
        <w:t>stability</w:t>
      </w:r>
      <w:r w:rsidR="00F94208">
        <w:t>.</w:t>
      </w:r>
    </w:p>
    <w:p w14:paraId="45F5E900" w14:textId="77777777" w:rsidR="00A55F54" w:rsidRPr="00F563A6" w:rsidRDefault="00A55F54" w:rsidP="00635FEA">
      <w:pPr>
        <w:pStyle w:val="BodyText"/>
        <w:ind w:left="709" w:firstLine="0"/>
      </w:pPr>
    </w:p>
    <w:p w14:paraId="377B406A" w14:textId="4C5DA9F2" w:rsidR="00717C6F" w:rsidRDefault="002874AA" w:rsidP="00F563A6">
      <w:pPr>
        <w:pStyle w:val="BodyText"/>
        <w:rPr>
          <w:lang w:val="en-US"/>
        </w:rPr>
      </w:pPr>
      <w:r>
        <w:rPr>
          <w:lang w:val="en-US"/>
        </w:rPr>
        <w:t xml:space="preserve">The regulations in </w:t>
      </w:r>
      <w:r w:rsidR="00C673D7">
        <w:rPr>
          <w:lang w:val="en-US"/>
        </w:rPr>
        <w:t xml:space="preserve">10 Code of Federal Regulations </w:t>
      </w:r>
      <w:r w:rsidR="00F94208">
        <w:rPr>
          <w:lang w:val="en-US"/>
        </w:rPr>
        <w:t xml:space="preserve">(CFR) </w:t>
      </w:r>
      <w:r w:rsidR="00741B5E">
        <w:rPr>
          <w:lang w:val="en-US"/>
        </w:rPr>
        <w:t xml:space="preserve">Part </w:t>
      </w:r>
      <w:r w:rsidR="001C470D">
        <w:rPr>
          <w:lang w:val="en-US"/>
        </w:rPr>
        <w:t>4</w:t>
      </w:r>
      <w:r w:rsidR="00C673D7">
        <w:rPr>
          <w:lang w:val="en-US"/>
        </w:rPr>
        <w:t xml:space="preserve">0, Appendix A, provide that control of radiological hazards </w:t>
      </w:r>
      <w:r w:rsidR="0015582A">
        <w:rPr>
          <w:lang w:val="en-US"/>
        </w:rPr>
        <w:t xml:space="preserve">should be effective </w:t>
      </w:r>
      <w:r w:rsidR="00926D67">
        <w:rPr>
          <w:lang w:val="en-US"/>
        </w:rPr>
        <w:t xml:space="preserve">for 1,000 years, to the extent reasonably achievable, and in any case, for at </w:t>
      </w:r>
      <w:r w:rsidR="00F94208">
        <w:rPr>
          <w:lang w:val="en-US"/>
        </w:rPr>
        <w:t xml:space="preserve">least </w:t>
      </w:r>
      <w:r w:rsidR="0015582A">
        <w:rPr>
          <w:lang w:val="en-US"/>
        </w:rPr>
        <w:t>200 years.</w:t>
      </w:r>
      <w:r w:rsidR="00ED67F3">
        <w:rPr>
          <w:lang w:val="en-US"/>
        </w:rPr>
        <w:t xml:space="preserve"> However, v</w:t>
      </w:r>
      <w:r w:rsidR="00F563A6" w:rsidRPr="00F563A6">
        <w:rPr>
          <w:lang w:val="en-US"/>
        </w:rPr>
        <w:t xml:space="preserve">arious degradation mechanisms have been observed at uranium mill tailings </w:t>
      </w:r>
      <w:r w:rsidR="00B51531">
        <w:rPr>
          <w:lang w:val="en-US"/>
        </w:rPr>
        <w:t>disp</w:t>
      </w:r>
      <w:r w:rsidR="00555994">
        <w:rPr>
          <w:lang w:val="en-US"/>
        </w:rPr>
        <w:t xml:space="preserve">osal </w:t>
      </w:r>
      <w:r w:rsidR="00F563A6" w:rsidRPr="00F563A6">
        <w:rPr>
          <w:lang w:val="en-US"/>
        </w:rPr>
        <w:t xml:space="preserve">sites </w:t>
      </w:r>
      <w:r w:rsidR="00926D67">
        <w:rPr>
          <w:lang w:val="en-US"/>
        </w:rPr>
        <w:t xml:space="preserve">operating for </w:t>
      </w:r>
      <w:r w:rsidR="0073420F">
        <w:rPr>
          <w:lang w:val="en-US"/>
        </w:rPr>
        <w:t>just a</w:t>
      </w:r>
      <w:r w:rsidR="00926D67">
        <w:rPr>
          <w:lang w:val="en-US"/>
        </w:rPr>
        <w:t xml:space="preserve"> few years or decades </w:t>
      </w:r>
      <w:r w:rsidR="00F563A6" w:rsidRPr="00F563A6">
        <w:rPr>
          <w:lang w:val="en-US"/>
        </w:rPr>
        <w:t xml:space="preserve">(e.g., </w:t>
      </w:r>
      <w:proofErr w:type="gramStart"/>
      <w:r w:rsidR="00ED67F3">
        <w:rPr>
          <w:lang w:val="en-US"/>
        </w:rPr>
        <w:t>surface</w:t>
      </w:r>
      <w:proofErr w:type="gramEnd"/>
      <w:r w:rsidR="00ED67F3">
        <w:rPr>
          <w:lang w:val="en-US"/>
        </w:rPr>
        <w:t xml:space="preserve"> and subsurface </w:t>
      </w:r>
      <w:r w:rsidR="00F563A6" w:rsidRPr="00F563A6">
        <w:rPr>
          <w:lang w:val="en-US"/>
        </w:rPr>
        <w:t>erosion</w:t>
      </w:r>
      <w:r w:rsidR="00ED67F3">
        <w:rPr>
          <w:lang w:val="en-US"/>
        </w:rPr>
        <w:t>;</w:t>
      </w:r>
      <w:r w:rsidR="00F563A6">
        <w:rPr>
          <w:lang w:val="en-US"/>
        </w:rPr>
        <w:t xml:space="preserve"> </w:t>
      </w:r>
      <w:r w:rsidR="00F563A6" w:rsidRPr="00F563A6">
        <w:rPr>
          <w:lang w:val="en-US"/>
        </w:rPr>
        <w:t>deposition</w:t>
      </w:r>
      <w:r w:rsidR="008B0DA9">
        <w:rPr>
          <w:lang w:val="en-US"/>
        </w:rPr>
        <w:t xml:space="preserve"> </w:t>
      </w:r>
      <w:r w:rsidR="00926D67">
        <w:rPr>
          <w:lang w:val="en-US"/>
        </w:rPr>
        <w:t xml:space="preserve">of material </w:t>
      </w:r>
      <w:r w:rsidR="008B0DA9">
        <w:rPr>
          <w:lang w:val="en-US"/>
        </w:rPr>
        <w:t xml:space="preserve">in </w:t>
      </w:r>
      <w:r w:rsidR="009F63E1">
        <w:rPr>
          <w:lang w:val="en-US"/>
        </w:rPr>
        <w:t>riprap</w:t>
      </w:r>
      <w:r w:rsidR="00ED67F3">
        <w:rPr>
          <w:lang w:val="en-US"/>
        </w:rPr>
        <w:t>;</w:t>
      </w:r>
      <w:r w:rsidR="00F563A6" w:rsidRPr="00F563A6">
        <w:rPr>
          <w:lang w:val="en-US"/>
        </w:rPr>
        <w:t xml:space="preserve"> pedogenic processes</w:t>
      </w:r>
      <w:r w:rsidR="008B0DA9">
        <w:rPr>
          <w:lang w:val="en-US"/>
        </w:rPr>
        <w:t xml:space="preserve"> </w:t>
      </w:r>
      <w:r w:rsidR="005803B5">
        <w:rPr>
          <w:lang w:val="en-US"/>
        </w:rPr>
        <w:t xml:space="preserve">leading to </w:t>
      </w:r>
      <w:r w:rsidR="009F63E1">
        <w:rPr>
          <w:lang w:val="en-US"/>
        </w:rPr>
        <w:t xml:space="preserve">loosening of </w:t>
      </w:r>
      <w:r w:rsidR="008B0DA9">
        <w:rPr>
          <w:lang w:val="en-US"/>
        </w:rPr>
        <w:t>compact</w:t>
      </w:r>
      <w:r w:rsidR="009F63E1">
        <w:rPr>
          <w:lang w:val="en-US"/>
        </w:rPr>
        <w:t>ed</w:t>
      </w:r>
      <w:r w:rsidR="008B0DA9">
        <w:rPr>
          <w:lang w:val="en-US"/>
        </w:rPr>
        <w:t xml:space="preserve"> cover materials;</w:t>
      </w:r>
      <w:r w:rsidR="00F563A6" w:rsidRPr="00F563A6">
        <w:rPr>
          <w:lang w:val="en-US"/>
        </w:rPr>
        <w:t xml:space="preserve"> subsidence and differential settlement)</w:t>
      </w:r>
      <w:r w:rsidR="00741B5E">
        <w:rPr>
          <w:lang w:val="en-US"/>
        </w:rPr>
        <w:t>. These degradation mechanisms</w:t>
      </w:r>
      <w:r w:rsidR="005803B5">
        <w:rPr>
          <w:lang w:val="en-US"/>
        </w:rPr>
        <w:t xml:space="preserve"> </w:t>
      </w:r>
      <w:r w:rsidR="00741B5E">
        <w:rPr>
          <w:lang w:val="en-US"/>
        </w:rPr>
        <w:t xml:space="preserve">and observations appear to </w:t>
      </w:r>
      <w:r w:rsidR="005803B5">
        <w:rPr>
          <w:lang w:val="en-US"/>
        </w:rPr>
        <w:t>challeng</w:t>
      </w:r>
      <w:r w:rsidR="00741B5E">
        <w:rPr>
          <w:lang w:val="en-US"/>
        </w:rPr>
        <w:t>e</w:t>
      </w:r>
      <w:r w:rsidR="005803B5">
        <w:rPr>
          <w:lang w:val="en-US"/>
        </w:rPr>
        <w:t xml:space="preserve"> the performance </w:t>
      </w:r>
      <w:r w:rsidR="00741B5E">
        <w:rPr>
          <w:lang w:val="en-US"/>
        </w:rPr>
        <w:t>criteria</w:t>
      </w:r>
      <w:r w:rsidR="005803B5">
        <w:rPr>
          <w:lang w:val="en-US"/>
        </w:rPr>
        <w:t xml:space="preserve"> </w:t>
      </w:r>
      <w:r w:rsidR="00741B5E">
        <w:rPr>
          <w:lang w:val="en-US"/>
        </w:rPr>
        <w:t xml:space="preserve">for uranium mill tailings </w:t>
      </w:r>
      <w:r w:rsidR="00DE21EE">
        <w:rPr>
          <w:lang w:val="en-US"/>
        </w:rPr>
        <w:t xml:space="preserve">disposal </w:t>
      </w:r>
      <w:r w:rsidR="00741B5E">
        <w:rPr>
          <w:lang w:val="en-US"/>
        </w:rPr>
        <w:t>sites in 10 CFR Part 40, Appendix A</w:t>
      </w:r>
      <w:r w:rsidR="00F563A6">
        <w:rPr>
          <w:lang w:val="en-US"/>
        </w:rPr>
        <w:t xml:space="preserve">. </w:t>
      </w:r>
      <w:r w:rsidR="00F563A6" w:rsidRPr="00F563A6">
        <w:rPr>
          <w:lang w:val="en-US"/>
        </w:rPr>
        <w:t xml:space="preserve">NRC </w:t>
      </w:r>
      <w:r w:rsidR="00741B5E">
        <w:rPr>
          <w:lang w:val="en-US"/>
        </w:rPr>
        <w:t xml:space="preserve">has </w:t>
      </w:r>
      <w:r w:rsidR="00F563A6" w:rsidRPr="00F563A6">
        <w:rPr>
          <w:lang w:val="en-US"/>
        </w:rPr>
        <w:t>sponsored many projects</w:t>
      </w:r>
      <w:r w:rsidR="00741B5E">
        <w:rPr>
          <w:lang w:val="en-US"/>
        </w:rPr>
        <w:t xml:space="preserve"> and </w:t>
      </w:r>
      <w:r w:rsidR="00F563A6" w:rsidRPr="00F563A6">
        <w:rPr>
          <w:lang w:val="en-US"/>
        </w:rPr>
        <w:t>activities to study the long-term performance of engineered surface covers</w:t>
      </w:r>
      <w:r w:rsidR="00F563A6">
        <w:rPr>
          <w:lang w:val="en-US"/>
        </w:rPr>
        <w:t xml:space="preserve"> </w:t>
      </w:r>
      <w:r w:rsidR="005803B5">
        <w:rPr>
          <w:lang w:val="en-US"/>
        </w:rPr>
        <w:t>including</w:t>
      </w:r>
      <w:r w:rsidR="00741B5E">
        <w:rPr>
          <w:lang w:val="en-US"/>
        </w:rPr>
        <w:t xml:space="preserve"> </w:t>
      </w:r>
      <w:r w:rsidR="008A2951">
        <w:rPr>
          <w:lang w:val="en-US"/>
        </w:rPr>
        <w:t xml:space="preserve">modeling, field </w:t>
      </w:r>
      <w:r w:rsidR="005803B5">
        <w:rPr>
          <w:lang w:val="en-US"/>
        </w:rPr>
        <w:t xml:space="preserve">studies, and </w:t>
      </w:r>
      <w:r w:rsidR="005803B5">
        <w:rPr>
          <w:lang w:val="en-US"/>
        </w:rPr>
        <w:lastRenderedPageBreak/>
        <w:t>conferences</w:t>
      </w:r>
      <w:r w:rsidR="00435AAA">
        <w:rPr>
          <w:lang w:val="en-US"/>
        </w:rPr>
        <w:t xml:space="preserve"> </w:t>
      </w:r>
      <w:r w:rsidR="009D6605">
        <w:rPr>
          <w:lang w:val="en-US"/>
        </w:rPr>
        <w:t>(see Table 1 below).</w:t>
      </w:r>
      <w:r w:rsidR="0073420F">
        <w:rPr>
          <w:lang w:val="en-US"/>
        </w:rPr>
        <w:t xml:space="preserve"> </w:t>
      </w:r>
      <w:r w:rsidR="005F253C">
        <w:rPr>
          <w:lang w:val="en-US"/>
        </w:rPr>
        <w:t xml:space="preserve">One type of </w:t>
      </w:r>
      <w:r w:rsidR="000169DE">
        <w:rPr>
          <w:lang w:val="en-US"/>
        </w:rPr>
        <w:t xml:space="preserve">engineered </w:t>
      </w:r>
      <w:r w:rsidR="00996C16">
        <w:rPr>
          <w:lang w:val="en-US"/>
        </w:rPr>
        <w:t xml:space="preserve">surface cover that has experienced increased interest in recent years </w:t>
      </w:r>
      <w:r w:rsidR="004B4064">
        <w:rPr>
          <w:lang w:val="en-US"/>
        </w:rPr>
        <w:t>is the</w:t>
      </w:r>
      <w:r w:rsidR="00996C16">
        <w:rPr>
          <w:lang w:val="en-US"/>
        </w:rPr>
        <w:t xml:space="preserve"> </w:t>
      </w:r>
      <w:r w:rsidR="00996C16" w:rsidRPr="00996C16">
        <w:rPr>
          <w:lang w:val="en-US"/>
        </w:rPr>
        <w:t>evapotranspiration cover (ET cover)</w:t>
      </w:r>
      <w:r w:rsidR="00996C16">
        <w:rPr>
          <w:lang w:val="en-US"/>
        </w:rPr>
        <w:t xml:space="preserve">. </w:t>
      </w:r>
      <w:r w:rsidR="00C702B0">
        <w:rPr>
          <w:lang w:val="en-US"/>
        </w:rPr>
        <w:t xml:space="preserve">The United </w:t>
      </w:r>
      <w:r w:rsidR="00A44297">
        <w:rPr>
          <w:lang w:val="en-US"/>
        </w:rPr>
        <w:t xml:space="preserve">States Department of Energy (DOE) </w:t>
      </w:r>
      <w:r w:rsidR="000169DE">
        <w:rPr>
          <w:lang w:val="en-US"/>
        </w:rPr>
        <w:t xml:space="preserve">is currently evaluating the use of ET covers at their </w:t>
      </w:r>
      <w:r w:rsidR="000169DE" w:rsidRPr="000169DE">
        <w:rPr>
          <w:lang w:val="en-US"/>
        </w:rPr>
        <w:t xml:space="preserve">uranium mill tailings </w:t>
      </w:r>
      <w:r w:rsidR="000169DE">
        <w:rPr>
          <w:lang w:val="en-US"/>
        </w:rPr>
        <w:t xml:space="preserve">disposal </w:t>
      </w:r>
      <w:r w:rsidR="000169DE" w:rsidRPr="000169DE">
        <w:rPr>
          <w:lang w:val="en-US"/>
        </w:rPr>
        <w:t>sites</w:t>
      </w:r>
      <w:r w:rsidR="000169DE">
        <w:rPr>
          <w:lang w:val="en-US"/>
        </w:rPr>
        <w:t>.</w:t>
      </w:r>
      <w:r w:rsidR="000169DE" w:rsidRPr="000169DE">
        <w:rPr>
          <w:lang w:val="en-US"/>
        </w:rPr>
        <w:t xml:space="preserve"> </w:t>
      </w:r>
      <w:r w:rsidR="00F563A6" w:rsidRPr="00F563A6">
        <w:rPr>
          <w:lang w:val="en-US"/>
        </w:rPr>
        <w:t>NRC is</w:t>
      </w:r>
      <w:r w:rsidR="00C86EF1">
        <w:rPr>
          <w:lang w:val="en-US"/>
        </w:rPr>
        <w:t xml:space="preserve"> currently</w:t>
      </w:r>
      <w:r w:rsidR="00F563A6" w:rsidRPr="00F563A6">
        <w:rPr>
          <w:lang w:val="en-US"/>
        </w:rPr>
        <w:t xml:space="preserve"> developing draft guidance for designing, constructing, and monitoring ET covers</w:t>
      </w:r>
      <w:r w:rsidR="00F563A6">
        <w:rPr>
          <w:lang w:val="en-US"/>
        </w:rPr>
        <w:t>.</w:t>
      </w:r>
      <w:r w:rsidR="0073420F">
        <w:rPr>
          <w:lang w:val="en-US"/>
        </w:rPr>
        <w:t xml:space="preserve"> </w:t>
      </w:r>
      <w:r w:rsidR="00F563A6">
        <w:rPr>
          <w:lang w:val="en-US"/>
        </w:rPr>
        <w:t xml:space="preserve"> </w:t>
      </w:r>
    </w:p>
    <w:p w14:paraId="6D51ABEE" w14:textId="713DAEC3" w:rsidR="00C86EF1" w:rsidRDefault="00C86EF1" w:rsidP="00F563A6">
      <w:pPr>
        <w:pStyle w:val="BodyText"/>
        <w:rPr>
          <w:lang w:val="en-US"/>
        </w:rPr>
      </w:pPr>
    </w:p>
    <w:p w14:paraId="74C88EBE" w14:textId="711D6188" w:rsidR="00FA5097" w:rsidRDefault="00FA5097" w:rsidP="00FA5097">
      <w:pPr>
        <w:pStyle w:val="BodyText"/>
        <w:ind w:firstLine="0"/>
      </w:pPr>
      <w:r>
        <w:t>TABLE 1.</w:t>
      </w:r>
      <w:r>
        <w:tab/>
      </w:r>
      <w:r w:rsidR="004B4064">
        <w:t xml:space="preserve">NRC </w:t>
      </w:r>
      <w:r>
        <w:t>Technical Reports on Engineered Surface Covers</w:t>
      </w:r>
    </w:p>
    <w:p w14:paraId="4D1906D5" w14:textId="77777777" w:rsidR="00FA5097" w:rsidRDefault="00FA5097" w:rsidP="00FA5097">
      <w:pPr>
        <w:pStyle w:val="BodyText"/>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5369"/>
      </w:tblGrid>
      <w:tr w:rsidR="00FA5097" w14:paraId="381829ED" w14:textId="77777777" w:rsidTr="00FA5097">
        <w:trPr>
          <w:jc w:val="center"/>
        </w:trPr>
        <w:tc>
          <w:tcPr>
            <w:tcW w:w="1741" w:type="dxa"/>
            <w:tcBorders>
              <w:top w:val="single" w:sz="4" w:space="0" w:color="auto"/>
              <w:left w:val="nil"/>
              <w:bottom w:val="single" w:sz="4" w:space="0" w:color="auto"/>
              <w:right w:val="nil"/>
            </w:tcBorders>
            <w:hideMark/>
          </w:tcPr>
          <w:p w14:paraId="5428044D" w14:textId="0F4019B3" w:rsidR="00FA5097" w:rsidRDefault="00FA5097">
            <w:pPr>
              <w:pStyle w:val="BodyText"/>
              <w:ind w:firstLine="0"/>
              <w:rPr>
                <w:lang w:eastAsia="en-GB"/>
              </w:rPr>
            </w:pPr>
            <w:r>
              <w:rPr>
                <w:lang w:eastAsia="en-GB"/>
              </w:rPr>
              <w:t>NUREG number</w:t>
            </w:r>
          </w:p>
        </w:tc>
        <w:tc>
          <w:tcPr>
            <w:tcW w:w="5369" w:type="dxa"/>
            <w:tcBorders>
              <w:top w:val="single" w:sz="4" w:space="0" w:color="auto"/>
              <w:left w:val="nil"/>
              <w:bottom w:val="single" w:sz="4" w:space="0" w:color="auto"/>
              <w:right w:val="nil"/>
            </w:tcBorders>
            <w:hideMark/>
          </w:tcPr>
          <w:p w14:paraId="1E39DF88" w14:textId="07E2B122" w:rsidR="00FA5097" w:rsidRDefault="00FA5097">
            <w:pPr>
              <w:pStyle w:val="BodyText"/>
              <w:ind w:firstLine="0"/>
              <w:jc w:val="center"/>
              <w:rPr>
                <w:lang w:eastAsia="en-GB"/>
              </w:rPr>
            </w:pPr>
            <w:r>
              <w:rPr>
                <w:lang w:eastAsia="en-GB"/>
              </w:rPr>
              <w:t>Title</w:t>
            </w:r>
          </w:p>
        </w:tc>
      </w:tr>
      <w:tr w:rsidR="00FA5097" w14:paraId="033B6B79" w14:textId="77777777" w:rsidTr="00FA5097">
        <w:trPr>
          <w:jc w:val="center"/>
        </w:trPr>
        <w:tc>
          <w:tcPr>
            <w:tcW w:w="1741" w:type="dxa"/>
            <w:tcBorders>
              <w:top w:val="single" w:sz="4" w:space="0" w:color="auto"/>
              <w:left w:val="nil"/>
              <w:bottom w:val="nil"/>
              <w:right w:val="nil"/>
            </w:tcBorders>
            <w:hideMark/>
          </w:tcPr>
          <w:p w14:paraId="120D378D" w14:textId="467D4565" w:rsidR="00FA5097" w:rsidRDefault="00FA5097">
            <w:pPr>
              <w:pStyle w:val="BodyText"/>
              <w:ind w:firstLine="0"/>
              <w:rPr>
                <w:lang w:eastAsia="en-GB"/>
              </w:rPr>
            </w:pPr>
            <w:r>
              <w:rPr>
                <w:lang w:eastAsia="en-GB"/>
              </w:rPr>
              <w:t>NUREG-1623</w:t>
            </w:r>
          </w:p>
        </w:tc>
        <w:tc>
          <w:tcPr>
            <w:tcW w:w="5369" w:type="dxa"/>
            <w:tcBorders>
              <w:top w:val="single" w:sz="4" w:space="0" w:color="auto"/>
              <w:left w:val="nil"/>
              <w:bottom w:val="nil"/>
              <w:right w:val="nil"/>
            </w:tcBorders>
            <w:hideMark/>
          </w:tcPr>
          <w:p w14:paraId="2018D685" w14:textId="4CA78A45" w:rsidR="00FA5097" w:rsidRDefault="00FA5097">
            <w:pPr>
              <w:pStyle w:val="BodyText"/>
              <w:ind w:firstLine="0"/>
              <w:jc w:val="center"/>
              <w:rPr>
                <w:lang w:eastAsia="en-GB"/>
              </w:rPr>
            </w:pPr>
            <w:r>
              <w:rPr>
                <w:lang w:eastAsia="en-GB"/>
              </w:rPr>
              <w:t>Design of Erosion Protection for Long-Term Stabilization</w:t>
            </w:r>
          </w:p>
        </w:tc>
      </w:tr>
      <w:tr w:rsidR="00FA5097" w14:paraId="46D28714" w14:textId="77777777" w:rsidTr="00CA57AF">
        <w:trPr>
          <w:jc w:val="center"/>
        </w:trPr>
        <w:tc>
          <w:tcPr>
            <w:tcW w:w="1741" w:type="dxa"/>
            <w:tcBorders>
              <w:top w:val="nil"/>
              <w:left w:val="nil"/>
              <w:bottom w:val="nil"/>
              <w:right w:val="nil"/>
            </w:tcBorders>
            <w:hideMark/>
          </w:tcPr>
          <w:p w14:paraId="1996A48D" w14:textId="3323F488" w:rsidR="00FA5097" w:rsidRDefault="00FA5097">
            <w:pPr>
              <w:pStyle w:val="BodyText"/>
              <w:ind w:firstLine="0"/>
              <w:rPr>
                <w:lang w:eastAsia="en-GB"/>
              </w:rPr>
            </w:pPr>
            <w:r>
              <w:rPr>
                <w:lang w:eastAsia="en-GB"/>
              </w:rPr>
              <w:t>NUREG/CR-7028</w:t>
            </w:r>
          </w:p>
        </w:tc>
        <w:tc>
          <w:tcPr>
            <w:tcW w:w="5369" w:type="dxa"/>
            <w:tcBorders>
              <w:top w:val="nil"/>
              <w:left w:val="nil"/>
              <w:bottom w:val="nil"/>
              <w:right w:val="nil"/>
            </w:tcBorders>
            <w:hideMark/>
          </w:tcPr>
          <w:p w14:paraId="57936A3A" w14:textId="77777777" w:rsidR="00FA5097" w:rsidRDefault="00FA5097">
            <w:pPr>
              <w:pStyle w:val="BodyText"/>
              <w:ind w:firstLine="0"/>
              <w:jc w:val="center"/>
              <w:rPr>
                <w:lang w:eastAsia="en-GB"/>
              </w:rPr>
            </w:pPr>
            <w:r>
              <w:rPr>
                <w:lang w:eastAsia="en-GB"/>
              </w:rPr>
              <w:t>Engineered Covers for Waste Containment: Changes in Engineering Properties and Implications for Long-term Performance Assessment</w:t>
            </w:r>
          </w:p>
          <w:p w14:paraId="4333736A" w14:textId="0A10FFF8" w:rsidR="00CA57AF" w:rsidRDefault="00CA57AF">
            <w:pPr>
              <w:pStyle w:val="BodyText"/>
              <w:ind w:firstLine="0"/>
              <w:jc w:val="center"/>
              <w:rPr>
                <w:lang w:eastAsia="en-GB"/>
              </w:rPr>
            </w:pPr>
          </w:p>
        </w:tc>
      </w:tr>
      <w:tr w:rsidR="00CA57AF" w14:paraId="775944F3" w14:textId="77777777" w:rsidTr="00CA57AF">
        <w:trPr>
          <w:jc w:val="center"/>
        </w:trPr>
        <w:tc>
          <w:tcPr>
            <w:tcW w:w="1741" w:type="dxa"/>
            <w:tcBorders>
              <w:top w:val="nil"/>
              <w:left w:val="nil"/>
              <w:bottom w:val="nil"/>
              <w:right w:val="nil"/>
            </w:tcBorders>
          </w:tcPr>
          <w:p w14:paraId="0E11D64F" w14:textId="68995CF9" w:rsidR="00CA57AF" w:rsidRDefault="00CA57AF">
            <w:pPr>
              <w:pStyle w:val="BodyText"/>
              <w:ind w:firstLine="0"/>
              <w:rPr>
                <w:lang w:eastAsia="en-GB"/>
              </w:rPr>
            </w:pPr>
            <w:r>
              <w:rPr>
                <w:lang w:eastAsia="en-GB"/>
              </w:rPr>
              <w:t>NUREG/CP-0195</w:t>
            </w:r>
          </w:p>
        </w:tc>
        <w:tc>
          <w:tcPr>
            <w:tcW w:w="5369" w:type="dxa"/>
            <w:tcBorders>
              <w:top w:val="nil"/>
              <w:left w:val="nil"/>
              <w:bottom w:val="nil"/>
              <w:right w:val="nil"/>
            </w:tcBorders>
          </w:tcPr>
          <w:p w14:paraId="5D5740AE" w14:textId="447941D7" w:rsidR="00CA57AF" w:rsidRDefault="00CA57AF" w:rsidP="005803B5">
            <w:pPr>
              <w:pStyle w:val="BodyText"/>
              <w:ind w:firstLine="0"/>
              <w:jc w:val="center"/>
              <w:rPr>
                <w:lang w:eastAsia="en-GB"/>
              </w:rPr>
            </w:pPr>
            <w:r>
              <w:rPr>
                <w:lang w:eastAsia="en-GB"/>
              </w:rPr>
              <w:t>Proceedings of the Workshop on Engineered Barrier Performance Related to Low-Level Radioactive Waste, Decommissioning, and Uranium Mill Tailings Facilities</w:t>
            </w:r>
          </w:p>
        </w:tc>
      </w:tr>
      <w:tr w:rsidR="00CA57AF" w14:paraId="54D58311" w14:textId="77777777" w:rsidTr="00CA57AF">
        <w:trPr>
          <w:jc w:val="center"/>
        </w:trPr>
        <w:tc>
          <w:tcPr>
            <w:tcW w:w="1741" w:type="dxa"/>
            <w:tcBorders>
              <w:top w:val="nil"/>
              <w:left w:val="nil"/>
              <w:bottom w:val="nil"/>
              <w:right w:val="nil"/>
            </w:tcBorders>
          </w:tcPr>
          <w:p w14:paraId="51F1A3A2" w14:textId="72594CF3" w:rsidR="00CA57AF" w:rsidRDefault="00CA57AF">
            <w:pPr>
              <w:pStyle w:val="BodyText"/>
              <w:ind w:firstLine="0"/>
              <w:rPr>
                <w:lang w:eastAsia="en-GB"/>
              </w:rPr>
            </w:pPr>
            <w:r>
              <w:rPr>
                <w:lang w:eastAsia="en-GB"/>
              </w:rPr>
              <w:t>NUREG/CR-</w:t>
            </w:r>
            <w:r w:rsidR="00173B21">
              <w:rPr>
                <w:lang w:eastAsia="en-GB"/>
              </w:rPr>
              <w:t>7200</w:t>
            </w:r>
          </w:p>
        </w:tc>
        <w:tc>
          <w:tcPr>
            <w:tcW w:w="5369" w:type="dxa"/>
            <w:tcBorders>
              <w:top w:val="nil"/>
              <w:left w:val="nil"/>
              <w:bottom w:val="nil"/>
              <w:right w:val="nil"/>
            </w:tcBorders>
          </w:tcPr>
          <w:p w14:paraId="3E1F60E8" w14:textId="0F4697BC" w:rsidR="00CA57AF" w:rsidRDefault="00173B21">
            <w:pPr>
              <w:pStyle w:val="BodyText"/>
              <w:ind w:firstLine="0"/>
              <w:jc w:val="center"/>
              <w:rPr>
                <w:lang w:eastAsia="en-GB"/>
              </w:rPr>
            </w:pPr>
            <w:r>
              <w:rPr>
                <w:lang w:eastAsia="en-GB"/>
              </w:rPr>
              <w:t>Influence of Coupling Erosion and Hydrology on the Long-Term Performance of Engineered Surface Barriers</w:t>
            </w:r>
          </w:p>
        </w:tc>
      </w:tr>
      <w:tr w:rsidR="00CA57AF" w14:paraId="7E8FE565" w14:textId="77777777" w:rsidTr="00FA5097">
        <w:trPr>
          <w:jc w:val="center"/>
        </w:trPr>
        <w:tc>
          <w:tcPr>
            <w:tcW w:w="1741" w:type="dxa"/>
            <w:tcBorders>
              <w:top w:val="nil"/>
              <w:left w:val="nil"/>
              <w:bottom w:val="single" w:sz="4" w:space="0" w:color="auto"/>
              <w:right w:val="nil"/>
            </w:tcBorders>
          </w:tcPr>
          <w:p w14:paraId="2FEF1569" w14:textId="1B6ACC1F" w:rsidR="00CA57AF" w:rsidRDefault="00173B21">
            <w:pPr>
              <w:pStyle w:val="BodyText"/>
              <w:ind w:firstLine="0"/>
              <w:rPr>
                <w:lang w:eastAsia="en-GB"/>
              </w:rPr>
            </w:pPr>
            <w:r>
              <w:rPr>
                <w:lang w:eastAsia="en-GB"/>
              </w:rPr>
              <w:t>NUREG/CR-7288</w:t>
            </w:r>
          </w:p>
        </w:tc>
        <w:tc>
          <w:tcPr>
            <w:tcW w:w="5369" w:type="dxa"/>
            <w:tcBorders>
              <w:top w:val="nil"/>
              <w:left w:val="nil"/>
              <w:bottom w:val="single" w:sz="4" w:space="0" w:color="auto"/>
              <w:right w:val="nil"/>
            </w:tcBorders>
          </w:tcPr>
          <w:p w14:paraId="021519EA" w14:textId="1B8B489B" w:rsidR="00CA57AF" w:rsidRDefault="00173B21">
            <w:pPr>
              <w:pStyle w:val="BodyText"/>
              <w:ind w:firstLine="0"/>
              <w:jc w:val="center"/>
              <w:rPr>
                <w:lang w:eastAsia="en-GB"/>
              </w:rPr>
            </w:pPr>
            <w:r>
              <w:rPr>
                <w:lang w:eastAsia="en-GB"/>
              </w:rPr>
              <w:t>Evaluation of In-Service Radon Barriers over Uranium Mill Tailings Disposal Facilities</w:t>
            </w:r>
          </w:p>
        </w:tc>
      </w:tr>
    </w:tbl>
    <w:p w14:paraId="66665EDB" w14:textId="77777777" w:rsidR="00C86EF1" w:rsidRDefault="00C86EF1" w:rsidP="00F563A6">
      <w:pPr>
        <w:pStyle w:val="BodyText"/>
      </w:pPr>
    </w:p>
    <w:p w14:paraId="2724CCEF" w14:textId="08526CED" w:rsidR="00E677E5" w:rsidRDefault="00E677E5" w:rsidP="00E677E5">
      <w:pPr>
        <w:pStyle w:val="Heading2"/>
      </w:pPr>
      <w:r>
        <w:t>PUBLIC OUTREACH</w:t>
      </w:r>
    </w:p>
    <w:p w14:paraId="5D297299" w14:textId="6A821DFB" w:rsidR="00E677E5" w:rsidRDefault="00E677E5" w:rsidP="00E677E5">
      <w:pPr>
        <w:pStyle w:val="BodyText"/>
      </w:pPr>
      <w:r>
        <w:t xml:space="preserve">NRC has </w:t>
      </w:r>
      <w:r w:rsidR="000D3763">
        <w:t xml:space="preserve">recently </w:t>
      </w:r>
      <w:r>
        <w:t xml:space="preserve">hosted </w:t>
      </w:r>
      <w:r w:rsidR="009B1629">
        <w:t>several</w:t>
      </w:r>
      <w:r>
        <w:t xml:space="preserve"> public meetings and workshops </w:t>
      </w:r>
      <w:r w:rsidR="0058540B">
        <w:t xml:space="preserve">to </w:t>
      </w:r>
      <w:r w:rsidR="000659D4">
        <w:t>keep</w:t>
      </w:r>
      <w:r w:rsidR="0058540B">
        <w:t xml:space="preserve"> interested stakeholders </w:t>
      </w:r>
      <w:r w:rsidR="005032AF">
        <w:t xml:space="preserve">involved in the guidance development </w:t>
      </w:r>
      <w:r w:rsidR="00D96BA7">
        <w:t>process. Two subsurface investigations were held in July 2021 and May 2022, and a discrete radioactive particles workshop in November 2022. NRC also maintains an external web site that provides information on</w:t>
      </w:r>
      <w:r w:rsidR="0058540B">
        <w:t xml:space="preserve"> upcoming meeting</w:t>
      </w:r>
      <w:r w:rsidR="00D96BA7">
        <w:t>s</w:t>
      </w:r>
      <w:r w:rsidR="0058540B">
        <w:t xml:space="preserve">, publication of </w:t>
      </w:r>
      <w:r w:rsidR="000D3763">
        <w:t xml:space="preserve">draft </w:t>
      </w:r>
      <w:r w:rsidR="0058540B">
        <w:t>documents</w:t>
      </w:r>
      <w:r w:rsidR="000D3763">
        <w:t xml:space="preserve"> for comment</w:t>
      </w:r>
      <w:r w:rsidR="000659D4">
        <w:t xml:space="preserve"> (or final document issuance)</w:t>
      </w:r>
      <w:r w:rsidR="0058540B">
        <w:t xml:space="preserve">, and </w:t>
      </w:r>
      <w:r w:rsidR="000659D4">
        <w:t xml:space="preserve">to </w:t>
      </w:r>
      <w:r w:rsidR="0058540B">
        <w:t xml:space="preserve">share information on </w:t>
      </w:r>
      <w:r w:rsidR="000D3763">
        <w:t xml:space="preserve">the results and findings from </w:t>
      </w:r>
      <w:r w:rsidR="0058540B">
        <w:t>workshops and meeting</w:t>
      </w:r>
      <w:r w:rsidR="000D3763">
        <w:t xml:space="preserve">s. </w:t>
      </w:r>
    </w:p>
    <w:p w14:paraId="3EE9D76D" w14:textId="57619501" w:rsidR="001C0DA7" w:rsidRDefault="001C0DA7" w:rsidP="00E677E5">
      <w:pPr>
        <w:pStyle w:val="BodyText"/>
      </w:pPr>
      <w:r>
        <w:t>N</w:t>
      </w:r>
      <w:r w:rsidR="00BE7CF9">
        <w:t xml:space="preserve">RC has </w:t>
      </w:r>
      <w:r w:rsidR="008578B8">
        <w:t xml:space="preserve">also worked with industry to address guidance and tool gaps to </w:t>
      </w:r>
      <w:r w:rsidR="00B658B9">
        <w:t>increase</w:t>
      </w:r>
      <w:r w:rsidR="008578B8">
        <w:t xml:space="preserve"> </w:t>
      </w:r>
      <w:r w:rsidR="00D21EB9">
        <w:t>transparency in the license termination process. NRC plans to review i</w:t>
      </w:r>
      <w:r>
        <w:t>ndustry guidance (NEI-22-01)</w:t>
      </w:r>
      <w:r w:rsidR="00D21EB9">
        <w:t xml:space="preserve"> </w:t>
      </w:r>
      <w:r w:rsidR="004C7752">
        <w:t>that has been</w:t>
      </w:r>
      <w:r w:rsidR="00D21EB9">
        <w:t xml:space="preserve"> submitted to the NRC for review and approval in 2023. NEI-22-01 provide</w:t>
      </w:r>
      <w:r w:rsidR="00D96BA7">
        <w:t>s</w:t>
      </w:r>
      <w:r w:rsidR="00D21EB9">
        <w:t xml:space="preserve"> </w:t>
      </w:r>
      <w:r w:rsidR="001E41CB">
        <w:t xml:space="preserve">“how to” guidance </w:t>
      </w:r>
      <w:r w:rsidR="0044518C">
        <w:t xml:space="preserve">on navigation of the </w:t>
      </w:r>
      <w:r w:rsidR="000659D4">
        <w:t>license termination process focus</w:t>
      </w:r>
      <w:r w:rsidR="0044518C">
        <w:t>ing</w:t>
      </w:r>
      <w:r w:rsidR="000659D4">
        <w:t xml:space="preserve"> on reactor decommissioning</w:t>
      </w:r>
      <w:r w:rsidR="0044518C">
        <w:t xml:space="preserve">. NEI-22-01 is also expected </w:t>
      </w:r>
      <w:r w:rsidR="000659D4">
        <w:t xml:space="preserve">to help facilitate </w:t>
      </w:r>
      <w:r w:rsidR="0022436B">
        <w:t xml:space="preserve">NRC staff </w:t>
      </w:r>
      <w:r w:rsidR="000659D4">
        <w:t>review of license termination plans and final status surveys</w:t>
      </w:r>
      <w:r w:rsidR="0044518C">
        <w:t xml:space="preserve"> leading to programmatic efficiencies</w:t>
      </w:r>
      <w:r w:rsidR="00BE7CF9">
        <w:t>.</w:t>
      </w:r>
    </w:p>
    <w:p w14:paraId="551E78F3" w14:textId="21A43C06" w:rsidR="00BE7CF9" w:rsidRPr="00E677E5" w:rsidRDefault="00BE7CF9" w:rsidP="00E677E5">
      <w:pPr>
        <w:pStyle w:val="BodyText"/>
      </w:pPr>
      <w:r>
        <w:t>NRC’s outreach efforts are important to ensuring the transparency of the license termination process and the stability of the decommissioning program in the United States</w:t>
      </w:r>
      <w:r w:rsidR="00B92D4F">
        <w:t xml:space="preserve"> </w:t>
      </w:r>
      <w:r w:rsidR="00B658B9">
        <w:t>with</w:t>
      </w:r>
      <w:r w:rsidR="00B92D4F">
        <w:t xml:space="preserve"> the pace of reactor decommissioning </w:t>
      </w:r>
      <w:r w:rsidR="004B4064">
        <w:t xml:space="preserve">expected to </w:t>
      </w:r>
      <w:r w:rsidR="00B92D4F">
        <w:t>increas</w:t>
      </w:r>
      <w:r w:rsidR="004B4064">
        <w:t xml:space="preserve">e </w:t>
      </w:r>
      <w:r w:rsidR="00C640C5">
        <w:t>in the coming years.</w:t>
      </w:r>
      <w:r w:rsidR="00F12B5B">
        <w:t xml:space="preserve"> For </w:t>
      </w:r>
      <w:r w:rsidR="000974E7">
        <w:t>additional</w:t>
      </w:r>
      <w:r w:rsidR="00F12B5B">
        <w:t xml:space="preserve"> information</w:t>
      </w:r>
      <w:r w:rsidR="0022436B">
        <w:t xml:space="preserve">, please </w:t>
      </w:r>
      <w:r w:rsidR="000974E7">
        <w:t>refer to</w:t>
      </w:r>
      <w:r w:rsidR="00F12B5B">
        <w:t xml:space="preserve"> </w:t>
      </w:r>
      <w:r w:rsidR="0022436B">
        <w:t>N</w:t>
      </w:r>
      <w:r w:rsidR="00F12B5B">
        <w:t xml:space="preserve">RC’s </w:t>
      </w:r>
      <w:r w:rsidR="0022436B">
        <w:t xml:space="preserve">external </w:t>
      </w:r>
      <w:r w:rsidR="00F12B5B">
        <w:t xml:space="preserve">public web site at </w:t>
      </w:r>
      <w:r w:rsidR="0022436B">
        <w:t xml:space="preserve">the following URL:  </w:t>
      </w:r>
      <w:hyperlink r:id="rId17" w:history="1">
        <w:r w:rsidR="0022436B" w:rsidRPr="000B4375">
          <w:rPr>
            <w:rStyle w:val="Hyperlink"/>
          </w:rPr>
          <w:t>https://www.nrc.gov/waste/decommissioning/whats-new.html</w:t>
        </w:r>
      </w:hyperlink>
      <w:r w:rsidR="00F12B5B">
        <w:t>.</w:t>
      </w:r>
    </w:p>
    <w:p w14:paraId="0E9FA635" w14:textId="77777777" w:rsidR="00285755" w:rsidRDefault="00285755" w:rsidP="00537496">
      <w:pPr>
        <w:pStyle w:val="Otherunnumberedheadings"/>
      </w:pPr>
      <w:r w:rsidRPr="00285755">
        <w:t>ACKNOWLEDGEMENTS</w:t>
      </w:r>
    </w:p>
    <w:p w14:paraId="1DB7FF05" w14:textId="2FF32CA7" w:rsidR="00D26ADA" w:rsidRDefault="001D140A" w:rsidP="00537496">
      <w:pPr>
        <w:pStyle w:val="BodyText"/>
      </w:pPr>
      <w:r w:rsidRPr="00343FD9">
        <w:t xml:space="preserve">NRC would like to acknowledge the contributions of its contractors </w:t>
      </w:r>
      <w:r w:rsidR="00343FD9" w:rsidRPr="00343FD9">
        <w:t xml:space="preserve">who </w:t>
      </w:r>
      <w:r w:rsidR="004B4064">
        <w:t xml:space="preserve">helped develop NRC </w:t>
      </w:r>
      <w:r w:rsidR="00343FD9" w:rsidRPr="00343FD9">
        <w:t xml:space="preserve">guidance and </w:t>
      </w:r>
      <w:r w:rsidR="004B4064">
        <w:t xml:space="preserve">conducted various </w:t>
      </w:r>
      <w:r w:rsidR="00343FD9" w:rsidRPr="00343FD9">
        <w:t>research</w:t>
      </w:r>
      <w:r w:rsidR="004B4064">
        <w:t xml:space="preserve"> activities to enhance NRC’s regulatory programs</w:t>
      </w:r>
      <w:r w:rsidR="00343FD9" w:rsidRPr="00343FD9">
        <w:t>. These include SC&amp;A, P</w:t>
      </w:r>
      <w:r w:rsidR="002C6595">
        <w:t>NNL</w:t>
      </w:r>
      <w:r w:rsidR="00343FD9" w:rsidRPr="00343FD9">
        <w:t>, R</w:t>
      </w:r>
      <w:r w:rsidR="002C6595">
        <w:t>CD,</w:t>
      </w:r>
      <w:r w:rsidR="00343FD9" w:rsidRPr="00343FD9">
        <w:t xml:space="preserve"> and</w:t>
      </w:r>
      <w:r w:rsidR="002C6595">
        <w:t xml:space="preserve"> ORISE/ORAU</w:t>
      </w:r>
      <w:r w:rsidR="00343FD9" w:rsidRPr="00343FD9">
        <w:t>.</w:t>
      </w:r>
      <w:r w:rsidRPr="00343FD9">
        <w:t xml:space="preserve"> </w:t>
      </w:r>
      <w:r w:rsidR="00582721">
        <w:t>NRC would also like to thank Robert Stewart of Oak Ridge National Laboratory for hi</w:t>
      </w:r>
      <w:r w:rsidR="003B5188">
        <w:t>s contributions to NUREG/CR-7021</w:t>
      </w:r>
      <w:r w:rsidR="00C640C5">
        <w:t xml:space="preserve">, </w:t>
      </w:r>
      <w:r w:rsidR="005F33D2">
        <w:t xml:space="preserve">and </w:t>
      </w:r>
      <w:r w:rsidR="00C640C5">
        <w:t>support of NRC</w:t>
      </w:r>
      <w:r w:rsidR="004B4064">
        <w:t>’s</w:t>
      </w:r>
      <w:r w:rsidR="00C640C5">
        <w:t xml:space="preserve"> </w:t>
      </w:r>
      <w:r w:rsidR="001264C8">
        <w:t xml:space="preserve">subsurface </w:t>
      </w:r>
      <w:r w:rsidR="00C640C5">
        <w:t>workshops</w:t>
      </w:r>
      <w:r w:rsidR="001264C8">
        <w:t>.</w:t>
      </w:r>
      <w:r w:rsidR="003B5188">
        <w:t xml:space="preserve"> </w:t>
      </w:r>
      <w:r w:rsidR="00EA6B02">
        <w:t xml:space="preserve">The authors would also like to thank Amy Snyder and Hans </w:t>
      </w:r>
      <w:proofErr w:type="spellStart"/>
      <w:r w:rsidR="00EA6B02">
        <w:t>Arlt</w:t>
      </w:r>
      <w:proofErr w:type="spellEnd"/>
      <w:r w:rsidR="00EA6B02">
        <w:t xml:space="preserve"> for their </w:t>
      </w:r>
      <w:r w:rsidR="00254CBC">
        <w:t xml:space="preserve">contributions to </w:t>
      </w:r>
      <w:r w:rsidR="00EA6B02">
        <w:t xml:space="preserve">the discrete radioactive particles, and engineered surface covers </w:t>
      </w:r>
      <w:r w:rsidR="00CA76B6">
        <w:t>sections of the paper and presentation, respectively.</w:t>
      </w:r>
    </w:p>
    <w:p w14:paraId="36BF2C66" w14:textId="77777777" w:rsidR="00D26ADA" w:rsidRPr="00285755" w:rsidRDefault="00D26ADA" w:rsidP="00537496">
      <w:pPr>
        <w:pStyle w:val="Otherunnumberedheadings"/>
      </w:pPr>
      <w:r>
        <w:t>References</w:t>
      </w:r>
    </w:p>
    <w:p w14:paraId="10F77A4B" w14:textId="77777777" w:rsidR="00997006" w:rsidRDefault="00997006" w:rsidP="00997006">
      <w:pPr>
        <w:pStyle w:val="Referencelist"/>
      </w:pPr>
      <w:r>
        <w:t xml:space="preserve">ALBEQUIST, E.W., </w:t>
      </w:r>
      <w:r w:rsidRPr="00665EE4">
        <w:rPr>
          <w:i/>
          <w:iCs/>
        </w:rPr>
        <w:t>Minimum Detectable Concentrations with Typical Radiation Survey for Instruments for Various Contaminants and Field Conditions</w:t>
      </w:r>
      <w:r>
        <w:t>, NUREG-1507, Rev. 1, August 2020.</w:t>
      </w:r>
    </w:p>
    <w:p w14:paraId="0EE1191D" w14:textId="77777777" w:rsidR="00997006" w:rsidRDefault="00997006" w:rsidP="00997006">
      <w:pPr>
        <w:pStyle w:val="Referencelist"/>
      </w:pPr>
      <w:r>
        <w:t xml:space="preserve">ALTIC, N., and KING, D., </w:t>
      </w:r>
      <w:r w:rsidRPr="00C61EC9">
        <w:rPr>
          <w:i/>
          <w:iCs/>
        </w:rPr>
        <w:t>Estimating Scan Minimum Detectable Activities of Discrete Radioactive Particles</w:t>
      </w:r>
      <w:r>
        <w:t>, ORISE, Prepared for US NRC under contract, October 2022.</w:t>
      </w:r>
    </w:p>
    <w:p w14:paraId="5E1AD55B" w14:textId="414045CB" w:rsidR="00E450CA" w:rsidRDefault="00E450CA" w:rsidP="00537496">
      <w:pPr>
        <w:pStyle w:val="Referencelist"/>
      </w:pPr>
      <w:r>
        <w:lastRenderedPageBreak/>
        <w:t xml:space="preserve">BENSEN, C.H., et al., </w:t>
      </w:r>
      <w:r w:rsidRPr="00C43929">
        <w:rPr>
          <w:i/>
          <w:iCs/>
        </w:rPr>
        <w:t>Engineered Covers for Waste Containment:  Changes in Engineering Properties and Implications for Long-Term Performance Assessment</w:t>
      </w:r>
      <w:r>
        <w:t>, NUREG/CR-7028,</w:t>
      </w:r>
      <w:r w:rsidR="00C43929">
        <w:t xml:space="preserve"> December 2011.</w:t>
      </w:r>
    </w:p>
    <w:p w14:paraId="7866BFCB" w14:textId="77777777" w:rsidR="00997006" w:rsidRDefault="00997006" w:rsidP="00997006">
      <w:pPr>
        <w:pStyle w:val="Referencelist"/>
      </w:pPr>
      <w:r>
        <w:t>HAMBY, D.M., “Determination of DRP Dose Coefficients”, RCD presentation, NRC Discrete Radioactive Particles workshop, Rockville, MD, November 3, 2022.</w:t>
      </w:r>
    </w:p>
    <w:p w14:paraId="266781A7" w14:textId="77777777" w:rsidR="00997006" w:rsidRDefault="00997006" w:rsidP="00997006">
      <w:pPr>
        <w:pStyle w:val="Referencelist"/>
      </w:pPr>
      <w:r>
        <w:t xml:space="preserve">HUCKETT, J. et. Al. </w:t>
      </w:r>
      <w:r w:rsidRPr="003D624E">
        <w:rPr>
          <w:i/>
          <w:iCs/>
        </w:rPr>
        <w:t>Subsurface Radiological Survey Design and Geospatial Analysis Tool Recommendations</w:t>
      </w:r>
      <w:r>
        <w:t>, Task 1b TO 31310021F0022, Pacific Northwest National Laboratory, Richland, Washington, November 2022.</w:t>
      </w:r>
    </w:p>
    <w:p w14:paraId="52B65424" w14:textId="77777777" w:rsidR="00997006" w:rsidRDefault="00997006" w:rsidP="00997006">
      <w:pPr>
        <w:pStyle w:val="Referencelist"/>
      </w:pPr>
      <w:r>
        <w:t xml:space="preserve">JOHNSON, T.L., </w:t>
      </w:r>
      <w:r w:rsidRPr="00AF645C">
        <w:rPr>
          <w:i/>
          <w:iCs/>
        </w:rPr>
        <w:t>Design of Erosion Protection for Long-Term Stabilization, Final Report</w:t>
      </w:r>
      <w:r>
        <w:t>, NUREG-1623, September 2002.</w:t>
      </w:r>
    </w:p>
    <w:p w14:paraId="3A983219" w14:textId="2BE5B41D" w:rsidR="00997006" w:rsidRDefault="00997006" w:rsidP="00997006">
      <w:pPr>
        <w:pStyle w:val="Referencelist"/>
      </w:pPr>
      <w:r>
        <w:t xml:space="preserve">NICHOLSON, T.J., and ARLT, H.D., “Proceedings of the Workshop on Engineered Barrier Performance Related to Low-Level Radioactive Waste, Decommissioning, and Uranium Mill Tailings Facilities,” NUREG/CP-0195, US NRC, Rockville, MD, August 2011. </w:t>
      </w:r>
    </w:p>
    <w:p w14:paraId="08515006" w14:textId="77777777" w:rsidR="00997006" w:rsidRDefault="00997006" w:rsidP="00997006">
      <w:pPr>
        <w:pStyle w:val="Referencelist"/>
      </w:pPr>
      <w:r>
        <w:t xml:space="preserve">SC&amp;A, Inc. </w:t>
      </w:r>
      <w:r w:rsidRPr="003D624E">
        <w:rPr>
          <w:i/>
          <w:iCs/>
        </w:rPr>
        <w:t>Guidance on Surveys of Subsurface Radiological Contaminants</w:t>
      </w:r>
      <w:r>
        <w:t>, White Paper, Prepared for US NRC, September 2022.</w:t>
      </w:r>
    </w:p>
    <w:p w14:paraId="2CDBAB86" w14:textId="77777777" w:rsidR="00997006" w:rsidRDefault="00997006" w:rsidP="00997006">
      <w:pPr>
        <w:pStyle w:val="Referencelist"/>
      </w:pPr>
      <w:r>
        <w:t xml:space="preserve">SMITH, C.L., and BENSON, C.H., </w:t>
      </w:r>
      <w:r w:rsidRPr="0045290C">
        <w:rPr>
          <w:i/>
          <w:iCs/>
        </w:rPr>
        <w:t>Influence of Coupling Erosion and Hydrology on the Long-term Performance of Engineered Surface Barriers</w:t>
      </w:r>
      <w:r>
        <w:t xml:space="preserve">, NUREG/CR-7200, US NRC, Washington DC, May 2016. </w:t>
      </w:r>
    </w:p>
    <w:p w14:paraId="23A7A573" w14:textId="4D668ABD" w:rsidR="006542EE" w:rsidRDefault="0018482B" w:rsidP="00537496">
      <w:pPr>
        <w:pStyle w:val="Referencelist"/>
      </w:pPr>
      <w:r w:rsidRPr="00590BFE">
        <w:t>S</w:t>
      </w:r>
      <w:r w:rsidR="00AF3418" w:rsidRPr="00590BFE">
        <w:t>TEWART</w:t>
      </w:r>
      <w:r w:rsidRPr="00590BFE">
        <w:t xml:space="preserve">, R. </w:t>
      </w:r>
      <w:r w:rsidR="00762E0C" w:rsidRPr="003D624E">
        <w:rPr>
          <w:i/>
          <w:iCs/>
        </w:rPr>
        <w:t xml:space="preserve">A Subsurface Decision Model </w:t>
      </w:r>
      <w:r w:rsidR="00C81AB0" w:rsidRPr="003D624E">
        <w:rPr>
          <w:i/>
          <w:iCs/>
        </w:rPr>
        <w:t>for Supporting Environmental Compliance</w:t>
      </w:r>
      <w:r w:rsidR="00C81AB0" w:rsidRPr="00590BFE">
        <w:t xml:space="preserve">. NUREG/CR-7021, </w:t>
      </w:r>
      <w:r w:rsidR="006542EE" w:rsidRPr="00590BFE">
        <w:t xml:space="preserve">US NRC, </w:t>
      </w:r>
      <w:r w:rsidR="00590BFE" w:rsidRPr="00590BFE">
        <w:t xml:space="preserve">Washington, DC, </w:t>
      </w:r>
      <w:r w:rsidR="00860335">
        <w:t xml:space="preserve">January </w:t>
      </w:r>
      <w:r w:rsidR="006542EE" w:rsidRPr="00590BFE">
        <w:t>201</w:t>
      </w:r>
      <w:r w:rsidR="00860335">
        <w:t>2</w:t>
      </w:r>
      <w:r w:rsidR="006542EE" w:rsidRPr="00590BFE">
        <w:t xml:space="preserve">. </w:t>
      </w:r>
    </w:p>
    <w:p w14:paraId="571990E7" w14:textId="77777777" w:rsidR="00997006" w:rsidRDefault="00997006" w:rsidP="00997006">
      <w:pPr>
        <w:pStyle w:val="Referencelist"/>
      </w:pPr>
      <w:r>
        <w:t xml:space="preserve">WILLIAMS, M., et. al. </w:t>
      </w:r>
      <w:r w:rsidRPr="008F0320">
        <w:rPr>
          <w:i/>
          <w:iCs/>
        </w:rPr>
        <w:t>Evaluation of In-Service Radon Barriers over Uranium Mill Tailings Disposal Facilities</w:t>
      </w:r>
      <w:r>
        <w:t xml:space="preserve">, NUREG/CR-7288, US NRC, Washington, DC, March 2022. </w:t>
      </w:r>
    </w:p>
    <w:p w14:paraId="0D883BD9" w14:textId="77777777" w:rsidR="00F45EEE" w:rsidRPr="00662532" w:rsidRDefault="00F45EEE" w:rsidP="00537496">
      <w:pPr>
        <w:pStyle w:val="BodyText"/>
        <w:ind w:firstLine="0"/>
        <w:jc w:val="left"/>
      </w:pPr>
    </w:p>
    <w:sectPr w:rsidR="00F45EEE" w:rsidRPr="00662532" w:rsidSect="0026525A">
      <w:headerReference w:type="even" r:id="rId18"/>
      <w:headerReference w:type="default" r:id="rId19"/>
      <w:footerReference w:type="even" r:id="rId20"/>
      <w:footerReference w:type="default" r:id="rId21"/>
      <w:headerReference w:type="first" r:id="rId22"/>
      <w:footerReference w:type="first" r:id="rId23"/>
      <w:type w:val="oddPage"/>
      <w:pgSz w:w="11907" w:h="16840" w:code="9"/>
      <w:pgMar w:top="1440" w:right="1440" w:bottom="1440" w:left="1440" w:header="539" w:footer="964"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ynthia Barr" w:date="2023-02-14T13:02:00Z" w:initials="CB">
    <w:p w14:paraId="343360BD" w14:textId="0A2A8B78" w:rsidR="00A519D1" w:rsidRDefault="00A519D1" w:rsidP="005A422C">
      <w:pPr>
        <w:pStyle w:val="CommentText"/>
      </w:pPr>
      <w:r>
        <w:rPr>
          <w:rStyle w:val="CommentReference"/>
        </w:rPr>
        <w:annotationRef/>
      </w:r>
      <w:r>
        <w:fldChar w:fldCharType="begin"/>
      </w:r>
      <w:r>
        <w:instrText xml:space="preserve"> HYPERLINK "mailto:HDA@NRC.GOV" </w:instrText>
      </w:r>
      <w:bookmarkStart w:id="1" w:name="_@_30C07C32E684435BB59184242D8F74F4Z"/>
      <w:r>
        <w:fldChar w:fldCharType="separate"/>
      </w:r>
      <w:bookmarkEnd w:id="1"/>
      <w:r w:rsidRPr="00A519D1">
        <w:rPr>
          <w:rStyle w:val="Mention"/>
          <w:noProof/>
        </w:rPr>
        <w:t>@Hans Arlt</w:t>
      </w:r>
      <w:r>
        <w:fldChar w:fldCharType="end"/>
      </w:r>
      <w:r>
        <w:t xml:space="preserve"> could you please review Section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3360B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604E3" w16cex:dateUtc="2023-02-14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3360BD" w16cid:durableId="279604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FE712" w14:textId="77777777" w:rsidR="0030195B" w:rsidRDefault="0030195B">
      <w:r>
        <w:separator/>
      </w:r>
    </w:p>
  </w:endnote>
  <w:endnote w:type="continuationSeparator" w:id="0">
    <w:p w14:paraId="1819A180" w14:textId="77777777" w:rsidR="0030195B" w:rsidRDefault="0030195B">
      <w:r>
        <w:continuationSeparator/>
      </w:r>
    </w:p>
  </w:endnote>
  <w:endnote w:type="continuationNotice" w:id="1">
    <w:p w14:paraId="29B8FC84" w14:textId="77777777" w:rsidR="0030195B" w:rsidRDefault="00301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217E" w14:textId="77777777" w:rsidR="00E20E70" w:rsidRDefault="00E20E70">
    <w:pPr>
      <w:pStyle w:val="zyxClassification1"/>
    </w:pPr>
    <w:r>
      <w:fldChar w:fldCharType="begin"/>
    </w:r>
    <w:r>
      <w:instrText xml:space="preserve"> DOCPROPERTY "IaeaClassification"  \* MERGEFORMAT </w:instrText>
    </w:r>
    <w:r>
      <w:fldChar w:fldCharType="end"/>
    </w:r>
  </w:p>
  <w:p w14:paraId="18E0BCF6"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66CE" w14:textId="77777777" w:rsidR="00E20E70" w:rsidRDefault="00E20E70">
    <w:pPr>
      <w:pStyle w:val="zyxClassification1"/>
    </w:pPr>
    <w:r>
      <w:fldChar w:fldCharType="begin"/>
    </w:r>
    <w:r>
      <w:instrText xml:space="preserve"> DOCPROPERTY "IaeaClassification"  \* MERGEFORMAT </w:instrText>
    </w:r>
    <w:r>
      <w:fldChar w:fldCharType="end"/>
    </w:r>
  </w:p>
  <w:p w14:paraId="277CAA6E" w14:textId="2BEAED91"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532A0F">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11914824" w14:textId="77777777">
      <w:trPr>
        <w:cantSplit/>
      </w:trPr>
      <w:tc>
        <w:tcPr>
          <w:tcW w:w="4644" w:type="dxa"/>
        </w:tcPr>
        <w:p w14:paraId="01922AC8"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5F7FDA0D"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3" w:name="DOC_bkmClassification2"/>
      <w:tc>
        <w:tcPr>
          <w:tcW w:w="5670" w:type="dxa"/>
          <w:tcMar>
            <w:right w:w="249" w:type="dxa"/>
          </w:tcMar>
        </w:tcPr>
        <w:p w14:paraId="46DD02AF"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3"/>
        <w:p w14:paraId="27BCD056"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4" w:name="DOC_bkmFileName"/>
  <w:p w14:paraId="0D8938D7" w14:textId="77777777"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3EC0" w14:textId="77777777" w:rsidR="0030195B" w:rsidRDefault="0030195B">
      <w:r>
        <w:t>___________________________________________________________________________</w:t>
      </w:r>
    </w:p>
  </w:footnote>
  <w:footnote w:type="continuationSeparator" w:id="0">
    <w:p w14:paraId="15A973BC" w14:textId="77777777" w:rsidR="0030195B" w:rsidRDefault="0030195B">
      <w:r>
        <w:t>___________________________________________________________________________</w:t>
      </w:r>
    </w:p>
  </w:footnote>
  <w:footnote w:type="continuationNotice" w:id="1">
    <w:p w14:paraId="77233CA7" w14:textId="77777777" w:rsidR="0030195B" w:rsidRDefault="003019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6620" w14:textId="67E23ED2" w:rsidR="00CF7AF3" w:rsidRDefault="00CF7AF3" w:rsidP="00CF7AF3">
    <w:pPr>
      <w:pStyle w:val="Runninghead"/>
    </w:pPr>
    <w:r>
      <w:tab/>
    </w:r>
    <w:r w:rsidR="00532A0F" w:rsidRPr="007D5E2A">
      <w:t>IAEA-</w:t>
    </w:r>
    <w:r w:rsidR="00107D90" w:rsidRPr="007D5E2A">
      <w:t>59</w:t>
    </w:r>
  </w:p>
  <w:p w14:paraId="1DE1813F" w14:textId="77777777"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6F2819C9" w14:textId="7777777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203F" w14:textId="1BB975BC" w:rsidR="00E20E70" w:rsidRDefault="00B10550" w:rsidP="00B82FA5">
    <w:pPr>
      <w:pStyle w:val="Runninghead"/>
    </w:pPr>
    <w:r>
      <w:t>Cynthia Barr, Bruce Watson, and Christepher McKenney, United States Nuclear Regulatory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65B84B39" w14:textId="77777777">
      <w:trPr>
        <w:cantSplit/>
        <w:trHeight w:val="716"/>
      </w:trPr>
      <w:tc>
        <w:tcPr>
          <w:tcW w:w="979" w:type="dxa"/>
          <w:vMerge w:val="restart"/>
        </w:tcPr>
        <w:p w14:paraId="2D948F13" w14:textId="77777777" w:rsidR="00E20E70" w:rsidRDefault="00E20E70">
          <w:pPr>
            <w:spacing w:before="180"/>
            <w:ind w:left="17"/>
          </w:pPr>
        </w:p>
      </w:tc>
      <w:tc>
        <w:tcPr>
          <w:tcW w:w="3638" w:type="dxa"/>
          <w:vAlign w:val="bottom"/>
        </w:tcPr>
        <w:p w14:paraId="3741A6CB" w14:textId="77777777" w:rsidR="00E20E70" w:rsidRDefault="00E20E70">
          <w:pPr>
            <w:spacing w:after="20"/>
          </w:pPr>
        </w:p>
      </w:tc>
      <w:bookmarkStart w:id="2" w:name="DOC_bkmClassification1"/>
      <w:tc>
        <w:tcPr>
          <w:tcW w:w="5702" w:type="dxa"/>
          <w:vMerge w:val="restart"/>
          <w:tcMar>
            <w:right w:w="193" w:type="dxa"/>
          </w:tcMar>
        </w:tcPr>
        <w:p w14:paraId="6CA879E2"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1658BF87" w14:textId="77777777" w:rsidR="00E20E70" w:rsidRDefault="00E20E70">
          <w:pPr>
            <w:pStyle w:val="zyxConfid2Red"/>
          </w:pPr>
          <w:r>
            <w:fldChar w:fldCharType="begin"/>
          </w:r>
          <w:r>
            <w:instrText>DOCPROPERTY "IaeaClassification2"  \* MERGEFORMAT</w:instrText>
          </w:r>
          <w:r>
            <w:fldChar w:fldCharType="end"/>
          </w:r>
        </w:p>
      </w:tc>
    </w:tr>
    <w:tr w:rsidR="00E20E70" w14:paraId="12F4B44A" w14:textId="77777777">
      <w:trPr>
        <w:cantSplit/>
        <w:trHeight w:val="167"/>
      </w:trPr>
      <w:tc>
        <w:tcPr>
          <w:tcW w:w="979" w:type="dxa"/>
          <w:vMerge/>
        </w:tcPr>
        <w:p w14:paraId="6A2AB7D9" w14:textId="77777777" w:rsidR="00E20E70" w:rsidRDefault="00E20E70">
          <w:pPr>
            <w:spacing w:before="57"/>
          </w:pPr>
        </w:p>
      </w:tc>
      <w:tc>
        <w:tcPr>
          <w:tcW w:w="3638" w:type="dxa"/>
          <w:vAlign w:val="bottom"/>
        </w:tcPr>
        <w:p w14:paraId="03DC007D" w14:textId="77777777" w:rsidR="00E20E70" w:rsidRDefault="00E20E70">
          <w:pPr>
            <w:pStyle w:val="Heading9"/>
            <w:spacing w:before="0" w:after="10"/>
          </w:pPr>
        </w:p>
      </w:tc>
      <w:tc>
        <w:tcPr>
          <w:tcW w:w="5702" w:type="dxa"/>
          <w:vMerge/>
          <w:vAlign w:val="bottom"/>
        </w:tcPr>
        <w:p w14:paraId="2A0B6A2B" w14:textId="77777777" w:rsidR="00E20E70" w:rsidRDefault="00E20E70">
          <w:pPr>
            <w:pStyle w:val="Heading9"/>
            <w:spacing w:before="0" w:after="10"/>
          </w:pPr>
        </w:p>
      </w:tc>
    </w:tr>
  </w:tbl>
  <w:p w14:paraId="50B524FE"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F21140"/>
    <w:multiLevelType w:val="hybridMultilevel"/>
    <w:tmpl w:val="EAB4B2BE"/>
    <w:lvl w:ilvl="0" w:tplc="8FB826D2">
      <w:start w:val="1"/>
      <w:numFmt w:val="bullet"/>
      <w:lvlText w:val="•"/>
      <w:lvlJc w:val="left"/>
      <w:pPr>
        <w:tabs>
          <w:tab w:val="num" w:pos="720"/>
        </w:tabs>
        <w:ind w:left="720" w:hanging="360"/>
      </w:pPr>
      <w:rPr>
        <w:rFonts w:ascii="Arial" w:hAnsi="Arial" w:hint="default"/>
      </w:rPr>
    </w:lvl>
    <w:lvl w:ilvl="1" w:tplc="C58626B6">
      <w:numFmt w:val="bullet"/>
      <w:lvlText w:val="•"/>
      <w:lvlJc w:val="left"/>
      <w:pPr>
        <w:tabs>
          <w:tab w:val="num" w:pos="1440"/>
        </w:tabs>
        <w:ind w:left="1440" w:hanging="360"/>
      </w:pPr>
      <w:rPr>
        <w:rFonts w:ascii="Arial" w:hAnsi="Arial" w:hint="default"/>
      </w:rPr>
    </w:lvl>
    <w:lvl w:ilvl="2" w:tplc="7AF0C216" w:tentative="1">
      <w:start w:val="1"/>
      <w:numFmt w:val="bullet"/>
      <w:lvlText w:val="•"/>
      <w:lvlJc w:val="left"/>
      <w:pPr>
        <w:tabs>
          <w:tab w:val="num" w:pos="2160"/>
        </w:tabs>
        <w:ind w:left="2160" w:hanging="360"/>
      </w:pPr>
      <w:rPr>
        <w:rFonts w:ascii="Arial" w:hAnsi="Arial" w:hint="default"/>
      </w:rPr>
    </w:lvl>
    <w:lvl w:ilvl="3" w:tplc="601473A0" w:tentative="1">
      <w:start w:val="1"/>
      <w:numFmt w:val="bullet"/>
      <w:lvlText w:val="•"/>
      <w:lvlJc w:val="left"/>
      <w:pPr>
        <w:tabs>
          <w:tab w:val="num" w:pos="2880"/>
        </w:tabs>
        <w:ind w:left="2880" w:hanging="360"/>
      </w:pPr>
      <w:rPr>
        <w:rFonts w:ascii="Arial" w:hAnsi="Arial" w:hint="default"/>
      </w:rPr>
    </w:lvl>
    <w:lvl w:ilvl="4" w:tplc="1A161FD6" w:tentative="1">
      <w:start w:val="1"/>
      <w:numFmt w:val="bullet"/>
      <w:lvlText w:val="•"/>
      <w:lvlJc w:val="left"/>
      <w:pPr>
        <w:tabs>
          <w:tab w:val="num" w:pos="3600"/>
        </w:tabs>
        <w:ind w:left="3600" w:hanging="360"/>
      </w:pPr>
      <w:rPr>
        <w:rFonts w:ascii="Arial" w:hAnsi="Arial" w:hint="default"/>
      </w:rPr>
    </w:lvl>
    <w:lvl w:ilvl="5" w:tplc="9D148988" w:tentative="1">
      <w:start w:val="1"/>
      <w:numFmt w:val="bullet"/>
      <w:lvlText w:val="•"/>
      <w:lvlJc w:val="left"/>
      <w:pPr>
        <w:tabs>
          <w:tab w:val="num" w:pos="4320"/>
        </w:tabs>
        <w:ind w:left="4320" w:hanging="360"/>
      </w:pPr>
      <w:rPr>
        <w:rFonts w:ascii="Arial" w:hAnsi="Arial" w:hint="default"/>
      </w:rPr>
    </w:lvl>
    <w:lvl w:ilvl="6" w:tplc="B87AAC30" w:tentative="1">
      <w:start w:val="1"/>
      <w:numFmt w:val="bullet"/>
      <w:lvlText w:val="•"/>
      <w:lvlJc w:val="left"/>
      <w:pPr>
        <w:tabs>
          <w:tab w:val="num" w:pos="5040"/>
        </w:tabs>
        <w:ind w:left="5040" w:hanging="360"/>
      </w:pPr>
      <w:rPr>
        <w:rFonts w:ascii="Arial" w:hAnsi="Arial" w:hint="default"/>
      </w:rPr>
    </w:lvl>
    <w:lvl w:ilvl="7" w:tplc="1E5ABA6A" w:tentative="1">
      <w:start w:val="1"/>
      <w:numFmt w:val="bullet"/>
      <w:lvlText w:val="•"/>
      <w:lvlJc w:val="left"/>
      <w:pPr>
        <w:tabs>
          <w:tab w:val="num" w:pos="5760"/>
        </w:tabs>
        <w:ind w:left="5760" w:hanging="360"/>
      </w:pPr>
      <w:rPr>
        <w:rFonts w:ascii="Arial" w:hAnsi="Arial" w:hint="default"/>
      </w:rPr>
    </w:lvl>
    <w:lvl w:ilvl="8" w:tplc="E90AB11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8626A5"/>
    <w:multiLevelType w:val="hybridMultilevel"/>
    <w:tmpl w:val="A8763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3"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080131579">
    <w:abstractNumId w:val="8"/>
  </w:num>
  <w:num w:numId="2" w16cid:durableId="1141339812">
    <w:abstractNumId w:val="4"/>
  </w:num>
  <w:num w:numId="3" w16cid:durableId="854076083">
    <w:abstractNumId w:val="12"/>
  </w:num>
  <w:num w:numId="4" w16cid:durableId="1236432899">
    <w:abstractNumId w:val="12"/>
  </w:num>
  <w:num w:numId="5" w16cid:durableId="1084305739">
    <w:abstractNumId w:val="12"/>
  </w:num>
  <w:num w:numId="6" w16cid:durableId="1546213373">
    <w:abstractNumId w:val="5"/>
  </w:num>
  <w:num w:numId="7" w16cid:durableId="1424260885">
    <w:abstractNumId w:val="9"/>
  </w:num>
  <w:num w:numId="8" w16cid:durableId="1204293581">
    <w:abstractNumId w:val="13"/>
  </w:num>
  <w:num w:numId="9" w16cid:durableId="350498904">
    <w:abstractNumId w:val="1"/>
  </w:num>
  <w:num w:numId="10" w16cid:durableId="1535845209">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426923917">
    <w:abstractNumId w:val="12"/>
  </w:num>
  <w:num w:numId="12" w16cid:durableId="859509999">
    <w:abstractNumId w:val="12"/>
  </w:num>
  <w:num w:numId="13" w16cid:durableId="1417744354">
    <w:abstractNumId w:val="12"/>
  </w:num>
  <w:num w:numId="14" w16cid:durableId="1328287261">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880432255">
    <w:abstractNumId w:val="12"/>
  </w:num>
  <w:num w:numId="16" w16cid:durableId="1643995252">
    <w:abstractNumId w:val="12"/>
  </w:num>
  <w:num w:numId="17" w16cid:durableId="2124957655">
    <w:abstractNumId w:val="12"/>
  </w:num>
  <w:num w:numId="18" w16cid:durableId="12911327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0281932">
    <w:abstractNumId w:val="12"/>
  </w:num>
  <w:num w:numId="20" w16cid:durableId="2000115317">
    <w:abstractNumId w:val="2"/>
  </w:num>
  <w:num w:numId="21" w16cid:durableId="1971401005">
    <w:abstractNumId w:val="12"/>
  </w:num>
  <w:num w:numId="22" w16cid:durableId="1365983502">
    <w:abstractNumId w:val="3"/>
  </w:num>
  <w:num w:numId="23" w16cid:durableId="1606188251">
    <w:abstractNumId w:val="0"/>
  </w:num>
  <w:num w:numId="24" w16cid:durableId="688721552">
    <w:abstractNumId w:val="10"/>
  </w:num>
  <w:num w:numId="25" w16cid:durableId="780804612">
    <w:abstractNumId w:val="12"/>
  </w:num>
  <w:num w:numId="26" w16cid:durableId="2110082840">
    <w:abstractNumId w:val="12"/>
  </w:num>
  <w:num w:numId="27" w16cid:durableId="943422107">
    <w:abstractNumId w:val="12"/>
  </w:num>
  <w:num w:numId="28" w16cid:durableId="1261065972">
    <w:abstractNumId w:val="12"/>
  </w:num>
  <w:num w:numId="29" w16cid:durableId="792289065">
    <w:abstractNumId w:val="12"/>
  </w:num>
  <w:num w:numId="30" w16cid:durableId="1070617967">
    <w:abstractNumId w:val="6"/>
  </w:num>
  <w:num w:numId="31" w16cid:durableId="689533364">
    <w:abstractNumId w:val="6"/>
  </w:num>
  <w:num w:numId="32" w16cid:durableId="423917489">
    <w:abstractNumId w:val="12"/>
  </w:num>
  <w:num w:numId="33" w16cid:durableId="932205149">
    <w:abstractNumId w:val="7"/>
  </w:num>
  <w:num w:numId="34" w16cid:durableId="28989480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ynthia Barr">
    <w15:presenceInfo w15:providerId="AD" w15:userId="S::CSB2@NRC.GOV::e105057a-7852-4761-871a-2dedc421e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438"/>
    <w:rsid w:val="00014AE7"/>
    <w:rsid w:val="000169DE"/>
    <w:rsid w:val="000172F3"/>
    <w:rsid w:val="000229AB"/>
    <w:rsid w:val="000234D0"/>
    <w:rsid w:val="00023994"/>
    <w:rsid w:val="0002569A"/>
    <w:rsid w:val="00027F16"/>
    <w:rsid w:val="00031EB2"/>
    <w:rsid w:val="00037321"/>
    <w:rsid w:val="000427D7"/>
    <w:rsid w:val="00046C04"/>
    <w:rsid w:val="00062B5C"/>
    <w:rsid w:val="000659D4"/>
    <w:rsid w:val="00077A16"/>
    <w:rsid w:val="00080CA7"/>
    <w:rsid w:val="00095EAE"/>
    <w:rsid w:val="000974E7"/>
    <w:rsid w:val="000A0299"/>
    <w:rsid w:val="000A2990"/>
    <w:rsid w:val="000B4D67"/>
    <w:rsid w:val="000C4D7E"/>
    <w:rsid w:val="000D3763"/>
    <w:rsid w:val="000E38DB"/>
    <w:rsid w:val="000F1847"/>
    <w:rsid w:val="000F3187"/>
    <w:rsid w:val="000F7E94"/>
    <w:rsid w:val="0010695B"/>
    <w:rsid w:val="001074BC"/>
    <w:rsid w:val="00107D90"/>
    <w:rsid w:val="001119D6"/>
    <w:rsid w:val="001206A8"/>
    <w:rsid w:val="00124040"/>
    <w:rsid w:val="001264C8"/>
    <w:rsid w:val="001308F2"/>
    <w:rsid w:val="001313E8"/>
    <w:rsid w:val="0014220C"/>
    <w:rsid w:val="0015582A"/>
    <w:rsid w:val="00164877"/>
    <w:rsid w:val="001671B7"/>
    <w:rsid w:val="00173B21"/>
    <w:rsid w:val="0018482B"/>
    <w:rsid w:val="0019302C"/>
    <w:rsid w:val="001940DE"/>
    <w:rsid w:val="00195242"/>
    <w:rsid w:val="00196D26"/>
    <w:rsid w:val="001A6B31"/>
    <w:rsid w:val="001B3887"/>
    <w:rsid w:val="001C0DA7"/>
    <w:rsid w:val="001C229A"/>
    <w:rsid w:val="001C470D"/>
    <w:rsid w:val="001C58F5"/>
    <w:rsid w:val="001C7137"/>
    <w:rsid w:val="001D140A"/>
    <w:rsid w:val="001D3514"/>
    <w:rsid w:val="001D5CEE"/>
    <w:rsid w:val="001D7A19"/>
    <w:rsid w:val="001E41CB"/>
    <w:rsid w:val="001E62B8"/>
    <w:rsid w:val="001F6735"/>
    <w:rsid w:val="0020169D"/>
    <w:rsid w:val="0020614A"/>
    <w:rsid w:val="002071D9"/>
    <w:rsid w:val="00211EB4"/>
    <w:rsid w:val="002205F8"/>
    <w:rsid w:val="0022436B"/>
    <w:rsid w:val="00225B45"/>
    <w:rsid w:val="0023384E"/>
    <w:rsid w:val="002544A5"/>
    <w:rsid w:val="00254CBC"/>
    <w:rsid w:val="00256822"/>
    <w:rsid w:val="0026525A"/>
    <w:rsid w:val="00274790"/>
    <w:rsid w:val="00281296"/>
    <w:rsid w:val="00285755"/>
    <w:rsid w:val="002874AA"/>
    <w:rsid w:val="002A1A7D"/>
    <w:rsid w:val="002A1F9C"/>
    <w:rsid w:val="002B29C2"/>
    <w:rsid w:val="002B3B88"/>
    <w:rsid w:val="002B7982"/>
    <w:rsid w:val="002C4208"/>
    <w:rsid w:val="002C6595"/>
    <w:rsid w:val="002C6E0C"/>
    <w:rsid w:val="002D75C1"/>
    <w:rsid w:val="002E0035"/>
    <w:rsid w:val="002E1DD2"/>
    <w:rsid w:val="002F5960"/>
    <w:rsid w:val="0030195B"/>
    <w:rsid w:val="00301D96"/>
    <w:rsid w:val="00307911"/>
    <w:rsid w:val="00310E5F"/>
    <w:rsid w:val="003126E7"/>
    <w:rsid w:val="003153AD"/>
    <w:rsid w:val="00321267"/>
    <w:rsid w:val="0032170E"/>
    <w:rsid w:val="0032172F"/>
    <w:rsid w:val="003254E4"/>
    <w:rsid w:val="003303FA"/>
    <w:rsid w:val="00331070"/>
    <w:rsid w:val="00336300"/>
    <w:rsid w:val="00343FD9"/>
    <w:rsid w:val="00344514"/>
    <w:rsid w:val="003466C4"/>
    <w:rsid w:val="00352DE1"/>
    <w:rsid w:val="00354F1E"/>
    <w:rsid w:val="003728E6"/>
    <w:rsid w:val="00376554"/>
    <w:rsid w:val="00384760"/>
    <w:rsid w:val="00392813"/>
    <w:rsid w:val="00394033"/>
    <w:rsid w:val="003941E7"/>
    <w:rsid w:val="0039763C"/>
    <w:rsid w:val="003A0BA0"/>
    <w:rsid w:val="003B4EE4"/>
    <w:rsid w:val="003B5188"/>
    <w:rsid w:val="003B5E0E"/>
    <w:rsid w:val="003B6378"/>
    <w:rsid w:val="003C096B"/>
    <w:rsid w:val="003C305B"/>
    <w:rsid w:val="003C3C3C"/>
    <w:rsid w:val="003D0E03"/>
    <w:rsid w:val="003D255A"/>
    <w:rsid w:val="003D624E"/>
    <w:rsid w:val="003E14D1"/>
    <w:rsid w:val="003F0798"/>
    <w:rsid w:val="004003A0"/>
    <w:rsid w:val="00412427"/>
    <w:rsid w:val="00416949"/>
    <w:rsid w:val="0042683E"/>
    <w:rsid w:val="00427CD1"/>
    <w:rsid w:val="00432155"/>
    <w:rsid w:val="004331A7"/>
    <w:rsid w:val="00435AAA"/>
    <w:rsid w:val="00436C59"/>
    <w:rsid w:val="004370D8"/>
    <w:rsid w:val="00440F36"/>
    <w:rsid w:val="0044518C"/>
    <w:rsid w:val="00452233"/>
    <w:rsid w:val="0045290C"/>
    <w:rsid w:val="004604B3"/>
    <w:rsid w:val="004662B2"/>
    <w:rsid w:val="00470443"/>
    <w:rsid w:val="00472C43"/>
    <w:rsid w:val="00476E58"/>
    <w:rsid w:val="00477915"/>
    <w:rsid w:val="0048444F"/>
    <w:rsid w:val="00484ED3"/>
    <w:rsid w:val="004864F0"/>
    <w:rsid w:val="004937FF"/>
    <w:rsid w:val="00493ED9"/>
    <w:rsid w:val="00496C15"/>
    <w:rsid w:val="004A3347"/>
    <w:rsid w:val="004B4064"/>
    <w:rsid w:val="004B49D3"/>
    <w:rsid w:val="004C5B8F"/>
    <w:rsid w:val="004C7752"/>
    <w:rsid w:val="004C7D67"/>
    <w:rsid w:val="004E773A"/>
    <w:rsid w:val="004F16B8"/>
    <w:rsid w:val="004F5F9C"/>
    <w:rsid w:val="005016C7"/>
    <w:rsid w:val="00501AD2"/>
    <w:rsid w:val="005032AF"/>
    <w:rsid w:val="00514FCD"/>
    <w:rsid w:val="005165A2"/>
    <w:rsid w:val="00520CE6"/>
    <w:rsid w:val="0052104C"/>
    <w:rsid w:val="0052416F"/>
    <w:rsid w:val="0052589F"/>
    <w:rsid w:val="00531907"/>
    <w:rsid w:val="00532A0F"/>
    <w:rsid w:val="00533143"/>
    <w:rsid w:val="005342BA"/>
    <w:rsid w:val="00536792"/>
    <w:rsid w:val="0053683E"/>
    <w:rsid w:val="00537496"/>
    <w:rsid w:val="00542DF1"/>
    <w:rsid w:val="00544072"/>
    <w:rsid w:val="00544ED3"/>
    <w:rsid w:val="005477FD"/>
    <w:rsid w:val="00551A46"/>
    <w:rsid w:val="00555994"/>
    <w:rsid w:val="00560479"/>
    <w:rsid w:val="005612B3"/>
    <w:rsid w:val="00571B7B"/>
    <w:rsid w:val="0057678C"/>
    <w:rsid w:val="00577A7B"/>
    <w:rsid w:val="005803B5"/>
    <w:rsid w:val="00582721"/>
    <w:rsid w:val="0058477B"/>
    <w:rsid w:val="00584D7B"/>
    <w:rsid w:val="005852CF"/>
    <w:rsid w:val="0058540B"/>
    <w:rsid w:val="0058654F"/>
    <w:rsid w:val="00590BFE"/>
    <w:rsid w:val="00596ACA"/>
    <w:rsid w:val="00597398"/>
    <w:rsid w:val="005A290B"/>
    <w:rsid w:val="005A33D0"/>
    <w:rsid w:val="005A4722"/>
    <w:rsid w:val="005C0731"/>
    <w:rsid w:val="005C3772"/>
    <w:rsid w:val="005E39BC"/>
    <w:rsid w:val="005F00A0"/>
    <w:rsid w:val="005F253C"/>
    <w:rsid w:val="005F33D2"/>
    <w:rsid w:val="005F44B9"/>
    <w:rsid w:val="005F55A9"/>
    <w:rsid w:val="005F7AD5"/>
    <w:rsid w:val="005F7F06"/>
    <w:rsid w:val="0060121F"/>
    <w:rsid w:val="00607764"/>
    <w:rsid w:val="00612762"/>
    <w:rsid w:val="00621356"/>
    <w:rsid w:val="0062278A"/>
    <w:rsid w:val="00635FEA"/>
    <w:rsid w:val="00647F33"/>
    <w:rsid w:val="006542EE"/>
    <w:rsid w:val="0065561C"/>
    <w:rsid w:val="00662532"/>
    <w:rsid w:val="00664636"/>
    <w:rsid w:val="00665EE4"/>
    <w:rsid w:val="00670E0F"/>
    <w:rsid w:val="0069043A"/>
    <w:rsid w:val="00694194"/>
    <w:rsid w:val="006B1706"/>
    <w:rsid w:val="006B2274"/>
    <w:rsid w:val="006C1A2E"/>
    <w:rsid w:val="006C2009"/>
    <w:rsid w:val="006D43B9"/>
    <w:rsid w:val="006E5C1D"/>
    <w:rsid w:val="006F2853"/>
    <w:rsid w:val="00702970"/>
    <w:rsid w:val="0070302E"/>
    <w:rsid w:val="00705210"/>
    <w:rsid w:val="00717C6F"/>
    <w:rsid w:val="007268A7"/>
    <w:rsid w:val="007301E0"/>
    <w:rsid w:val="0073420F"/>
    <w:rsid w:val="00740495"/>
    <w:rsid w:val="00741B5E"/>
    <w:rsid w:val="007445DA"/>
    <w:rsid w:val="0075427D"/>
    <w:rsid w:val="00762E0C"/>
    <w:rsid w:val="00767013"/>
    <w:rsid w:val="007715C6"/>
    <w:rsid w:val="0077377F"/>
    <w:rsid w:val="00780705"/>
    <w:rsid w:val="0078448A"/>
    <w:rsid w:val="00785929"/>
    <w:rsid w:val="00785971"/>
    <w:rsid w:val="0078723A"/>
    <w:rsid w:val="007B3C8C"/>
    <w:rsid w:val="007B4FD1"/>
    <w:rsid w:val="007C0949"/>
    <w:rsid w:val="007C5265"/>
    <w:rsid w:val="007D0E56"/>
    <w:rsid w:val="007D5E2A"/>
    <w:rsid w:val="007D7B77"/>
    <w:rsid w:val="007E2207"/>
    <w:rsid w:val="007E2E3E"/>
    <w:rsid w:val="007E7174"/>
    <w:rsid w:val="007F26DB"/>
    <w:rsid w:val="007F2EDA"/>
    <w:rsid w:val="007F6EFF"/>
    <w:rsid w:val="00802381"/>
    <w:rsid w:val="00805C9C"/>
    <w:rsid w:val="00812A22"/>
    <w:rsid w:val="00825877"/>
    <w:rsid w:val="00835CC1"/>
    <w:rsid w:val="008437C2"/>
    <w:rsid w:val="008578B8"/>
    <w:rsid w:val="00860051"/>
    <w:rsid w:val="00860335"/>
    <w:rsid w:val="00873468"/>
    <w:rsid w:val="00874E9C"/>
    <w:rsid w:val="00876E14"/>
    <w:rsid w:val="0088048D"/>
    <w:rsid w:val="00882695"/>
    <w:rsid w:val="00883848"/>
    <w:rsid w:val="00890FE3"/>
    <w:rsid w:val="00893652"/>
    <w:rsid w:val="0089390B"/>
    <w:rsid w:val="00897ED5"/>
    <w:rsid w:val="008A2951"/>
    <w:rsid w:val="008B0DA9"/>
    <w:rsid w:val="008B5568"/>
    <w:rsid w:val="008B6BB9"/>
    <w:rsid w:val="008C0B20"/>
    <w:rsid w:val="008C5324"/>
    <w:rsid w:val="008D4AB1"/>
    <w:rsid w:val="008D4B01"/>
    <w:rsid w:val="008D593C"/>
    <w:rsid w:val="008E01B4"/>
    <w:rsid w:val="008E2940"/>
    <w:rsid w:val="008E5EFB"/>
    <w:rsid w:val="008F0320"/>
    <w:rsid w:val="008F1BBA"/>
    <w:rsid w:val="008F1EE3"/>
    <w:rsid w:val="008F2187"/>
    <w:rsid w:val="008F50E6"/>
    <w:rsid w:val="008F6E82"/>
    <w:rsid w:val="00905B61"/>
    <w:rsid w:val="00911543"/>
    <w:rsid w:val="00926D67"/>
    <w:rsid w:val="00933853"/>
    <w:rsid w:val="00937E08"/>
    <w:rsid w:val="00942250"/>
    <w:rsid w:val="00951042"/>
    <w:rsid w:val="009519C9"/>
    <w:rsid w:val="009528E9"/>
    <w:rsid w:val="00961699"/>
    <w:rsid w:val="00967C28"/>
    <w:rsid w:val="009703E1"/>
    <w:rsid w:val="00971509"/>
    <w:rsid w:val="00973C17"/>
    <w:rsid w:val="009770C3"/>
    <w:rsid w:val="00992820"/>
    <w:rsid w:val="00993268"/>
    <w:rsid w:val="009965D6"/>
    <w:rsid w:val="00996C16"/>
    <w:rsid w:val="00997006"/>
    <w:rsid w:val="009A2070"/>
    <w:rsid w:val="009A314C"/>
    <w:rsid w:val="009A6926"/>
    <w:rsid w:val="009A7849"/>
    <w:rsid w:val="009B1629"/>
    <w:rsid w:val="009C2A56"/>
    <w:rsid w:val="009C69FF"/>
    <w:rsid w:val="009C6CB1"/>
    <w:rsid w:val="009D0B86"/>
    <w:rsid w:val="009D327B"/>
    <w:rsid w:val="009D6605"/>
    <w:rsid w:val="009E0D5B"/>
    <w:rsid w:val="009E1558"/>
    <w:rsid w:val="009F63E1"/>
    <w:rsid w:val="00A14869"/>
    <w:rsid w:val="00A22007"/>
    <w:rsid w:val="00A24369"/>
    <w:rsid w:val="00A24463"/>
    <w:rsid w:val="00A32003"/>
    <w:rsid w:val="00A41D61"/>
    <w:rsid w:val="00A42898"/>
    <w:rsid w:val="00A44297"/>
    <w:rsid w:val="00A4471E"/>
    <w:rsid w:val="00A519D1"/>
    <w:rsid w:val="00A51AAC"/>
    <w:rsid w:val="00A522E2"/>
    <w:rsid w:val="00A53A3B"/>
    <w:rsid w:val="00A55F54"/>
    <w:rsid w:val="00A61D8E"/>
    <w:rsid w:val="00AA2824"/>
    <w:rsid w:val="00AB39A5"/>
    <w:rsid w:val="00AB6ACE"/>
    <w:rsid w:val="00AB72B9"/>
    <w:rsid w:val="00AC4019"/>
    <w:rsid w:val="00AC5A3A"/>
    <w:rsid w:val="00AC7FEB"/>
    <w:rsid w:val="00AD21C8"/>
    <w:rsid w:val="00AD2950"/>
    <w:rsid w:val="00AE039E"/>
    <w:rsid w:val="00AE2F5F"/>
    <w:rsid w:val="00AF3418"/>
    <w:rsid w:val="00AF645C"/>
    <w:rsid w:val="00B02431"/>
    <w:rsid w:val="00B03358"/>
    <w:rsid w:val="00B04010"/>
    <w:rsid w:val="00B0634B"/>
    <w:rsid w:val="00B10550"/>
    <w:rsid w:val="00B10A3C"/>
    <w:rsid w:val="00B135FA"/>
    <w:rsid w:val="00B15D97"/>
    <w:rsid w:val="00B16099"/>
    <w:rsid w:val="00B17049"/>
    <w:rsid w:val="00B21E5D"/>
    <w:rsid w:val="00B22FCB"/>
    <w:rsid w:val="00B246DD"/>
    <w:rsid w:val="00B344CA"/>
    <w:rsid w:val="00B37370"/>
    <w:rsid w:val="00B51531"/>
    <w:rsid w:val="00B55B38"/>
    <w:rsid w:val="00B55D15"/>
    <w:rsid w:val="00B6025D"/>
    <w:rsid w:val="00B60939"/>
    <w:rsid w:val="00B60B99"/>
    <w:rsid w:val="00B65014"/>
    <w:rsid w:val="00B658B9"/>
    <w:rsid w:val="00B71CE2"/>
    <w:rsid w:val="00B82FA5"/>
    <w:rsid w:val="00B877CD"/>
    <w:rsid w:val="00B910AB"/>
    <w:rsid w:val="00B91485"/>
    <w:rsid w:val="00B92D4F"/>
    <w:rsid w:val="00B92E7A"/>
    <w:rsid w:val="00B9322C"/>
    <w:rsid w:val="00BA4D54"/>
    <w:rsid w:val="00BA6E56"/>
    <w:rsid w:val="00BB2E5E"/>
    <w:rsid w:val="00BC3155"/>
    <w:rsid w:val="00BD0F32"/>
    <w:rsid w:val="00BD1400"/>
    <w:rsid w:val="00BD605C"/>
    <w:rsid w:val="00BE2A76"/>
    <w:rsid w:val="00BE7CF9"/>
    <w:rsid w:val="00BF3A31"/>
    <w:rsid w:val="00BF4046"/>
    <w:rsid w:val="00C0508A"/>
    <w:rsid w:val="00C05E8E"/>
    <w:rsid w:val="00C1615C"/>
    <w:rsid w:val="00C21EC6"/>
    <w:rsid w:val="00C25C2F"/>
    <w:rsid w:val="00C33906"/>
    <w:rsid w:val="00C37536"/>
    <w:rsid w:val="00C43929"/>
    <w:rsid w:val="00C46AEA"/>
    <w:rsid w:val="00C53C0E"/>
    <w:rsid w:val="00C54A96"/>
    <w:rsid w:val="00C61EC9"/>
    <w:rsid w:val="00C640C5"/>
    <w:rsid w:val="00C65398"/>
    <w:rsid w:val="00C65E60"/>
    <w:rsid w:val="00C673D7"/>
    <w:rsid w:val="00C702B0"/>
    <w:rsid w:val="00C73E6E"/>
    <w:rsid w:val="00C81AB0"/>
    <w:rsid w:val="00C83B42"/>
    <w:rsid w:val="00C86EF1"/>
    <w:rsid w:val="00C92AD2"/>
    <w:rsid w:val="00CA2F24"/>
    <w:rsid w:val="00CA4A49"/>
    <w:rsid w:val="00CA57AF"/>
    <w:rsid w:val="00CA655D"/>
    <w:rsid w:val="00CA76B6"/>
    <w:rsid w:val="00CB2F86"/>
    <w:rsid w:val="00CB6F6F"/>
    <w:rsid w:val="00CE5A52"/>
    <w:rsid w:val="00CE74AA"/>
    <w:rsid w:val="00CE7957"/>
    <w:rsid w:val="00CF259B"/>
    <w:rsid w:val="00CF7AF3"/>
    <w:rsid w:val="00D069FB"/>
    <w:rsid w:val="00D20CF1"/>
    <w:rsid w:val="00D219FF"/>
    <w:rsid w:val="00D21EB9"/>
    <w:rsid w:val="00D26ADA"/>
    <w:rsid w:val="00D30FA1"/>
    <w:rsid w:val="00D33176"/>
    <w:rsid w:val="00D33364"/>
    <w:rsid w:val="00D35279"/>
    <w:rsid w:val="00D35A78"/>
    <w:rsid w:val="00D46B96"/>
    <w:rsid w:val="00D53949"/>
    <w:rsid w:val="00D55447"/>
    <w:rsid w:val="00D555A1"/>
    <w:rsid w:val="00D55CB7"/>
    <w:rsid w:val="00D64AA1"/>
    <w:rsid w:val="00D64DC2"/>
    <w:rsid w:val="00D73398"/>
    <w:rsid w:val="00D9457D"/>
    <w:rsid w:val="00D956C8"/>
    <w:rsid w:val="00D96BA7"/>
    <w:rsid w:val="00DA3E13"/>
    <w:rsid w:val="00DA46CA"/>
    <w:rsid w:val="00DD180E"/>
    <w:rsid w:val="00DD6012"/>
    <w:rsid w:val="00DE21EE"/>
    <w:rsid w:val="00DE3C7B"/>
    <w:rsid w:val="00DF21EB"/>
    <w:rsid w:val="00E006D2"/>
    <w:rsid w:val="00E013BC"/>
    <w:rsid w:val="00E025ED"/>
    <w:rsid w:val="00E0711B"/>
    <w:rsid w:val="00E10152"/>
    <w:rsid w:val="00E14457"/>
    <w:rsid w:val="00E20E70"/>
    <w:rsid w:val="00E224E8"/>
    <w:rsid w:val="00E25B68"/>
    <w:rsid w:val="00E36086"/>
    <w:rsid w:val="00E36F58"/>
    <w:rsid w:val="00E44746"/>
    <w:rsid w:val="00E450CA"/>
    <w:rsid w:val="00E45C68"/>
    <w:rsid w:val="00E576AF"/>
    <w:rsid w:val="00E62509"/>
    <w:rsid w:val="00E644A8"/>
    <w:rsid w:val="00E65AFD"/>
    <w:rsid w:val="00E677E5"/>
    <w:rsid w:val="00E77559"/>
    <w:rsid w:val="00E84003"/>
    <w:rsid w:val="00EA6B02"/>
    <w:rsid w:val="00EB33C1"/>
    <w:rsid w:val="00EB55D1"/>
    <w:rsid w:val="00EC10FC"/>
    <w:rsid w:val="00ED1316"/>
    <w:rsid w:val="00ED67F3"/>
    <w:rsid w:val="00ED762A"/>
    <w:rsid w:val="00EE0041"/>
    <w:rsid w:val="00EE29B9"/>
    <w:rsid w:val="00EE4EAA"/>
    <w:rsid w:val="00EE6FF2"/>
    <w:rsid w:val="00EF354C"/>
    <w:rsid w:val="00F004EE"/>
    <w:rsid w:val="00F04B7B"/>
    <w:rsid w:val="00F06F38"/>
    <w:rsid w:val="00F1006D"/>
    <w:rsid w:val="00F10BCC"/>
    <w:rsid w:val="00F12B5B"/>
    <w:rsid w:val="00F24DBB"/>
    <w:rsid w:val="00F26666"/>
    <w:rsid w:val="00F33BE9"/>
    <w:rsid w:val="00F33EA9"/>
    <w:rsid w:val="00F411CC"/>
    <w:rsid w:val="00F42E23"/>
    <w:rsid w:val="00F45EEE"/>
    <w:rsid w:val="00F47C6D"/>
    <w:rsid w:val="00F5177E"/>
    <w:rsid w:val="00F51E9C"/>
    <w:rsid w:val="00F523CA"/>
    <w:rsid w:val="00F563A6"/>
    <w:rsid w:val="00F5650B"/>
    <w:rsid w:val="00F6110F"/>
    <w:rsid w:val="00F74A9D"/>
    <w:rsid w:val="00F75902"/>
    <w:rsid w:val="00F778B3"/>
    <w:rsid w:val="00F94208"/>
    <w:rsid w:val="00FA5097"/>
    <w:rsid w:val="00FB0519"/>
    <w:rsid w:val="00FB605A"/>
    <w:rsid w:val="00FC072A"/>
    <w:rsid w:val="00FC5635"/>
    <w:rsid w:val="00FD0FFF"/>
    <w:rsid w:val="00FD49EC"/>
    <w:rsid w:val="00FF386F"/>
    <w:rsid w:val="00FF3898"/>
    <w:rsid w:val="00FF76B2"/>
    <w:rsid w:val="1E4C87BF"/>
    <w:rsid w:val="48EC06B0"/>
    <w:rsid w:val="4B89480B"/>
    <w:rsid w:val="4DB7EFEF"/>
    <w:rsid w:val="5A3050B8"/>
    <w:rsid w:val="5D77A68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95A32"/>
  <w15:docId w15:val="{952FE3BA-A979-4362-9943-CB491A2C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right="1134"/>
      <w:jc w:val="both"/>
    </w:pPr>
    <w:rPr>
      <w:sz w:val="22"/>
      <w:lang w:eastAsia="en-US"/>
    </w:rPr>
  </w:style>
  <w:style w:type="paragraph" w:customStyle="1" w:styleId="ListEmdash">
    <w:name w:val="List Emdash"/>
    <w:basedOn w:val="BodyText"/>
    <w:uiPriority w:val="6"/>
    <w:qFormat/>
    <w:rsid w:val="00717C6F"/>
    <w:pPr>
      <w:numPr>
        <w:numId w:val="20"/>
      </w:numPr>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Revision">
    <w:name w:val="Revision"/>
    <w:hidden/>
    <w:uiPriority w:val="99"/>
    <w:semiHidden/>
    <w:rsid w:val="001074BC"/>
    <w:rPr>
      <w:sz w:val="22"/>
      <w:lang w:eastAsia="en-US"/>
    </w:rPr>
  </w:style>
  <w:style w:type="character" w:styleId="Hyperlink">
    <w:name w:val="Hyperlink"/>
    <w:basedOn w:val="DefaultParagraphFont"/>
    <w:uiPriority w:val="49"/>
    <w:unhideWhenUsed/>
    <w:locked/>
    <w:rsid w:val="000D3763"/>
    <w:rPr>
      <w:color w:val="0000FF" w:themeColor="hyperlink"/>
      <w:u w:val="single"/>
    </w:rPr>
  </w:style>
  <w:style w:type="character" w:styleId="UnresolvedMention">
    <w:name w:val="Unresolved Mention"/>
    <w:basedOn w:val="DefaultParagraphFont"/>
    <w:uiPriority w:val="99"/>
    <w:semiHidden/>
    <w:unhideWhenUsed/>
    <w:rsid w:val="000D3763"/>
    <w:rPr>
      <w:color w:val="605E5C"/>
      <w:shd w:val="clear" w:color="auto" w:fill="E1DFDD"/>
    </w:rPr>
  </w:style>
  <w:style w:type="character" w:styleId="CommentReference">
    <w:name w:val="annotation reference"/>
    <w:basedOn w:val="DefaultParagraphFont"/>
    <w:uiPriority w:val="49"/>
    <w:semiHidden/>
    <w:unhideWhenUsed/>
    <w:locked/>
    <w:rsid w:val="00A519D1"/>
    <w:rPr>
      <w:sz w:val="16"/>
      <w:szCs w:val="16"/>
    </w:rPr>
  </w:style>
  <w:style w:type="paragraph" w:styleId="CommentText">
    <w:name w:val="annotation text"/>
    <w:basedOn w:val="Normal"/>
    <w:link w:val="CommentTextChar"/>
    <w:uiPriority w:val="49"/>
    <w:unhideWhenUsed/>
    <w:locked/>
    <w:rsid w:val="00A519D1"/>
    <w:rPr>
      <w:sz w:val="20"/>
    </w:rPr>
  </w:style>
  <w:style w:type="character" w:customStyle="1" w:styleId="CommentTextChar">
    <w:name w:val="Comment Text Char"/>
    <w:basedOn w:val="DefaultParagraphFont"/>
    <w:link w:val="CommentText"/>
    <w:uiPriority w:val="49"/>
    <w:rsid w:val="00A519D1"/>
    <w:rPr>
      <w:lang w:eastAsia="en-US"/>
    </w:rPr>
  </w:style>
  <w:style w:type="paragraph" w:styleId="CommentSubject">
    <w:name w:val="annotation subject"/>
    <w:basedOn w:val="CommentText"/>
    <w:next w:val="CommentText"/>
    <w:link w:val="CommentSubjectChar"/>
    <w:uiPriority w:val="49"/>
    <w:semiHidden/>
    <w:unhideWhenUsed/>
    <w:locked/>
    <w:rsid w:val="00A519D1"/>
    <w:rPr>
      <w:b/>
      <w:bCs/>
    </w:rPr>
  </w:style>
  <w:style w:type="character" w:customStyle="1" w:styleId="CommentSubjectChar">
    <w:name w:val="Comment Subject Char"/>
    <w:basedOn w:val="CommentTextChar"/>
    <w:link w:val="CommentSubject"/>
    <w:uiPriority w:val="49"/>
    <w:semiHidden/>
    <w:rsid w:val="00A519D1"/>
    <w:rPr>
      <w:b/>
      <w:bCs/>
      <w:lang w:eastAsia="en-US"/>
    </w:rPr>
  </w:style>
  <w:style w:type="character" w:styleId="Mention">
    <w:name w:val="Mention"/>
    <w:basedOn w:val="DefaultParagraphFont"/>
    <w:uiPriority w:val="99"/>
    <w:unhideWhenUsed/>
    <w:rsid w:val="00A519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626697">
      <w:bodyDiv w:val="1"/>
      <w:marLeft w:val="0"/>
      <w:marRight w:val="0"/>
      <w:marTop w:val="0"/>
      <w:marBottom w:val="0"/>
      <w:divBdr>
        <w:top w:val="none" w:sz="0" w:space="0" w:color="auto"/>
        <w:left w:val="none" w:sz="0" w:space="0" w:color="auto"/>
        <w:bottom w:val="none" w:sz="0" w:space="0" w:color="auto"/>
        <w:right w:val="none" w:sz="0" w:space="0" w:color="auto"/>
      </w:divBdr>
      <w:divsChild>
        <w:div w:id="1826900107">
          <w:marLeft w:val="360"/>
          <w:marRight w:val="0"/>
          <w:marTop w:val="200"/>
          <w:marBottom w:val="0"/>
          <w:divBdr>
            <w:top w:val="none" w:sz="0" w:space="0" w:color="auto"/>
            <w:left w:val="none" w:sz="0" w:space="0" w:color="auto"/>
            <w:bottom w:val="none" w:sz="0" w:space="0" w:color="auto"/>
            <w:right w:val="none" w:sz="0" w:space="0" w:color="auto"/>
          </w:divBdr>
        </w:div>
        <w:div w:id="1212570255">
          <w:marLeft w:val="360"/>
          <w:marRight w:val="0"/>
          <w:marTop w:val="200"/>
          <w:marBottom w:val="0"/>
          <w:divBdr>
            <w:top w:val="none" w:sz="0" w:space="0" w:color="auto"/>
            <w:left w:val="none" w:sz="0" w:space="0" w:color="auto"/>
            <w:bottom w:val="none" w:sz="0" w:space="0" w:color="auto"/>
            <w:right w:val="none" w:sz="0" w:space="0" w:color="auto"/>
          </w:divBdr>
        </w:div>
        <w:div w:id="977150416">
          <w:marLeft w:val="1080"/>
          <w:marRight w:val="0"/>
          <w:marTop w:val="100"/>
          <w:marBottom w:val="0"/>
          <w:divBdr>
            <w:top w:val="none" w:sz="0" w:space="0" w:color="auto"/>
            <w:left w:val="none" w:sz="0" w:space="0" w:color="auto"/>
            <w:bottom w:val="none" w:sz="0" w:space="0" w:color="auto"/>
            <w:right w:val="none" w:sz="0" w:space="0" w:color="auto"/>
          </w:divBdr>
        </w:div>
        <w:div w:id="125587692">
          <w:marLeft w:val="1080"/>
          <w:marRight w:val="0"/>
          <w:marTop w:val="100"/>
          <w:marBottom w:val="0"/>
          <w:divBdr>
            <w:top w:val="none" w:sz="0" w:space="0" w:color="auto"/>
            <w:left w:val="none" w:sz="0" w:space="0" w:color="auto"/>
            <w:bottom w:val="none" w:sz="0" w:space="0" w:color="auto"/>
            <w:right w:val="none" w:sz="0" w:space="0" w:color="auto"/>
          </w:divBdr>
        </w:div>
        <w:div w:id="1220094516">
          <w:marLeft w:val="1080"/>
          <w:marRight w:val="0"/>
          <w:marTop w:val="100"/>
          <w:marBottom w:val="0"/>
          <w:divBdr>
            <w:top w:val="none" w:sz="0" w:space="0" w:color="auto"/>
            <w:left w:val="none" w:sz="0" w:space="0" w:color="auto"/>
            <w:bottom w:val="none" w:sz="0" w:space="0" w:color="auto"/>
            <w:right w:val="none" w:sz="0" w:space="0" w:color="auto"/>
          </w:divBdr>
        </w:div>
        <w:div w:id="775907520">
          <w:marLeft w:val="360"/>
          <w:marRight w:val="0"/>
          <w:marTop w:val="200"/>
          <w:marBottom w:val="0"/>
          <w:divBdr>
            <w:top w:val="none" w:sz="0" w:space="0" w:color="auto"/>
            <w:left w:val="none" w:sz="0" w:space="0" w:color="auto"/>
            <w:bottom w:val="none" w:sz="0" w:space="0" w:color="auto"/>
            <w:right w:val="none" w:sz="0" w:space="0" w:color="auto"/>
          </w:divBdr>
        </w:div>
        <w:div w:id="118455606">
          <w:marLeft w:val="360"/>
          <w:marRight w:val="0"/>
          <w:marTop w:val="200"/>
          <w:marBottom w:val="0"/>
          <w:divBdr>
            <w:top w:val="none" w:sz="0" w:space="0" w:color="auto"/>
            <w:left w:val="none" w:sz="0" w:space="0" w:color="auto"/>
            <w:bottom w:val="none" w:sz="0" w:space="0" w:color="auto"/>
            <w:right w:val="none" w:sz="0" w:space="0" w:color="auto"/>
          </w:divBdr>
        </w:div>
        <w:div w:id="971056964">
          <w:marLeft w:val="360"/>
          <w:marRight w:val="0"/>
          <w:marTop w:val="200"/>
          <w:marBottom w:val="0"/>
          <w:divBdr>
            <w:top w:val="none" w:sz="0" w:space="0" w:color="auto"/>
            <w:left w:val="none" w:sz="0" w:space="0" w:color="auto"/>
            <w:bottom w:val="none" w:sz="0" w:space="0" w:color="auto"/>
            <w:right w:val="none" w:sz="0" w:space="0" w:color="auto"/>
          </w:divBdr>
        </w:div>
      </w:divsChild>
    </w:div>
    <w:div w:id="179637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nrc.gov/waste/decommissioning/whats-new.html"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4D48C4F0BAC4DAF3B6ADBE4457523" ma:contentTypeVersion="6" ma:contentTypeDescription="Create a new document." ma:contentTypeScope="" ma:versionID="9333d49cce8bd065bd1578c7bc25f397">
  <xsd:schema xmlns:xsd="http://www.w3.org/2001/XMLSchema" xmlns:xs="http://www.w3.org/2001/XMLSchema" xmlns:p="http://schemas.microsoft.com/office/2006/metadata/properties" xmlns:ns2="1897d843-9bce-4c6c-a409-55a24093e101" xmlns:ns3="d2aa3612-77d4-403c-ac08-299724dbe2e2" targetNamespace="http://schemas.microsoft.com/office/2006/metadata/properties" ma:root="true" ma:fieldsID="63dd16aad413495ac21c26af6814466f" ns2:_="" ns3:_="">
    <xsd:import namespace="1897d843-9bce-4c6c-a409-55a24093e101"/>
    <xsd:import namespace="d2aa3612-77d4-403c-ac08-299724dbe2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7d843-9bce-4c6c-a409-55a24093e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aa3612-77d4-403c-ac08-299724dbe2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7BDF3D-7210-4730-833F-61071BE32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7d843-9bce-4c6c-a409-55a24093e101"/>
    <ds:schemaRef ds:uri="d2aa3612-77d4-403c-ac08-299724dbe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277B6-36A2-436B-8C92-9C32115A04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C0EB1B-2459-43CE-9F65-C989FA23CB2B}">
  <ds:schemaRefs>
    <ds:schemaRef ds:uri="http://schemas.openxmlformats.org/officeDocument/2006/bibliography"/>
  </ds:schemaRefs>
</ds:datastoreItem>
</file>

<file path=customXml/itemProps4.xml><?xml version="1.0" encoding="utf-8"?>
<ds:datastoreItem xmlns:ds="http://schemas.openxmlformats.org/officeDocument/2006/customXml" ds:itemID="{C6D817FB-1837-4E6D-A5D5-156D5AC4FB5F}">
  <ds:schemaRefs>
    <ds:schemaRef ds:uri="http://schemas.microsoft.com/sharepoint/v3/contenttype/form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IAEA Blank (r01)</Template>
  <TotalTime>29</TotalTime>
  <Pages>7</Pages>
  <Words>3667</Words>
  <Characters>20908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24526</CharactersWithSpaces>
  <SharedDoc>false</SharedDoc>
  <HLinks>
    <vt:vector size="6" baseType="variant">
      <vt:variant>
        <vt:i4>6160469</vt:i4>
      </vt:variant>
      <vt:variant>
        <vt:i4>3</vt:i4>
      </vt:variant>
      <vt:variant>
        <vt:i4>0</vt:i4>
      </vt:variant>
      <vt:variant>
        <vt:i4>5</vt:i4>
      </vt:variant>
      <vt:variant>
        <vt:lpwstr>https://www.nrc.gov/waste/decommissioning/whats-new.html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Cynthia Barr</cp:lastModifiedBy>
  <cp:revision>5</cp:revision>
  <cp:lastPrinted>2015-12-01T10:27:00Z</cp:lastPrinted>
  <dcterms:created xsi:type="dcterms:W3CDTF">2023-02-17T12:00:00Z</dcterms:created>
  <dcterms:modified xsi:type="dcterms:W3CDTF">2023-02-17T12:52:00Z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0x0101006BD4D48C4F0BAC4DAF3B6ADBE4457523</vt:lpwstr>
  </property>
  <property fmtid="{D5CDD505-2E9C-101B-9397-08002B2CF9AE}" pid="12" name="_dlc_DocIdItemGuid">
    <vt:lpwstr>061d8fe4-c58e-48da-b299-db7bcc303392</vt:lpwstr>
  </property>
</Properties>
</file>