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EDF6F" w14:textId="77777777" w:rsidR="00C15304" w:rsidRPr="003707A7" w:rsidRDefault="00C15304" w:rsidP="00C15304">
      <w:pPr>
        <w:pStyle w:val="Heading1"/>
      </w:pPr>
      <w:r w:rsidRPr="003707A7">
        <w:t>LESSONS LEARNED AND CHALLENGES IN THE</w:t>
      </w:r>
    </w:p>
    <w:p w14:paraId="41CE9EEF" w14:textId="1960600A" w:rsidR="00C15304" w:rsidRPr="00CC5842" w:rsidRDefault="00C15304" w:rsidP="00C15304">
      <w:pPr>
        <w:pStyle w:val="Heading1"/>
      </w:pPr>
      <w:r w:rsidRPr="00CC5842">
        <w:t xml:space="preserve">DECOMMISSIONING OF FORMER IRAQI </w:t>
      </w:r>
    </w:p>
    <w:p w14:paraId="2EB4092C" w14:textId="77777777" w:rsidR="00C15304" w:rsidRPr="00CC5842" w:rsidRDefault="00C15304" w:rsidP="00C15304">
      <w:pPr>
        <w:pStyle w:val="Heading1"/>
      </w:pPr>
      <w:r w:rsidRPr="00CC5842">
        <w:t>NUCLEAR FACILITIES</w:t>
      </w:r>
    </w:p>
    <w:p w14:paraId="4BD0A85D" w14:textId="77777777" w:rsidR="00C15304" w:rsidRPr="00EE29B9" w:rsidRDefault="00C15304" w:rsidP="00C15304">
      <w:pPr>
        <w:pStyle w:val="Heading1"/>
      </w:pPr>
    </w:p>
    <w:p w14:paraId="1ED7C749" w14:textId="77777777" w:rsidR="00C15304" w:rsidRDefault="00C15304" w:rsidP="00C15304">
      <w:pPr>
        <w:pStyle w:val="Authornameandaffiliation"/>
      </w:pPr>
    </w:p>
    <w:p w14:paraId="57050AA5" w14:textId="58A15289" w:rsidR="00C15304" w:rsidRDefault="00C15304" w:rsidP="00092516">
      <w:pPr>
        <w:pStyle w:val="Authornameandaffiliation"/>
      </w:pPr>
      <w:proofErr w:type="spellStart"/>
      <w:r>
        <w:t>Saad</w:t>
      </w:r>
      <w:proofErr w:type="spellEnd"/>
      <w:r>
        <w:t xml:space="preserve"> </w:t>
      </w:r>
      <w:proofErr w:type="spellStart"/>
      <w:r w:rsidR="00092516">
        <w:t>Kadhum</w:t>
      </w:r>
      <w:bookmarkStart w:id="0" w:name="_GoBack"/>
      <w:bookmarkEnd w:id="0"/>
      <w:proofErr w:type="spellEnd"/>
    </w:p>
    <w:p w14:paraId="77762E96" w14:textId="77777777" w:rsidR="00C15304" w:rsidRDefault="00C15304" w:rsidP="00C15304">
      <w:pPr>
        <w:pStyle w:val="Authornameandaffiliation"/>
      </w:pPr>
      <w:r>
        <w:t xml:space="preserve">Decommissioning Directorate of nuclear sites and facilities/Iraq Atomic energy Commission </w:t>
      </w:r>
    </w:p>
    <w:p w14:paraId="0BE617BF" w14:textId="77777777" w:rsidR="00C15304" w:rsidRDefault="00C15304" w:rsidP="00C15304">
      <w:pPr>
        <w:pStyle w:val="Authornameandaffiliation"/>
      </w:pPr>
      <w:r>
        <w:t>Baghdad/Iraq</w:t>
      </w:r>
    </w:p>
    <w:p w14:paraId="1529B98E" w14:textId="77777777" w:rsidR="00C15304" w:rsidRDefault="00C15304" w:rsidP="00C15304">
      <w:pPr>
        <w:pStyle w:val="Authornameandaffiliation"/>
        <w:rPr>
          <w:rStyle w:val="Hyperlink"/>
          <w:b/>
          <w:bCs/>
        </w:rPr>
      </w:pPr>
      <w:r>
        <w:t xml:space="preserve">Email: </w:t>
      </w:r>
      <w:r w:rsidRPr="00B05758">
        <w:t xml:space="preserve"> </w:t>
      </w:r>
      <w:hyperlink r:id="rId8" w:history="1">
        <w:r w:rsidRPr="00B05758">
          <w:rPr>
            <w:rStyle w:val="Hyperlink"/>
            <w:b/>
            <w:bCs/>
          </w:rPr>
          <w:t>saadrgt@yahoo.com</w:t>
        </w:r>
      </w:hyperlink>
    </w:p>
    <w:p w14:paraId="6BFEA8A8" w14:textId="77777777" w:rsidR="003707A7" w:rsidRDefault="003707A7" w:rsidP="00C15304">
      <w:pPr>
        <w:pStyle w:val="Authornameandaffiliation"/>
        <w:rPr>
          <w:rStyle w:val="Hyperlink"/>
          <w:b/>
          <w:bCs/>
        </w:rPr>
      </w:pPr>
    </w:p>
    <w:p w14:paraId="23992A25" w14:textId="25515297" w:rsidR="003707A7" w:rsidRPr="003707A7" w:rsidRDefault="003707A7" w:rsidP="003707A7">
      <w:pPr>
        <w:pStyle w:val="Authornameandaffiliation"/>
        <w:rPr>
          <w:rStyle w:val="Hyperlink"/>
          <w:color w:val="auto"/>
          <w:u w:val="none"/>
        </w:rPr>
      </w:pPr>
      <w:r w:rsidRPr="003707A7">
        <w:rPr>
          <w:rStyle w:val="Hyperlink"/>
          <w:color w:val="auto"/>
          <w:u w:val="none"/>
        </w:rPr>
        <w:t>Hussein Al-</w:t>
      </w:r>
      <w:proofErr w:type="spellStart"/>
      <w:r w:rsidRPr="003707A7">
        <w:rPr>
          <w:rStyle w:val="Hyperlink"/>
          <w:color w:val="auto"/>
          <w:u w:val="none"/>
        </w:rPr>
        <w:t>shamoosi</w:t>
      </w:r>
      <w:proofErr w:type="spellEnd"/>
    </w:p>
    <w:p w14:paraId="3B3B271D" w14:textId="77777777" w:rsidR="003707A7" w:rsidRPr="003707A7" w:rsidRDefault="003707A7" w:rsidP="003707A7">
      <w:pPr>
        <w:pStyle w:val="Authornameandaffiliation"/>
      </w:pPr>
      <w:r w:rsidRPr="003707A7">
        <w:t xml:space="preserve">Decommissioning Directorate of nuclear sites and facilities/Iraq Atomic energy Commission </w:t>
      </w:r>
    </w:p>
    <w:p w14:paraId="67585F3F" w14:textId="77777777" w:rsidR="003707A7" w:rsidRPr="003707A7" w:rsidRDefault="003707A7" w:rsidP="003707A7">
      <w:pPr>
        <w:pStyle w:val="Authornameandaffiliation"/>
      </w:pPr>
      <w:r w:rsidRPr="003707A7">
        <w:t>Baghdad/Iraq</w:t>
      </w:r>
    </w:p>
    <w:p w14:paraId="7CC034C7" w14:textId="77777777" w:rsidR="00C15304" w:rsidRPr="00FF386F" w:rsidRDefault="00C15304" w:rsidP="003707A7">
      <w:pPr>
        <w:pStyle w:val="Authornameandaffiliation"/>
        <w:ind w:left="0"/>
      </w:pPr>
    </w:p>
    <w:p w14:paraId="7B7A289F" w14:textId="42ABDE4D" w:rsidR="00C15304" w:rsidRPr="00647F33" w:rsidRDefault="00C15304" w:rsidP="00C15304">
      <w:pPr>
        <w:pStyle w:val="Authornameandaffiliation"/>
        <w:rPr>
          <w:b/>
        </w:rPr>
      </w:pPr>
      <w:r w:rsidRPr="00647F33">
        <w:rPr>
          <w:b/>
        </w:rPr>
        <w:t>Abstract</w:t>
      </w:r>
    </w:p>
    <w:p w14:paraId="187548A3" w14:textId="77777777" w:rsidR="00C15304" w:rsidRDefault="00C15304" w:rsidP="00C15304">
      <w:pPr>
        <w:pStyle w:val="Authornameandaffiliation"/>
      </w:pPr>
    </w:p>
    <w:p w14:paraId="667045D7" w14:textId="2190C6E3" w:rsidR="00C15304" w:rsidRPr="00BE794B" w:rsidRDefault="00C15304" w:rsidP="0042415F">
      <w:pPr>
        <w:pStyle w:val="Abstracttext"/>
        <w:jc w:val="both"/>
        <w:rPr>
          <w:szCs w:val="18"/>
        </w:rPr>
      </w:pPr>
      <w:r w:rsidRPr="00BE794B">
        <w:rPr>
          <w:szCs w:val="18"/>
        </w:rPr>
        <w:t xml:space="preserve">Decommissioning </w:t>
      </w:r>
      <w:r w:rsidR="004B706D">
        <w:rPr>
          <w:szCs w:val="18"/>
        </w:rPr>
        <w:t xml:space="preserve">is the last phase of nuclear facility life cycle were </w:t>
      </w:r>
      <w:r w:rsidR="004B706D" w:rsidRPr="00BE794B">
        <w:rPr>
          <w:szCs w:val="18"/>
        </w:rPr>
        <w:t>measure</w:t>
      </w:r>
      <w:r w:rsidR="004B706D">
        <w:rPr>
          <w:szCs w:val="18"/>
        </w:rPr>
        <w:t xml:space="preserve">s is taken  </w:t>
      </w:r>
      <w:r w:rsidRPr="00BE794B">
        <w:rPr>
          <w:szCs w:val="18"/>
        </w:rPr>
        <w:t>the administrative and technical taken to allow the removal of some or all of the regulatory controls from a nuclear facility</w:t>
      </w:r>
      <w:r w:rsidR="009D4184">
        <w:rPr>
          <w:szCs w:val="18"/>
        </w:rPr>
        <w:t>.</w:t>
      </w:r>
      <w:r w:rsidR="009B3300">
        <w:rPr>
          <w:szCs w:val="18"/>
        </w:rPr>
        <w:t xml:space="preserve"> </w:t>
      </w:r>
      <w:r w:rsidR="005A3B54" w:rsidRPr="005A3B54">
        <w:rPr>
          <w:szCs w:val="18"/>
        </w:rPr>
        <w:t>It is implemented to achieve a gradual and systematic reduction in radiological hazards and is taken on the basis of advance planning and evaluation to ensure safety during shut down operations</w:t>
      </w:r>
      <w:r w:rsidRPr="00BE794B">
        <w:rPr>
          <w:szCs w:val="18"/>
        </w:rPr>
        <w:t>. The radiological characterization of the facility is the key stage in order to suppo</w:t>
      </w:r>
      <w:r w:rsidR="0042415F">
        <w:rPr>
          <w:szCs w:val="18"/>
        </w:rPr>
        <w:t>rt the decommissioning strategy and</w:t>
      </w:r>
      <w:r w:rsidRPr="00BE794B">
        <w:rPr>
          <w:szCs w:val="18"/>
        </w:rPr>
        <w:t xml:space="preserve"> </w:t>
      </w:r>
      <w:r w:rsidR="0042415F">
        <w:rPr>
          <w:szCs w:val="18"/>
        </w:rPr>
        <w:t>t</w:t>
      </w:r>
      <w:r w:rsidRPr="00BE794B">
        <w:rPr>
          <w:szCs w:val="18"/>
        </w:rPr>
        <w:t xml:space="preserve">he radiological characterization of nuclear facilities is the process of determining the quantities, types, and locations of </w:t>
      </w:r>
      <w:r w:rsidR="0042415F" w:rsidRPr="00BE794B">
        <w:rPr>
          <w:szCs w:val="18"/>
        </w:rPr>
        <w:t>radi</w:t>
      </w:r>
      <w:r w:rsidR="0042415F">
        <w:rPr>
          <w:szCs w:val="18"/>
        </w:rPr>
        <w:t>onuclides.</w:t>
      </w:r>
      <w:r w:rsidR="0042415F" w:rsidRPr="00BE794B">
        <w:rPr>
          <w:szCs w:val="18"/>
        </w:rPr>
        <w:t xml:space="preserve"> In</w:t>
      </w:r>
      <w:r w:rsidRPr="00BE794B">
        <w:rPr>
          <w:szCs w:val="18"/>
        </w:rPr>
        <w:t xml:space="preserve"> Iraq there are difficulties in the process of </w:t>
      </w:r>
      <w:r w:rsidR="00E0747D">
        <w:rPr>
          <w:szCs w:val="18"/>
        </w:rPr>
        <w:t xml:space="preserve">decommissioning </w:t>
      </w:r>
      <w:r w:rsidRPr="00BE794B">
        <w:rPr>
          <w:szCs w:val="18"/>
        </w:rPr>
        <w:t xml:space="preserve">due to the lack of information about the exact operating period and accidents during the operating period as well as the components of these facilities due to the destruction of the these nuclear facilities during the Gulf War in 1991, and the looting of sites and facilities during the events of 2003. As a result of these events, many of these nuclear facilities have lost their containment of radioactive material and was an increased potential for </w:t>
      </w:r>
      <w:r w:rsidR="005A3B54">
        <w:rPr>
          <w:szCs w:val="18"/>
        </w:rPr>
        <w:t>spread</w:t>
      </w:r>
      <w:r w:rsidRPr="00BE794B">
        <w:rPr>
          <w:szCs w:val="18"/>
        </w:rPr>
        <w:t xml:space="preserve"> into the environment. A </w:t>
      </w:r>
      <w:r w:rsidR="004B706D">
        <w:rPr>
          <w:szCs w:val="18"/>
        </w:rPr>
        <w:t>main</w:t>
      </w:r>
      <w:r w:rsidRPr="00BE794B">
        <w:rPr>
          <w:szCs w:val="18"/>
        </w:rPr>
        <w:t xml:space="preserve"> plan for decommissioning has been developed to shut down all nuclear facilities and sites in Iraq, which started from January 2008 until December 2025, and the plan consists of three phases, the first phase was between (2008-2010) to decommission three facilities with low radio</w:t>
      </w:r>
      <w:r w:rsidR="005A3B54">
        <w:rPr>
          <w:szCs w:val="18"/>
        </w:rPr>
        <w:t xml:space="preserve">logical </w:t>
      </w:r>
      <w:r w:rsidRPr="00BE794B">
        <w:rPr>
          <w:szCs w:val="18"/>
        </w:rPr>
        <w:t xml:space="preserve"> risks to build staff capacity and </w:t>
      </w:r>
      <w:r w:rsidR="005A3B54" w:rsidRPr="005A3B54">
        <w:rPr>
          <w:szCs w:val="18"/>
        </w:rPr>
        <w:t>experiment, the</w:t>
      </w:r>
      <w:r w:rsidRPr="005A3B54">
        <w:rPr>
          <w:szCs w:val="18"/>
        </w:rPr>
        <w:t xml:space="preserve"> second</w:t>
      </w:r>
      <w:r w:rsidR="005A3B54">
        <w:rPr>
          <w:szCs w:val="18"/>
        </w:rPr>
        <w:t xml:space="preserve"> phase </w:t>
      </w:r>
      <w:r w:rsidRPr="00BE794B">
        <w:rPr>
          <w:szCs w:val="18"/>
        </w:rPr>
        <w:t xml:space="preserve"> was between</w:t>
      </w:r>
      <w:r w:rsidR="00A67666">
        <w:rPr>
          <w:szCs w:val="18"/>
        </w:rPr>
        <w:t xml:space="preserve"> </w:t>
      </w:r>
      <w:r w:rsidRPr="00BE794B">
        <w:rPr>
          <w:szCs w:val="18"/>
        </w:rPr>
        <w:t>(2011-2015) is to decommission five high-risk facilities using the experience gained in the first</w:t>
      </w:r>
      <w:r w:rsidR="005A3B54">
        <w:rPr>
          <w:szCs w:val="18"/>
        </w:rPr>
        <w:t xml:space="preserve"> phase </w:t>
      </w:r>
      <w:r w:rsidRPr="00BE794B">
        <w:rPr>
          <w:szCs w:val="18"/>
        </w:rPr>
        <w:t xml:space="preserve"> and</w:t>
      </w:r>
      <w:r w:rsidR="0042415F">
        <w:rPr>
          <w:szCs w:val="18"/>
        </w:rPr>
        <w:t xml:space="preserve"> the third phase is</w:t>
      </w:r>
      <w:r w:rsidRPr="00BE794B">
        <w:rPr>
          <w:szCs w:val="18"/>
        </w:rPr>
        <w:t xml:space="preserve"> between (2016-2025) to decommission the remaining nuclear facilities and sites based on a radiological risk prioritization plan.</w:t>
      </w:r>
      <w:r w:rsidR="009D4184" w:rsidRPr="009D4184">
        <w:t xml:space="preserve"> </w:t>
      </w:r>
      <w:r w:rsidR="009D4184" w:rsidRPr="009D4184">
        <w:rPr>
          <w:szCs w:val="18"/>
        </w:rPr>
        <w:t>There are many challenges and lessons</w:t>
      </w:r>
      <w:r w:rsidR="009D4184">
        <w:rPr>
          <w:szCs w:val="18"/>
        </w:rPr>
        <w:t xml:space="preserve"> learned </w:t>
      </w:r>
      <w:r w:rsidR="009D4184" w:rsidRPr="009D4184">
        <w:rPr>
          <w:szCs w:val="18"/>
        </w:rPr>
        <w:t xml:space="preserve">in the </w:t>
      </w:r>
      <w:r w:rsidR="009D4184">
        <w:rPr>
          <w:szCs w:val="18"/>
        </w:rPr>
        <w:t xml:space="preserve">decommissioning </w:t>
      </w:r>
      <w:r w:rsidR="009D4184" w:rsidRPr="009D4184">
        <w:rPr>
          <w:szCs w:val="18"/>
        </w:rPr>
        <w:t>processes in the first and second phases</w:t>
      </w:r>
      <w:r w:rsidR="005A3B54">
        <w:rPr>
          <w:color w:val="FF0000"/>
          <w:szCs w:val="18"/>
        </w:rPr>
        <w:t xml:space="preserve"> </w:t>
      </w:r>
      <w:r w:rsidR="009D4184" w:rsidRPr="005A3B54">
        <w:rPr>
          <w:color w:val="000000" w:themeColor="text1"/>
          <w:szCs w:val="18"/>
        </w:rPr>
        <w:t>summarized in this paper</w:t>
      </w:r>
      <w:r w:rsidR="00E0747D" w:rsidRPr="005A3B54">
        <w:rPr>
          <w:color w:val="000000" w:themeColor="text1"/>
          <w:szCs w:val="18"/>
        </w:rPr>
        <w:t>.</w:t>
      </w:r>
    </w:p>
    <w:p w14:paraId="7C3444E2" w14:textId="77777777" w:rsidR="00C15304" w:rsidRPr="00F35CF5" w:rsidRDefault="00C15304" w:rsidP="00F35CF5">
      <w:pPr>
        <w:pStyle w:val="Heading2"/>
      </w:pPr>
      <w:r w:rsidRPr="00F35CF5">
        <w:t>INTRODUCTION</w:t>
      </w:r>
    </w:p>
    <w:p w14:paraId="7C4394FF" w14:textId="04BD3284" w:rsidR="00C15304" w:rsidRPr="00BE794B" w:rsidRDefault="00C15304" w:rsidP="00097AF6">
      <w:pPr>
        <w:pStyle w:val="BodyText"/>
        <w:rPr>
          <w:rtl/>
          <w:lang w:bidi="ar-IQ"/>
        </w:rPr>
      </w:pPr>
      <w:r w:rsidRPr="00BE794B">
        <w:t xml:space="preserve">There are </w:t>
      </w:r>
      <w:r w:rsidR="001A2617">
        <w:t>many</w:t>
      </w:r>
      <w:r w:rsidRPr="00BE794B">
        <w:t xml:space="preserve"> nuclear sites in Iraq that were previously used for nuclear activities and contain lar</w:t>
      </w:r>
      <w:r w:rsidR="003D6663">
        <w:t xml:space="preserve">ge amounts of radioactive waste. </w:t>
      </w:r>
      <w:r w:rsidR="009B3300">
        <w:t>Al-</w:t>
      </w:r>
      <w:proofErr w:type="spellStart"/>
      <w:r w:rsidR="009B3300">
        <w:t>T</w:t>
      </w:r>
      <w:r w:rsidRPr="00BE794B">
        <w:t>uwaitha</w:t>
      </w:r>
      <w:proofErr w:type="spellEnd"/>
      <w:r w:rsidRPr="00BE794B">
        <w:t xml:space="preserve"> </w:t>
      </w:r>
      <w:r w:rsidR="003D6663">
        <w:t xml:space="preserve">nuclear </w:t>
      </w:r>
      <w:r w:rsidRPr="00BE794B">
        <w:t xml:space="preserve">site is the largest and oldest of these sites. </w:t>
      </w:r>
      <w:r w:rsidR="003D6663">
        <w:t>All of these nuclear facilities and sites were b</w:t>
      </w:r>
      <w:r w:rsidR="00564679" w:rsidRPr="00564679">
        <w:t>omb</w:t>
      </w:r>
      <w:r w:rsidR="003D6663">
        <w:t>ed</w:t>
      </w:r>
      <w:r w:rsidR="00564679" w:rsidRPr="00564679">
        <w:t xml:space="preserve"> and</w:t>
      </w:r>
      <w:r w:rsidRPr="00564679">
        <w:t xml:space="preserve"> destruct</w:t>
      </w:r>
      <w:r w:rsidR="003D6663">
        <w:t>ed</w:t>
      </w:r>
      <w:r w:rsidRPr="00564679">
        <w:t xml:space="preserve"> during the</w:t>
      </w:r>
      <w:r w:rsidR="00851413">
        <w:t xml:space="preserve"> Gulf War in 1991</w:t>
      </w:r>
      <w:r w:rsidR="001834A2">
        <w:t>.</w:t>
      </w:r>
      <w:r w:rsidR="00851413">
        <w:t xml:space="preserve"> </w:t>
      </w:r>
      <w:r w:rsidR="001834A2">
        <w:t>D</w:t>
      </w:r>
      <w:r w:rsidRPr="00BE794B">
        <w:t xml:space="preserve">uring the events of 2003 </w:t>
      </w:r>
      <w:r w:rsidR="001834A2" w:rsidRPr="00BE794B">
        <w:t xml:space="preserve">and </w:t>
      </w:r>
      <w:r w:rsidR="001834A2">
        <w:t xml:space="preserve">because </w:t>
      </w:r>
      <w:r w:rsidR="001834A2" w:rsidRPr="00BE794B">
        <w:t xml:space="preserve">the looting of </w:t>
      </w:r>
      <w:r w:rsidR="001834A2">
        <w:t xml:space="preserve">many radioactive materials from nuclear </w:t>
      </w:r>
      <w:r w:rsidR="001834A2" w:rsidRPr="00BE794B">
        <w:t>sites and facilities</w:t>
      </w:r>
      <w:r w:rsidR="001834A2">
        <w:t xml:space="preserve"> which cause the  </w:t>
      </w:r>
      <w:r w:rsidR="00564679">
        <w:t>increas</w:t>
      </w:r>
      <w:r w:rsidR="001834A2">
        <w:t>ing</w:t>
      </w:r>
      <w:r w:rsidRPr="00BE794B">
        <w:t xml:space="preserve"> </w:t>
      </w:r>
      <w:r w:rsidR="001834A2">
        <w:t xml:space="preserve">of </w:t>
      </w:r>
      <w:r w:rsidR="00851413">
        <w:t xml:space="preserve"> the</w:t>
      </w:r>
      <w:r w:rsidRPr="00BE794B">
        <w:t xml:space="preserve"> problem of the spread radioactive waste resulting from previous nuclear activities in Iraq</w:t>
      </w:r>
      <w:r w:rsidR="00851413">
        <w:t xml:space="preserve">. </w:t>
      </w:r>
      <w:r w:rsidR="00097AF6" w:rsidRPr="00097AF6">
        <w:t>These problems have the potential to cause significant radiological issues for the public who live in the vicinity of these nuclear s</w:t>
      </w:r>
      <w:r w:rsidR="00097AF6">
        <w:t xml:space="preserve">ites and the environment </w:t>
      </w:r>
      <w:r w:rsidR="009B3300">
        <w:t>[1]</w:t>
      </w:r>
      <w:r w:rsidRPr="00BE794B">
        <w:t xml:space="preserve">. </w:t>
      </w:r>
      <w:r w:rsidR="00097AF6" w:rsidRPr="00097AF6">
        <w:t xml:space="preserve">These events require the establishment of an Iraqi institution, in cooperation with the International Atomic Energy Agency, concerned with the decommissioning of all these sites and facilities to ensure radiological and non-radioactive safety for humans and the environment. </w:t>
      </w:r>
      <w:r w:rsidRPr="00BE794B">
        <w:t>The Iraqi Government has requested assistance to prepare plans and programs to decommission contaminated facilities in the country. The project´s groundwork was set at an IAEA meeting in Vienna in February 2006, attended by the Iraqi Minister for Science and Technology, representatives from sixteen countries, including the US, and the European Commission</w:t>
      </w:r>
      <w:r w:rsidR="00B36B96">
        <w:t xml:space="preserve"> [2]</w:t>
      </w:r>
      <w:r w:rsidRPr="00BE794B">
        <w:t>.</w:t>
      </w:r>
      <w:r w:rsidR="009576CB">
        <w:t xml:space="preserve"> In fig.1. shows the</w:t>
      </w:r>
      <w:r w:rsidR="009576CB" w:rsidRPr="009576CB">
        <w:t xml:space="preserve"> </w:t>
      </w:r>
      <w:r w:rsidR="003E6994">
        <w:t>status</w:t>
      </w:r>
      <w:r w:rsidR="009576CB" w:rsidRPr="009576CB">
        <w:t xml:space="preserve"> of the Tammuz 2 reactor and </w:t>
      </w:r>
      <w:r w:rsidR="009576CB">
        <w:rPr>
          <w:lang w:val="en-US"/>
        </w:rPr>
        <w:t xml:space="preserve">IRT-5000 </w:t>
      </w:r>
      <w:r w:rsidR="009576CB" w:rsidRPr="009576CB">
        <w:t>reactor</w:t>
      </w:r>
      <w:r w:rsidR="009576CB">
        <w:t xml:space="preserve"> </w:t>
      </w:r>
      <w:r w:rsidR="009576CB" w:rsidRPr="009576CB">
        <w:t>before the decommissioning process</w:t>
      </w:r>
      <w:r w:rsidR="009576CB">
        <w:t>.</w:t>
      </w:r>
    </w:p>
    <w:p w14:paraId="47B8076D" w14:textId="09868F82" w:rsidR="00C15304" w:rsidRPr="00BE794B" w:rsidRDefault="00893D27" w:rsidP="00C15304">
      <w:pPr>
        <w:jc w:val="center"/>
        <w:rPr>
          <w:sz w:val="20"/>
        </w:rPr>
      </w:pPr>
      <w:r>
        <w:rPr>
          <w:sz w:val="24"/>
          <w:szCs w:val="24"/>
        </w:rPr>
        <w:lastRenderedPageBreak/>
        <w:pict w14:anchorId="1E717199">
          <v:shapetype id="_x0000_t202" coordsize="21600,21600" o:spt="202" path="m,l,21600r21600,l21600,xe">
            <v:stroke joinstyle="miter"/>
            <v:path gradientshapeok="t" o:connecttype="rect"/>
          </v:shapetype>
          <v:shape id="Text Box 2" o:spid="_x0000_s1031" type="#_x0000_t202" style="position:absolute;left:0;text-align:left;margin-left:371.05pt;margin-top:0;width:61.5pt;height:21.7pt;z-index:251663360;visibility:visible;mso-wrap-distance-left:9pt;mso-wrap-distance-top:3.6pt;mso-wrap-distance-right:9pt;mso-wrap-distance-bottom:3.6pt;mso-position-horizontal-relative:text;mso-position-vertical-relative:text;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" filled="f" stroked="f">
            <v:textbox>
              <w:txbxContent>
                <w:p w14:paraId="011FB94D" w14:textId="77777777" w:rsidR="00FE76C1" w:rsidRPr="002E0DC4" w:rsidRDefault="00FE76C1" w:rsidP="00FE76C1">
                  <w:pPr>
                    <w:rPr>
                      <w:color w:val="C00000"/>
                    </w:rPr>
                  </w:pPr>
                  <w:r w:rsidRPr="002E0DC4">
                    <w:rPr>
                      <w:color w:val="C00000"/>
                    </w:rPr>
                    <w:t>IRT-5000</w:t>
                  </w:r>
                </w:p>
              </w:txbxContent>
            </v:textbox>
          </v:shape>
        </w:pict>
      </w:r>
      <w:r>
        <w:rPr>
          <w:noProof/>
          <w:sz w:val="24"/>
          <w:szCs w:val="24"/>
        </w:rPr>
        <w:pict w14:anchorId="1E717199">
          <v:shape id="_x0000_s1032" type="#_x0000_t202" style="position:absolute;left:0;text-align:left;margin-left:153.15pt;margin-top:4.85pt;width:67.5pt;height:21.7pt;z-index:251664384;visibility:visible;mso-wrap-distance-left:9pt;mso-wrap-distance-top:3.6pt;mso-wrap-distance-right:9pt;mso-wrap-distance-bottom:3.6pt;mso-position-horizontal-relative:text;mso-position-vertical-relative:text;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" filled="f" stroked="f">
            <v:textbox>
              <w:txbxContent>
                <w:p w14:paraId="193D7BD9" w14:textId="698B0B5D" w:rsidR="002E0DC4" w:rsidRPr="002E0DC4" w:rsidRDefault="002E0DC4" w:rsidP="002E0DC4">
                  <w:pPr>
                    <w:rPr>
                      <w:color w:val="C00000"/>
                    </w:rPr>
                  </w:pPr>
                  <w:r w:rsidRPr="002E0DC4">
                    <w:rPr>
                      <w:i/>
                      <w:iCs/>
                      <w:color w:val="C00000"/>
                    </w:rPr>
                    <w:t>Tammuz 2</w:t>
                  </w:r>
                </w:p>
              </w:txbxContent>
            </v:textbox>
          </v:shape>
        </w:pict>
      </w:r>
      <w:r w:rsidR="006F52F5">
        <w:rPr>
          <w:noProof/>
          <w:sz w:val="20"/>
          <w:lang w:val="en-US"/>
        </w:rPr>
        <w:drawing>
          <wp:inline distT="0" distB="0" distL="0" distR="0" wp14:anchorId="7BD14A7A" wp14:editId="67B235B8">
            <wp:extent cx="2355666" cy="1647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776" cy="1650763"/>
                    </a:xfrm>
                    <a:prstGeom prst="rect">
                      <a:avLst/>
                    </a:prstGeom>
                    <a:noFill/>
                  </pic:spPr>
                </pic:pic>
              </a:graphicData>
            </a:graphic>
          </wp:inline>
        </w:drawing>
      </w:r>
      <w:r w:rsidR="00FE76C1" w:rsidRPr="00FE76C1">
        <w:rPr>
          <w:sz w:val="24"/>
          <w:szCs w:val="24"/>
        </w:rPr>
        <w:t xml:space="preserve"> </w:t>
      </w:r>
      <w:r w:rsidR="00FE76C1">
        <w:rPr>
          <w:noProof/>
          <w:sz w:val="20"/>
          <w:lang w:val="en-US"/>
        </w:rPr>
        <w:t xml:space="preserve"> </w:t>
      </w:r>
      <w:r w:rsidR="00866E30">
        <w:rPr>
          <w:noProof/>
          <w:sz w:val="20"/>
          <w:lang w:val="en-US"/>
        </w:rPr>
        <w:drawing>
          <wp:inline distT="0" distB="0" distL="0" distR="0" wp14:anchorId="0B7C447F" wp14:editId="1F9D57E2">
            <wp:extent cx="2565779" cy="1647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503" cy="1652149"/>
                    </a:xfrm>
                    <a:prstGeom prst="rect">
                      <a:avLst/>
                    </a:prstGeom>
                    <a:noFill/>
                  </pic:spPr>
                </pic:pic>
              </a:graphicData>
            </a:graphic>
          </wp:inline>
        </w:drawing>
      </w:r>
    </w:p>
    <w:p w14:paraId="7A01C61F" w14:textId="098BA8F2" w:rsidR="00C15304" w:rsidRPr="00EA695B" w:rsidRDefault="009576CB" w:rsidP="00B32F09">
      <w:pPr>
        <w:jc w:val="center"/>
        <w:rPr>
          <w:i/>
          <w:iCs/>
          <w:sz w:val="18"/>
          <w:szCs w:val="18"/>
        </w:rPr>
      </w:pPr>
      <w:r w:rsidRPr="00EA695B">
        <w:rPr>
          <w:i/>
          <w:iCs/>
          <w:sz w:val="18"/>
          <w:szCs w:val="18"/>
        </w:rPr>
        <w:t>FIG. 1</w:t>
      </w:r>
      <w:r w:rsidR="00B32F09" w:rsidRPr="00EA695B">
        <w:rPr>
          <w:i/>
          <w:iCs/>
          <w:sz w:val="18"/>
          <w:szCs w:val="18"/>
        </w:rPr>
        <w:t xml:space="preserve">. The situation of the Tammuz 2 reactor and </w:t>
      </w:r>
      <w:r w:rsidR="00B32F09" w:rsidRPr="00EA695B">
        <w:rPr>
          <w:i/>
          <w:iCs/>
          <w:sz w:val="18"/>
          <w:szCs w:val="18"/>
          <w:lang w:val="en-US"/>
        </w:rPr>
        <w:t xml:space="preserve">IRT-5000 </w:t>
      </w:r>
      <w:r w:rsidR="00B32F09" w:rsidRPr="00EA695B">
        <w:rPr>
          <w:i/>
          <w:iCs/>
          <w:sz w:val="18"/>
          <w:szCs w:val="18"/>
        </w:rPr>
        <w:t>reactor before the decommissioning process</w:t>
      </w:r>
    </w:p>
    <w:p w14:paraId="311A9830" w14:textId="27271BAB" w:rsidR="00C15304" w:rsidRPr="00F35CF5" w:rsidRDefault="00834AE0" w:rsidP="00F35CF5">
      <w:pPr>
        <w:pStyle w:val="Heading2"/>
      </w:pPr>
      <w:r>
        <w:t xml:space="preserve"> </w:t>
      </w:r>
      <w:r w:rsidR="00C15304" w:rsidRPr="00F35CF5">
        <w:t xml:space="preserve">DECOMMISSIONING PROGRAM IN IRAQ </w:t>
      </w:r>
    </w:p>
    <w:p w14:paraId="644D25E7" w14:textId="2FC98A96" w:rsidR="00C15304" w:rsidRPr="00BE794B" w:rsidRDefault="00754C7E" w:rsidP="00754C7E">
      <w:pPr>
        <w:pStyle w:val="BodyText"/>
      </w:pPr>
      <w:r w:rsidRPr="00754C7E">
        <w:t>The strategic plan to decommission all former nuclear facilities and sites in Iraq included three phases. These phases were developed based on many key factors including the lack of decommissioning experience, the lack of radioactive waste treatment and storage, and the lack of operational history of nuclear facilities. Fig.2. shows decommissioning schedule time.</w:t>
      </w:r>
    </w:p>
    <w:p w14:paraId="7EB3FF28" w14:textId="77777777" w:rsidR="00C15304" w:rsidRPr="00BE794B" w:rsidRDefault="00C15304" w:rsidP="00C15304">
      <w:pPr>
        <w:pStyle w:val="BodyText"/>
      </w:pPr>
    </w:p>
    <w:p w14:paraId="5A50A57B" w14:textId="77777777" w:rsidR="00C15304" w:rsidRPr="00BE794B" w:rsidRDefault="00C15304" w:rsidP="00C15304">
      <w:pPr>
        <w:pStyle w:val="BodyText"/>
      </w:pPr>
    </w:p>
    <w:tbl>
      <w:tblPr>
        <w:tblStyle w:val="TableGrid"/>
        <w:tblW w:w="0" w:type="auto"/>
        <w:jc w:val="center"/>
        <w:tblLook w:val="04A0" w:firstRow="1" w:lastRow="0" w:firstColumn="1" w:lastColumn="0" w:noHBand="0" w:noVBand="1"/>
      </w:tblPr>
      <w:tblGrid>
        <w:gridCol w:w="1005"/>
        <w:gridCol w:w="755"/>
        <w:gridCol w:w="792"/>
        <w:gridCol w:w="792"/>
        <w:gridCol w:w="844"/>
        <w:gridCol w:w="891"/>
        <w:gridCol w:w="802"/>
        <w:gridCol w:w="802"/>
        <w:gridCol w:w="802"/>
        <w:gridCol w:w="1960"/>
      </w:tblGrid>
      <w:tr w:rsidR="005655EE" w:rsidRPr="005655EE" w14:paraId="78E93EC6" w14:textId="77777777" w:rsidTr="005655EE">
        <w:trPr>
          <w:trHeight w:val="548"/>
          <w:jc w:val="center"/>
        </w:trPr>
        <w:tc>
          <w:tcPr>
            <w:tcW w:w="1005" w:type="dxa"/>
            <w:shd w:val="clear" w:color="auto" w:fill="EAF1DD" w:themeFill="accent3" w:themeFillTint="33"/>
          </w:tcPr>
          <w:p w14:paraId="62E93493" w14:textId="77777777" w:rsidR="005655EE" w:rsidRPr="005655EE" w:rsidRDefault="005655EE" w:rsidP="005655EE">
            <w:pPr>
              <w:overflowPunct/>
              <w:autoSpaceDE/>
              <w:autoSpaceDN/>
              <w:adjustRightInd/>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Deco.</w:t>
            </w:r>
          </w:p>
          <w:p w14:paraId="2792E3E4" w14:textId="77777777" w:rsidR="005655EE" w:rsidRPr="005655EE" w:rsidRDefault="005655EE" w:rsidP="005655EE">
            <w:pPr>
              <w:overflowPunct/>
              <w:autoSpaceDE/>
              <w:autoSpaceDN/>
              <w:adjustRightInd/>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Phase</w:t>
            </w:r>
          </w:p>
        </w:tc>
        <w:tc>
          <w:tcPr>
            <w:tcW w:w="755" w:type="dxa"/>
            <w:shd w:val="clear" w:color="auto" w:fill="EAF1DD" w:themeFill="accent3" w:themeFillTint="33"/>
          </w:tcPr>
          <w:p w14:paraId="493D584D"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2008</w:t>
            </w:r>
          </w:p>
        </w:tc>
        <w:tc>
          <w:tcPr>
            <w:tcW w:w="792" w:type="dxa"/>
            <w:shd w:val="clear" w:color="auto" w:fill="EAF1DD" w:themeFill="accent3" w:themeFillTint="33"/>
          </w:tcPr>
          <w:p w14:paraId="51715DD6"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2009</w:t>
            </w:r>
          </w:p>
        </w:tc>
        <w:tc>
          <w:tcPr>
            <w:tcW w:w="792" w:type="dxa"/>
            <w:shd w:val="clear" w:color="auto" w:fill="EAF1DD" w:themeFill="accent3" w:themeFillTint="33"/>
          </w:tcPr>
          <w:p w14:paraId="0529A8BF"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2010</w:t>
            </w:r>
          </w:p>
        </w:tc>
        <w:tc>
          <w:tcPr>
            <w:tcW w:w="844" w:type="dxa"/>
            <w:shd w:val="clear" w:color="auto" w:fill="EAF1DD" w:themeFill="accent3" w:themeFillTint="33"/>
          </w:tcPr>
          <w:p w14:paraId="2A3B5E3C"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2011</w:t>
            </w:r>
          </w:p>
        </w:tc>
        <w:tc>
          <w:tcPr>
            <w:tcW w:w="891" w:type="dxa"/>
            <w:shd w:val="clear" w:color="auto" w:fill="EAF1DD" w:themeFill="accent3" w:themeFillTint="33"/>
          </w:tcPr>
          <w:p w14:paraId="429AFC23"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2012</w:t>
            </w:r>
          </w:p>
        </w:tc>
        <w:tc>
          <w:tcPr>
            <w:tcW w:w="802" w:type="dxa"/>
            <w:shd w:val="clear" w:color="auto" w:fill="EAF1DD" w:themeFill="accent3" w:themeFillTint="33"/>
          </w:tcPr>
          <w:p w14:paraId="4EC7AA79"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2013</w:t>
            </w:r>
          </w:p>
        </w:tc>
        <w:tc>
          <w:tcPr>
            <w:tcW w:w="802" w:type="dxa"/>
            <w:shd w:val="clear" w:color="auto" w:fill="EAF1DD" w:themeFill="accent3" w:themeFillTint="33"/>
          </w:tcPr>
          <w:p w14:paraId="5CE3C30A"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2014</w:t>
            </w:r>
          </w:p>
        </w:tc>
        <w:tc>
          <w:tcPr>
            <w:tcW w:w="802" w:type="dxa"/>
            <w:shd w:val="clear" w:color="auto" w:fill="EAF1DD" w:themeFill="accent3" w:themeFillTint="33"/>
          </w:tcPr>
          <w:p w14:paraId="28BE43BB"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2015</w:t>
            </w:r>
          </w:p>
        </w:tc>
        <w:tc>
          <w:tcPr>
            <w:tcW w:w="1960" w:type="dxa"/>
            <w:shd w:val="clear" w:color="auto" w:fill="EAF1DD" w:themeFill="accent3" w:themeFillTint="33"/>
          </w:tcPr>
          <w:p w14:paraId="26392265" w14:textId="6945F290"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2016……..2025</w:t>
            </w:r>
          </w:p>
        </w:tc>
      </w:tr>
      <w:tr w:rsidR="005655EE" w:rsidRPr="005655EE" w14:paraId="776FFCE6" w14:textId="77777777" w:rsidTr="005655EE">
        <w:trPr>
          <w:trHeight w:val="717"/>
          <w:jc w:val="center"/>
        </w:trPr>
        <w:tc>
          <w:tcPr>
            <w:tcW w:w="1005" w:type="dxa"/>
          </w:tcPr>
          <w:p w14:paraId="271A3A14"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p>
          <w:p w14:paraId="3432C664"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Phase 1</w:t>
            </w:r>
          </w:p>
        </w:tc>
        <w:tc>
          <w:tcPr>
            <w:tcW w:w="755" w:type="dxa"/>
            <w:shd w:val="clear" w:color="auto" w:fill="FBD4B4" w:themeFill="accent6" w:themeFillTint="66"/>
          </w:tcPr>
          <w:p w14:paraId="1AF1BBDA" w14:textId="77777777" w:rsidR="005655EE" w:rsidRPr="005655EE" w:rsidRDefault="00893D27" w:rsidP="005655EE">
            <w:pPr>
              <w:overflowPunct/>
              <w:autoSpaceDE/>
              <w:autoSpaceDN/>
              <w:adjustRightInd/>
              <w:textAlignment w:val="auto"/>
              <w:rPr>
                <w:rFonts w:asciiTheme="minorHAnsi" w:eastAsiaTheme="minorHAnsi" w:hAnsiTheme="minorHAnsi" w:cstheme="minorBidi"/>
                <w:sz w:val="36"/>
                <w:szCs w:val="36"/>
                <w:lang w:val="en-US"/>
              </w:rPr>
            </w:pPr>
            <w:r>
              <w:rPr>
                <w:noProof/>
              </w:rPr>
              <w:pict w14:anchorId="2A524A49">
                <v:shapetype id="_x0000_t32" coordsize="21600,21600" o:spt="32" o:oned="t" path="m,l21600,21600e" filled="f">
                  <v:path arrowok="t" fillok="f" o:connecttype="none"/>
                  <o:lock v:ext="edit" shapetype="t"/>
                </v:shapetype>
                <v:shape id="Straight Arrow Connector 4" o:spid="_x0000_s1028" type="#_x0000_t32" style="position:absolute;margin-left:-2.1pt;margin-top:16.5pt;width:110.25pt;height:1.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" strokecolor="red">
                  <v:stroke startarrow="open" endarrow="open"/>
                </v:shape>
              </w:pict>
            </w:r>
          </w:p>
        </w:tc>
        <w:tc>
          <w:tcPr>
            <w:tcW w:w="792" w:type="dxa"/>
            <w:shd w:val="clear" w:color="auto" w:fill="FBD4B4" w:themeFill="accent6" w:themeFillTint="66"/>
          </w:tcPr>
          <w:p w14:paraId="46C065A6"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792" w:type="dxa"/>
            <w:shd w:val="clear" w:color="auto" w:fill="FBD4B4" w:themeFill="accent6" w:themeFillTint="66"/>
          </w:tcPr>
          <w:p w14:paraId="5E0867C5"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44" w:type="dxa"/>
          </w:tcPr>
          <w:p w14:paraId="0381E1F0"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91" w:type="dxa"/>
          </w:tcPr>
          <w:p w14:paraId="28C560D9"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tcPr>
          <w:p w14:paraId="37212233"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tcPr>
          <w:p w14:paraId="0D29CF4E"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tcPr>
          <w:p w14:paraId="18028F79"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1960" w:type="dxa"/>
          </w:tcPr>
          <w:p w14:paraId="3546C7E9"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r>
      <w:tr w:rsidR="005655EE" w:rsidRPr="005655EE" w14:paraId="5DF7D1D9" w14:textId="77777777" w:rsidTr="005655EE">
        <w:trPr>
          <w:trHeight w:val="717"/>
          <w:jc w:val="center"/>
        </w:trPr>
        <w:tc>
          <w:tcPr>
            <w:tcW w:w="1005" w:type="dxa"/>
          </w:tcPr>
          <w:p w14:paraId="1E45F9CB"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p>
          <w:p w14:paraId="7D8CAC7F"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Phase 2</w:t>
            </w:r>
          </w:p>
        </w:tc>
        <w:tc>
          <w:tcPr>
            <w:tcW w:w="755" w:type="dxa"/>
          </w:tcPr>
          <w:p w14:paraId="18C2767B"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792" w:type="dxa"/>
          </w:tcPr>
          <w:p w14:paraId="77480759"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792" w:type="dxa"/>
          </w:tcPr>
          <w:p w14:paraId="214EEA27"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44" w:type="dxa"/>
            <w:shd w:val="clear" w:color="auto" w:fill="FBD4B4" w:themeFill="accent6" w:themeFillTint="66"/>
          </w:tcPr>
          <w:p w14:paraId="6B79A7B7" w14:textId="77777777" w:rsidR="005655EE" w:rsidRPr="005655EE" w:rsidRDefault="00893D27" w:rsidP="005655EE">
            <w:pPr>
              <w:overflowPunct/>
              <w:autoSpaceDE/>
              <w:autoSpaceDN/>
              <w:adjustRightInd/>
              <w:textAlignment w:val="auto"/>
              <w:rPr>
                <w:rFonts w:asciiTheme="minorHAnsi" w:eastAsiaTheme="minorHAnsi" w:hAnsiTheme="minorHAnsi" w:cstheme="minorBidi"/>
                <w:szCs w:val="22"/>
                <w:lang w:val="en-US"/>
              </w:rPr>
            </w:pPr>
            <w:r>
              <w:rPr>
                <w:noProof/>
              </w:rPr>
              <w:pict w14:anchorId="31F8A4F1">
                <v:shape id="Straight Arrow Connector 3" o:spid="_x0000_s1027" type="#_x0000_t32" style="position:absolute;margin-left:5pt;margin-top:15.75pt;width:190.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" strokecolor="red">
                  <v:stroke startarrow="open" endarrow="open"/>
                </v:shape>
              </w:pict>
            </w:r>
          </w:p>
        </w:tc>
        <w:tc>
          <w:tcPr>
            <w:tcW w:w="891" w:type="dxa"/>
            <w:shd w:val="clear" w:color="auto" w:fill="FBD4B4" w:themeFill="accent6" w:themeFillTint="66"/>
          </w:tcPr>
          <w:p w14:paraId="3524179C"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shd w:val="clear" w:color="auto" w:fill="FBD4B4" w:themeFill="accent6" w:themeFillTint="66"/>
          </w:tcPr>
          <w:p w14:paraId="44AA8686"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shd w:val="clear" w:color="auto" w:fill="FBD4B4" w:themeFill="accent6" w:themeFillTint="66"/>
          </w:tcPr>
          <w:p w14:paraId="5CF7AE20"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shd w:val="clear" w:color="auto" w:fill="FBD4B4" w:themeFill="accent6" w:themeFillTint="66"/>
          </w:tcPr>
          <w:p w14:paraId="24DFED99"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1960" w:type="dxa"/>
          </w:tcPr>
          <w:p w14:paraId="3DAAD69B"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r>
      <w:tr w:rsidR="005655EE" w:rsidRPr="005655EE" w14:paraId="1E37600C" w14:textId="77777777" w:rsidTr="005655EE">
        <w:trPr>
          <w:trHeight w:val="808"/>
          <w:jc w:val="center"/>
        </w:trPr>
        <w:tc>
          <w:tcPr>
            <w:tcW w:w="1005" w:type="dxa"/>
          </w:tcPr>
          <w:p w14:paraId="073A4DFF"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p>
          <w:p w14:paraId="62CEF325" w14:textId="77777777" w:rsidR="005655EE" w:rsidRPr="005655EE" w:rsidRDefault="005655EE" w:rsidP="005655EE">
            <w:pPr>
              <w:overflowPunct/>
              <w:autoSpaceDE/>
              <w:autoSpaceDN/>
              <w:adjustRightInd/>
              <w:jc w:val="center"/>
              <w:textAlignment w:val="auto"/>
              <w:rPr>
                <w:rFonts w:asciiTheme="minorHAnsi" w:eastAsiaTheme="minorHAnsi" w:hAnsiTheme="minorHAnsi" w:cstheme="minorBidi"/>
                <w:b/>
                <w:bCs/>
                <w:szCs w:val="22"/>
                <w:lang w:val="en-US"/>
              </w:rPr>
            </w:pPr>
            <w:r w:rsidRPr="005655EE">
              <w:rPr>
                <w:rFonts w:asciiTheme="minorHAnsi" w:eastAsiaTheme="minorHAnsi" w:hAnsiTheme="minorHAnsi" w:cstheme="minorBidi"/>
                <w:b/>
                <w:bCs/>
                <w:szCs w:val="22"/>
                <w:lang w:val="en-US"/>
              </w:rPr>
              <w:t>Phase 3</w:t>
            </w:r>
          </w:p>
        </w:tc>
        <w:tc>
          <w:tcPr>
            <w:tcW w:w="755" w:type="dxa"/>
          </w:tcPr>
          <w:p w14:paraId="3852C588"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792" w:type="dxa"/>
          </w:tcPr>
          <w:p w14:paraId="5A70CC3E"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792" w:type="dxa"/>
          </w:tcPr>
          <w:p w14:paraId="34585E8F"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44" w:type="dxa"/>
          </w:tcPr>
          <w:p w14:paraId="3D306D57"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91" w:type="dxa"/>
          </w:tcPr>
          <w:p w14:paraId="05DF70D6"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tcPr>
          <w:p w14:paraId="67F86721"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tcPr>
          <w:p w14:paraId="3F994F54"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802" w:type="dxa"/>
          </w:tcPr>
          <w:p w14:paraId="77852A65" w14:textId="77777777" w:rsidR="005655EE" w:rsidRPr="005655EE" w:rsidRDefault="005655EE" w:rsidP="005655EE">
            <w:pPr>
              <w:overflowPunct/>
              <w:autoSpaceDE/>
              <w:autoSpaceDN/>
              <w:adjustRightInd/>
              <w:textAlignment w:val="auto"/>
              <w:rPr>
                <w:rFonts w:asciiTheme="minorHAnsi" w:eastAsiaTheme="minorHAnsi" w:hAnsiTheme="minorHAnsi" w:cstheme="minorBidi"/>
                <w:szCs w:val="22"/>
                <w:lang w:val="en-US"/>
              </w:rPr>
            </w:pPr>
          </w:p>
        </w:tc>
        <w:tc>
          <w:tcPr>
            <w:tcW w:w="1960" w:type="dxa"/>
            <w:shd w:val="clear" w:color="auto" w:fill="FBD4B4" w:themeFill="accent6" w:themeFillTint="66"/>
          </w:tcPr>
          <w:p w14:paraId="4AB85F93" w14:textId="77777777" w:rsidR="005655EE" w:rsidRPr="005655EE" w:rsidRDefault="00893D27" w:rsidP="005655EE">
            <w:pPr>
              <w:overflowPunct/>
              <w:autoSpaceDE/>
              <w:autoSpaceDN/>
              <w:adjustRightInd/>
              <w:textAlignment w:val="auto"/>
              <w:rPr>
                <w:rFonts w:asciiTheme="minorHAnsi" w:eastAsiaTheme="minorHAnsi" w:hAnsiTheme="minorHAnsi" w:cstheme="minorBidi"/>
                <w:szCs w:val="22"/>
                <w:lang w:val="en-US"/>
              </w:rPr>
            </w:pPr>
            <w:r>
              <w:rPr>
                <w:noProof/>
              </w:rPr>
              <w:pict w14:anchorId="2ADC83E6">
                <v:shape id="Straight Arrow Connector 5" o:spid="_x0000_s1026" type="#_x0000_t32" style="position:absolute;margin-left:-4.65pt;margin-top:16.5pt;width:9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" strokecolor="red">
                  <v:stroke startarrow="open" endarrow="open"/>
                </v:shape>
              </w:pict>
            </w:r>
          </w:p>
        </w:tc>
      </w:tr>
    </w:tbl>
    <w:p w14:paraId="01FB1576" w14:textId="0FA2A4D1" w:rsidR="00C15304" w:rsidRPr="00EA695B" w:rsidRDefault="00C15304" w:rsidP="005655EE">
      <w:pPr>
        <w:pStyle w:val="BodyText"/>
        <w:jc w:val="center"/>
        <w:rPr>
          <w:i/>
          <w:iCs/>
          <w:sz w:val="18"/>
          <w:szCs w:val="18"/>
        </w:rPr>
      </w:pPr>
      <w:r w:rsidRPr="00EA695B">
        <w:rPr>
          <w:i/>
          <w:iCs/>
          <w:sz w:val="18"/>
          <w:szCs w:val="18"/>
        </w:rPr>
        <w:t xml:space="preserve">Fig. </w:t>
      </w:r>
      <w:r w:rsidR="00FE76C1" w:rsidRPr="00EA695B">
        <w:rPr>
          <w:i/>
          <w:iCs/>
          <w:sz w:val="18"/>
          <w:szCs w:val="18"/>
        </w:rPr>
        <w:t>2.</w:t>
      </w:r>
      <w:r w:rsidRPr="00EA695B">
        <w:rPr>
          <w:i/>
          <w:iCs/>
          <w:sz w:val="18"/>
          <w:szCs w:val="18"/>
        </w:rPr>
        <w:t xml:space="preserve"> Decommissioning </w:t>
      </w:r>
      <w:r w:rsidR="00FE76C1" w:rsidRPr="00EA695B">
        <w:rPr>
          <w:i/>
          <w:iCs/>
          <w:sz w:val="18"/>
          <w:szCs w:val="18"/>
        </w:rPr>
        <w:t>s</w:t>
      </w:r>
      <w:r w:rsidRPr="00EA695B">
        <w:rPr>
          <w:i/>
          <w:iCs/>
          <w:sz w:val="18"/>
          <w:szCs w:val="18"/>
        </w:rPr>
        <w:t>chedule</w:t>
      </w:r>
      <w:r w:rsidR="005655EE" w:rsidRPr="00EA695B">
        <w:rPr>
          <w:i/>
          <w:iCs/>
          <w:sz w:val="18"/>
          <w:szCs w:val="18"/>
        </w:rPr>
        <w:t xml:space="preserve"> </w:t>
      </w:r>
      <w:r w:rsidR="00FE76C1" w:rsidRPr="00EA695B">
        <w:rPr>
          <w:i/>
          <w:iCs/>
          <w:sz w:val="18"/>
          <w:szCs w:val="18"/>
        </w:rPr>
        <w:t>t</w:t>
      </w:r>
      <w:r w:rsidR="005655EE" w:rsidRPr="00EA695B">
        <w:rPr>
          <w:i/>
          <w:iCs/>
          <w:sz w:val="18"/>
          <w:szCs w:val="18"/>
        </w:rPr>
        <w:t>ime</w:t>
      </w:r>
      <w:r w:rsidR="00FE76C1" w:rsidRPr="00EA695B">
        <w:rPr>
          <w:i/>
          <w:iCs/>
          <w:sz w:val="18"/>
          <w:szCs w:val="18"/>
        </w:rPr>
        <w:t xml:space="preserve"> of all nucl</w:t>
      </w:r>
      <w:r w:rsidR="001A2617">
        <w:rPr>
          <w:i/>
          <w:iCs/>
          <w:sz w:val="18"/>
          <w:szCs w:val="18"/>
        </w:rPr>
        <w:t>ear facilities and sites in Iraq.</w:t>
      </w:r>
    </w:p>
    <w:p w14:paraId="64C7C4BF" w14:textId="77777777" w:rsidR="00EA695B" w:rsidRDefault="00EA695B" w:rsidP="00C15304">
      <w:pPr>
        <w:pStyle w:val="BodyText"/>
        <w:rPr>
          <w:b/>
          <w:bCs/>
        </w:rPr>
      </w:pPr>
    </w:p>
    <w:p w14:paraId="7B5B45A0" w14:textId="05B2ABFF" w:rsidR="00FA7C16" w:rsidRPr="00FA7C16" w:rsidRDefault="00C07B41" w:rsidP="00613900">
      <w:pPr>
        <w:pStyle w:val="BodyText"/>
      </w:pPr>
      <w:r>
        <w:t xml:space="preserve">First </w:t>
      </w:r>
      <w:r w:rsidRPr="00C07B41">
        <w:t xml:space="preserve">Phase: Already </w:t>
      </w:r>
      <w:r w:rsidR="00613900" w:rsidRPr="00C07B41">
        <w:t>done,</w:t>
      </w:r>
      <w:r w:rsidR="00613900">
        <w:t xml:space="preserve"> first </w:t>
      </w:r>
      <w:r w:rsidRPr="00C07B41">
        <w:t xml:space="preserve"> Phase consisted of a short-term 3 years, (2008-2010) strategic plan in which three low radiological risk facilities were decommissioned. The target of this phase is to build decommissioning capabilities, rehabilitate the radioactive waste treatment facility, and build an interim storage and disposal facility</w:t>
      </w:r>
      <w:r w:rsidR="00FA7C16" w:rsidRPr="00FA7C16">
        <w:t xml:space="preserve">. </w:t>
      </w:r>
    </w:p>
    <w:p w14:paraId="0E06A7A6" w14:textId="4BD31110" w:rsidR="00DE7AEC" w:rsidRDefault="00C07B41" w:rsidP="00613900">
      <w:pPr>
        <w:pStyle w:val="BodyText"/>
        <w:rPr>
          <w:rtl/>
        </w:rPr>
      </w:pPr>
      <w:r>
        <w:t>Second phase</w:t>
      </w:r>
      <w:r w:rsidR="00C15304" w:rsidRPr="00AB227C">
        <w:t xml:space="preserve">: </w:t>
      </w:r>
      <w:r>
        <w:t>second phase</w:t>
      </w:r>
      <w:r w:rsidR="00C15304" w:rsidRPr="00AB227C">
        <w:t xml:space="preserve"> planned for five years (2011-2015) strategic plan in which five high radiological risk facilities are to be decommissioned based on prioritization results. The </w:t>
      </w:r>
      <w:r w:rsidR="00613900">
        <w:t>target</w:t>
      </w:r>
      <w:r w:rsidR="00C15304" w:rsidRPr="00AB227C">
        <w:t xml:space="preserve"> of this phase is to use the experience gained from </w:t>
      </w:r>
      <w:r w:rsidR="00613900">
        <w:t xml:space="preserve">first </w:t>
      </w:r>
      <w:r w:rsidR="00C15304" w:rsidRPr="00AB227C">
        <w:t>Phase in decommissioning complex, high-risk facilities</w:t>
      </w:r>
      <w:r w:rsidR="00613900">
        <w:t>.</w:t>
      </w:r>
    </w:p>
    <w:p w14:paraId="116F2D19" w14:textId="03AADA00" w:rsidR="00426E36" w:rsidRPr="00BE794B" w:rsidRDefault="00C07B41" w:rsidP="00613900">
      <w:pPr>
        <w:pStyle w:val="BodyText"/>
      </w:pPr>
      <w:r>
        <w:t>Third phase</w:t>
      </w:r>
      <w:r w:rsidR="00426E36" w:rsidRPr="00BE794B">
        <w:t xml:space="preserve">: </w:t>
      </w:r>
      <w:r w:rsidR="00613900">
        <w:t xml:space="preserve">third </w:t>
      </w:r>
      <w:r w:rsidR="00426E36" w:rsidRPr="00BE794B">
        <w:t>Phase planned for ten years (2016-2025) strategic plan in which all remaining facilities and sites will be decommissioned based on prioritization results</w:t>
      </w:r>
      <w:r w:rsidR="00426E36">
        <w:t xml:space="preserve"> </w:t>
      </w:r>
      <w:r w:rsidR="00426E36" w:rsidRPr="00BE794B">
        <w:t>[</w:t>
      </w:r>
      <w:r w:rsidR="00FE76C1">
        <w:t>1</w:t>
      </w:r>
      <w:r w:rsidR="00426E36" w:rsidRPr="00BE794B">
        <w:t>].</w:t>
      </w:r>
    </w:p>
    <w:p w14:paraId="7121D72B" w14:textId="77777777" w:rsidR="00426E36" w:rsidRPr="00F35CF5" w:rsidRDefault="00426E36" w:rsidP="00F35CF5">
      <w:pPr>
        <w:pStyle w:val="Heading2"/>
      </w:pPr>
      <w:r w:rsidRPr="00F35CF5">
        <w:t xml:space="preserve">CHALLENGES </w:t>
      </w:r>
    </w:p>
    <w:p w14:paraId="3A488A94" w14:textId="6D99B293" w:rsidR="00426E36" w:rsidRPr="00A82ED2" w:rsidRDefault="00426E36" w:rsidP="001A2617">
      <w:pPr>
        <w:pStyle w:val="BodyText"/>
      </w:pPr>
      <w:r w:rsidRPr="00A82ED2">
        <w:t>There are many challenges faced Iraqi decommissioning program at the beginning of its work, the most important of these challenges are:</w:t>
      </w:r>
    </w:p>
    <w:p w14:paraId="0BF91048" w14:textId="77777777" w:rsidR="00426E36" w:rsidRPr="00AC2152" w:rsidRDefault="00426E36" w:rsidP="00426E36">
      <w:pPr>
        <w:pStyle w:val="ListParagraph"/>
        <w:numPr>
          <w:ilvl w:val="0"/>
          <w:numId w:val="1"/>
        </w:numPr>
        <w:tabs>
          <w:tab w:val="left" w:pos="1050"/>
        </w:tabs>
        <w:overflowPunct/>
        <w:autoSpaceDE/>
        <w:autoSpaceDN/>
        <w:adjustRightInd/>
        <w:spacing w:line="276" w:lineRule="auto"/>
        <w:jc w:val="both"/>
        <w:textAlignment w:val="auto"/>
        <w:rPr>
          <w:rFonts w:asciiTheme="majorBidi" w:hAnsiTheme="majorBidi" w:cstheme="majorBidi"/>
          <w:sz w:val="20"/>
        </w:rPr>
      </w:pPr>
      <w:r w:rsidRPr="00AC2152">
        <w:rPr>
          <w:rFonts w:asciiTheme="majorBidi" w:hAnsiTheme="majorBidi" w:cstheme="majorBidi"/>
          <w:sz w:val="20"/>
        </w:rPr>
        <w:t>Lack of experienced personnel in the field of decommissioning of nuclear facilities.</w:t>
      </w:r>
    </w:p>
    <w:p w14:paraId="28DAD788" w14:textId="2C308051" w:rsidR="00426E36" w:rsidRPr="00AC2152" w:rsidRDefault="00613900" w:rsidP="00613900">
      <w:pPr>
        <w:pStyle w:val="ListParagraph"/>
        <w:numPr>
          <w:ilvl w:val="0"/>
          <w:numId w:val="1"/>
        </w:numPr>
        <w:tabs>
          <w:tab w:val="left" w:pos="1050"/>
        </w:tabs>
        <w:overflowPunct/>
        <w:autoSpaceDE/>
        <w:autoSpaceDN/>
        <w:adjustRightInd/>
        <w:spacing w:line="276" w:lineRule="auto"/>
        <w:jc w:val="both"/>
        <w:textAlignment w:val="auto"/>
        <w:rPr>
          <w:rFonts w:asciiTheme="majorBidi" w:hAnsiTheme="majorBidi" w:cstheme="majorBidi"/>
          <w:sz w:val="20"/>
        </w:rPr>
      </w:pPr>
      <w:r w:rsidRPr="00613900">
        <w:rPr>
          <w:rFonts w:asciiTheme="majorBidi" w:hAnsiTheme="majorBidi" w:cstheme="majorBidi"/>
          <w:sz w:val="20"/>
        </w:rPr>
        <w:t xml:space="preserve">Absence of information about the exact operating period and accidents during the operating period, as well as the components of these facilities due to the destruction of these nuclear facilities during the Gulf War in </w:t>
      </w:r>
      <w:r w:rsidRPr="00613900">
        <w:rPr>
          <w:rFonts w:asciiTheme="majorBidi" w:hAnsiTheme="majorBidi" w:cstheme="majorBidi"/>
          <w:sz w:val="20"/>
        </w:rPr>
        <w:lastRenderedPageBreak/>
        <w:t>1991.</w:t>
      </w:r>
      <w:r w:rsidR="00426E36" w:rsidRPr="00AC2152">
        <w:rPr>
          <w:rFonts w:asciiTheme="majorBidi" w:hAnsiTheme="majorBidi" w:cstheme="majorBidi"/>
          <w:sz w:val="20"/>
        </w:rPr>
        <w:t xml:space="preserve">Iraq does not have sufficient specialized devises, </w:t>
      </w:r>
      <w:r w:rsidR="001A2617" w:rsidRPr="00AC2152">
        <w:rPr>
          <w:rFonts w:asciiTheme="majorBidi" w:hAnsiTheme="majorBidi" w:cstheme="majorBidi"/>
          <w:sz w:val="20"/>
        </w:rPr>
        <w:t>equipment</w:t>
      </w:r>
      <w:r w:rsidR="00426E36" w:rsidRPr="00AC2152">
        <w:rPr>
          <w:rFonts w:asciiTheme="majorBidi" w:hAnsiTheme="majorBidi" w:cstheme="majorBidi"/>
          <w:sz w:val="20"/>
        </w:rPr>
        <w:t xml:space="preserve"> and instruments for decommissioning activities.</w:t>
      </w:r>
    </w:p>
    <w:p w14:paraId="6E8B3F2A" w14:textId="77777777" w:rsidR="00426E36" w:rsidRPr="00AC2152" w:rsidRDefault="00426E36" w:rsidP="00426E36">
      <w:pPr>
        <w:pStyle w:val="ListParagraph"/>
        <w:numPr>
          <w:ilvl w:val="0"/>
          <w:numId w:val="1"/>
        </w:numPr>
        <w:tabs>
          <w:tab w:val="left" w:pos="1050"/>
        </w:tabs>
        <w:overflowPunct/>
        <w:autoSpaceDE/>
        <w:autoSpaceDN/>
        <w:adjustRightInd/>
        <w:spacing w:line="276" w:lineRule="auto"/>
        <w:jc w:val="both"/>
        <w:textAlignment w:val="auto"/>
        <w:rPr>
          <w:rFonts w:asciiTheme="majorBidi" w:hAnsiTheme="majorBidi" w:cstheme="majorBidi"/>
          <w:sz w:val="20"/>
        </w:rPr>
      </w:pPr>
      <w:r w:rsidRPr="00AC2152">
        <w:rPr>
          <w:rFonts w:asciiTheme="majorBidi" w:hAnsiTheme="majorBidi" w:cstheme="majorBidi"/>
          <w:sz w:val="20"/>
        </w:rPr>
        <w:t>Looting of sites and facilities during the events of 2003, which exacerbated the problem.</w:t>
      </w:r>
    </w:p>
    <w:p w14:paraId="6F032863" w14:textId="77777777" w:rsidR="00426E36" w:rsidRPr="00AC2152" w:rsidRDefault="00426E36" w:rsidP="00426E36">
      <w:pPr>
        <w:pStyle w:val="ListParagraph"/>
        <w:numPr>
          <w:ilvl w:val="0"/>
          <w:numId w:val="1"/>
        </w:numPr>
        <w:tabs>
          <w:tab w:val="left" w:pos="1050"/>
        </w:tabs>
        <w:overflowPunct/>
        <w:autoSpaceDE/>
        <w:autoSpaceDN/>
        <w:adjustRightInd/>
        <w:spacing w:line="276" w:lineRule="auto"/>
        <w:jc w:val="both"/>
        <w:textAlignment w:val="auto"/>
        <w:rPr>
          <w:rFonts w:asciiTheme="majorBidi" w:hAnsiTheme="majorBidi" w:cstheme="majorBidi"/>
          <w:sz w:val="20"/>
        </w:rPr>
      </w:pPr>
      <w:r w:rsidRPr="00AC2152">
        <w:rPr>
          <w:rFonts w:asciiTheme="majorBidi" w:hAnsiTheme="majorBidi" w:cstheme="majorBidi"/>
          <w:sz w:val="20"/>
        </w:rPr>
        <w:t>Iraq has never had a radioactive waste disposal facility and the lack of a disposal facility means that ever-increasing quantities of radioactive material must be held in guarded storage.</w:t>
      </w:r>
    </w:p>
    <w:p w14:paraId="6731612A" w14:textId="77777777" w:rsidR="00426E36" w:rsidRDefault="00426E36" w:rsidP="00426E36">
      <w:pPr>
        <w:pStyle w:val="ListParagraph"/>
        <w:numPr>
          <w:ilvl w:val="0"/>
          <w:numId w:val="1"/>
        </w:numPr>
        <w:tabs>
          <w:tab w:val="left" w:pos="1050"/>
        </w:tabs>
        <w:overflowPunct/>
        <w:autoSpaceDE/>
        <w:autoSpaceDN/>
        <w:adjustRightInd/>
        <w:spacing w:line="276" w:lineRule="auto"/>
        <w:jc w:val="both"/>
        <w:textAlignment w:val="auto"/>
        <w:rPr>
          <w:rFonts w:asciiTheme="majorBidi" w:hAnsiTheme="majorBidi" w:cstheme="majorBidi"/>
          <w:sz w:val="20"/>
        </w:rPr>
      </w:pPr>
      <w:r w:rsidRPr="00AC2152">
        <w:rPr>
          <w:rFonts w:asciiTheme="majorBidi" w:hAnsiTheme="majorBidi" w:cstheme="majorBidi"/>
          <w:sz w:val="20"/>
        </w:rPr>
        <w:t>The sec</w:t>
      </w:r>
      <w:r w:rsidR="00236CAE">
        <w:rPr>
          <w:rFonts w:asciiTheme="majorBidi" w:hAnsiTheme="majorBidi" w:cstheme="majorBidi"/>
          <w:sz w:val="20"/>
        </w:rPr>
        <w:t>urity situation in Iraq</w:t>
      </w:r>
      <w:r w:rsidR="001A6861">
        <w:rPr>
          <w:rFonts w:asciiTheme="majorBidi" w:hAnsiTheme="majorBidi" w:cstheme="majorBidi"/>
          <w:sz w:val="20"/>
        </w:rPr>
        <w:t>.</w:t>
      </w:r>
    </w:p>
    <w:p w14:paraId="6C696431" w14:textId="41A0C6D7" w:rsidR="00426E36" w:rsidRDefault="00433426" w:rsidP="00EA695B">
      <w:pPr>
        <w:pStyle w:val="BodyText"/>
        <w:numPr>
          <w:ilvl w:val="0"/>
          <w:numId w:val="1"/>
        </w:numPr>
      </w:pPr>
      <w:r w:rsidRPr="00433426">
        <w:rPr>
          <w:rFonts w:asciiTheme="majorBidi" w:hAnsiTheme="majorBidi" w:cstheme="majorBidi"/>
        </w:rPr>
        <w:t xml:space="preserve">Due to the lack of information on the operational history of the IRT-5000 reactor, there was a high dose </w:t>
      </w:r>
      <w:r>
        <w:rPr>
          <w:rFonts w:asciiTheme="majorBidi" w:hAnsiTheme="majorBidi" w:cstheme="majorBidi"/>
        </w:rPr>
        <w:t xml:space="preserve">         </w:t>
      </w:r>
      <w:r w:rsidRPr="00433426">
        <w:rPr>
          <w:rFonts w:asciiTheme="majorBidi" w:hAnsiTheme="majorBidi" w:cstheme="majorBidi"/>
        </w:rPr>
        <w:t xml:space="preserve">rate within the reactor pool of up to 2 </w:t>
      </w:r>
      <w:proofErr w:type="spellStart"/>
      <w:r w:rsidRPr="00433426">
        <w:rPr>
          <w:rFonts w:asciiTheme="majorBidi" w:hAnsiTheme="majorBidi" w:cstheme="majorBidi"/>
        </w:rPr>
        <w:t>Sv</w:t>
      </w:r>
      <w:proofErr w:type="spellEnd"/>
      <w:r w:rsidRPr="00433426">
        <w:rPr>
          <w:rFonts w:asciiTheme="majorBidi" w:hAnsiTheme="majorBidi" w:cstheme="majorBidi"/>
        </w:rPr>
        <w:t>/</w:t>
      </w:r>
      <w:r w:rsidR="00EA695B" w:rsidRPr="00433426">
        <w:rPr>
          <w:rFonts w:asciiTheme="majorBidi" w:hAnsiTheme="majorBidi" w:cstheme="majorBidi"/>
        </w:rPr>
        <w:t>hr</w:t>
      </w:r>
      <w:r w:rsidR="00EA695B">
        <w:rPr>
          <w:rFonts w:asciiTheme="majorBidi" w:hAnsiTheme="majorBidi" w:cstheme="majorBidi"/>
        </w:rPr>
        <w:t>.</w:t>
      </w:r>
      <w:r w:rsidRPr="00433426">
        <w:rPr>
          <w:rFonts w:asciiTheme="majorBidi" w:hAnsiTheme="majorBidi" w:cstheme="majorBidi"/>
        </w:rPr>
        <w:t xml:space="preserve"> The exact location and cause of the dose has not been determined.</w:t>
      </w:r>
    </w:p>
    <w:p w14:paraId="2235A723" w14:textId="565397E0" w:rsidR="00426E36" w:rsidRPr="00F35CF5" w:rsidRDefault="00B91E24" w:rsidP="00F35CF5">
      <w:pPr>
        <w:pStyle w:val="Heading2"/>
      </w:pPr>
      <w:r>
        <w:t xml:space="preserve">    </w:t>
      </w:r>
      <w:r w:rsidR="00426E36" w:rsidRPr="00F35CF5">
        <w:t>Lessons learned</w:t>
      </w:r>
    </w:p>
    <w:p w14:paraId="7F599C96" w14:textId="18BA16C6" w:rsidR="00426E36" w:rsidRPr="00DE7AEC" w:rsidRDefault="00426E36" w:rsidP="00ED2E5C">
      <w:pPr>
        <w:pStyle w:val="BodyText"/>
        <w:numPr>
          <w:ilvl w:val="0"/>
          <w:numId w:val="6"/>
        </w:numPr>
      </w:pPr>
      <w:r w:rsidRPr="00DE7AEC">
        <w:t xml:space="preserve">It is very necessary to seek the assistance of the International Atomic Energy Agency to assist in any decommissioning program, as it provides advices and provides training courses, workshops and meetings with experienced experts in this field as well as </w:t>
      </w:r>
      <w:r w:rsidR="001D0419">
        <w:t>b</w:t>
      </w:r>
      <w:r w:rsidRPr="00DE7AEC">
        <w:t>uilding Iraqi human capacities and acquiring expertise, as well as providing specialized decommissioning equipment.</w:t>
      </w:r>
    </w:p>
    <w:p w14:paraId="2BD93382" w14:textId="2E0380E6" w:rsidR="00426E36" w:rsidRPr="00EA695B" w:rsidRDefault="00426E36" w:rsidP="00ED2E5C">
      <w:pPr>
        <w:pStyle w:val="BodyText"/>
        <w:numPr>
          <w:ilvl w:val="0"/>
          <w:numId w:val="6"/>
        </w:numPr>
      </w:pPr>
      <w:r w:rsidRPr="00EA695B">
        <w:t>In phase</w:t>
      </w:r>
      <w:r w:rsidR="00EA695B" w:rsidRPr="00EA695B">
        <w:t xml:space="preserve"> one</w:t>
      </w:r>
      <w:r w:rsidRPr="00EA695B">
        <w:t xml:space="preserve"> decommissioning programme</w:t>
      </w:r>
      <w:r w:rsidR="00EA695B" w:rsidRPr="00EA695B">
        <w:t>,</w:t>
      </w:r>
      <w:r w:rsidRPr="00EA695B">
        <w:t xml:space="preserve"> three low risks projects were chosen to be decommissioned this programme will allow capacity building of the decommissioning workers and the regulatory staff as well as allowing the building of radioactive waste storage and disposal facilities.</w:t>
      </w:r>
    </w:p>
    <w:p w14:paraId="4699D65F" w14:textId="3AD10D03" w:rsidR="00426E36" w:rsidRDefault="00426E36" w:rsidP="00ED2E5C">
      <w:pPr>
        <w:pStyle w:val="BodyText"/>
        <w:numPr>
          <w:ilvl w:val="0"/>
          <w:numId w:val="6"/>
        </w:numPr>
      </w:pPr>
      <w:r w:rsidRPr="00DE7AEC">
        <w:t>The assessment of risks needs to be performed in all phases of a decommissioning project, even if the phases are short and pose little radiological risk</w:t>
      </w:r>
      <w:r w:rsidR="00F24467">
        <w:t>.</w:t>
      </w:r>
    </w:p>
    <w:p w14:paraId="16C1D3AE" w14:textId="784BD3FC" w:rsidR="00AD5673" w:rsidRDefault="00426E36" w:rsidP="00ED2E5C">
      <w:pPr>
        <w:pStyle w:val="BodyText"/>
        <w:numPr>
          <w:ilvl w:val="0"/>
          <w:numId w:val="6"/>
        </w:numPr>
      </w:pPr>
      <w:r w:rsidRPr="00DE7AEC">
        <w:t xml:space="preserve"> </w:t>
      </w:r>
      <w:r>
        <w:t>D</w:t>
      </w:r>
      <w:r w:rsidRPr="00D364FD">
        <w:t xml:space="preserve">ocumentation </w:t>
      </w:r>
      <w:r>
        <w:t xml:space="preserve">and </w:t>
      </w:r>
      <w:r w:rsidRPr="00DE7AEC">
        <w:t xml:space="preserve">information </w:t>
      </w:r>
      <w:r>
        <w:t>of</w:t>
      </w:r>
      <w:r w:rsidRPr="00DE7AEC">
        <w:t xml:space="preserve"> exact operating period and accidents during the operating period as well as the components of </w:t>
      </w:r>
      <w:r>
        <w:t>all nuclear</w:t>
      </w:r>
      <w:r w:rsidRPr="00DE7AEC">
        <w:t xml:space="preserve"> facilities</w:t>
      </w:r>
      <w:r>
        <w:t xml:space="preserve"> are very important for</w:t>
      </w:r>
      <w:r w:rsidRPr="00D364FD">
        <w:t xml:space="preserve"> the process of radiological characterization and inventory of the radioactive isotopes generated inside the facility</w:t>
      </w:r>
      <w:r>
        <w:t xml:space="preserve"> and</w:t>
      </w:r>
      <w:r w:rsidRPr="00D364FD">
        <w:t xml:space="preserve"> thus affect the decommissioning strategy</w:t>
      </w:r>
      <w:r>
        <w:t>.</w:t>
      </w:r>
    </w:p>
    <w:p w14:paraId="24E27388" w14:textId="5D884567" w:rsidR="00AD5673" w:rsidRDefault="00AD5673" w:rsidP="00ED2E5C">
      <w:pPr>
        <w:pStyle w:val="BodyText"/>
        <w:numPr>
          <w:ilvl w:val="0"/>
          <w:numId w:val="6"/>
        </w:numPr>
      </w:pPr>
      <w:r>
        <w:t xml:space="preserve"> Iraq does not have disposal facility</w:t>
      </w:r>
      <w:r w:rsidR="00955999">
        <w:t xml:space="preserve"> and there is high dose rate inside the pool of IRT-5000 (2 Sievert per hour, measured in 2018), so the safe enclosure strategy had chosen for dismantling the IRT-5000 research reactor.</w:t>
      </w:r>
    </w:p>
    <w:p w14:paraId="1E770086" w14:textId="7F7A7CB3" w:rsidR="00955999" w:rsidRDefault="00955999" w:rsidP="00ED2E5C">
      <w:pPr>
        <w:pStyle w:val="BodyText"/>
        <w:numPr>
          <w:ilvl w:val="0"/>
          <w:numId w:val="6"/>
        </w:numPr>
      </w:pPr>
      <w:r>
        <w:t xml:space="preserve"> </w:t>
      </w:r>
      <w:r w:rsidR="00236CAE">
        <w:t xml:space="preserve">It is important to </w:t>
      </w:r>
      <w:r w:rsidR="001A2617">
        <w:t>clean-up</w:t>
      </w:r>
      <w:r w:rsidR="00236CAE">
        <w:t xml:space="preserve"> of contaminated site specially that near public living and unstable security case as soon as possible to avoid </w:t>
      </w:r>
      <w:r w:rsidR="00AD5C76">
        <w:t>dispreads</w:t>
      </w:r>
      <w:r w:rsidR="009D1731">
        <w:t xml:space="preserve"> of contaminated material</w:t>
      </w:r>
      <w:r w:rsidR="00ED2E5C">
        <w:t>.</w:t>
      </w:r>
    </w:p>
    <w:p w14:paraId="565BDF88" w14:textId="0B5223DD" w:rsidR="009D1731" w:rsidRDefault="009D1731" w:rsidP="00E54557">
      <w:pPr>
        <w:pStyle w:val="BodyText"/>
        <w:numPr>
          <w:ilvl w:val="0"/>
          <w:numId w:val="6"/>
        </w:numPr>
      </w:pPr>
      <w:r w:rsidRPr="009D1731">
        <w:t xml:space="preserve"> To improve the radiological characterization of the IRT-5000 </w:t>
      </w:r>
      <w:r w:rsidR="00E54557">
        <w:t>pool</w:t>
      </w:r>
      <w:r w:rsidRPr="009D1731">
        <w:t xml:space="preserve"> and to ensure the exact location of the hotspot inside the core, we performed a local collimator to perform additional measurements for this purpose and according to the recommendations of the IAEA experts and in order to find out the cause of the high radiation dose, retired workers who were working in the reactor were searched, And the reason was known.</w:t>
      </w:r>
    </w:p>
    <w:p w14:paraId="1D9B4FDB" w14:textId="77777777" w:rsidR="006F52F5" w:rsidRDefault="006F52F5" w:rsidP="009D1731">
      <w:pPr>
        <w:pStyle w:val="BodyText"/>
      </w:pPr>
    </w:p>
    <w:p w14:paraId="6A534A2A" w14:textId="216CA9DB" w:rsidR="006F52F5" w:rsidRPr="00F35CF5" w:rsidRDefault="006F52F5" w:rsidP="00F35CF5">
      <w:pPr>
        <w:pStyle w:val="Heading2"/>
      </w:pPr>
      <w:r w:rsidRPr="00F35CF5">
        <w:rPr>
          <w:rStyle w:val="Heading2Char"/>
          <w:caps/>
        </w:rPr>
        <w:t>C</w:t>
      </w:r>
      <w:r w:rsidR="00EA695B" w:rsidRPr="00F35CF5">
        <w:rPr>
          <w:rStyle w:val="Heading2Char"/>
          <w:caps/>
        </w:rPr>
        <w:t>ONCLUSION</w:t>
      </w:r>
    </w:p>
    <w:p w14:paraId="185123A6" w14:textId="1B31D812" w:rsidR="006F52F5" w:rsidRDefault="006F52F5" w:rsidP="00E54557">
      <w:pPr>
        <w:pStyle w:val="BodyText"/>
      </w:pPr>
      <w:r>
        <w:t xml:space="preserve"> </w:t>
      </w:r>
      <w:r w:rsidR="00E54557" w:rsidRPr="00E54557">
        <w:t>The process of decommissioning destroyed nuclear facilities is a complex and difficult process, since the decommissioning process depends mainly on radioactive characterization processes, based on which the decommissioning strategy is determined. Therefore, there were many challenges and lessons learned from this experience, especially since Iraq does not have previous experience in the field of decommissioning nuclear facilities. International Atomic Energy Agency has a very important and effective role in helping Iraq to overcome most of the challenges by providing advice, recommendations, providing equipment to carry out decommissioning activities</w:t>
      </w:r>
      <w:r w:rsidR="00ED2E5C">
        <w:t>.</w:t>
      </w:r>
    </w:p>
    <w:p w14:paraId="5901E4F6" w14:textId="38B99E3D" w:rsidR="00ED2E5C" w:rsidRDefault="00ED2E5C" w:rsidP="00A11109">
      <w:pPr>
        <w:pStyle w:val="BodyText"/>
      </w:pPr>
    </w:p>
    <w:p w14:paraId="3C64AAA3" w14:textId="77777777" w:rsidR="001A2617" w:rsidRDefault="001A2617" w:rsidP="00A11109">
      <w:pPr>
        <w:pStyle w:val="BodyText"/>
      </w:pPr>
    </w:p>
    <w:p w14:paraId="7CF30527" w14:textId="77777777" w:rsidR="001A2617" w:rsidRDefault="001A2617" w:rsidP="00A11109">
      <w:pPr>
        <w:pStyle w:val="BodyText"/>
      </w:pPr>
    </w:p>
    <w:p w14:paraId="5BB770E6" w14:textId="77777777" w:rsidR="00613900" w:rsidRDefault="00834AE0" w:rsidP="00834AE0">
      <w:pPr>
        <w:pStyle w:val="BodyText"/>
        <w:ind w:firstLine="0"/>
      </w:pPr>
      <w:r>
        <w:lastRenderedPageBreak/>
        <w:t xml:space="preserve">     </w:t>
      </w:r>
      <w:r w:rsidR="00F35CF5">
        <w:t xml:space="preserve">  </w:t>
      </w:r>
    </w:p>
    <w:p w14:paraId="43F86114" w14:textId="116B4384" w:rsidR="00ED2E5C" w:rsidRPr="00613900" w:rsidRDefault="002863CE" w:rsidP="00834AE0">
      <w:pPr>
        <w:pStyle w:val="BodyText"/>
        <w:ind w:firstLine="0"/>
      </w:pPr>
      <w:r>
        <w:t xml:space="preserve">                         </w:t>
      </w:r>
      <w:r w:rsidR="00F35CF5">
        <w:t xml:space="preserve">  </w:t>
      </w:r>
      <w:r w:rsidR="00ED2E5C" w:rsidRPr="00613900">
        <w:t>R</w:t>
      </w:r>
      <w:r w:rsidR="00EA695B" w:rsidRPr="00613900">
        <w:t>EFERENCES</w:t>
      </w:r>
      <w:r w:rsidR="00ED2E5C" w:rsidRPr="00613900">
        <w:t xml:space="preserve"> </w:t>
      </w:r>
    </w:p>
    <w:p w14:paraId="06BADB4F" w14:textId="77777777" w:rsidR="00613900" w:rsidRPr="00F35CF5" w:rsidRDefault="00613900" w:rsidP="00834AE0">
      <w:pPr>
        <w:pStyle w:val="BodyText"/>
        <w:ind w:firstLine="0"/>
        <w:rPr>
          <w:b/>
          <w:bCs/>
        </w:rPr>
      </w:pPr>
    </w:p>
    <w:p w14:paraId="7E50E44B" w14:textId="7CB467AD" w:rsidR="00ED2E5C" w:rsidRPr="00B36B96" w:rsidRDefault="00AD5C76" w:rsidP="00AD5C76">
      <w:pPr>
        <w:pStyle w:val="BodyText"/>
        <w:numPr>
          <w:ilvl w:val="0"/>
          <w:numId w:val="5"/>
        </w:numPr>
        <w:rPr>
          <w:rFonts w:asciiTheme="majorBidi" w:hAnsiTheme="majorBidi" w:cstheme="majorBidi"/>
        </w:rPr>
      </w:pPr>
      <w:r w:rsidRPr="00B36B96">
        <w:rPr>
          <w:rFonts w:asciiTheme="majorBidi" w:hAnsiTheme="majorBidi" w:cstheme="majorBidi"/>
          <w:color w:val="222222"/>
          <w:shd w:val="clear" w:color="auto" w:fill="FFFFFF"/>
        </w:rPr>
        <w:t>Bibi, A., Al-</w:t>
      </w:r>
      <w:proofErr w:type="spellStart"/>
      <w:r w:rsidRPr="00B36B96">
        <w:rPr>
          <w:rFonts w:asciiTheme="majorBidi" w:hAnsiTheme="majorBidi" w:cstheme="majorBidi"/>
          <w:color w:val="222222"/>
          <w:shd w:val="clear" w:color="auto" w:fill="FFFFFF"/>
        </w:rPr>
        <w:t>Musawi</w:t>
      </w:r>
      <w:proofErr w:type="spellEnd"/>
      <w:r w:rsidRPr="00B36B96">
        <w:rPr>
          <w:rFonts w:asciiTheme="majorBidi" w:hAnsiTheme="majorBidi" w:cstheme="majorBidi"/>
          <w:color w:val="222222"/>
          <w:shd w:val="clear" w:color="auto" w:fill="FFFFFF"/>
        </w:rPr>
        <w:t xml:space="preserve">, F., </w:t>
      </w:r>
      <w:proofErr w:type="spellStart"/>
      <w:r w:rsidRPr="00B36B96">
        <w:rPr>
          <w:rFonts w:asciiTheme="majorBidi" w:hAnsiTheme="majorBidi" w:cstheme="majorBidi"/>
          <w:color w:val="222222"/>
          <w:shd w:val="clear" w:color="auto" w:fill="FFFFFF"/>
        </w:rPr>
        <w:t>Jassim</w:t>
      </w:r>
      <w:proofErr w:type="spellEnd"/>
      <w:r w:rsidRPr="00B36B96">
        <w:rPr>
          <w:rFonts w:asciiTheme="majorBidi" w:hAnsiTheme="majorBidi" w:cstheme="majorBidi"/>
          <w:color w:val="222222"/>
          <w:shd w:val="clear" w:color="auto" w:fill="FFFFFF"/>
        </w:rPr>
        <w:t xml:space="preserve">, H., &amp; </w:t>
      </w:r>
      <w:proofErr w:type="spellStart"/>
      <w:r w:rsidRPr="00B36B96">
        <w:rPr>
          <w:rFonts w:asciiTheme="majorBidi" w:hAnsiTheme="majorBidi" w:cstheme="majorBidi"/>
          <w:color w:val="222222"/>
          <w:shd w:val="clear" w:color="auto" w:fill="FFFFFF"/>
        </w:rPr>
        <w:t>Abd</w:t>
      </w:r>
      <w:proofErr w:type="spellEnd"/>
      <w:r w:rsidRPr="00B36B96">
        <w:rPr>
          <w:rFonts w:asciiTheme="majorBidi" w:hAnsiTheme="majorBidi" w:cstheme="majorBidi"/>
          <w:color w:val="222222"/>
          <w:shd w:val="clear" w:color="auto" w:fill="FFFFFF"/>
        </w:rPr>
        <w:t xml:space="preserve"> </w:t>
      </w:r>
      <w:proofErr w:type="spellStart"/>
      <w:r w:rsidRPr="00B36B96">
        <w:rPr>
          <w:rFonts w:asciiTheme="majorBidi" w:hAnsiTheme="majorBidi" w:cstheme="majorBidi"/>
          <w:color w:val="222222"/>
          <w:shd w:val="clear" w:color="auto" w:fill="FFFFFF"/>
        </w:rPr>
        <w:t>Alhadi</w:t>
      </w:r>
      <w:proofErr w:type="spellEnd"/>
      <w:r w:rsidRPr="00B36B96">
        <w:rPr>
          <w:rFonts w:asciiTheme="majorBidi" w:hAnsiTheme="majorBidi" w:cstheme="majorBidi"/>
          <w:color w:val="222222"/>
          <w:shd w:val="clear" w:color="auto" w:fill="FFFFFF"/>
        </w:rPr>
        <w:t>, Q. "Decommissioning Challenge of Destroyed Nuclear Facilities and Sites in Iraq." </w:t>
      </w:r>
      <w:r w:rsidRPr="00B36B96">
        <w:rPr>
          <w:rFonts w:asciiTheme="majorBidi" w:hAnsiTheme="majorBidi" w:cstheme="majorBidi"/>
          <w:i/>
          <w:iCs/>
          <w:color w:val="222222"/>
          <w:shd w:val="clear" w:color="auto" w:fill="FFFFFF"/>
        </w:rPr>
        <w:t xml:space="preserve">Revue </w:t>
      </w:r>
      <w:proofErr w:type="spellStart"/>
      <w:r w:rsidRPr="00B36B96">
        <w:rPr>
          <w:rFonts w:asciiTheme="majorBidi" w:hAnsiTheme="majorBidi" w:cstheme="majorBidi"/>
          <w:i/>
          <w:iCs/>
          <w:color w:val="222222"/>
          <w:shd w:val="clear" w:color="auto" w:fill="FFFFFF"/>
        </w:rPr>
        <w:t>Générale</w:t>
      </w:r>
      <w:proofErr w:type="spellEnd"/>
      <w:r w:rsidRPr="00B36B96">
        <w:rPr>
          <w:rFonts w:asciiTheme="majorBidi" w:hAnsiTheme="majorBidi" w:cstheme="majorBidi"/>
          <w:i/>
          <w:iCs/>
          <w:color w:val="222222"/>
          <w:shd w:val="clear" w:color="auto" w:fill="FFFFFF"/>
        </w:rPr>
        <w:t xml:space="preserve"> </w:t>
      </w:r>
      <w:proofErr w:type="spellStart"/>
      <w:r w:rsidRPr="00B36B96">
        <w:rPr>
          <w:rFonts w:asciiTheme="majorBidi" w:hAnsiTheme="majorBidi" w:cstheme="majorBidi"/>
          <w:i/>
          <w:iCs/>
          <w:color w:val="222222"/>
          <w:shd w:val="clear" w:color="auto" w:fill="FFFFFF"/>
        </w:rPr>
        <w:t>Nucléaire</w:t>
      </w:r>
      <w:proofErr w:type="spellEnd"/>
      <w:r w:rsidRPr="00B36B96">
        <w:rPr>
          <w:rFonts w:asciiTheme="majorBidi" w:hAnsiTheme="majorBidi" w:cstheme="majorBidi"/>
          <w:color w:val="222222"/>
          <w:shd w:val="clear" w:color="auto" w:fill="FFFFFF"/>
        </w:rPr>
        <w:t> 4 (2013): 37-41.</w:t>
      </w:r>
      <w:r w:rsidRPr="00B36B96">
        <w:rPr>
          <w:rFonts w:asciiTheme="majorBidi" w:hAnsiTheme="majorBidi" w:cstheme="majorBidi"/>
          <w:color w:val="222222"/>
          <w:shd w:val="clear" w:color="auto" w:fill="FFFFFF"/>
          <w:rtl/>
        </w:rPr>
        <w:t>‏</w:t>
      </w:r>
    </w:p>
    <w:p w14:paraId="2FFA4F23" w14:textId="094FDD69" w:rsidR="00B36B96" w:rsidRPr="00B36B96" w:rsidRDefault="00B36B96" w:rsidP="00AD5C76">
      <w:pPr>
        <w:pStyle w:val="BodyText"/>
        <w:numPr>
          <w:ilvl w:val="0"/>
          <w:numId w:val="5"/>
        </w:numPr>
        <w:rPr>
          <w:rFonts w:asciiTheme="majorBidi" w:hAnsiTheme="majorBidi" w:cstheme="majorBidi"/>
        </w:rPr>
      </w:pPr>
      <w:r w:rsidRPr="00B36B96">
        <w:rPr>
          <w:rFonts w:asciiTheme="majorBidi" w:hAnsiTheme="majorBidi" w:cstheme="majorBidi"/>
          <w:color w:val="222222"/>
          <w:shd w:val="clear" w:color="auto" w:fill="FFFFFF"/>
        </w:rPr>
        <w:t xml:space="preserve">Cochran, J. R., </w:t>
      </w:r>
      <w:proofErr w:type="spellStart"/>
      <w:r w:rsidRPr="00B36B96">
        <w:rPr>
          <w:rFonts w:asciiTheme="majorBidi" w:hAnsiTheme="majorBidi" w:cstheme="majorBidi"/>
          <w:color w:val="222222"/>
          <w:shd w:val="clear" w:color="auto" w:fill="FFFFFF"/>
        </w:rPr>
        <w:t>Danneels</w:t>
      </w:r>
      <w:proofErr w:type="spellEnd"/>
      <w:r w:rsidRPr="00B36B96">
        <w:rPr>
          <w:rFonts w:asciiTheme="majorBidi" w:hAnsiTheme="majorBidi" w:cstheme="majorBidi"/>
          <w:color w:val="222222"/>
          <w:shd w:val="clear" w:color="auto" w:fill="FFFFFF"/>
        </w:rPr>
        <w:t xml:space="preserve">, J. J., Phillips, C., &amp; </w:t>
      </w:r>
      <w:proofErr w:type="spellStart"/>
      <w:r w:rsidRPr="00B36B96">
        <w:rPr>
          <w:rFonts w:asciiTheme="majorBidi" w:hAnsiTheme="majorBidi" w:cstheme="majorBidi"/>
          <w:color w:val="222222"/>
          <w:shd w:val="clear" w:color="auto" w:fill="FFFFFF"/>
        </w:rPr>
        <w:t>Chesser</w:t>
      </w:r>
      <w:proofErr w:type="spellEnd"/>
      <w:r w:rsidRPr="00B36B96">
        <w:rPr>
          <w:rFonts w:asciiTheme="majorBidi" w:hAnsiTheme="majorBidi" w:cstheme="majorBidi"/>
          <w:color w:val="222222"/>
          <w:shd w:val="clear" w:color="auto" w:fill="FFFFFF"/>
        </w:rPr>
        <w:t>, R. "Iraq nuclear facility dismantlement and disposal project." </w:t>
      </w:r>
      <w:r w:rsidRPr="00B36B96">
        <w:rPr>
          <w:rFonts w:asciiTheme="majorBidi" w:hAnsiTheme="majorBidi" w:cstheme="majorBidi"/>
          <w:i/>
          <w:iCs/>
          <w:color w:val="222222"/>
          <w:shd w:val="clear" w:color="auto" w:fill="FFFFFF"/>
        </w:rPr>
        <w:t>Proceedings from Waste Management'07</w:t>
      </w:r>
      <w:r w:rsidRPr="00B36B96">
        <w:rPr>
          <w:rFonts w:asciiTheme="majorBidi" w:hAnsiTheme="majorBidi" w:cstheme="majorBidi"/>
          <w:color w:val="222222"/>
          <w:shd w:val="clear" w:color="auto" w:fill="FFFFFF"/>
        </w:rPr>
        <w:t> (2007).</w:t>
      </w:r>
      <w:r w:rsidRPr="00B36B96">
        <w:rPr>
          <w:rFonts w:asciiTheme="majorBidi" w:hAnsiTheme="majorBidi" w:cstheme="majorBidi"/>
          <w:color w:val="222222"/>
          <w:shd w:val="clear" w:color="auto" w:fill="FFFFFF"/>
          <w:rtl/>
        </w:rPr>
        <w:t>‏</w:t>
      </w:r>
    </w:p>
    <w:sectPr w:rsidR="00B36B96" w:rsidRPr="00B36B96" w:rsidSect="00FA4D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ABB78" w14:textId="77777777" w:rsidR="00893D27" w:rsidRDefault="00893D27" w:rsidP="00386FF3">
      <w:r>
        <w:separator/>
      </w:r>
    </w:p>
  </w:endnote>
  <w:endnote w:type="continuationSeparator" w:id="0">
    <w:p w14:paraId="5061819A" w14:textId="77777777" w:rsidR="00893D27" w:rsidRDefault="00893D27" w:rsidP="0038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D0F7D" w14:textId="77777777" w:rsidR="00893D27" w:rsidRDefault="00893D27" w:rsidP="00386FF3">
      <w:r>
        <w:separator/>
      </w:r>
    </w:p>
  </w:footnote>
  <w:footnote w:type="continuationSeparator" w:id="0">
    <w:p w14:paraId="2213D586" w14:textId="77777777" w:rsidR="00893D27" w:rsidRDefault="00893D27" w:rsidP="00386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0843" w14:textId="62C1677F" w:rsidR="00386FF3" w:rsidRPr="00386FF3" w:rsidRDefault="00386FF3" w:rsidP="004A096C">
    <w:pPr>
      <w:pStyle w:val="Authornameandaffiliation"/>
      <w:jc w:val="center"/>
      <w:rPr>
        <w:b/>
        <w:bCs/>
        <w:sz w:val="16"/>
        <w:szCs w:val="16"/>
      </w:rPr>
    </w:pPr>
    <w:r w:rsidRPr="00386FF3">
      <w:rPr>
        <w:b/>
        <w:bCs/>
        <w:sz w:val="16"/>
        <w:szCs w:val="16"/>
      </w:rPr>
      <w:t>SAAD KADHUM and HUSSEIN AL-SHAMOOSI</w:t>
    </w:r>
  </w:p>
  <w:p w14:paraId="21DD8F64" w14:textId="77777777" w:rsidR="00386FF3" w:rsidRDefault="00386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A10"/>
    <w:multiLevelType w:val="hybridMultilevel"/>
    <w:tmpl w:val="81E0E62A"/>
    <w:lvl w:ilvl="0" w:tplc="C74A0DA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537E13"/>
    <w:multiLevelType w:val="hybridMultilevel"/>
    <w:tmpl w:val="670C9534"/>
    <w:lvl w:ilvl="0" w:tplc="26CCA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7C6E"/>
    <w:multiLevelType w:val="hybridMultilevel"/>
    <w:tmpl w:val="7F2C40A6"/>
    <w:lvl w:ilvl="0" w:tplc="901272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FD51093"/>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2"/>
  </w:num>
  <w:num w:numId="2">
    <w:abstractNumId w:val="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064A"/>
    <w:rsid w:val="00092516"/>
    <w:rsid w:val="00097AF6"/>
    <w:rsid w:val="000F41C4"/>
    <w:rsid w:val="00135CD8"/>
    <w:rsid w:val="001834A2"/>
    <w:rsid w:val="001A2617"/>
    <w:rsid w:val="001A6861"/>
    <w:rsid w:val="001C2024"/>
    <w:rsid w:val="001D0419"/>
    <w:rsid w:val="002344DA"/>
    <w:rsid w:val="00236CAE"/>
    <w:rsid w:val="002863CE"/>
    <w:rsid w:val="002E0DC4"/>
    <w:rsid w:val="0030234D"/>
    <w:rsid w:val="0032363A"/>
    <w:rsid w:val="00345CFA"/>
    <w:rsid w:val="003707A7"/>
    <w:rsid w:val="00386FF3"/>
    <w:rsid w:val="003C33D8"/>
    <w:rsid w:val="003D5FB9"/>
    <w:rsid w:val="003D6663"/>
    <w:rsid w:val="003E6994"/>
    <w:rsid w:val="0042415F"/>
    <w:rsid w:val="00426E36"/>
    <w:rsid w:val="00433426"/>
    <w:rsid w:val="004A096C"/>
    <w:rsid w:val="004B706D"/>
    <w:rsid w:val="00564679"/>
    <w:rsid w:val="005655EE"/>
    <w:rsid w:val="005A3B54"/>
    <w:rsid w:val="006118A2"/>
    <w:rsid w:val="00613900"/>
    <w:rsid w:val="006C36B7"/>
    <w:rsid w:val="006D666A"/>
    <w:rsid w:val="006F52F5"/>
    <w:rsid w:val="00754C7E"/>
    <w:rsid w:val="00790CDD"/>
    <w:rsid w:val="00831F78"/>
    <w:rsid w:val="00834AE0"/>
    <w:rsid w:val="00851413"/>
    <w:rsid w:val="00866E30"/>
    <w:rsid w:val="008709DA"/>
    <w:rsid w:val="00893D27"/>
    <w:rsid w:val="00955999"/>
    <w:rsid w:val="009576CB"/>
    <w:rsid w:val="009B3300"/>
    <w:rsid w:val="009D1731"/>
    <w:rsid w:val="009D4184"/>
    <w:rsid w:val="009E064A"/>
    <w:rsid w:val="00A11109"/>
    <w:rsid w:val="00A67666"/>
    <w:rsid w:val="00A7422D"/>
    <w:rsid w:val="00AB227C"/>
    <w:rsid w:val="00AD5673"/>
    <w:rsid w:val="00AD5C76"/>
    <w:rsid w:val="00B22E08"/>
    <w:rsid w:val="00B32F09"/>
    <w:rsid w:val="00B3305C"/>
    <w:rsid w:val="00B36B96"/>
    <w:rsid w:val="00B91E24"/>
    <w:rsid w:val="00BA4CA3"/>
    <w:rsid w:val="00BB296D"/>
    <w:rsid w:val="00BB55CE"/>
    <w:rsid w:val="00BB7388"/>
    <w:rsid w:val="00BF354A"/>
    <w:rsid w:val="00C07B41"/>
    <w:rsid w:val="00C15304"/>
    <w:rsid w:val="00CA0AAB"/>
    <w:rsid w:val="00CC5842"/>
    <w:rsid w:val="00D31958"/>
    <w:rsid w:val="00D364FD"/>
    <w:rsid w:val="00D70BDF"/>
    <w:rsid w:val="00D94DB2"/>
    <w:rsid w:val="00DE7AEC"/>
    <w:rsid w:val="00E0747D"/>
    <w:rsid w:val="00E42F29"/>
    <w:rsid w:val="00E54557"/>
    <w:rsid w:val="00E608AF"/>
    <w:rsid w:val="00EA4DF1"/>
    <w:rsid w:val="00EA695B"/>
    <w:rsid w:val="00ED2E5C"/>
    <w:rsid w:val="00F24467"/>
    <w:rsid w:val="00F35CF5"/>
    <w:rsid w:val="00F82EE8"/>
    <w:rsid w:val="00FA4DE9"/>
    <w:rsid w:val="00FA7C16"/>
    <w:rsid w:val="00FE7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Straight Arrow Connector 3"/>
        <o:r id="V:Rule2" type="connector" idref="#Straight Arrow Connector 4"/>
        <o:r id="V:Rule3" type="connector" idref="#Straight Arrow Connector 5"/>
      </o:rules>
    </o:shapelayout>
  </w:shapeDefaults>
  <w:decimalSymbol w:val="."/>
  <w:listSeparator w:val=","/>
  <w14:docId w14:val="3001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9"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rsid w:val="00C1530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GB"/>
    </w:rPr>
  </w:style>
  <w:style w:type="paragraph" w:styleId="Heading1">
    <w:name w:val="heading 1"/>
    <w:aliases w:val="Paper title"/>
    <w:next w:val="Subtitle"/>
    <w:link w:val="Heading1Char"/>
    <w:uiPriority w:val="4"/>
    <w:qFormat/>
    <w:rsid w:val="00C15304"/>
    <w:pPr>
      <w:spacing w:after="0" w:line="280" w:lineRule="atLeast"/>
      <w:ind w:left="567" w:right="567"/>
      <w:outlineLvl w:val="0"/>
    </w:pPr>
    <w:rPr>
      <w:rFonts w:ascii="Times New Roman Bold" w:eastAsia="Times New Roman" w:hAnsi="Times New Roman Bold" w:cs="Times New Roman"/>
      <w:b/>
      <w:caps/>
      <w:sz w:val="24"/>
      <w:szCs w:val="20"/>
    </w:rPr>
  </w:style>
  <w:style w:type="paragraph" w:styleId="Heading2">
    <w:name w:val="heading 2"/>
    <w:aliases w:val="1st level paper heading"/>
    <w:next w:val="BodyText"/>
    <w:link w:val="Heading2Char"/>
    <w:uiPriority w:val="4"/>
    <w:qFormat/>
    <w:rsid w:val="00C15304"/>
    <w:pPr>
      <w:widowControl w:val="0"/>
      <w:numPr>
        <w:ilvl w:val="1"/>
        <w:numId w:val="2"/>
      </w:numPr>
      <w:spacing w:before="100" w:beforeAutospacing="1" w:after="100" w:afterAutospacing="1" w:line="280" w:lineRule="atLeast"/>
      <w:outlineLvl w:val="1"/>
    </w:pPr>
    <w:rPr>
      <w:rFonts w:ascii="Times New Roman" w:eastAsia="Times New Roman" w:hAnsi="Times New Roman" w:cs="Times New Roman"/>
      <w:caps/>
      <w:sz w:val="20"/>
      <w:szCs w:val="20"/>
      <w:lang w:val="en-GB"/>
    </w:rPr>
  </w:style>
  <w:style w:type="paragraph" w:styleId="Heading3">
    <w:name w:val="heading 3"/>
    <w:aliases w:val="2nd level paper heading"/>
    <w:next w:val="BodyText"/>
    <w:link w:val="Heading3Char"/>
    <w:uiPriority w:val="4"/>
    <w:qFormat/>
    <w:rsid w:val="00C15304"/>
    <w:pPr>
      <w:widowControl w:val="0"/>
      <w:numPr>
        <w:ilvl w:val="2"/>
        <w:numId w:val="2"/>
      </w:numPr>
      <w:spacing w:before="240" w:after="240" w:line="240" w:lineRule="exact"/>
      <w:outlineLvl w:val="2"/>
    </w:pPr>
    <w:rPr>
      <w:rFonts w:ascii="Times New Roman" w:eastAsia="Times New Roman" w:hAnsi="Times New Roman" w:cs="Times New Roman"/>
      <w:b/>
      <w:sz w:val="20"/>
      <w:szCs w:val="20"/>
      <w:lang w:val="en-GB"/>
    </w:rPr>
  </w:style>
  <w:style w:type="paragraph" w:styleId="Heading4">
    <w:name w:val="heading 4"/>
    <w:aliases w:val="3rd level paper heading"/>
    <w:basedOn w:val="Normal"/>
    <w:next w:val="BodyText"/>
    <w:link w:val="Heading4Char"/>
    <w:uiPriority w:val="4"/>
    <w:qFormat/>
    <w:rsid w:val="00C15304"/>
    <w:pPr>
      <w:widowControl w:val="0"/>
      <w:numPr>
        <w:ilvl w:val="3"/>
        <w:numId w:val="2"/>
      </w:numPr>
      <w:tabs>
        <w:tab w:val="clear" w:pos="2058"/>
      </w:tabs>
      <w:spacing w:before="100" w:beforeAutospacing="1" w:after="100" w:afterAutospacing="1" w:line="240" w:lineRule="atLeast"/>
      <w:outlineLvl w:val="3"/>
    </w:pPr>
    <w:rPr>
      <w:i/>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andaffiliation">
    <w:name w:val="Author name and affiliation"/>
    <w:link w:val="AuthornameandaffiliationChar"/>
    <w:uiPriority w:val="49"/>
    <w:qFormat/>
    <w:rsid w:val="00FA4DE9"/>
    <w:pPr>
      <w:spacing w:after="0" w:line="240" w:lineRule="auto"/>
      <w:ind w:left="567"/>
      <w:contextualSpacing/>
    </w:pPr>
    <w:rPr>
      <w:rFonts w:ascii="Times New Roman" w:eastAsia="Times New Roman" w:hAnsi="Times New Roman" w:cs="Times New Roman"/>
      <w:sz w:val="20"/>
      <w:szCs w:val="20"/>
    </w:rPr>
  </w:style>
  <w:style w:type="character" w:customStyle="1" w:styleId="AuthornameandaffiliationChar">
    <w:name w:val="Author name and affiliation Char"/>
    <w:basedOn w:val="DefaultParagraphFont"/>
    <w:link w:val="Authornameandaffiliation"/>
    <w:uiPriority w:val="49"/>
    <w:rsid w:val="00FA4DE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A4DE9"/>
    <w:rPr>
      <w:color w:val="0000FF" w:themeColor="hyperlink"/>
      <w:u w:val="single"/>
    </w:rPr>
  </w:style>
  <w:style w:type="paragraph" w:styleId="BalloonText">
    <w:name w:val="Balloon Text"/>
    <w:basedOn w:val="Normal"/>
    <w:link w:val="BalloonTextChar"/>
    <w:uiPriority w:val="99"/>
    <w:semiHidden/>
    <w:unhideWhenUsed/>
    <w:rsid w:val="0030234D"/>
    <w:rPr>
      <w:rFonts w:ascii="Tahoma" w:hAnsi="Tahoma" w:cs="Tahoma"/>
      <w:sz w:val="16"/>
      <w:szCs w:val="16"/>
    </w:rPr>
  </w:style>
  <w:style w:type="character" w:customStyle="1" w:styleId="BalloonTextChar">
    <w:name w:val="Balloon Text Char"/>
    <w:basedOn w:val="DefaultParagraphFont"/>
    <w:link w:val="BalloonText"/>
    <w:uiPriority w:val="99"/>
    <w:semiHidden/>
    <w:rsid w:val="0030234D"/>
    <w:rPr>
      <w:rFonts w:ascii="Tahoma" w:hAnsi="Tahoma" w:cs="Tahoma"/>
      <w:sz w:val="16"/>
      <w:szCs w:val="16"/>
    </w:rPr>
  </w:style>
  <w:style w:type="paragraph" w:styleId="ListParagraph">
    <w:name w:val="List Paragraph"/>
    <w:basedOn w:val="Normal"/>
    <w:uiPriority w:val="34"/>
    <w:qFormat/>
    <w:rsid w:val="006118A2"/>
    <w:pPr>
      <w:ind w:left="720"/>
      <w:contextualSpacing/>
    </w:pPr>
  </w:style>
  <w:style w:type="character" w:customStyle="1" w:styleId="Heading1Char">
    <w:name w:val="Heading 1 Char"/>
    <w:aliases w:val="Paper title Char"/>
    <w:basedOn w:val="DefaultParagraphFont"/>
    <w:link w:val="Heading1"/>
    <w:uiPriority w:val="4"/>
    <w:rsid w:val="00C15304"/>
    <w:rPr>
      <w:rFonts w:ascii="Times New Roman Bold" w:eastAsia="Times New Roman" w:hAnsi="Times New Roman Bold" w:cs="Times New Roman"/>
      <w:b/>
      <w:caps/>
      <w:sz w:val="24"/>
      <w:szCs w:val="20"/>
    </w:rPr>
  </w:style>
  <w:style w:type="character" w:customStyle="1" w:styleId="Heading2Char">
    <w:name w:val="Heading 2 Char"/>
    <w:aliases w:val="1st level paper heading Char"/>
    <w:basedOn w:val="DefaultParagraphFont"/>
    <w:link w:val="Heading2"/>
    <w:uiPriority w:val="4"/>
    <w:rsid w:val="00C15304"/>
    <w:rPr>
      <w:rFonts w:ascii="Times New Roman" w:eastAsia="Times New Roman" w:hAnsi="Times New Roman" w:cs="Times New Roman"/>
      <w:caps/>
      <w:sz w:val="20"/>
      <w:szCs w:val="20"/>
      <w:lang w:val="en-GB"/>
    </w:rPr>
  </w:style>
  <w:style w:type="character" w:customStyle="1" w:styleId="Heading3Char">
    <w:name w:val="Heading 3 Char"/>
    <w:aliases w:val="2nd level paper heading Char"/>
    <w:basedOn w:val="DefaultParagraphFont"/>
    <w:link w:val="Heading3"/>
    <w:uiPriority w:val="4"/>
    <w:rsid w:val="00C15304"/>
    <w:rPr>
      <w:rFonts w:ascii="Times New Roman" w:eastAsia="Times New Roman" w:hAnsi="Times New Roman" w:cs="Times New Roman"/>
      <w:b/>
      <w:sz w:val="20"/>
      <w:szCs w:val="20"/>
      <w:lang w:val="en-GB"/>
    </w:rPr>
  </w:style>
  <w:style w:type="character" w:customStyle="1" w:styleId="Heading4Char">
    <w:name w:val="Heading 4 Char"/>
    <w:aliases w:val="3rd level paper heading Char"/>
    <w:basedOn w:val="DefaultParagraphFont"/>
    <w:link w:val="Heading4"/>
    <w:uiPriority w:val="4"/>
    <w:rsid w:val="00C15304"/>
    <w:rPr>
      <w:rFonts w:ascii="Times New Roman" w:eastAsia="Times New Roman" w:hAnsi="Times New Roman" w:cs="Times New Roman"/>
      <w:i/>
      <w:sz w:val="20"/>
      <w:szCs w:val="20"/>
    </w:rPr>
  </w:style>
  <w:style w:type="paragraph" w:styleId="BodyText">
    <w:name w:val="Body Text"/>
    <w:link w:val="BodyTextChar"/>
    <w:qFormat/>
    <w:rsid w:val="00C15304"/>
    <w:pPr>
      <w:spacing w:after="0" w:line="260" w:lineRule="atLeast"/>
      <w:ind w:firstLine="567"/>
      <w:contextualSpacing/>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C15304"/>
    <w:rPr>
      <w:rFonts w:ascii="Times New Roman" w:eastAsia="Times New Roman" w:hAnsi="Times New Roman" w:cs="Times New Roman"/>
      <w:sz w:val="20"/>
      <w:szCs w:val="20"/>
      <w:lang w:val="en-GB"/>
    </w:rPr>
  </w:style>
  <w:style w:type="paragraph" w:customStyle="1" w:styleId="Abstracttext">
    <w:name w:val="Abstract text"/>
    <w:basedOn w:val="Authornameandaffiliation"/>
    <w:link w:val="AbstracttextChar"/>
    <w:uiPriority w:val="49"/>
    <w:qFormat/>
    <w:rsid w:val="00C15304"/>
    <w:pPr>
      <w:spacing w:line="240" w:lineRule="atLeast"/>
      <w:ind w:left="0" w:firstLine="567"/>
    </w:pPr>
    <w:rPr>
      <w:sz w:val="18"/>
    </w:rPr>
  </w:style>
  <w:style w:type="character" w:customStyle="1" w:styleId="AbstracttextChar">
    <w:name w:val="Abstract text Char"/>
    <w:basedOn w:val="AuthornameandaffiliationChar"/>
    <w:link w:val="Abstracttext"/>
    <w:uiPriority w:val="49"/>
    <w:rsid w:val="00C15304"/>
    <w:rPr>
      <w:rFonts w:ascii="Times New Roman" w:eastAsia="Times New Roman" w:hAnsi="Times New Roman" w:cs="Times New Roman"/>
      <w:sz w:val="18"/>
      <w:szCs w:val="20"/>
    </w:rPr>
  </w:style>
  <w:style w:type="paragraph" w:styleId="Subtitle">
    <w:name w:val="Subtitle"/>
    <w:basedOn w:val="Normal"/>
    <w:next w:val="Normal"/>
    <w:link w:val="SubtitleChar"/>
    <w:uiPriority w:val="11"/>
    <w:qFormat/>
    <w:rsid w:val="00C153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5304"/>
    <w:rPr>
      <w:rFonts w:asciiTheme="majorHAnsi" w:eastAsiaTheme="majorEastAsia" w:hAnsiTheme="majorHAnsi" w:cstheme="majorBidi"/>
      <w:i/>
      <w:iCs/>
      <w:color w:val="4F81BD" w:themeColor="accent1"/>
      <w:spacing w:val="15"/>
      <w:sz w:val="24"/>
      <w:szCs w:val="24"/>
      <w:lang w:val="en-GB"/>
    </w:rPr>
  </w:style>
  <w:style w:type="paragraph" w:customStyle="1" w:styleId="BodyTextSummary">
    <w:name w:val="Body Text Summary"/>
    <w:uiPriority w:val="49"/>
    <w:locked/>
    <w:rsid w:val="00426E36"/>
    <w:pPr>
      <w:numPr>
        <w:numId w:val="4"/>
      </w:numPr>
      <w:tabs>
        <w:tab w:val="clear" w:pos="720"/>
      </w:tabs>
      <w:spacing w:after="170" w:line="280" w:lineRule="atLeast"/>
      <w:ind w:left="572" w:hanging="459"/>
      <w:jc w:val="both"/>
    </w:pPr>
    <w:rPr>
      <w:rFonts w:ascii="Times New Roman" w:eastAsia="Times New Roman" w:hAnsi="Times New Roman" w:cs="Times New Roman"/>
      <w:lang w:val="en-GB"/>
    </w:rPr>
  </w:style>
  <w:style w:type="table" w:styleId="TableGrid">
    <w:name w:val="Table Grid"/>
    <w:basedOn w:val="TableNormal"/>
    <w:uiPriority w:val="59"/>
    <w:rsid w:val="0056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6FF3"/>
    <w:pPr>
      <w:tabs>
        <w:tab w:val="center" w:pos="4680"/>
        <w:tab w:val="right" w:pos="9360"/>
      </w:tabs>
    </w:pPr>
  </w:style>
  <w:style w:type="character" w:customStyle="1" w:styleId="HeaderChar">
    <w:name w:val="Header Char"/>
    <w:basedOn w:val="DefaultParagraphFont"/>
    <w:link w:val="Header"/>
    <w:uiPriority w:val="99"/>
    <w:rsid w:val="00386FF3"/>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386FF3"/>
    <w:pPr>
      <w:tabs>
        <w:tab w:val="center" w:pos="4680"/>
        <w:tab w:val="right" w:pos="9360"/>
      </w:tabs>
    </w:pPr>
  </w:style>
  <w:style w:type="character" w:customStyle="1" w:styleId="FooterChar">
    <w:name w:val="Footer Char"/>
    <w:basedOn w:val="DefaultParagraphFont"/>
    <w:link w:val="Footer"/>
    <w:uiPriority w:val="99"/>
    <w:rsid w:val="00386FF3"/>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rgt@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4</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34</cp:revision>
  <dcterms:created xsi:type="dcterms:W3CDTF">2023-01-21T21:37:00Z</dcterms:created>
  <dcterms:modified xsi:type="dcterms:W3CDTF">2023-01-30T08:24:00Z</dcterms:modified>
</cp:coreProperties>
</file>