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0DFE1" w14:textId="77777777" w:rsidR="00FB6822" w:rsidRPr="00FB6822" w:rsidRDefault="00FB6822" w:rsidP="00FB6822">
      <w:pPr>
        <w:pStyle w:val="Zv-Titlereport"/>
        <w:jc w:val="left"/>
        <w:rPr>
          <w:bCs/>
          <w:noProof/>
          <w:kern w:val="0"/>
          <w:szCs w:val="24"/>
          <w:lang w:val="en-GB" w:eastAsia="en-US"/>
        </w:rPr>
      </w:pPr>
      <w:bookmarkStart w:id="0" w:name="_Hlk102511773"/>
      <w:bookmarkEnd w:id="0"/>
      <w:r w:rsidRPr="00FB6822">
        <w:rPr>
          <w:bCs/>
          <w:noProof/>
          <w:kern w:val="0"/>
          <w:szCs w:val="24"/>
          <w:lang w:val="en-GB" w:eastAsia="en-US"/>
        </w:rPr>
        <w:t>FUSION ENERGY INDUSTRY: FROM DREAM TO REALITY</w:t>
      </w:r>
    </w:p>
    <w:p w14:paraId="2A7F935C" w14:textId="77777777" w:rsidR="00604C59" w:rsidRPr="00073700" w:rsidRDefault="00604C59" w:rsidP="00073700">
      <w:pPr>
        <w:pStyle w:val="Authornameandaffiliation"/>
        <w:ind w:left="0"/>
        <w:jc w:val="both"/>
        <w:rPr>
          <w:sz w:val="24"/>
          <w:szCs w:val="24"/>
          <w:lang w:val="en-GB"/>
        </w:rPr>
      </w:pPr>
    </w:p>
    <w:p w14:paraId="7B44FDE5" w14:textId="0A183F41" w:rsidR="00604C59" w:rsidRPr="00073700" w:rsidRDefault="00604C59" w:rsidP="00073700">
      <w:pPr>
        <w:pStyle w:val="Authornameandaffiliation"/>
        <w:ind w:left="0"/>
        <w:jc w:val="both"/>
        <w:rPr>
          <w:sz w:val="24"/>
          <w:szCs w:val="24"/>
          <w:lang w:val="en-GB"/>
        </w:rPr>
      </w:pPr>
      <w:r w:rsidRPr="00073700">
        <w:rPr>
          <w:sz w:val="24"/>
          <w:szCs w:val="24"/>
          <w:lang w:val="en-GB"/>
        </w:rPr>
        <w:t xml:space="preserve">A. </w:t>
      </w:r>
      <w:r w:rsidR="00FB6822">
        <w:rPr>
          <w:sz w:val="24"/>
          <w:szCs w:val="24"/>
          <w:lang w:val="en-GB"/>
        </w:rPr>
        <w:t>SOLDATOVA</w:t>
      </w:r>
    </w:p>
    <w:p w14:paraId="20CD335A" w14:textId="13E525D5" w:rsidR="00604C59" w:rsidRPr="00073700" w:rsidRDefault="00FB6822" w:rsidP="00073700">
      <w:pPr>
        <w:pStyle w:val="Authornameandaffiliation"/>
        <w:ind w:left="0"/>
        <w:jc w:val="both"/>
        <w:rPr>
          <w:sz w:val="24"/>
          <w:szCs w:val="24"/>
          <w:lang w:val="en-GB"/>
        </w:rPr>
      </w:pPr>
      <w:r>
        <w:rPr>
          <w:sz w:val="24"/>
          <w:szCs w:val="24"/>
          <w:lang w:val="en-GB"/>
        </w:rPr>
        <w:t>PJSC “NOVATEK”</w:t>
      </w:r>
    </w:p>
    <w:p w14:paraId="7B37D297" w14:textId="2553DC2B" w:rsidR="00604C59" w:rsidRPr="00073700" w:rsidRDefault="00FB6822" w:rsidP="00073700">
      <w:pPr>
        <w:pStyle w:val="Authornameandaffiliation"/>
        <w:ind w:left="0"/>
        <w:jc w:val="both"/>
        <w:rPr>
          <w:sz w:val="24"/>
          <w:szCs w:val="24"/>
          <w:lang w:val="en-GB"/>
        </w:rPr>
      </w:pPr>
      <w:r>
        <w:rPr>
          <w:sz w:val="24"/>
          <w:szCs w:val="24"/>
          <w:lang w:val="en-GB"/>
        </w:rPr>
        <w:t>Moscow</w:t>
      </w:r>
      <w:r w:rsidR="00604C59" w:rsidRPr="00073700">
        <w:rPr>
          <w:sz w:val="24"/>
          <w:szCs w:val="24"/>
          <w:lang w:val="en-GB"/>
        </w:rPr>
        <w:t xml:space="preserve">, </w:t>
      </w:r>
      <w:r>
        <w:rPr>
          <w:sz w:val="24"/>
          <w:szCs w:val="24"/>
          <w:lang w:val="en-GB"/>
        </w:rPr>
        <w:t>Russian Federation</w:t>
      </w:r>
    </w:p>
    <w:p w14:paraId="2796F553" w14:textId="4F8F370C" w:rsidR="00604C59" w:rsidRPr="00073700" w:rsidRDefault="00604C59" w:rsidP="00FB6822">
      <w:pPr>
        <w:overflowPunct/>
        <w:autoSpaceDE/>
        <w:autoSpaceDN/>
        <w:adjustRightInd/>
        <w:textAlignment w:val="auto"/>
        <w:rPr>
          <w:sz w:val="24"/>
          <w:szCs w:val="24"/>
        </w:rPr>
      </w:pPr>
      <w:r w:rsidRPr="00073700">
        <w:rPr>
          <w:sz w:val="24"/>
          <w:szCs w:val="24"/>
        </w:rPr>
        <w:t xml:space="preserve">Email: </w:t>
      </w:r>
      <w:r w:rsidR="00FB6822" w:rsidRPr="00FB6822">
        <w:rPr>
          <w:sz w:val="24"/>
          <w:szCs w:val="24"/>
        </w:rPr>
        <w:t>anna.soldatova@aol.com</w:t>
      </w:r>
    </w:p>
    <w:p w14:paraId="338D162C" w14:textId="77777777" w:rsidR="00CD7ABF" w:rsidRPr="00073700" w:rsidRDefault="00CD7ABF" w:rsidP="00073700">
      <w:pPr>
        <w:pStyle w:val="Authornameandaffiliation"/>
        <w:ind w:left="0"/>
        <w:jc w:val="both"/>
        <w:rPr>
          <w:sz w:val="24"/>
          <w:szCs w:val="24"/>
          <w:lang w:val="en-GB"/>
        </w:rPr>
      </w:pPr>
    </w:p>
    <w:p w14:paraId="59D1DFFC" w14:textId="77777777" w:rsidR="00FB6822" w:rsidRDefault="00FB6822" w:rsidP="00FB6822">
      <w:pPr>
        <w:pStyle w:val="Zv-bodyreport"/>
        <w:spacing w:before="280" w:after="280"/>
        <w:ind w:firstLine="0"/>
        <w:rPr>
          <w:rFonts w:eastAsiaTheme="minorHAnsi"/>
          <w:lang w:val="en-GB" w:eastAsia="ar-SA"/>
        </w:rPr>
      </w:pPr>
      <w:r w:rsidRPr="00FB6822">
        <w:rPr>
          <w:rFonts w:eastAsiaTheme="minorHAnsi"/>
          <w:lang w:val="en-GB" w:eastAsia="ar-SA"/>
        </w:rPr>
        <w:t>The paper arranges and summarizes the conditions of investment attractiveness of the nascent fusion industry. It presents a glance overview of fusion competitiveness among existing power generation facilities and its perspectives in the future. Advances in plasma physics and technology over recent years, coupled with advanced manufacturing and computing capacities now available, were the key drivers for the development of private commercial fusion projects. The Fusion Industry Association is counted for 27 member companies that had risen more than $4 billion in private investment.</w:t>
      </w:r>
    </w:p>
    <w:p w14:paraId="0C90D8FC" w14:textId="2CFD60E4" w:rsidR="00FB6822" w:rsidRDefault="00FB6822" w:rsidP="00FB6822">
      <w:pPr>
        <w:pStyle w:val="Zv-bodyreport"/>
        <w:spacing w:before="280" w:after="280"/>
        <w:ind w:firstLine="0"/>
        <w:rPr>
          <w:rFonts w:eastAsiaTheme="minorHAnsi"/>
          <w:lang w:val="en-GB" w:eastAsia="ar-SA"/>
        </w:rPr>
      </w:pPr>
      <w:r w:rsidRPr="00FB6822">
        <w:rPr>
          <w:rFonts w:eastAsiaTheme="minorHAnsi"/>
          <w:lang w:val="en-GB" w:eastAsia="ar-SA"/>
        </w:rPr>
        <w:t xml:space="preserve">The increase in the world’s population for 25% in the next 30 years – from 7.7 billion currently to 9.7 billion in 2050 according to UN estimation </w:t>
      </w:r>
      <w:r w:rsidR="00531652">
        <w:rPr>
          <w:rFonts w:eastAsiaTheme="minorHAnsi"/>
          <w:lang w:val="en-GB" w:eastAsia="ar-SA"/>
        </w:rPr>
        <w:t>(</w:t>
      </w:r>
      <w:r w:rsidRPr="00FB6822">
        <w:rPr>
          <w:rFonts w:eastAsiaTheme="minorHAnsi"/>
          <w:lang w:val="en-GB" w:eastAsia="ar-SA"/>
        </w:rPr>
        <w:t>1</w:t>
      </w:r>
      <w:r w:rsidR="00531652">
        <w:rPr>
          <w:rFonts w:eastAsiaTheme="minorHAnsi"/>
          <w:lang w:val="en-GB" w:eastAsia="ar-SA"/>
        </w:rPr>
        <w:t>)</w:t>
      </w:r>
      <w:r w:rsidRPr="00FB6822">
        <w:rPr>
          <w:rFonts w:eastAsiaTheme="minorHAnsi"/>
          <w:lang w:val="en-GB" w:eastAsia="ar-SA"/>
        </w:rPr>
        <w:t xml:space="preserve"> – and the corresponding economic growth will lead to a proportional increase in our needs, including for energy. Global electricity demand is expected to roughly double in less than 20 years, rising from 3.5 TW in 2020 to 7 TW in 2040 </w:t>
      </w:r>
      <w:r w:rsidR="00531652">
        <w:rPr>
          <w:rFonts w:eastAsiaTheme="minorHAnsi"/>
          <w:lang w:val="en-GB" w:eastAsia="ar-SA"/>
        </w:rPr>
        <w:t>(</w:t>
      </w:r>
      <w:r w:rsidRPr="00FB6822">
        <w:rPr>
          <w:rFonts w:eastAsiaTheme="minorHAnsi"/>
          <w:lang w:val="en-GB" w:eastAsia="ar-SA"/>
        </w:rPr>
        <w:t>2</w:t>
      </w:r>
      <w:r w:rsidR="00531652">
        <w:rPr>
          <w:rFonts w:eastAsiaTheme="minorHAnsi"/>
          <w:lang w:val="en-GB" w:eastAsia="ar-SA"/>
        </w:rPr>
        <w:t>)</w:t>
      </w:r>
      <w:r w:rsidRPr="00FB6822">
        <w:rPr>
          <w:rFonts w:eastAsiaTheme="minorHAnsi"/>
          <w:lang w:val="en-GB" w:eastAsia="ar-SA"/>
        </w:rPr>
        <w:t>. The growing consumption is a main reason for a multiple increase in greenhouse gases emissions from our vital activities.</w:t>
      </w:r>
    </w:p>
    <w:p w14:paraId="7A190CE8" w14:textId="77777777" w:rsidR="00FB6822" w:rsidRDefault="00FB6822" w:rsidP="00FB6822">
      <w:pPr>
        <w:pStyle w:val="Zv-bodyreport"/>
        <w:spacing w:before="280" w:after="280"/>
        <w:ind w:firstLine="0"/>
        <w:rPr>
          <w:rFonts w:eastAsiaTheme="minorHAnsi"/>
          <w:lang w:val="en-GB" w:eastAsia="ar-SA"/>
        </w:rPr>
      </w:pPr>
      <w:r w:rsidRPr="00FB6822">
        <w:rPr>
          <w:rFonts w:eastAsiaTheme="minorHAnsi"/>
          <w:lang w:val="en-GB" w:eastAsia="ar-SA"/>
        </w:rPr>
        <w:t>These gases heat the planet’s atmosphere and result in global climate change, associated with natural disasters and consequent economic loss. In 2015 under the Paris Agreement, almost all countries in the world had come to the consensus to limit its greenhouse gases emissions to reach the target of 1.5</w:t>
      </w:r>
      <w:r w:rsidRPr="00FB6822">
        <w:rPr>
          <w:rFonts w:eastAsiaTheme="minorHAnsi"/>
          <w:lang w:val="en-GB" w:eastAsia="ar-SA"/>
        </w:rPr>
        <w:sym w:font="Symbol" w:char="F0B0"/>
      </w:r>
      <w:r w:rsidRPr="00FB6822">
        <w:rPr>
          <w:rFonts w:eastAsiaTheme="minorHAnsi"/>
          <w:lang w:val="en-GB" w:eastAsia="ar-SA"/>
        </w:rPr>
        <w:t>C increase in the average global temperature up to 2100. It became a trigger for rising climate action, and most countries had committed to achieve carbon-neutrality in 2050.</w:t>
      </w:r>
    </w:p>
    <w:p w14:paraId="358A80A1" w14:textId="1483933D" w:rsidR="00FB6822" w:rsidRPr="00FB6822" w:rsidRDefault="00FB6822" w:rsidP="00FB6822">
      <w:pPr>
        <w:pStyle w:val="Zv-bodyreport"/>
        <w:spacing w:before="280" w:after="280"/>
        <w:ind w:firstLine="0"/>
        <w:rPr>
          <w:rFonts w:eastAsiaTheme="minorHAnsi"/>
          <w:lang w:val="en-GB" w:eastAsia="ar-SA"/>
        </w:rPr>
      </w:pPr>
      <w:r w:rsidRPr="00FB6822">
        <w:rPr>
          <w:rFonts w:eastAsiaTheme="minorHAnsi"/>
          <w:lang w:val="en-GB" w:eastAsia="ar-SA"/>
        </w:rPr>
        <w:t>Significant growth of EU carbon permits price during 2018-2019 Fig</w:t>
      </w:r>
      <w:r w:rsidR="00531652">
        <w:rPr>
          <w:rFonts w:eastAsiaTheme="minorHAnsi"/>
          <w:lang w:val="en-GB" w:eastAsia="ar-SA"/>
        </w:rPr>
        <w:t>.</w:t>
      </w:r>
      <w:r w:rsidRPr="00FB6822">
        <w:rPr>
          <w:rFonts w:eastAsiaTheme="minorHAnsi"/>
          <w:lang w:val="en-GB" w:eastAsia="ar-SA"/>
        </w:rPr>
        <w:t xml:space="preserve"> 1, eminent worldwide decrease of renewables’ levelized generation costs (LCOE) during the decade starting from 2010 Fig</w:t>
      </w:r>
      <w:r w:rsidR="00531652">
        <w:rPr>
          <w:rFonts w:eastAsiaTheme="minorHAnsi"/>
          <w:lang w:val="en-GB" w:eastAsia="ar-SA"/>
        </w:rPr>
        <w:t>.</w:t>
      </w:r>
      <w:r w:rsidRPr="00FB6822">
        <w:rPr>
          <w:rFonts w:eastAsiaTheme="minorHAnsi"/>
          <w:lang w:val="en-GB" w:eastAsia="ar-SA"/>
        </w:rPr>
        <w:t xml:space="preserve"> 2 and official ceasing of funding for fossil fuels projects by European Investment Bank </w:t>
      </w:r>
      <w:r w:rsidR="00531652">
        <w:rPr>
          <w:rFonts w:eastAsiaTheme="minorHAnsi"/>
          <w:lang w:val="en-GB" w:eastAsia="ar-SA"/>
        </w:rPr>
        <w:t>(</w:t>
      </w:r>
      <w:r w:rsidRPr="00FB6822">
        <w:rPr>
          <w:rFonts w:eastAsiaTheme="minorHAnsi"/>
          <w:lang w:val="en-GB" w:eastAsia="ar-SA"/>
        </w:rPr>
        <w:t>3</w:t>
      </w:r>
      <w:r w:rsidR="00531652">
        <w:rPr>
          <w:rFonts w:eastAsiaTheme="minorHAnsi"/>
          <w:lang w:val="en-GB" w:eastAsia="ar-SA"/>
        </w:rPr>
        <w:t>)</w:t>
      </w:r>
      <w:r w:rsidRPr="00FB6822">
        <w:rPr>
          <w:rFonts w:eastAsiaTheme="minorHAnsi"/>
          <w:lang w:val="en-GB" w:eastAsia="ar-SA"/>
        </w:rPr>
        <w:t xml:space="preserve"> in the end of 2019 were rationales for significant investment shift. </w:t>
      </w:r>
    </w:p>
    <w:p w14:paraId="11F1AA91" w14:textId="25F9F3A3" w:rsidR="00FB6822" w:rsidRDefault="00FB6822" w:rsidP="00FB6822">
      <w:pPr>
        <w:pStyle w:val="Zv-bodyreport"/>
        <w:spacing w:before="280" w:after="280"/>
        <w:ind w:firstLine="0"/>
        <w:rPr>
          <w:rFonts w:eastAsiaTheme="minorHAnsi"/>
          <w:lang w:val="en-US" w:eastAsia="ar-SA"/>
        </w:rPr>
      </w:pPr>
      <w:r w:rsidRPr="00CF4390">
        <w:rPr>
          <w:noProof/>
          <w:lang w:val="en-US"/>
        </w:rPr>
        <w:drawing>
          <wp:inline distT="0" distB="0" distL="0" distR="0" wp14:anchorId="1C83D4E2" wp14:editId="09A1F9D4">
            <wp:extent cx="5732145" cy="177531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1775312"/>
                    </a:xfrm>
                    <a:prstGeom prst="rect">
                      <a:avLst/>
                    </a:prstGeom>
                  </pic:spPr>
                </pic:pic>
              </a:graphicData>
            </a:graphic>
          </wp:inline>
        </w:drawing>
      </w:r>
    </w:p>
    <w:p w14:paraId="2C440522" w14:textId="768023F6" w:rsidR="00FB6822" w:rsidRPr="00531652" w:rsidRDefault="00531652" w:rsidP="00FB6822">
      <w:pPr>
        <w:pStyle w:val="Zv-bodyreport"/>
        <w:rPr>
          <w:i/>
          <w:sz w:val="22"/>
          <w:szCs w:val="22"/>
          <w:lang w:val="en-GB" w:eastAsia="en-US"/>
        </w:rPr>
      </w:pPr>
      <w:r>
        <w:rPr>
          <w:i/>
          <w:sz w:val="22"/>
          <w:szCs w:val="22"/>
          <w:lang w:val="en-GB" w:eastAsia="en-US"/>
        </w:rPr>
        <w:t xml:space="preserve">          </w:t>
      </w:r>
      <w:r w:rsidR="00FB6822" w:rsidRPr="00531652">
        <w:rPr>
          <w:i/>
          <w:sz w:val="22"/>
          <w:szCs w:val="22"/>
          <w:lang w:val="en-GB" w:eastAsia="en-US"/>
        </w:rPr>
        <w:t>F</w:t>
      </w:r>
      <w:r w:rsidRPr="00531652">
        <w:rPr>
          <w:i/>
          <w:sz w:val="22"/>
          <w:szCs w:val="22"/>
          <w:lang w:val="en-GB" w:eastAsia="en-US"/>
        </w:rPr>
        <w:t>IG</w:t>
      </w:r>
      <w:r w:rsidR="00FB6822" w:rsidRPr="00531652">
        <w:rPr>
          <w:i/>
          <w:sz w:val="22"/>
          <w:szCs w:val="22"/>
          <w:lang w:val="en-GB" w:eastAsia="en-US"/>
        </w:rPr>
        <w:t xml:space="preserve"> 1. EU carbon permits price                               </w:t>
      </w:r>
      <w:r>
        <w:rPr>
          <w:i/>
          <w:sz w:val="22"/>
          <w:szCs w:val="22"/>
          <w:lang w:val="en-GB" w:eastAsia="en-US"/>
        </w:rPr>
        <w:t xml:space="preserve">     </w:t>
      </w:r>
      <w:r w:rsidR="00FB6822" w:rsidRPr="00531652">
        <w:rPr>
          <w:i/>
          <w:sz w:val="22"/>
          <w:szCs w:val="22"/>
          <w:lang w:val="en-GB" w:eastAsia="en-US"/>
        </w:rPr>
        <w:t>F</w:t>
      </w:r>
      <w:r w:rsidRPr="00531652">
        <w:rPr>
          <w:i/>
          <w:sz w:val="22"/>
          <w:szCs w:val="22"/>
          <w:lang w:val="en-GB" w:eastAsia="en-US"/>
        </w:rPr>
        <w:t>IG</w:t>
      </w:r>
      <w:r w:rsidR="00FB6822" w:rsidRPr="00531652">
        <w:rPr>
          <w:i/>
          <w:sz w:val="22"/>
          <w:szCs w:val="22"/>
          <w:lang w:val="en-GB" w:eastAsia="en-US"/>
        </w:rPr>
        <w:t xml:space="preserve"> 2. Median LCOE by region </w:t>
      </w:r>
    </w:p>
    <w:p w14:paraId="4885A46F" w14:textId="593780DD" w:rsidR="00FB6822" w:rsidRPr="00531652" w:rsidRDefault="00531652" w:rsidP="00FB6822">
      <w:pPr>
        <w:pStyle w:val="Zv-bodyreport"/>
        <w:rPr>
          <w:i/>
          <w:sz w:val="22"/>
          <w:szCs w:val="22"/>
          <w:lang w:val="en-GB" w:eastAsia="en-US"/>
        </w:rPr>
      </w:pPr>
      <w:r>
        <w:rPr>
          <w:i/>
          <w:sz w:val="22"/>
          <w:szCs w:val="22"/>
          <w:lang w:val="en-GB" w:eastAsia="en-US"/>
        </w:rPr>
        <w:t xml:space="preserve">           </w:t>
      </w:r>
      <w:r w:rsidR="00FB6822" w:rsidRPr="00531652">
        <w:rPr>
          <w:i/>
          <w:sz w:val="22"/>
          <w:szCs w:val="22"/>
          <w:lang w:val="en-GB" w:eastAsia="en-US"/>
        </w:rPr>
        <w:t xml:space="preserve">Source: </w:t>
      </w:r>
      <w:hyperlink r:id="rId12" w:history="1">
        <w:r w:rsidR="00FB6822" w:rsidRPr="00531652">
          <w:rPr>
            <w:sz w:val="22"/>
            <w:szCs w:val="22"/>
            <w:lang w:val="en-GB" w:eastAsia="en-US"/>
          </w:rPr>
          <w:t>tradinge</w:t>
        </w:r>
        <w:r w:rsidR="00FB6822" w:rsidRPr="00531652">
          <w:rPr>
            <w:sz w:val="22"/>
            <w:szCs w:val="22"/>
            <w:lang w:val="en-GB" w:eastAsia="en-US"/>
          </w:rPr>
          <w:t>c</w:t>
        </w:r>
        <w:r w:rsidR="00FB6822" w:rsidRPr="00531652">
          <w:rPr>
            <w:sz w:val="22"/>
            <w:szCs w:val="22"/>
            <w:lang w:val="en-GB" w:eastAsia="en-US"/>
          </w:rPr>
          <w:t>onomics.com</w:t>
        </w:r>
      </w:hyperlink>
      <w:r w:rsidR="00FB6822" w:rsidRPr="00531652">
        <w:rPr>
          <w:i/>
          <w:sz w:val="22"/>
          <w:szCs w:val="22"/>
          <w:lang w:val="en-GB" w:eastAsia="en-US"/>
        </w:rPr>
        <w:t xml:space="preserve">                                     </w:t>
      </w:r>
      <w:r>
        <w:rPr>
          <w:i/>
          <w:sz w:val="22"/>
          <w:szCs w:val="22"/>
          <w:lang w:val="en-GB" w:eastAsia="en-US"/>
        </w:rPr>
        <w:t xml:space="preserve">              </w:t>
      </w:r>
      <w:r w:rsidR="00FB6822" w:rsidRPr="00531652">
        <w:rPr>
          <w:i/>
          <w:sz w:val="22"/>
          <w:szCs w:val="22"/>
          <w:lang w:val="en-GB" w:eastAsia="en-US"/>
        </w:rPr>
        <w:t xml:space="preserve">Source: </w:t>
      </w:r>
      <w:hyperlink r:id="rId13" w:history="1">
        <w:r w:rsidR="00FB6822" w:rsidRPr="00531652">
          <w:rPr>
            <w:sz w:val="22"/>
            <w:szCs w:val="22"/>
            <w:lang w:val="en-GB" w:eastAsia="en-US"/>
          </w:rPr>
          <w:t>IEA</w:t>
        </w:r>
      </w:hyperlink>
    </w:p>
    <w:p w14:paraId="3598199D" w14:textId="4F842CB4" w:rsidR="00D37AFD" w:rsidRPr="00D37AFD" w:rsidRDefault="00D37AFD" w:rsidP="00D37AFD">
      <w:pPr>
        <w:pStyle w:val="Zv-bodyreport"/>
        <w:spacing w:before="280" w:after="280"/>
        <w:ind w:firstLine="0"/>
        <w:rPr>
          <w:rFonts w:eastAsiaTheme="minorHAnsi"/>
          <w:lang w:val="en-GB" w:eastAsia="ar-SA"/>
        </w:rPr>
      </w:pPr>
      <w:r w:rsidRPr="00D37AFD">
        <w:rPr>
          <w:rFonts w:eastAsiaTheme="minorHAnsi"/>
          <w:lang w:val="en-GB" w:eastAsia="ar-SA"/>
        </w:rPr>
        <w:lastRenderedPageBreak/>
        <w:t>Market signals had dictated Power industry majors and big institutional investors to step in Net-zero race and transfer spare funds to renewables, CCUS</w:t>
      </w:r>
      <w:r w:rsidRPr="00D37AFD">
        <w:rPr>
          <w:rFonts w:eastAsiaTheme="minorHAnsi"/>
          <w:lang w:val="en-GB" w:eastAsia="ar-SA"/>
        </w:rPr>
        <w:footnoteReference w:id="2"/>
      </w:r>
      <w:r w:rsidRPr="00D37AFD">
        <w:rPr>
          <w:rFonts w:eastAsiaTheme="minorHAnsi"/>
          <w:lang w:val="en-GB" w:eastAsia="ar-SA"/>
        </w:rPr>
        <w:t xml:space="preserve"> technologies, digital climate solutions, etc. Thus, half of Fortune 500 companies had already made commitments to reduce its carbon emissions </w:t>
      </w:r>
      <w:r>
        <w:rPr>
          <w:rFonts w:eastAsiaTheme="minorHAnsi"/>
          <w:lang w:val="en-GB" w:eastAsia="ar-SA"/>
        </w:rPr>
        <w:t>(</w:t>
      </w:r>
      <w:r w:rsidRPr="00D37AFD">
        <w:rPr>
          <w:rFonts w:eastAsiaTheme="minorHAnsi"/>
          <w:lang w:val="en-GB" w:eastAsia="ar-SA"/>
        </w:rPr>
        <w:t>4</w:t>
      </w:r>
      <w:r>
        <w:rPr>
          <w:rFonts w:eastAsiaTheme="minorHAnsi"/>
          <w:lang w:val="en-GB" w:eastAsia="ar-SA"/>
        </w:rPr>
        <w:t>)</w:t>
      </w:r>
      <w:r w:rsidRPr="00D37AFD">
        <w:rPr>
          <w:rFonts w:eastAsiaTheme="minorHAnsi"/>
          <w:lang w:val="en-GB" w:eastAsia="ar-SA"/>
        </w:rPr>
        <w:t>, set time scales for carbon neutrality, and launch their own climate venture capital initiatives Table 1.</w:t>
      </w:r>
    </w:p>
    <w:p w14:paraId="3C3E1848" w14:textId="0BCC172A" w:rsidR="00D37AFD" w:rsidRDefault="00D37AFD" w:rsidP="00D37AFD">
      <w:pPr>
        <w:pStyle w:val="a1"/>
        <w:spacing w:before="280" w:after="280" w:line="240" w:lineRule="auto"/>
        <w:ind w:firstLine="0"/>
        <w:rPr>
          <w:sz w:val="24"/>
          <w:szCs w:val="24"/>
        </w:rPr>
      </w:pPr>
      <w:r w:rsidRPr="00DF3A79">
        <w:rPr>
          <w:sz w:val="24"/>
          <w:szCs w:val="24"/>
        </w:rPr>
        <w:t>TABLE 1.</w:t>
      </w:r>
      <w:r w:rsidRPr="00DF3A79">
        <w:rPr>
          <w:sz w:val="24"/>
          <w:szCs w:val="24"/>
        </w:rPr>
        <w:tab/>
      </w:r>
      <w:r w:rsidRPr="00D37AFD">
        <w:rPr>
          <w:sz w:val="24"/>
          <w:szCs w:val="24"/>
        </w:rPr>
        <w:t>O</w:t>
      </w:r>
      <w:r w:rsidR="00D946C3" w:rsidRPr="00D37AFD">
        <w:rPr>
          <w:sz w:val="24"/>
          <w:szCs w:val="24"/>
        </w:rPr>
        <w:t>IL</w:t>
      </w:r>
      <w:r w:rsidRPr="00D37AFD">
        <w:rPr>
          <w:sz w:val="24"/>
          <w:szCs w:val="24"/>
        </w:rPr>
        <w:t xml:space="preserve"> </w:t>
      </w:r>
      <w:r w:rsidRPr="00D37AFD">
        <w:rPr>
          <w:sz w:val="24"/>
          <w:szCs w:val="24"/>
        </w:rPr>
        <w:t>&amp; GAS MAJOR COMPANIES’ LOW-CARBON GOALS AND VENTURE CAPITAL INITIATIVES</w:t>
      </w:r>
    </w:p>
    <w:p w14:paraId="5FE7241E" w14:textId="6393B5B4" w:rsidR="00D37AFD" w:rsidRDefault="00D37AFD" w:rsidP="001F4BE7">
      <w:pPr>
        <w:pStyle w:val="a1"/>
        <w:spacing w:line="240" w:lineRule="auto"/>
        <w:rPr>
          <w:sz w:val="24"/>
          <w:szCs w:val="24"/>
        </w:rPr>
      </w:pPr>
    </w:p>
    <w:tbl>
      <w:tblPr>
        <w:tblStyle w:val="af"/>
        <w:tblW w:w="0" w:type="auto"/>
        <w:tblLook w:val="04A0" w:firstRow="1" w:lastRow="0" w:firstColumn="1" w:lastColumn="0" w:noHBand="0" w:noVBand="1"/>
      </w:tblPr>
      <w:tblGrid>
        <w:gridCol w:w="1773"/>
        <w:gridCol w:w="1296"/>
        <w:gridCol w:w="1191"/>
        <w:gridCol w:w="1788"/>
        <w:gridCol w:w="3195"/>
      </w:tblGrid>
      <w:tr w:rsidR="001F4BE7" w14:paraId="3EB4E980" w14:textId="77777777" w:rsidTr="001F4BE7">
        <w:tc>
          <w:tcPr>
            <w:tcW w:w="1773" w:type="dxa"/>
            <w:vAlign w:val="center"/>
          </w:tcPr>
          <w:p w14:paraId="1CB3FABA" w14:textId="77777777" w:rsidR="001F4BE7" w:rsidRPr="001F4BE7" w:rsidRDefault="001F4BE7" w:rsidP="004B33A1">
            <w:pPr>
              <w:pStyle w:val="Zv-bodyreport"/>
              <w:ind w:firstLine="0"/>
              <w:jc w:val="left"/>
              <w:rPr>
                <w:b/>
                <w:bCs/>
                <w:lang w:val="en-GB"/>
              </w:rPr>
            </w:pPr>
            <w:r w:rsidRPr="001F4BE7">
              <w:rPr>
                <w:b/>
                <w:bCs/>
                <w:lang w:val="en-GB"/>
              </w:rPr>
              <w:t>Company</w:t>
            </w:r>
          </w:p>
        </w:tc>
        <w:tc>
          <w:tcPr>
            <w:tcW w:w="1296" w:type="dxa"/>
            <w:vAlign w:val="center"/>
          </w:tcPr>
          <w:p w14:paraId="3FA683B1" w14:textId="77777777" w:rsidR="001F4BE7" w:rsidRPr="001F4BE7" w:rsidRDefault="001F4BE7" w:rsidP="004B33A1">
            <w:pPr>
              <w:pStyle w:val="Zv-bodyreport"/>
              <w:ind w:firstLine="0"/>
              <w:jc w:val="center"/>
              <w:rPr>
                <w:b/>
                <w:bCs/>
                <w:lang w:val="en-US"/>
              </w:rPr>
            </w:pPr>
            <w:r w:rsidRPr="001F4BE7">
              <w:rPr>
                <w:b/>
                <w:bCs/>
                <w:lang w:val="en-US"/>
              </w:rPr>
              <w:t>2030 CO2 reductions</w:t>
            </w:r>
          </w:p>
          <w:p w14:paraId="7216FA22" w14:textId="77777777" w:rsidR="001F4BE7" w:rsidRPr="001F4BE7" w:rsidRDefault="001F4BE7" w:rsidP="004B33A1">
            <w:pPr>
              <w:pStyle w:val="Zv-bodyreport"/>
              <w:ind w:firstLine="0"/>
              <w:jc w:val="center"/>
              <w:rPr>
                <w:b/>
                <w:bCs/>
                <w:lang w:val="en-US"/>
              </w:rPr>
            </w:pPr>
            <w:r w:rsidRPr="001F4BE7">
              <w:rPr>
                <w:b/>
                <w:bCs/>
                <w:lang w:val="en-US"/>
              </w:rPr>
              <w:t>(absolute)</w:t>
            </w:r>
          </w:p>
        </w:tc>
        <w:tc>
          <w:tcPr>
            <w:tcW w:w="1191" w:type="dxa"/>
            <w:vAlign w:val="center"/>
          </w:tcPr>
          <w:p w14:paraId="7686EC93" w14:textId="77777777" w:rsidR="001F4BE7" w:rsidRPr="001F4BE7" w:rsidRDefault="001F4BE7" w:rsidP="004B33A1">
            <w:pPr>
              <w:pStyle w:val="Zv-bodyreport"/>
              <w:ind w:firstLine="0"/>
              <w:jc w:val="center"/>
              <w:rPr>
                <w:b/>
                <w:bCs/>
                <w:lang w:val="en-US"/>
              </w:rPr>
            </w:pPr>
            <w:r w:rsidRPr="001F4BE7">
              <w:rPr>
                <w:b/>
                <w:bCs/>
                <w:lang w:val="en-US"/>
              </w:rPr>
              <w:t>2050 goal</w:t>
            </w:r>
          </w:p>
        </w:tc>
        <w:tc>
          <w:tcPr>
            <w:tcW w:w="1788" w:type="dxa"/>
            <w:vAlign w:val="center"/>
          </w:tcPr>
          <w:p w14:paraId="312EB7EB" w14:textId="77777777" w:rsidR="001F4BE7" w:rsidRPr="001F4BE7" w:rsidRDefault="001F4BE7" w:rsidP="004B33A1">
            <w:pPr>
              <w:pStyle w:val="Zv-bodyreport"/>
              <w:ind w:firstLine="0"/>
              <w:jc w:val="center"/>
              <w:rPr>
                <w:b/>
                <w:bCs/>
                <w:lang w:val="en-US"/>
              </w:rPr>
            </w:pPr>
            <w:r w:rsidRPr="001F4BE7">
              <w:rPr>
                <w:b/>
                <w:bCs/>
                <w:lang w:val="en-US"/>
              </w:rPr>
              <w:t>Venture capital initiative</w:t>
            </w:r>
          </w:p>
        </w:tc>
        <w:tc>
          <w:tcPr>
            <w:tcW w:w="3195" w:type="dxa"/>
            <w:vAlign w:val="center"/>
          </w:tcPr>
          <w:p w14:paraId="6852773A" w14:textId="77777777" w:rsidR="001F4BE7" w:rsidRPr="001F4BE7" w:rsidRDefault="001F4BE7" w:rsidP="004B33A1">
            <w:pPr>
              <w:pStyle w:val="Zv-bodyreport"/>
              <w:ind w:firstLine="0"/>
              <w:jc w:val="left"/>
              <w:rPr>
                <w:b/>
                <w:bCs/>
                <w:lang w:val="en-US"/>
              </w:rPr>
            </w:pPr>
            <w:r w:rsidRPr="001F4BE7">
              <w:rPr>
                <w:b/>
                <w:bCs/>
                <w:lang w:val="en-US"/>
              </w:rPr>
              <w:t>Comments</w:t>
            </w:r>
          </w:p>
        </w:tc>
      </w:tr>
      <w:tr w:rsidR="001F4BE7" w:rsidRPr="00A97F04" w14:paraId="09DAF51D" w14:textId="77777777" w:rsidTr="001F4BE7">
        <w:tc>
          <w:tcPr>
            <w:tcW w:w="1773" w:type="dxa"/>
            <w:vAlign w:val="center"/>
          </w:tcPr>
          <w:p w14:paraId="3D6EAFE3"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Eni</w:t>
            </w:r>
          </w:p>
        </w:tc>
        <w:tc>
          <w:tcPr>
            <w:tcW w:w="1296" w:type="dxa"/>
            <w:vAlign w:val="center"/>
          </w:tcPr>
          <w:p w14:paraId="5A5E6FE1"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25%</w:t>
            </w:r>
          </w:p>
        </w:tc>
        <w:tc>
          <w:tcPr>
            <w:tcW w:w="1191" w:type="dxa"/>
            <w:vAlign w:val="center"/>
          </w:tcPr>
          <w:p w14:paraId="73F6F176"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639A3D31" w14:textId="77777777" w:rsidR="001F4BE7" w:rsidRPr="001F4BE7" w:rsidRDefault="001F4BE7" w:rsidP="004B33A1">
            <w:pPr>
              <w:pStyle w:val="Zv-bodyreport"/>
              <w:ind w:firstLine="0"/>
              <w:jc w:val="center"/>
              <w:rPr>
                <w:sz w:val="22"/>
                <w:szCs w:val="22"/>
                <w:lang w:val="en-GB" w:eastAsia="en-US"/>
              </w:rPr>
            </w:pPr>
            <w:hyperlink r:id="rId14" w:history="1">
              <w:r w:rsidRPr="001F4BE7">
                <w:rPr>
                  <w:sz w:val="22"/>
                  <w:szCs w:val="22"/>
                  <w:lang w:val="en-GB" w:eastAsia="en-US"/>
                </w:rPr>
                <w:t>Eni Next</w:t>
              </w:r>
            </w:hyperlink>
          </w:p>
        </w:tc>
        <w:tc>
          <w:tcPr>
            <w:tcW w:w="3195" w:type="dxa"/>
            <w:vAlign w:val="center"/>
          </w:tcPr>
          <w:p w14:paraId="2F2A6E6C" w14:textId="77777777" w:rsidR="001F4BE7" w:rsidRPr="001F4BE7" w:rsidRDefault="001F4BE7" w:rsidP="004B33A1">
            <w:pPr>
              <w:rPr>
                <w:szCs w:val="22"/>
              </w:rPr>
            </w:pPr>
            <w:r w:rsidRPr="001F4BE7">
              <w:rPr>
                <w:szCs w:val="22"/>
              </w:rPr>
              <w:t>early-stage startups developing solutions for CO2</w:t>
            </w:r>
          </w:p>
        </w:tc>
      </w:tr>
      <w:tr w:rsidR="001F4BE7" w:rsidRPr="00A97F04" w14:paraId="488C8C8F" w14:textId="77777777" w:rsidTr="001F4BE7">
        <w:tc>
          <w:tcPr>
            <w:tcW w:w="1773" w:type="dxa"/>
            <w:vAlign w:val="center"/>
          </w:tcPr>
          <w:p w14:paraId="2FF9FEC7"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TotalEnergies</w:t>
            </w:r>
          </w:p>
        </w:tc>
        <w:tc>
          <w:tcPr>
            <w:tcW w:w="1296" w:type="dxa"/>
            <w:vAlign w:val="center"/>
          </w:tcPr>
          <w:p w14:paraId="24AFD656"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30%</w:t>
            </w:r>
          </w:p>
        </w:tc>
        <w:tc>
          <w:tcPr>
            <w:tcW w:w="1191" w:type="dxa"/>
            <w:vAlign w:val="center"/>
          </w:tcPr>
          <w:p w14:paraId="08BE6402"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0B0F4E23" w14:textId="77777777" w:rsidR="001F4BE7" w:rsidRPr="001F4BE7" w:rsidRDefault="001F4BE7" w:rsidP="004B33A1">
            <w:pPr>
              <w:pStyle w:val="Zv-bodyreport"/>
              <w:ind w:firstLine="0"/>
              <w:jc w:val="center"/>
              <w:rPr>
                <w:sz w:val="22"/>
                <w:szCs w:val="22"/>
                <w:lang w:val="en-GB" w:eastAsia="en-US"/>
              </w:rPr>
            </w:pPr>
            <w:hyperlink r:id="rId15" w:history="1">
              <w:r w:rsidRPr="001F4BE7">
                <w:rPr>
                  <w:sz w:val="22"/>
                  <w:szCs w:val="22"/>
                  <w:lang w:val="en-GB" w:eastAsia="en-US"/>
                </w:rPr>
                <w:t>TotalEnergies Ventures</w:t>
              </w:r>
            </w:hyperlink>
          </w:p>
        </w:tc>
        <w:tc>
          <w:tcPr>
            <w:tcW w:w="3195" w:type="dxa"/>
            <w:vAlign w:val="center"/>
          </w:tcPr>
          <w:p w14:paraId="65354B09" w14:textId="77777777" w:rsidR="001F4BE7" w:rsidRPr="001F4BE7" w:rsidRDefault="001F4BE7" w:rsidP="004B33A1">
            <w:pPr>
              <w:rPr>
                <w:szCs w:val="22"/>
              </w:rPr>
            </w:pPr>
            <w:r w:rsidRPr="001F4BE7">
              <w:rPr>
                <w:szCs w:val="22"/>
              </w:rPr>
              <w:t>funding and fostering high-potential start-ups which will contribute to creating a low carbon future</w:t>
            </w:r>
          </w:p>
        </w:tc>
      </w:tr>
      <w:tr w:rsidR="001F4BE7" w:rsidRPr="00A97F04" w14:paraId="2E69E394" w14:textId="77777777" w:rsidTr="001F4BE7">
        <w:tc>
          <w:tcPr>
            <w:tcW w:w="1773" w:type="dxa"/>
            <w:vAlign w:val="center"/>
          </w:tcPr>
          <w:p w14:paraId="52F92031"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bp</w:t>
            </w:r>
          </w:p>
        </w:tc>
        <w:tc>
          <w:tcPr>
            <w:tcW w:w="1296" w:type="dxa"/>
            <w:vAlign w:val="center"/>
          </w:tcPr>
          <w:p w14:paraId="3A54D443"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30-40%</w:t>
            </w:r>
          </w:p>
        </w:tc>
        <w:tc>
          <w:tcPr>
            <w:tcW w:w="1191" w:type="dxa"/>
            <w:vAlign w:val="center"/>
          </w:tcPr>
          <w:p w14:paraId="635FEDB9"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722FB4CF" w14:textId="77777777" w:rsidR="001F4BE7" w:rsidRPr="001F4BE7" w:rsidRDefault="001F4BE7" w:rsidP="004B33A1">
            <w:pPr>
              <w:pStyle w:val="Zv-bodyreport"/>
              <w:ind w:firstLine="0"/>
              <w:jc w:val="center"/>
              <w:rPr>
                <w:sz w:val="22"/>
                <w:szCs w:val="22"/>
                <w:lang w:val="en-GB" w:eastAsia="en-US"/>
              </w:rPr>
            </w:pPr>
            <w:hyperlink r:id="rId16" w:history="1">
              <w:r w:rsidRPr="001F4BE7">
                <w:rPr>
                  <w:sz w:val="22"/>
                  <w:szCs w:val="22"/>
                  <w:lang w:val="en-GB" w:eastAsia="en-US"/>
                </w:rPr>
                <w:t>bp ventures</w:t>
              </w:r>
            </w:hyperlink>
          </w:p>
        </w:tc>
        <w:tc>
          <w:tcPr>
            <w:tcW w:w="3195" w:type="dxa"/>
            <w:vAlign w:val="center"/>
          </w:tcPr>
          <w:p w14:paraId="2B386AE7" w14:textId="77777777" w:rsidR="001F4BE7" w:rsidRPr="001F4BE7" w:rsidRDefault="001F4BE7" w:rsidP="004B33A1">
            <w:pPr>
              <w:rPr>
                <w:szCs w:val="22"/>
              </w:rPr>
            </w:pPr>
            <w:r w:rsidRPr="001F4BE7">
              <w:rPr>
                <w:szCs w:val="22"/>
              </w:rPr>
              <w:t>private, high growth, game-changing technology companies, who can help deliver bp’s net zero ambition</w:t>
            </w:r>
          </w:p>
        </w:tc>
      </w:tr>
      <w:tr w:rsidR="001F4BE7" w:rsidRPr="00A97F04" w14:paraId="58E5DE78" w14:textId="77777777" w:rsidTr="001F4BE7">
        <w:tc>
          <w:tcPr>
            <w:tcW w:w="1773" w:type="dxa"/>
            <w:vAlign w:val="center"/>
          </w:tcPr>
          <w:p w14:paraId="2F4C7F6E"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Shell</w:t>
            </w:r>
          </w:p>
        </w:tc>
        <w:tc>
          <w:tcPr>
            <w:tcW w:w="1296" w:type="dxa"/>
            <w:vAlign w:val="center"/>
          </w:tcPr>
          <w:p w14:paraId="24C1708F"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w:t>
            </w:r>
          </w:p>
        </w:tc>
        <w:tc>
          <w:tcPr>
            <w:tcW w:w="1191" w:type="dxa"/>
            <w:vAlign w:val="center"/>
          </w:tcPr>
          <w:p w14:paraId="2C07F05F"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479D3EDC" w14:textId="77777777" w:rsidR="001F4BE7" w:rsidRPr="001F4BE7" w:rsidRDefault="001F4BE7" w:rsidP="004B33A1">
            <w:pPr>
              <w:pStyle w:val="Zv-bodyreport"/>
              <w:ind w:firstLine="0"/>
              <w:jc w:val="center"/>
              <w:rPr>
                <w:sz w:val="22"/>
                <w:szCs w:val="22"/>
                <w:lang w:val="en-GB" w:eastAsia="en-US"/>
              </w:rPr>
            </w:pPr>
            <w:hyperlink r:id="rId17" w:history="1">
              <w:r w:rsidRPr="001F4BE7">
                <w:rPr>
                  <w:sz w:val="22"/>
                  <w:szCs w:val="22"/>
                  <w:lang w:val="en-GB" w:eastAsia="en-US"/>
                </w:rPr>
                <w:t>Shell ventures</w:t>
              </w:r>
            </w:hyperlink>
          </w:p>
        </w:tc>
        <w:tc>
          <w:tcPr>
            <w:tcW w:w="3195" w:type="dxa"/>
            <w:vAlign w:val="center"/>
          </w:tcPr>
          <w:p w14:paraId="7681494C" w14:textId="77777777" w:rsidR="001F4BE7" w:rsidRPr="001F4BE7" w:rsidRDefault="001F4BE7" w:rsidP="004B33A1">
            <w:pPr>
              <w:rPr>
                <w:szCs w:val="22"/>
              </w:rPr>
            </w:pPr>
            <w:r w:rsidRPr="001F4BE7">
              <w:rPr>
                <w:szCs w:val="22"/>
              </w:rPr>
              <w:t>renewable energy, new fuels for transport, connected mobility and freight, or digital</w:t>
            </w:r>
          </w:p>
        </w:tc>
      </w:tr>
      <w:tr w:rsidR="001F4BE7" w:rsidRPr="00A97F04" w14:paraId="4ABC31E4" w14:textId="77777777" w:rsidTr="001F4BE7">
        <w:tc>
          <w:tcPr>
            <w:tcW w:w="1773" w:type="dxa"/>
            <w:vAlign w:val="center"/>
          </w:tcPr>
          <w:p w14:paraId="05949729"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Equinor</w:t>
            </w:r>
          </w:p>
        </w:tc>
        <w:tc>
          <w:tcPr>
            <w:tcW w:w="1296" w:type="dxa"/>
            <w:vAlign w:val="center"/>
          </w:tcPr>
          <w:p w14:paraId="3077B326"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w:t>
            </w:r>
          </w:p>
        </w:tc>
        <w:tc>
          <w:tcPr>
            <w:tcW w:w="1191" w:type="dxa"/>
            <w:vAlign w:val="center"/>
          </w:tcPr>
          <w:p w14:paraId="7B207591"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274B47CB" w14:textId="77777777" w:rsidR="001F4BE7" w:rsidRPr="001F4BE7" w:rsidRDefault="001F4BE7" w:rsidP="004B33A1">
            <w:pPr>
              <w:pStyle w:val="Zv-bodyreport"/>
              <w:ind w:firstLine="0"/>
              <w:jc w:val="center"/>
              <w:rPr>
                <w:sz w:val="22"/>
                <w:szCs w:val="22"/>
                <w:lang w:val="en-GB" w:eastAsia="en-US"/>
              </w:rPr>
            </w:pPr>
            <w:hyperlink r:id="rId18" w:history="1">
              <w:r w:rsidRPr="001F4BE7">
                <w:rPr>
                  <w:sz w:val="22"/>
                  <w:szCs w:val="22"/>
                  <w:lang w:val="en-GB" w:eastAsia="en-US"/>
                </w:rPr>
                <w:t>Equinor Ventures</w:t>
              </w:r>
            </w:hyperlink>
          </w:p>
        </w:tc>
        <w:tc>
          <w:tcPr>
            <w:tcW w:w="3195" w:type="dxa"/>
            <w:vAlign w:val="center"/>
          </w:tcPr>
          <w:p w14:paraId="0E0E0400" w14:textId="77777777" w:rsidR="001F4BE7" w:rsidRPr="001F4BE7" w:rsidRDefault="001F4BE7" w:rsidP="004B33A1">
            <w:pPr>
              <w:rPr>
                <w:szCs w:val="22"/>
              </w:rPr>
            </w:pPr>
            <w:r w:rsidRPr="001F4BE7">
              <w:rPr>
                <w:szCs w:val="22"/>
              </w:rPr>
              <w:t>startups can drive change, and transition the energy industry towards a low-carbon future</w:t>
            </w:r>
          </w:p>
        </w:tc>
      </w:tr>
      <w:tr w:rsidR="001F4BE7" w:rsidRPr="00A97F04" w14:paraId="66EC58A1" w14:textId="77777777" w:rsidTr="001F4BE7">
        <w:tc>
          <w:tcPr>
            <w:tcW w:w="1773" w:type="dxa"/>
            <w:vAlign w:val="center"/>
          </w:tcPr>
          <w:p w14:paraId="30D2D304"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Repsol</w:t>
            </w:r>
          </w:p>
        </w:tc>
        <w:tc>
          <w:tcPr>
            <w:tcW w:w="1296" w:type="dxa"/>
            <w:vAlign w:val="center"/>
          </w:tcPr>
          <w:p w14:paraId="22F61C78"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w:t>
            </w:r>
          </w:p>
        </w:tc>
        <w:tc>
          <w:tcPr>
            <w:tcW w:w="1191" w:type="dxa"/>
            <w:vAlign w:val="center"/>
          </w:tcPr>
          <w:p w14:paraId="56AEDD2B"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0D678F98" w14:textId="77777777" w:rsidR="001F4BE7" w:rsidRPr="001F4BE7" w:rsidRDefault="001F4BE7" w:rsidP="004B33A1">
            <w:pPr>
              <w:pStyle w:val="Zv-bodyreport"/>
              <w:ind w:firstLine="0"/>
              <w:jc w:val="center"/>
              <w:rPr>
                <w:sz w:val="22"/>
                <w:szCs w:val="22"/>
                <w:lang w:val="en-GB" w:eastAsia="en-US"/>
              </w:rPr>
            </w:pPr>
            <w:hyperlink r:id="rId19" w:history="1">
              <w:r w:rsidRPr="001F4BE7">
                <w:rPr>
                  <w:sz w:val="22"/>
                  <w:szCs w:val="22"/>
                  <w:lang w:val="en-GB" w:eastAsia="en-US"/>
                </w:rPr>
                <w:t>Repsol Corporate Venturing</w:t>
              </w:r>
            </w:hyperlink>
          </w:p>
        </w:tc>
        <w:tc>
          <w:tcPr>
            <w:tcW w:w="3195" w:type="dxa"/>
            <w:vAlign w:val="center"/>
          </w:tcPr>
          <w:p w14:paraId="58FC6CF2" w14:textId="77777777" w:rsidR="001F4BE7" w:rsidRPr="001F4BE7" w:rsidRDefault="001F4BE7" w:rsidP="004B33A1">
            <w:pPr>
              <w:rPr>
                <w:szCs w:val="22"/>
              </w:rPr>
            </w:pPr>
            <w:r w:rsidRPr="001F4BE7">
              <w:rPr>
                <w:szCs w:val="22"/>
              </w:rPr>
              <w:t>startups that develop innovative technology or businesses to implement them at Repsol</w:t>
            </w:r>
          </w:p>
        </w:tc>
      </w:tr>
      <w:tr w:rsidR="001F4BE7" w:rsidRPr="00A97F04" w14:paraId="78E259C6" w14:textId="77777777" w:rsidTr="001F4BE7">
        <w:tc>
          <w:tcPr>
            <w:tcW w:w="1773" w:type="dxa"/>
            <w:vAlign w:val="center"/>
          </w:tcPr>
          <w:p w14:paraId="1410F4BA"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Occidental</w:t>
            </w:r>
          </w:p>
        </w:tc>
        <w:tc>
          <w:tcPr>
            <w:tcW w:w="1296" w:type="dxa"/>
            <w:vAlign w:val="center"/>
          </w:tcPr>
          <w:p w14:paraId="69894E0C"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w:t>
            </w:r>
          </w:p>
        </w:tc>
        <w:tc>
          <w:tcPr>
            <w:tcW w:w="1191" w:type="dxa"/>
            <w:vAlign w:val="center"/>
          </w:tcPr>
          <w:p w14:paraId="53841154"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0C999DBC" w14:textId="77777777" w:rsidR="001F4BE7" w:rsidRPr="001F4BE7" w:rsidRDefault="001F4BE7" w:rsidP="004B33A1">
            <w:pPr>
              <w:pStyle w:val="Zv-bodyreport"/>
              <w:ind w:firstLine="0"/>
              <w:jc w:val="center"/>
              <w:rPr>
                <w:sz w:val="22"/>
                <w:szCs w:val="22"/>
                <w:lang w:val="en-GB" w:eastAsia="en-US"/>
              </w:rPr>
            </w:pPr>
            <w:hyperlink r:id="rId20" w:history="1">
              <w:r w:rsidRPr="001F4BE7">
                <w:rPr>
                  <w:sz w:val="22"/>
                  <w:szCs w:val="22"/>
                  <w:lang w:val="en-GB" w:eastAsia="en-US"/>
                </w:rPr>
                <w:t>Oxy Low Carbon Ventures</w:t>
              </w:r>
            </w:hyperlink>
          </w:p>
        </w:tc>
        <w:tc>
          <w:tcPr>
            <w:tcW w:w="3195" w:type="dxa"/>
            <w:vAlign w:val="center"/>
          </w:tcPr>
          <w:p w14:paraId="7C44DD15" w14:textId="77777777" w:rsidR="001F4BE7" w:rsidRPr="001F4BE7" w:rsidRDefault="001F4BE7" w:rsidP="004B33A1">
            <w:pPr>
              <w:rPr>
                <w:szCs w:val="22"/>
              </w:rPr>
            </w:pPr>
            <w:r w:rsidRPr="001F4BE7">
              <w:rPr>
                <w:szCs w:val="22"/>
              </w:rPr>
              <w:t>nascent technologies and approaches to help find net-zero fuel solutions</w:t>
            </w:r>
          </w:p>
        </w:tc>
      </w:tr>
      <w:tr w:rsidR="001F4BE7" w14:paraId="424C5CD3" w14:textId="77777777" w:rsidTr="001F4BE7">
        <w:tc>
          <w:tcPr>
            <w:tcW w:w="1773" w:type="dxa"/>
            <w:vAlign w:val="center"/>
          </w:tcPr>
          <w:p w14:paraId="1E9AF78B"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Conoco-Phillips</w:t>
            </w:r>
          </w:p>
        </w:tc>
        <w:tc>
          <w:tcPr>
            <w:tcW w:w="1296" w:type="dxa"/>
            <w:vAlign w:val="center"/>
          </w:tcPr>
          <w:p w14:paraId="3A1757A7"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w:t>
            </w:r>
          </w:p>
        </w:tc>
        <w:tc>
          <w:tcPr>
            <w:tcW w:w="1191" w:type="dxa"/>
            <w:vAlign w:val="center"/>
          </w:tcPr>
          <w:p w14:paraId="2C8A7870"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Net Zero</w:t>
            </w:r>
          </w:p>
        </w:tc>
        <w:tc>
          <w:tcPr>
            <w:tcW w:w="1788" w:type="dxa"/>
            <w:vAlign w:val="center"/>
          </w:tcPr>
          <w:p w14:paraId="573B2133" w14:textId="77777777" w:rsidR="001F4BE7" w:rsidRPr="001F4BE7" w:rsidRDefault="001F4BE7" w:rsidP="004B33A1">
            <w:pPr>
              <w:pStyle w:val="Zv-bodyreport"/>
              <w:ind w:firstLine="0"/>
              <w:jc w:val="center"/>
              <w:rPr>
                <w:sz w:val="22"/>
                <w:szCs w:val="22"/>
                <w:lang w:val="en-GB" w:eastAsia="en-US"/>
              </w:rPr>
            </w:pPr>
            <w:hyperlink r:id="rId21" w:history="1">
              <w:r w:rsidRPr="001F4BE7">
                <w:rPr>
                  <w:sz w:val="22"/>
                  <w:szCs w:val="22"/>
                  <w:lang w:val="en-GB" w:eastAsia="en-US"/>
                </w:rPr>
                <w:t>Technology Ventures</w:t>
              </w:r>
            </w:hyperlink>
          </w:p>
        </w:tc>
        <w:tc>
          <w:tcPr>
            <w:tcW w:w="3195" w:type="dxa"/>
            <w:vAlign w:val="center"/>
          </w:tcPr>
          <w:p w14:paraId="12758A6E" w14:textId="77777777" w:rsidR="001F4BE7" w:rsidRPr="001F4BE7" w:rsidRDefault="001F4BE7" w:rsidP="004B33A1">
            <w:pPr>
              <w:pStyle w:val="Zv-bodyreport"/>
              <w:ind w:firstLine="0"/>
              <w:jc w:val="left"/>
              <w:rPr>
                <w:sz w:val="22"/>
                <w:szCs w:val="22"/>
                <w:lang w:val="en-GB" w:eastAsia="en-US"/>
              </w:rPr>
            </w:pPr>
          </w:p>
        </w:tc>
      </w:tr>
      <w:tr w:rsidR="001F4BE7" w:rsidRPr="00A97F04" w14:paraId="4AF413A9" w14:textId="77777777" w:rsidTr="001F4BE7">
        <w:tc>
          <w:tcPr>
            <w:tcW w:w="1773" w:type="dxa"/>
            <w:vAlign w:val="center"/>
          </w:tcPr>
          <w:p w14:paraId="0691F3B5"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Chevron</w:t>
            </w:r>
          </w:p>
        </w:tc>
        <w:tc>
          <w:tcPr>
            <w:tcW w:w="1296" w:type="dxa"/>
            <w:vAlign w:val="center"/>
          </w:tcPr>
          <w:p w14:paraId="283F0D32"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w:t>
            </w:r>
          </w:p>
        </w:tc>
        <w:tc>
          <w:tcPr>
            <w:tcW w:w="1191" w:type="dxa"/>
            <w:vAlign w:val="center"/>
          </w:tcPr>
          <w:p w14:paraId="15E9F19C" w14:textId="77777777" w:rsidR="001F4BE7" w:rsidRPr="001F4BE7" w:rsidRDefault="001F4BE7" w:rsidP="004B33A1">
            <w:pPr>
              <w:pStyle w:val="Zv-bodyreport"/>
              <w:ind w:firstLine="0"/>
              <w:jc w:val="center"/>
              <w:rPr>
                <w:sz w:val="22"/>
                <w:szCs w:val="22"/>
                <w:lang w:val="en-GB" w:eastAsia="en-US"/>
              </w:rPr>
            </w:pPr>
          </w:p>
        </w:tc>
        <w:tc>
          <w:tcPr>
            <w:tcW w:w="1788" w:type="dxa"/>
            <w:vAlign w:val="center"/>
          </w:tcPr>
          <w:p w14:paraId="4AE6BB39" w14:textId="77777777" w:rsidR="001F4BE7" w:rsidRPr="001F4BE7" w:rsidRDefault="001F4BE7" w:rsidP="004B33A1">
            <w:pPr>
              <w:pStyle w:val="Zv-bodyreport"/>
              <w:ind w:firstLine="0"/>
              <w:jc w:val="center"/>
              <w:rPr>
                <w:sz w:val="22"/>
                <w:szCs w:val="22"/>
                <w:lang w:val="en-GB" w:eastAsia="en-US"/>
              </w:rPr>
            </w:pPr>
            <w:hyperlink r:id="rId22" w:history="1">
              <w:r w:rsidRPr="001F4BE7">
                <w:rPr>
                  <w:sz w:val="22"/>
                  <w:szCs w:val="22"/>
                  <w:lang w:val="en-GB" w:eastAsia="en-US"/>
                </w:rPr>
                <w:t>Chevron Technology Ventures</w:t>
              </w:r>
            </w:hyperlink>
          </w:p>
        </w:tc>
        <w:tc>
          <w:tcPr>
            <w:tcW w:w="3195" w:type="dxa"/>
            <w:vAlign w:val="center"/>
          </w:tcPr>
          <w:p w14:paraId="10A95379" w14:textId="77777777" w:rsidR="001F4BE7" w:rsidRPr="001F4BE7" w:rsidRDefault="001F4BE7" w:rsidP="004B33A1">
            <w:pPr>
              <w:rPr>
                <w:szCs w:val="22"/>
              </w:rPr>
            </w:pPr>
            <w:r w:rsidRPr="001F4BE7">
              <w:rPr>
                <w:szCs w:val="22"/>
              </w:rPr>
              <w:t>ways to produce and deliver affordable, reliable and ever-cleaner energy now and into the future</w:t>
            </w:r>
          </w:p>
        </w:tc>
      </w:tr>
      <w:tr w:rsidR="001F4BE7" w14:paraId="5F8C8EF7" w14:textId="77777777" w:rsidTr="001F4BE7">
        <w:tc>
          <w:tcPr>
            <w:tcW w:w="1773" w:type="dxa"/>
            <w:vAlign w:val="center"/>
          </w:tcPr>
          <w:p w14:paraId="10A317E9" w14:textId="77777777" w:rsidR="001F4BE7" w:rsidRPr="001F4BE7" w:rsidRDefault="001F4BE7" w:rsidP="004B33A1">
            <w:pPr>
              <w:pStyle w:val="Zv-bodyreport"/>
              <w:ind w:firstLine="0"/>
              <w:jc w:val="left"/>
              <w:rPr>
                <w:sz w:val="22"/>
                <w:szCs w:val="22"/>
                <w:lang w:val="en-GB" w:eastAsia="en-US"/>
              </w:rPr>
            </w:pPr>
            <w:r w:rsidRPr="001F4BE7">
              <w:rPr>
                <w:sz w:val="22"/>
                <w:szCs w:val="22"/>
                <w:lang w:val="en-GB" w:eastAsia="en-US"/>
              </w:rPr>
              <w:t>ExxonMobil</w:t>
            </w:r>
          </w:p>
        </w:tc>
        <w:tc>
          <w:tcPr>
            <w:tcW w:w="1296" w:type="dxa"/>
            <w:vAlign w:val="center"/>
          </w:tcPr>
          <w:p w14:paraId="5BD8ED21" w14:textId="77777777" w:rsidR="001F4BE7" w:rsidRPr="001F4BE7" w:rsidRDefault="001F4BE7" w:rsidP="004B33A1">
            <w:pPr>
              <w:pStyle w:val="Zv-bodyreport"/>
              <w:ind w:firstLine="0"/>
              <w:jc w:val="center"/>
              <w:rPr>
                <w:sz w:val="22"/>
                <w:szCs w:val="22"/>
                <w:lang w:val="en-GB" w:eastAsia="en-US"/>
              </w:rPr>
            </w:pPr>
            <w:r w:rsidRPr="001F4BE7">
              <w:rPr>
                <w:sz w:val="22"/>
                <w:szCs w:val="22"/>
                <w:lang w:val="en-GB" w:eastAsia="en-US"/>
              </w:rPr>
              <w:t>-</w:t>
            </w:r>
          </w:p>
        </w:tc>
        <w:tc>
          <w:tcPr>
            <w:tcW w:w="1191" w:type="dxa"/>
            <w:vAlign w:val="center"/>
          </w:tcPr>
          <w:p w14:paraId="2C0E00A1" w14:textId="77777777" w:rsidR="001F4BE7" w:rsidRPr="001F4BE7" w:rsidRDefault="001F4BE7" w:rsidP="004B33A1">
            <w:pPr>
              <w:pStyle w:val="Zv-bodyreport"/>
              <w:ind w:firstLine="0"/>
              <w:jc w:val="center"/>
              <w:rPr>
                <w:sz w:val="22"/>
                <w:szCs w:val="22"/>
                <w:lang w:val="en-GB" w:eastAsia="en-US"/>
              </w:rPr>
            </w:pPr>
          </w:p>
        </w:tc>
        <w:tc>
          <w:tcPr>
            <w:tcW w:w="1788" w:type="dxa"/>
            <w:vAlign w:val="center"/>
          </w:tcPr>
          <w:p w14:paraId="303ADAB5" w14:textId="77777777" w:rsidR="001F4BE7" w:rsidRPr="001F4BE7" w:rsidRDefault="001F4BE7" w:rsidP="004B33A1">
            <w:pPr>
              <w:pStyle w:val="Zv-bodyreport"/>
              <w:ind w:firstLine="0"/>
              <w:jc w:val="center"/>
              <w:rPr>
                <w:sz w:val="22"/>
                <w:szCs w:val="22"/>
                <w:lang w:val="en-GB" w:eastAsia="en-US"/>
              </w:rPr>
            </w:pPr>
            <w:hyperlink r:id="rId23" w:history="1">
              <w:r w:rsidRPr="001F4BE7">
                <w:rPr>
                  <w:sz w:val="22"/>
                  <w:szCs w:val="22"/>
                  <w:lang w:val="en-GB" w:eastAsia="en-US"/>
                </w:rPr>
                <w:t>Exxon Capital Ventures</w:t>
              </w:r>
            </w:hyperlink>
          </w:p>
        </w:tc>
        <w:tc>
          <w:tcPr>
            <w:tcW w:w="3195" w:type="dxa"/>
            <w:vAlign w:val="center"/>
          </w:tcPr>
          <w:p w14:paraId="5CE530C3" w14:textId="77777777" w:rsidR="001F4BE7" w:rsidRPr="001F4BE7" w:rsidRDefault="001F4BE7" w:rsidP="004B33A1">
            <w:pPr>
              <w:pStyle w:val="Zv-bodyreport"/>
              <w:ind w:firstLine="0"/>
              <w:jc w:val="left"/>
              <w:rPr>
                <w:sz w:val="22"/>
                <w:szCs w:val="22"/>
                <w:lang w:val="en-GB" w:eastAsia="en-US"/>
              </w:rPr>
            </w:pPr>
          </w:p>
        </w:tc>
      </w:tr>
    </w:tbl>
    <w:p w14:paraId="1FB0282E" w14:textId="556FFD15" w:rsidR="001F4BE7" w:rsidRPr="001F4BE7" w:rsidRDefault="001F4BE7" w:rsidP="001F4BE7">
      <w:pPr>
        <w:pStyle w:val="Zv-bodyreport"/>
        <w:ind w:firstLine="0"/>
        <w:rPr>
          <w:sz w:val="22"/>
          <w:szCs w:val="22"/>
          <w:lang w:val="en-GB" w:eastAsia="en-US"/>
        </w:rPr>
      </w:pPr>
      <w:r w:rsidRPr="001F4BE7">
        <w:rPr>
          <w:sz w:val="22"/>
          <w:szCs w:val="22"/>
          <w:lang w:val="en-GB" w:eastAsia="en-US"/>
        </w:rPr>
        <w:t xml:space="preserve">Source: </w:t>
      </w:r>
      <w:hyperlink r:id="rId24" w:history="1">
        <w:r w:rsidRPr="001F4BE7">
          <w:rPr>
            <w:sz w:val="22"/>
            <w:szCs w:val="22"/>
            <w:lang w:val="en-GB" w:eastAsia="en-US"/>
          </w:rPr>
          <w:t>energytracker.asia</w:t>
        </w:r>
      </w:hyperlink>
      <w:r w:rsidRPr="001F4BE7">
        <w:rPr>
          <w:sz w:val="22"/>
          <w:szCs w:val="22"/>
          <w:lang w:val="en-GB" w:eastAsia="en-US"/>
        </w:rPr>
        <w:t>, corporate web-sites</w:t>
      </w:r>
    </w:p>
    <w:p w14:paraId="5216D889" w14:textId="77777777" w:rsidR="001F4BE7" w:rsidRPr="001F4BE7" w:rsidRDefault="001F4BE7" w:rsidP="001F4BE7">
      <w:pPr>
        <w:pStyle w:val="Zv-bodyreport"/>
        <w:spacing w:before="280" w:after="280"/>
        <w:ind w:firstLine="0"/>
        <w:rPr>
          <w:rFonts w:eastAsiaTheme="minorHAnsi"/>
          <w:lang w:val="en-GB" w:eastAsia="ar-SA"/>
        </w:rPr>
      </w:pPr>
      <w:r w:rsidRPr="001F4BE7">
        <w:rPr>
          <w:rFonts w:eastAsiaTheme="minorHAnsi"/>
          <w:lang w:val="en-GB" w:eastAsia="ar-SA"/>
        </w:rPr>
        <w:t xml:space="preserve">It’s become obvious, the transformation of the global energy sector from fossil-based systems of energy production and consumption to renewable energy sources like wind and solar, as well as lithium-ion batteries. The increasing penetration of renewables into the energy supply mix by electrification and improvements in energy storage is a key driver of the energy transition. However, to ensure system reliability, intermittent renewables need to be </w:t>
      </w:r>
      <w:r w:rsidRPr="001F4BE7">
        <w:rPr>
          <w:rFonts w:eastAsiaTheme="minorHAnsi"/>
          <w:lang w:val="en-GB" w:eastAsia="ar-SA"/>
        </w:rPr>
        <w:lastRenderedPageBreak/>
        <w:t>complemented by technologies which can provide power when the wind is not blowing, or the Sun doesn’t shine. Controlled thermonuclear fusion (CTF) could provide sustainable, low-carbon, baseload power to satisfy future growing demand for energy.</w:t>
      </w:r>
    </w:p>
    <w:p w14:paraId="517DE9CB" w14:textId="77777777" w:rsidR="001F4BE7" w:rsidRPr="001F4BE7" w:rsidRDefault="001F4BE7" w:rsidP="001F4BE7">
      <w:pPr>
        <w:pStyle w:val="Zv-bodyreport"/>
        <w:spacing w:before="280" w:after="280"/>
        <w:ind w:firstLine="0"/>
        <w:rPr>
          <w:rFonts w:eastAsiaTheme="minorHAnsi"/>
          <w:lang w:val="en-GB" w:eastAsia="ar-SA"/>
        </w:rPr>
      </w:pPr>
      <w:r w:rsidRPr="001F4BE7">
        <w:rPr>
          <w:rFonts w:eastAsiaTheme="minorHAnsi"/>
          <w:lang w:val="en-GB" w:eastAsia="ar-SA"/>
        </w:rPr>
        <w:t xml:space="preserve">To commercialize CTF and build a completely new Fusion industry, it’s crucial to supply funds for technology development right now. Capitalists’ decisions, whether to invest money, require simple explanations of fusion energy basic principles, precise evaluation of market size and clarifying its perspectives among the global Power landscape. </w:t>
      </w:r>
    </w:p>
    <w:p w14:paraId="667F0269" w14:textId="7C99D913" w:rsidR="001F4BE7" w:rsidRPr="001F4BE7" w:rsidRDefault="001F4BE7" w:rsidP="001F4BE7">
      <w:pPr>
        <w:pStyle w:val="Zv-bodyreport"/>
        <w:spacing w:before="280" w:after="280"/>
        <w:ind w:firstLine="0"/>
        <w:rPr>
          <w:rFonts w:eastAsiaTheme="minorHAnsi"/>
          <w:lang w:val="en-GB" w:eastAsia="ar-SA"/>
        </w:rPr>
      </w:pPr>
      <w:r w:rsidRPr="001F4BE7">
        <w:rPr>
          <w:rFonts w:eastAsiaTheme="minorHAnsi"/>
          <w:lang w:val="en-GB" w:eastAsia="ar-SA"/>
        </w:rPr>
        <w:t xml:space="preserve">Starting with the demand side, let’s try to define a possible range of fusion market volume. The recent IEA World Energy Outlook </w:t>
      </w:r>
      <w:r>
        <w:rPr>
          <w:rFonts w:eastAsiaTheme="minorHAnsi"/>
          <w:lang w:val="en-GB" w:eastAsia="ar-SA"/>
        </w:rPr>
        <w:t>(</w:t>
      </w:r>
      <w:r w:rsidRPr="001F4BE7">
        <w:rPr>
          <w:rFonts w:eastAsiaTheme="minorHAnsi"/>
          <w:lang w:val="en-GB" w:eastAsia="ar-SA"/>
        </w:rPr>
        <w:t>5</w:t>
      </w:r>
      <w:r>
        <w:rPr>
          <w:rFonts w:eastAsiaTheme="minorHAnsi"/>
          <w:lang w:val="en-GB" w:eastAsia="ar-SA"/>
        </w:rPr>
        <w:t>)</w:t>
      </w:r>
      <w:r w:rsidRPr="001F4BE7">
        <w:rPr>
          <w:rFonts w:eastAsiaTheme="minorHAnsi"/>
          <w:lang w:val="en-GB" w:eastAsia="ar-SA"/>
        </w:rPr>
        <w:t xml:space="preserve"> predicts, we’ll need 0.8-1.5 GW</w:t>
      </w:r>
      <w:r w:rsidRPr="001F4BE7">
        <w:rPr>
          <w:rFonts w:eastAsiaTheme="minorHAnsi"/>
          <w:lang w:val="en-GB" w:eastAsia="ar-SA"/>
        </w:rPr>
        <w:footnoteReference w:id="3"/>
      </w:r>
      <w:r w:rsidRPr="001F4BE7">
        <w:rPr>
          <w:rFonts w:eastAsiaTheme="minorHAnsi"/>
          <w:lang w:val="en-GB" w:eastAsia="ar-SA"/>
        </w:rPr>
        <w:t xml:space="preserve"> installed capacity of other low-carbon sources in the nearest 20 years Fig</w:t>
      </w:r>
      <w:r>
        <w:rPr>
          <w:rFonts w:eastAsiaTheme="minorHAnsi"/>
          <w:lang w:val="en-GB" w:eastAsia="ar-SA"/>
        </w:rPr>
        <w:t>.</w:t>
      </w:r>
      <w:r w:rsidRPr="001F4BE7">
        <w:rPr>
          <w:rFonts w:eastAsiaTheme="minorHAnsi"/>
          <w:lang w:val="en-GB" w:eastAsia="ar-SA"/>
        </w:rPr>
        <w:t xml:space="preserve"> 3. Therefore, a niche for CTF could be around 5-8% of the entire electricity generation market in 2040. With the global Power market being almost $3.5 trillions in 2021 </w:t>
      </w:r>
      <w:r>
        <w:rPr>
          <w:rFonts w:eastAsiaTheme="minorHAnsi"/>
          <w:lang w:val="en-GB" w:eastAsia="ar-SA"/>
        </w:rPr>
        <w:t>(</w:t>
      </w:r>
      <w:r w:rsidRPr="001F4BE7">
        <w:rPr>
          <w:rFonts w:eastAsiaTheme="minorHAnsi"/>
          <w:lang w:val="en-GB" w:eastAsia="ar-SA"/>
        </w:rPr>
        <w:t>6</w:t>
      </w:r>
      <w:r>
        <w:rPr>
          <w:rFonts w:eastAsiaTheme="minorHAnsi"/>
          <w:lang w:val="en-GB" w:eastAsia="ar-SA"/>
        </w:rPr>
        <w:t>)</w:t>
      </w:r>
      <w:r w:rsidRPr="001F4BE7">
        <w:rPr>
          <w:rFonts w:eastAsiaTheme="minorHAnsi"/>
          <w:lang w:val="en-GB" w:eastAsia="ar-SA"/>
        </w:rPr>
        <w:t xml:space="preserve">, expected to double in 20 years, the floor estimation of fusion market size would be $0.4-0.6 trillion in 2040. </w:t>
      </w:r>
    </w:p>
    <w:p w14:paraId="010481D8" w14:textId="7B3F4198" w:rsidR="00FB6822" w:rsidRDefault="001F4BE7" w:rsidP="001F4BE7">
      <w:pPr>
        <w:pStyle w:val="Zv-bodyreport"/>
        <w:spacing w:before="280" w:after="280"/>
        <w:ind w:firstLine="0"/>
        <w:jc w:val="center"/>
        <w:rPr>
          <w:rFonts w:eastAsiaTheme="minorHAnsi"/>
          <w:lang w:val="en-US" w:eastAsia="ar-SA"/>
        </w:rPr>
      </w:pPr>
      <w:r w:rsidRPr="00EF4EA2">
        <w:rPr>
          <w:noProof/>
          <w:lang w:val="en-US"/>
        </w:rPr>
        <w:drawing>
          <wp:inline distT="0" distB="0" distL="0" distR="0" wp14:anchorId="4B163512" wp14:editId="2DFEE1D6">
            <wp:extent cx="3668110" cy="29491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3945" cy="2953870"/>
                    </a:xfrm>
                    <a:prstGeom prst="rect">
                      <a:avLst/>
                    </a:prstGeom>
                  </pic:spPr>
                </pic:pic>
              </a:graphicData>
            </a:graphic>
          </wp:inline>
        </w:drawing>
      </w:r>
    </w:p>
    <w:p w14:paraId="594C2042" w14:textId="77777777" w:rsidR="00D03338" w:rsidRDefault="001F4BE7" w:rsidP="001F4BE7">
      <w:pPr>
        <w:pStyle w:val="Zv-bodyreport"/>
        <w:ind w:firstLine="0"/>
        <w:jc w:val="center"/>
        <w:rPr>
          <w:i/>
          <w:sz w:val="22"/>
          <w:szCs w:val="22"/>
          <w:lang w:val="en-GB" w:eastAsia="en-US"/>
        </w:rPr>
      </w:pPr>
      <w:r w:rsidRPr="00531652">
        <w:rPr>
          <w:i/>
          <w:sz w:val="22"/>
          <w:szCs w:val="22"/>
          <w:lang w:val="en-GB" w:eastAsia="en-US"/>
        </w:rPr>
        <w:t xml:space="preserve">FIG </w:t>
      </w:r>
      <w:r>
        <w:rPr>
          <w:i/>
          <w:sz w:val="22"/>
          <w:szCs w:val="22"/>
          <w:lang w:val="en-GB" w:eastAsia="en-US"/>
        </w:rPr>
        <w:t>3</w:t>
      </w:r>
      <w:r w:rsidRPr="00531652">
        <w:rPr>
          <w:i/>
          <w:sz w:val="22"/>
          <w:szCs w:val="22"/>
          <w:lang w:val="en-GB" w:eastAsia="en-US"/>
        </w:rPr>
        <w:t xml:space="preserve">. </w:t>
      </w:r>
      <w:r w:rsidRPr="001F4BE7">
        <w:rPr>
          <w:i/>
          <w:sz w:val="22"/>
          <w:szCs w:val="22"/>
          <w:lang w:val="en-GB" w:eastAsia="en-US"/>
        </w:rPr>
        <w:t>Actual and forecasted electricity generation by fuel</w:t>
      </w:r>
    </w:p>
    <w:p w14:paraId="44C44F84" w14:textId="50125273" w:rsidR="001F4BE7" w:rsidRPr="001F4BE7" w:rsidRDefault="001F4BE7" w:rsidP="001F4BE7">
      <w:pPr>
        <w:pStyle w:val="Zv-bodyreport"/>
        <w:ind w:firstLine="0"/>
        <w:jc w:val="center"/>
        <w:rPr>
          <w:i/>
          <w:sz w:val="22"/>
          <w:szCs w:val="22"/>
          <w:lang w:val="en-GB" w:eastAsia="en-US"/>
        </w:rPr>
      </w:pPr>
      <w:r w:rsidRPr="00531652">
        <w:rPr>
          <w:i/>
          <w:sz w:val="22"/>
          <w:szCs w:val="22"/>
          <w:lang w:val="en-GB" w:eastAsia="en-US"/>
        </w:rPr>
        <w:t>Source:</w:t>
      </w:r>
      <w:r w:rsidR="00D03338">
        <w:rPr>
          <w:i/>
          <w:sz w:val="22"/>
          <w:szCs w:val="22"/>
          <w:lang w:val="en-GB" w:eastAsia="en-US"/>
        </w:rPr>
        <w:t xml:space="preserve"> </w:t>
      </w:r>
      <w:r w:rsidR="00D03338" w:rsidRPr="00D03338">
        <w:rPr>
          <w:i/>
          <w:sz w:val="22"/>
          <w:szCs w:val="22"/>
          <w:lang w:val="en-GB" w:eastAsia="en-US"/>
        </w:rPr>
        <w:t xml:space="preserve">IEA </w:t>
      </w:r>
      <w:r w:rsidRPr="00531652">
        <w:rPr>
          <w:i/>
          <w:sz w:val="22"/>
          <w:szCs w:val="22"/>
          <w:lang w:val="en-GB" w:eastAsia="en-US"/>
        </w:rPr>
        <w:t xml:space="preserve">                                </w:t>
      </w:r>
      <w:r>
        <w:rPr>
          <w:i/>
          <w:sz w:val="22"/>
          <w:szCs w:val="22"/>
          <w:lang w:val="en-GB" w:eastAsia="en-US"/>
        </w:rPr>
        <w:t xml:space="preserve">              </w:t>
      </w:r>
    </w:p>
    <w:p w14:paraId="15589A94" w14:textId="59C40509" w:rsidR="00D946C3" w:rsidRPr="00D946C3" w:rsidRDefault="00D946C3" w:rsidP="00D946C3">
      <w:pPr>
        <w:pStyle w:val="Zv-bodyreport"/>
        <w:spacing w:before="280" w:after="280"/>
        <w:ind w:firstLine="0"/>
        <w:rPr>
          <w:rFonts w:eastAsiaTheme="minorHAnsi"/>
          <w:lang w:val="en-GB" w:eastAsia="ar-SA"/>
        </w:rPr>
      </w:pPr>
      <w:r w:rsidRPr="00D946C3">
        <w:rPr>
          <w:rFonts w:eastAsiaTheme="minorHAnsi"/>
          <w:lang w:val="en-GB" w:eastAsia="ar-SA"/>
        </w:rPr>
        <w:t xml:space="preserve">Bloomberg’s assessment </w:t>
      </w:r>
      <w:r>
        <w:rPr>
          <w:rFonts w:eastAsiaTheme="minorHAnsi"/>
          <w:lang w:val="en-GB" w:eastAsia="ar-SA"/>
        </w:rPr>
        <w:t>(</w:t>
      </w:r>
      <w:r w:rsidRPr="00D946C3">
        <w:rPr>
          <w:rFonts w:eastAsiaTheme="minorHAnsi"/>
          <w:lang w:val="en-GB" w:eastAsia="ar-SA"/>
        </w:rPr>
        <w:t>7</w:t>
      </w:r>
      <w:r>
        <w:rPr>
          <w:rFonts w:eastAsiaTheme="minorHAnsi"/>
          <w:lang w:val="en-GB" w:eastAsia="ar-SA"/>
        </w:rPr>
        <w:t>)</w:t>
      </w:r>
      <w:r w:rsidRPr="00D946C3">
        <w:rPr>
          <w:rFonts w:eastAsiaTheme="minorHAnsi"/>
          <w:lang w:val="en-GB" w:eastAsia="ar-SA"/>
        </w:rPr>
        <w:t xml:space="preserve"> shows that, global energy-related emissions need to drop 75% below 2019 levels by 2040 to reach net-zero in 2050. As CTF is a low-carbon energy source, there is a room for almost 25 Gt CO2 emissions reduction per year in the nearest future Fig</w:t>
      </w:r>
      <w:r>
        <w:rPr>
          <w:rFonts w:eastAsiaTheme="minorHAnsi"/>
          <w:lang w:val="en-GB" w:eastAsia="ar-SA"/>
        </w:rPr>
        <w:t>.</w:t>
      </w:r>
      <w:r w:rsidRPr="00D946C3">
        <w:rPr>
          <w:rFonts w:eastAsiaTheme="minorHAnsi"/>
          <w:lang w:val="en-GB" w:eastAsia="ar-SA"/>
        </w:rPr>
        <w:t xml:space="preserve"> 4. With current EU emissions permits price $89 per t and the current level of cost for CCUS varying $20-200 per t </w:t>
      </w:r>
      <w:r>
        <w:rPr>
          <w:rFonts w:eastAsiaTheme="minorHAnsi"/>
          <w:lang w:val="en-GB" w:eastAsia="ar-SA"/>
        </w:rPr>
        <w:t>(</w:t>
      </w:r>
      <w:r w:rsidRPr="00D946C3">
        <w:rPr>
          <w:rFonts w:eastAsiaTheme="minorHAnsi"/>
          <w:lang w:val="en-GB" w:eastAsia="ar-SA"/>
        </w:rPr>
        <w:t>8</w:t>
      </w:r>
      <w:r>
        <w:rPr>
          <w:rFonts w:eastAsiaTheme="minorHAnsi"/>
          <w:lang w:val="en-GB" w:eastAsia="ar-SA"/>
        </w:rPr>
        <w:t>)</w:t>
      </w:r>
      <w:r w:rsidRPr="00D946C3">
        <w:rPr>
          <w:rFonts w:eastAsiaTheme="minorHAnsi"/>
          <w:lang w:val="en-GB" w:eastAsia="ar-SA"/>
        </w:rPr>
        <w:t xml:space="preserve">, the ceiling estimation of fusion market size would be $2.2-5 trillion in 2040. </w:t>
      </w:r>
    </w:p>
    <w:p w14:paraId="3ED6B296" w14:textId="1E21A4AC" w:rsidR="00D946C3" w:rsidRPr="00D946C3" w:rsidRDefault="00D946C3" w:rsidP="00D946C3">
      <w:pPr>
        <w:overflowPunct/>
        <w:autoSpaceDE/>
        <w:autoSpaceDN/>
        <w:adjustRightInd/>
        <w:spacing w:before="280" w:after="280"/>
        <w:jc w:val="center"/>
        <w:textAlignment w:val="auto"/>
        <w:rPr>
          <w:rFonts w:eastAsiaTheme="minorHAnsi"/>
          <w:sz w:val="24"/>
          <w:szCs w:val="24"/>
          <w:lang w:val="en-US" w:eastAsia="ar-SA"/>
        </w:rPr>
      </w:pPr>
      <w:r w:rsidRPr="002D3BB1">
        <w:rPr>
          <w:noProof/>
          <w:lang w:val="en-US"/>
        </w:rPr>
        <w:lastRenderedPageBreak/>
        <w:drawing>
          <wp:inline distT="0" distB="0" distL="0" distR="0" wp14:anchorId="0BB70D97" wp14:editId="089108B0">
            <wp:extent cx="5726973" cy="26275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359" cy="2630975"/>
                    </a:xfrm>
                    <a:prstGeom prst="rect">
                      <a:avLst/>
                    </a:prstGeom>
                  </pic:spPr>
                </pic:pic>
              </a:graphicData>
            </a:graphic>
          </wp:inline>
        </w:drawing>
      </w:r>
    </w:p>
    <w:p w14:paraId="7FE41E88" w14:textId="507F73A3" w:rsidR="00D946C3" w:rsidRDefault="00D946C3" w:rsidP="00D946C3">
      <w:pPr>
        <w:pStyle w:val="Zv-bodyreport"/>
        <w:ind w:firstLine="0"/>
        <w:jc w:val="center"/>
        <w:rPr>
          <w:i/>
          <w:sz w:val="22"/>
          <w:szCs w:val="22"/>
          <w:lang w:val="en-GB" w:eastAsia="en-US"/>
        </w:rPr>
      </w:pPr>
      <w:r w:rsidRPr="00531652">
        <w:rPr>
          <w:i/>
          <w:sz w:val="22"/>
          <w:szCs w:val="22"/>
          <w:lang w:val="en-GB" w:eastAsia="en-US"/>
        </w:rPr>
        <w:t xml:space="preserve">FIG </w:t>
      </w:r>
      <w:r>
        <w:rPr>
          <w:i/>
          <w:sz w:val="22"/>
          <w:szCs w:val="22"/>
          <w:lang w:val="en-GB" w:eastAsia="en-US"/>
        </w:rPr>
        <w:t>4</w:t>
      </w:r>
      <w:r w:rsidRPr="00531652">
        <w:rPr>
          <w:i/>
          <w:sz w:val="22"/>
          <w:szCs w:val="22"/>
          <w:lang w:val="en-GB" w:eastAsia="en-US"/>
        </w:rPr>
        <w:t xml:space="preserve">. </w:t>
      </w:r>
      <w:r w:rsidRPr="00D946C3">
        <w:rPr>
          <w:i/>
          <w:sz w:val="22"/>
          <w:szCs w:val="22"/>
          <w:lang w:val="en-GB" w:eastAsia="en-US"/>
        </w:rPr>
        <w:t>Global energy-related CO2 emissions, 1990-2021</w:t>
      </w:r>
    </w:p>
    <w:p w14:paraId="6D7453BF" w14:textId="5E6E57E4" w:rsidR="00D946C3" w:rsidRPr="001F4BE7" w:rsidRDefault="00D946C3" w:rsidP="00D946C3">
      <w:pPr>
        <w:pStyle w:val="Zv-bodyreport"/>
        <w:ind w:firstLine="0"/>
        <w:jc w:val="center"/>
        <w:rPr>
          <w:i/>
          <w:sz w:val="22"/>
          <w:szCs w:val="22"/>
          <w:lang w:val="en-GB" w:eastAsia="en-US"/>
        </w:rPr>
      </w:pPr>
      <w:r w:rsidRPr="00531652">
        <w:rPr>
          <w:i/>
          <w:sz w:val="22"/>
          <w:szCs w:val="22"/>
          <w:lang w:val="en-GB" w:eastAsia="en-US"/>
        </w:rPr>
        <w:t>Source:</w:t>
      </w:r>
      <w:r>
        <w:rPr>
          <w:i/>
          <w:sz w:val="22"/>
          <w:szCs w:val="22"/>
          <w:lang w:val="en-GB" w:eastAsia="en-US"/>
        </w:rPr>
        <w:t xml:space="preserve"> </w:t>
      </w:r>
      <w:r w:rsidRPr="00D946C3">
        <w:rPr>
          <w:i/>
          <w:sz w:val="22"/>
          <w:szCs w:val="22"/>
          <w:lang w:val="en-GB" w:eastAsia="en-US"/>
        </w:rPr>
        <w:t xml:space="preserve">IEA </w:t>
      </w:r>
      <w:r w:rsidRPr="00531652">
        <w:rPr>
          <w:i/>
          <w:sz w:val="22"/>
          <w:szCs w:val="22"/>
          <w:lang w:val="en-GB" w:eastAsia="en-US"/>
        </w:rPr>
        <w:t xml:space="preserve">                                </w:t>
      </w:r>
      <w:r>
        <w:rPr>
          <w:i/>
          <w:sz w:val="22"/>
          <w:szCs w:val="22"/>
          <w:lang w:val="en-GB" w:eastAsia="en-US"/>
        </w:rPr>
        <w:t xml:space="preserve">              </w:t>
      </w:r>
    </w:p>
    <w:p w14:paraId="063BA0C2" w14:textId="04356451" w:rsidR="00D946C3" w:rsidRDefault="00D946C3" w:rsidP="00D946C3">
      <w:pPr>
        <w:pStyle w:val="Zv-bodyreport"/>
        <w:spacing w:before="280" w:after="280"/>
        <w:ind w:firstLine="0"/>
        <w:rPr>
          <w:lang w:val="en-US"/>
        </w:rPr>
      </w:pPr>
      <w:r>
        <w:rPr>
          <w:lang w:val="en-US"/>
        </w:rPr>
        <w:t>So far, the development of fusion technologies was mainly funded by governments. Today, 25 countries officially have national fusion R&amp;D programs, involving over 70 universities and laboratories worldwide. According to IAEA FUSIS system</w:t>
      </w:r>
      <w:r>
        <w:rPr>
          <w:lang w:val="en-GB"/>
        </w:rPr>
        <w:t xml:space="preserve"> </w:t>
      </w:r>
      <w:r>
        <w:rPr>
          <w:lang w:val="en-GB"/>
        </w:rPr>
        <w:t>(</w:t>
      </w:r>
      <w:r>
        <w:rPr>
          <w:lang w:val="en-GB"/>
        </w:rPr>
        <w:t>9</w:t>
      </w:r>
      <w:r>
        <w:rPr>
          <w:lang w:val="en-GB"/>
        </w:rPr>
        <w:t>)</w:t>
      </w:r>
      <w:r>
        <w:rPr>
          <w:lang w:val="en-US"/>
        </w:rPr>
        <w:t xml:space="preserve"> there are 107 fusion reactors publicly financed, including leading international project – ITER. </w:t>
      </w:r>
      <w:r w:rsidRPr="00F23B8F">
        <w:rPr>
          <w:lang w:val="en-US"/>
        </w:rPr>
        <w:t xml:space="preserve">ITER </w:t>
      </w:r>
      <w:r>
        <w:rPr>
          <w:lang w:val="en-US"/>
        </w:rPr>
        <w:t xml:space="preserve">is an </w:t>
      </w:r>
      <w:r w:rsidRPr="00F23B8F">
        <w:rPr>
          <w:lang w:val="en-US"/>
        </w:rPr>
        <w:t>experimental fusion reactor of magnetic confinement (tokamak) being constructed in southern France and supported by 35 nations</w:t>
      </w:r>
      <w:r>
        <w:rPr>
          <w:lang w:val="en-US"/>
        </w:rPr>
        <w:t>.</w:t>
      </w:r>
    </w:p>
    <w:p w14:paraId="54BA4FE4" w14:textId="6C7B899D" w:rsidR="00D946C3" w:rsidRDefault="00D946C3" w:rsidP="00D946C3">
      <w:pPr>
        <w:pStyle w:val="Zv-bodyreport"/>
        <w:spacing w:before="280" w:after="280"/>
        <w:ind w:firstLine="0"/>
        <w:rPr>
          <w:lang w:val="en-US"/>
        </w:rPr>
      </w:pPr>
      <w:r>
        <w:rPr>
          <w:noProof/>
        </w:rPr>
        <mc:AlternateContent>
          <mc:Choice Requires="wps">
            <w:drawing>
              <wp:anchor distT="0" distB="0" distL="114300" distR="114300" simplePos="0" relativeHeight="251659264" behindDoc="0" locked="0" layoutInCell="1" allowOverlap="1" wp14:anchorId="780AE21C" wp14:editId="3EE38560">
                <wp:simplePos x="0" y="0"/>
                <wp:positionH relativeFrom="column">
                  <wp:posOffset>2747587</wp:posOffset>
                </wp:positionH>
                <wp:positionV relativeFrom="paragraph">
                  <wp:posOffset>1220470</wp:posOffset>
                </wp:positionV>
                <wp:extent cx="1032510" cy="202565"/>
                <wp:effectExtent l="0" t="0" r="0" b="635"/>
                <wp:wrapNone/>
                <wp:docPr id="7" name="Надпись 7"/>
                <wp:cNvGraphicFramePr/>
                <a:graphic xmlns:a="http://schemas.openxmlformats.org/drawingml/2006/main">
                  <a:graphicData uri="http://schemas.microsoft.com/office/word/2010/wordprocessingShape">
                    <wps:wsp>
                      <wps:cNvSpPr txBox="1"/>
                      <wps:spPr>
                        <a:xfrm>
                          <a:off x="0" y="0"/>
                          <a:ext cx="1032510" cy="202565"/>
                        </a:xfrm>
                        <a:prstGeom prst="rect">
                          <a:avLst/>
                        </a:prstGeom>
                        <a:solidFill>
                          <a:schemeClr val="lt1"/>
                        </a:solidFill>
                        <a:ln w="6350">
                          <a:noFill/>
                        </a:ln>
                      </wps:spPr>
                      <wps:txbx>
                        <w:txbxContent>
                          <w:p w14:paraId="1B77181E" w14:textId="77777777" w:rsidR="00D946C3" w:rsidRPr="00F81A52" w:rsidRDefault="00D946C3" w:rsidP="00D946C3">
                            <w:pPr>
                              <w:jc w:val="center"/>
                              <w:rPr>
                                <w:sz w:val="16"/>
                                <w:szCs w:val="16"/>
                              </w:rPr>
                            </w:pPr>
                            <w:r w:rsidRPr="00F81A52">
                              <w:rPr>
                                <w:sz w:val="16"/>
                                <w:szCs w:val="16"/>
                              </w:rPr>
                              <w:t>3</w:t>
                            </w:r>
                            <w:r>
                              <w:rPr>
                                <w:sz w:val="16"/>
                                <w:szCs w:val="16"/>
                              </w:rPr>
                              <w:t> </w:t>
                            </w:r>
                            <w:r w:rsidRPr="00F81A52">
                              <w:rPr>
                                <w:sz w:val="16"/>
                                <w:szCs w:val="16"/>
                              </w:rPr>
                              <w:t>4</w:t>
                            </w:r>
                            <w:r>
                              <w:rPr>
                                <w:sz w:val="16"/>
                                <w:szCs w:val="16"/>
                              </w:rPr>
                              <w:t>51 790</w:t>
                            </w:r>
                          </w:p>
                          <w:p w14:paraId="42E4F65D" w14:textId="77777777" w:rsidR="00D946C3" w:rsidRDefault="00D946C3" w:rsidP="00D946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AE21C" id="_x0000_t202" coordsize="21600,21600" o:spt="202" path="m,l,21600r21600,l21600,xe">
                <v:stroke joinstyle="miter"/>
                <v:path gradientshapeok="t" o:connecttype="rect"/>
              </v:shapetype>
              <v:shape id="Надпись 7" o:spid="_x0000_s1026" type="#_x0000_t202" style="position:absolute;left:0;text-align:left;margin-left:216.35pt;margin-top:96.1pt;width:81.3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" fillcolor="white [3201]" stroked="f" strokeweight=".5pt">
                <v:textbox>
                  <w:txbxContent>
                    <w:p w14:paraId="1B77181E" w14:textId="77777777" w:rsidR="00D946C3" w:rsidRPr="00F81A52" w:rsidRDefault="00D946C3" w:rsidP="00D946C3">
                      <w:pPr>
                        <w:jc w:val="center"/>
                        <w:rPr>
                          <w:sz w:val="16"/>
                          <w:szCs w:val="16"/>
                        </w:rPr>
                      </w:pPr>
                      <w:r w:rsidRPr="00F81A52">
                        <w:rPr>
                          <w:sz w:val="16"/>
                          <w:szCs w:val="16"/>
                        </w:rPr>
                        <w:t>3</w:t>
                      </w:r>
                      <w:r>
                        <w:rPr>
                          <w:sz w:val="16"/>
                          <w:szCs w:val="16"/>
                        </w:rPr>
                        <w:t> </w:t>
                      </w:r>
                      <w:r w:rsidRPr="00F81A52">
                        <w:rPr>
                          <w:sz w:val="16"/>
                          <w:szCs w:val="16"/>
                        </w:rPr>
                        <w:t>4</w:t>
                      </w:r>
                      <w:r>
                        <w:rPr>
                          <w:sz w:val="16"/>
                          <w:szCs w:val="16"/>
                        </w:rPr>
                        <w:t>51 790</w:t>
                      </w:r>
                    </w:p>
                    <w:p w14:paraId="42E4F65D" w14:textId="77777777" w:rsidR="00D946C3" w:rsidRDefault="00D946C3" w:rsidP="00D946C3"/>
                  </w:txbxContent>
                </v:textbox>
              </v:shape>
            </w:pict>
          </mc:Fallback>
        </mc:AlternateContent>
      </w:r>
      <w:r>
        <w:rPr>
          <w:lang w:val="en-US"/>
        </w:rPr>
        <w:t xml:space="preserve">Estimating the latest budgets </w:t>
      </w:r>
      <w:r w:rsidRPr="00E27594">
        <w:rPr>
          <w:lang w:val="en-US"/>
        </w:rPr>
        <w:t>Fig</w:t>
      </w:r>
      <w:r>
        <w:rPr>
          <w:lang w:val="en-US"/>
        </w:rPr>
        <w:t>.</w:t>
      </w:r>
      <w:r w:rsidRPr="00E27594">
        <w:rPr>
          <w:lang w:val="en-US"/>
        </w:rPr>
        <w:t xml:space="preserve"> 5,</w:t>
      </w:r>
      <w:r>
        <w:rPr>
          <w:lang w:val="en-US"/>
        </w:rPr>
        <w:t xml:space="preserve"> apparent leaders are China, Japan, the USA and the UK, spending an enormous amount of money on fusion energy exploration. However, even approximate costs for ITER – $22 B – drop in the bucket in comparison with the global energy market size. Climate urgency probably could transform the situation and </w:t>
      </w:r>
      <w:r>
        <w:rPr>
          <w:lang w:val="en-GB"/>
        </w:rPr>
        <w:t xml:space="preserve">stimulate the financing of fusion. The more we spend, the closer we are to the </w:t>
      </w:r>
      <w:r>
        <w:rPr>
          <w:lang w:val="en-US"/>
        </w:rPr>
        <w:t xml:space="preserve">further breakthroughs to step into the market and cut out its share.       </w:t>
      </w:r>
    </w:p>
    <w:p w14:paraId="44DCF880" w14:textId="45D08B44" w:rsidR="00D946C3" w:rsidRPr="00D946C3" w:rsidRDefault="00D946C3" w:rsidP="00D946C3">
      <w:pPr>
        <w:pStyle w:val="Zv-bodyreport"/>
        <w:spacing w:before="280" w:after="280"/>
        <w:ind w:firstLine="0"/>
        <w:jc w:val="center"/>
        <w:rPr>
          <w:lang w:val="en-US"/>
        </w:rPr>
      </w:pPr>
      <w:r>
        <w:rPr>
          <w:noProof/>
        </w:rPr>
        <w:drawing>
          <wp:inline distT="0" distB="0" distL="0" distR="0" wp14:anchorId="60F07CB1" wp14:editId="04EC8A6A">
            <wp:extent cx="4368800" cy="2607733"/>
            <wp:effectExtent l="0" t="0" r="0" b="0"/>
            <wp:docPr id="5" name="Диаграмма 5">
              <a:extLst xmlns:a="http://schemas.openxmlformats.org/drawingml/2006/main">
                <a:ext uri="{FF2B5EF4-FFF2-40B4-BE49-F238E27FC236}">
                  <a16:creationId xmlns:a16="http://schemas.microsoft.com/office/drawing/2014/main" id="{EDA90668-1D6C-1C4C-BDEA-756CDA4E1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8FBDFF" w14:textId="0F8B70C7" w:rsidR="00D946C3" w:rsidRPr="001F4BE7" w:rsidRDefault="00D946C3" w:rsidP="00D946C3">
      <w:pPr>
        <w:pStyle w:val="Zv-bodyreport"/>
        <w:ind w:firstLine="0"/>
        <w:jc w:val="center"/>
        <w:rPr>
          <w:i/>
          <w:sz w:val="22"/>
          <w:szCs w:val="22"/>
          <w:lang w:val="en-GB" w:eastAsia="en-US"/>
        </w:rPr>
      </w:pPr>
      <w:r w:rsidRPr="00531652">
        <w:rPr>
          <w:i/>
          <w:sz w:val="22"/>
          <w:szCs w:val="22"/>
          <w:lang w:val="en-GB" w:eastAsia="en-US"/>
        </w:rPr>
        <w:t xml:space="preserve">FIG </w:t>
      </w:r>
      <w:r>
        <w:rPr>
          <w:i/>
          <w:sz w:val="22"/>
          <w:szCs w:val="22"/>
          <w:lang w:val="en-GB" w:eastAsia="en-US"/>
        </w:rPr>
        <w:t>5</w:t>
      </w:r>
      <w:r w:rsidRPr="00531652">
        <w:rPr>
          <w:i/>
          <w:sz w:val="22"/>
          <w:szCs w:val="22"/>
          <w:lang w:val="en-GB" w:eastAsia="en-US"/>
        </w:rPr>
        <w:t xml:space="preserve">. </w:t>
      </w:r>
      <w:r w:rsidRPr="00D946C3">
        <w:rPr>
          <w:i/>
          <w:sz w:val="22"/>
          <w:szCs w:val="22"/>
          <w:lang w:val="en-GB" w:eastAsia="en-US"/>
        </w:rPr>
        <w:t>Global energy market vs. estimated upcoming public funding on fusion energy, $M</w:t>
      </w:r>
      <w:r w:rsidRPr="00531652">
        <w:rPr>
          <w:i/>
          <w:sz w:val="22"/>
          <w:szCs w:val="22"/>
          <w:lang w:val="en-GB" w:eastAsia="en-US"/>
        </w:rPr>
        <w:t xml:space="preserve">                        </w:t>
      </w:r>
      <w:r>
        <w:rPr>
          <w:i/>
          <w:sz w:val="22"/>
          <w:szCs w:val="22"/>
          <w:lang w:val="en-GB" w:eastAsia="en-US"/>
        </w:rPr>
        <w:t xml:space="preserve">              </w:t>
      </w:r>
    </w:p>
    <w:p w14:paraId="033D0D6F" w14:textId="69DFCCCC" w:rsidR="00D946C3" w:rsidRDefault="00D946C3" w:rsidP="00FB6822">
      <w:pPr>
        <w:overflowPunct/>
        <w:autoSpaceDE/>
        <w:autoSpaceDN/>
        <w:adjustRightInd/>
        <w:spacing w:before="280" w:after="280"/>
        <w:jc w:val="both"/>
        <w:textAlignment w:val="auto"/>
        <w:rPr>
          <w:rFonts w:eastAsiaTheme="minorHAnsi"/>
          <w:sz w:val="24"/>
          <w:szCs w:val="24"/>
          <w:lang w:eastAsia="ar-SA"/>
        </w:rPr>
      </w:pPr>
      <w:r w:rsidRPr="00D946C3">
        <w:rPr>
          <w:rFonts w:eastAsiaTheme="minorHAnsi"/>
          <w:sz w:val="24"/>
          <w:szCs w:val="24"/>
          <w:lang w:eastAsia="ar-SA"/>
        </w:rPr>
        <w:lastRenderedPageBreak/>
        <w:t xml:space="preserve">Apart from cash inflows the UK, the USA, China and Japan are working on complex long-term strategies of fusion development Table 2. Although each country pursues different goals, all of them strongly backing fusion and are interested in deployment of the first power generation facility. While the UK would like to become a world-leading exporter of fusion technology, the USA is mostly attempting to create new jobs and assist national private sector. Japan and China are trying to deal with their import fossil fuels dependency and satisfy its growing energy demand.    </w:t>
      </w:r>
    </w:p>
    <w:p w14:paraId="60329B87" w14:textId="2FA160A1" w:rsidR="00D946C3" w:rsidRDefault="00D946C3" w:rsidP="00D946C3">
      <w:pPr>
        <w:pStyle w:val="a1"/>
        <w:spacing w:before="280" w:after="280" w:line="240" w:lineRule="auto"/>
        <w:ind w:firstLine="0"/>
        <w:rPr>
          <w:sz w:val="24"/>
          <w:szCs w:val="24"/>
        </w:rPr>
      </w:pPr>
      <w:r w:rsidRPr="00DF3A79">
        <w:rPr>
          <w:sz w:val="24"/>
          <w:szCs w:val="24"/>
        </w:rPr>
        <w:t xml:space="preserve">TABLE </w:t>
      </w:r>
      <w:r>
        <w:rPr>
          <w:sz w:val="24"/>
          <w:szCs w:val="24"/>
        </w:rPr>
        <w:t>2</w:t>
      </w:r>
      <w:r w:rsidRPr="00DF3A79">
        <w:rPr>
          <w:sz w:val="24"/>
          <w:szCs w:val="24"/>
        </w:rPr>
        <w:t>.</w:t>
      </w:r>
      <w:r w:rsidRPr="00DF3A79">
        <w:rPr>
          <w:sz w:val="24"/>
          <w:szCs w:val="24"/>
        </w:rPr>
        <w:tab/>
      </w:r>
      <w:r w:rsidRPr="00D946C3">
        <w:rPr>
          <w:sz w:val="24"/>
          <w:szCs w:val="24"/>
        </w:rPr>
        <w:t>S</w:t>
      </w:r>
      <w:r w:rsidRPr="00D946C3">
        <w:rPr>
          <w:sz w:val="24"/>
          <w:szCs w:val="24"/>
        </w:rPr>
        <w:t xml:space="preserve">TRATEGIC TARGETS OF CERTAIN GOVERNMENTS </w:t>
      </w:r>
    </w:p>
    <w:tbl>
      <w:tblPr>
        <w:tblStyle w:val="af"/>
        <w:tblW w:w="9631" w:type="dxa"/>
        <w:tblLook w:val="04A0" w:firstRow="1" w:lastRow="0" w:firstColumn="1" w:lastColumn="0" w:noHBand="0" w:noVBand="1"/>
      </w:tblPr>
      <w:tblGrid>
        <w:gridCol w:w="1494"/>
        <w:gridCol w:w="2409"/>
        <w:gridCol w:w="1817"/>
        <w:gridCol w:w="2094"/>
        <w:gridCol w:w="1817"/>
      </w:tblGrid>
      <w:tr w:rsidR="00D946C3" w14:paraId="6590C27A" w14:textId="77777777" w:rsidTr="00975B45">
        <w:trPr>
          <w:trHeight w:val="370"/>
        </w:trPr>
        <w:tc>
          <w:tcPr>
            <w:tcW w:w="1494" w:type="dxa"/>
            <w:vAlign w:val="center"/>
          </w:tcPr>
          <w:p w14:paraId="26598BFB" w14:textId="77777777" w:rsidR="00D946C3" w:rsidRPr="00D946C3" w:rsidRDefault="00D946C3" w:rsidP="004B33A1">
            <w:pPr>
              <w:pStyle w:val="Zv-bodyreport"/>
              <w:ind w:firstLine="0"/>
              <w:jc w:val="left"/>
              <w:rPr>
                <w:sz w:val="20"/>
                <w:szCs w:val="20"/>
                <w:lang w:val="en-US"/>
              </w:rPr>
            </w:pPr>
          </w:p>
        </w:tc>
        <w:tc>
          <w:tcPr>
            <w:tcW w:w="2409" w:type="dxa"/>
            <w:vAlign w:val="center"/>
          </w:tcPr>
          <w:p w14:paraId="545BD20E" w14:textId="77777777" w:rsidR="00D946C3" w:rsidRPr="00D946C3" w:rsidRDefault="00D946C3" w:rsidP="004B33A1">
            <w:pPr>
              <w:pStyle w:val="Zv-bodyreport"/>
              <w:ind w:firstLine="0"/>
              <w:jc w:val="center"/>
              <w:rPr>
                <w:b/>
                <w:bCs/>
                <w:sz w:val="20"/>
                <w:szCs w:val="20"/>
                <w:lang w:val="en-US"/>
              </w:rPr>
            </w:pPr>
            <w:r w:rsidRPr="00D946C3">
              <w:rPr>
                <w:b/>
                <w:bCs/>
                <w:sz w:val="20"/>
                <w:szCs w:val="20"/>
                <w:lang w:val="en-US"/>
              </w:rPr>
              <w:t>UK</w:t>
            </w:r>
          </w:p>
        </w:tc>
        <w:tc>
          <w:tcPr>
            <w:tcW w:w="1817" w:type="dxa"/>
            <w:vAlign w:val="center"/>
          </w:tcPr>
          <w:p w14:paraId="619653ED" w14:textId="77777777" w:rsidR="00D946C3" w:rsidRPr="00D946C3" w:rsidRDefault="00D946C3" w:rsidP="004B33A1">
            <w:pPr>
              <w:pStyle w:val="Zv-bodyreport"/>
              <w:ind w:firstLine="0"/>
              <w:jc w:val="center"/>
              <w:rPr>
                <w:b/>
                <w:bCs/>
                <w:sz w:val="20"/>
                <w:szCs w:val="20"/>
                <w:lang w:val="en-US"/>
              </w:rPr>
            </w:pPr>
            <w:r w:rsidRPr="00D946C3">
              <w:rPr>
                <w:b/>
                <w:bCs/>
                <w:sz w:val="20"/>
                <w:szCs w:val="20"/>
                <w:lang w:val="en-US"/>
              </w:rPr>
              <w:t>USA</w:t>
            </w:r>
          </w:p>
        </w:tc>
        <w:tc>
          <w:tcPr>
            <w:tcW w:w="2094" w:type="dxa"/>
            <w:vAlign w:val="center"/>
          </w:tcPr>
          <w:p w14:paraId="5F1E9A11" w14:textId="77777777" w:rsidR="00D946C3" w:rsidRPr="00D946C3" w:rsidRDefault="00D946C3" w:rsidP="004B33A1">
            <w:pPr>
              <w:pStyle w:val="Zv-bodyreport"/>
              <w:ind w:firstLine="0"/>
              <w:jc w:val="center"/>
              <w:rPr>
                <w:b/>
                <w:bCs/>
                <w:sz w:val="20"/>
                <w:szCs w:val="20"/>
                <w:lang w:val="en-US"/>
              </w:rPr>
            </w:pPr>
            <w:r w:rsidRPr="00D946C3">
              <w:rPr>
                <w:b/>
                <w:bCs/>
                <w:sz w:val="20"/>
                <w:szCs w:val="20"/>
                <w:lang w:val="en-US"/>
              </w:rPr>
              <w:t>China</w:t>
            </w:r>
          </w:p>
        </w:tc>
        <w:tc>
          <w:tcPr>
            <w:tcW w:w="1817" w:type="dxa"/>
            <w:vAlign w:val="center"/>
          </w:tcPr>
          <w:p w14:paraId="34095864" w14:textId="77777777" w:rsidR="00D946C3" w:rsidRPr="00D946C3" w:rsidRDefault="00D946C3" w:rsidP="004B33A1">
            <w:pPr>
              <w:pStyle w:val="Zv-bodyreport"/>
              <w:ind w:firstLine="0"/>
              <w:jc w:val="center"/>
              <w:rPr>
                <w:b/>
                <w:bCs/>
                <w:sz w:val="20"/>
                <w:szCs w:val="20"/>
                <w:lang w:val="en-US"/>
              </w:rPr>
            </w:pPr>
            <w:r w:rsidRPr="00D946C3">
              <w:rPr>
                <w:b/>
                <w:bCs/>
                <w:sz w:val="20"/>
                <w:szCs w:val="20"/>
                <w:lang w:val="en-US"/>
              </w:rPr>
              <w:t>Japan</w:t>
            </w:r>
          </w:p>
        </w:tc>
      </w:tr>
      <w:tr w:rsidR="00D946C3" w:rsidRPr="00A97F04" w14:paraId="546EC748" w14:textId="77777777" w:rsidTr="00975B45">
        <w:trPr>
          <w:trHeight w:val="1110"/>
        </w:trPr>
        <w:tc>
          <w:tcPr>
            <w:tcW w:w="1494" w:type="dxa"/>
            <w:vAlign w:val="center"/>
          </w:tcPr>
          <w:p w14:paraId="7D81AD77"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Strategic goals</w:t>
            </w:r>
          </w:p>
        </w:tc>
        <w:tc>
          <w:tcPr>
            <w:tcW w:w="2409" w:type="dxa"/>
            <w:vAlign w:val="center"/>
          </w:tcPr>
          <w:p w14:paraId="72E8A4B0" w14:textId="77777777" w:rsidR="00D946C3" w:rsidRPr="00D946C3" w:rsidRDefault="00D946C3" w:rsidP="004B33A1">
            <w:pPr>
              <w:pStyle w:val="Zv-bodyreport"/>
              <w:ind w:firstLine="0"/>
              <w:jc w:val="left"/>
              <w:rPr>
                <w:sz w:val="20"/>
                <w:szCs w:val="20"/>
                <w:lang w:val="en-US"/>
              </w:rPr>
            </w:pPr>
            <w:r w:rsidRPr="00D946C3">
              <w:rPr>
                <w:sz w:val="20"/>
                <w:szCs w:val="20"/>
                <w:lang w:val="en-US"/>
              </w:rPr>
              <w:t>Demonstrate the commercial viability of fusion by building a prototype fusion power plant in the UK</w:t>
            </w:r>
          </w:p>
          <w:p w14:paraId="6202FAE2" w14:textId="77777777" w:rsidR="00D946C3" w:rsidRPr="00D946C3" w:rsidRDefault="00D946C3" w:rsidP="004B33A1">
            <w:pPr>
              <w:pStyle w:val="Zv-bodyreport"/>
              <w:ind w:firstLine="0"/>
              <w:jc w:val="left"/>
              <w:rPr>
                <w:sz w:val="20"/>
                <w:szCs w:val="20"/>
                <w:lang w:val="en-US"/>
              </w:rPr>
            </w:pPr>
            <w:r w:rsidRPr="00D946C3">
              <w:rPr>
                <w:sz w:val="20"/>
                <w:szCs w:val="20"/>
                <w:lang w:val="en-US"/>
              </w:rPr>
              <w:t>Build a world-leading fusion industry which can export fusion technology around the world</w:t>
            </w:r>
          </w:p>
        </w:tc>
        <w:tc>
          <w:tcPr>
            <w:tcW w:w="1817" w:type="dxa"/>
            <w:vAlign w:val="center"/>
          </w:tcPr>
          <w:p w14:paraId="275F8F30" w14:textId="77777777" w:rsidR="00D946C3" w:rsidRPr="00D946C3" w:rsidRDefault="00D946C3" w:rsidP="004B33A1">
            <w:pPr>
              <w:pStyle w:val="Zv-bodyreport"/>
              <w:ind w:firstLine="0"/>
              <w:jc w:val="left"/>
              <w:rPr>
                <w:sz w:val="20"/>
                <w:szCs w:val="20"/>
                <w:lang w:val="en-US"/>
              </w:rPr>
            </w:pPr>
            <w:r w:rsidRPr="00D946C3">
              <w:rPr>
                <w:sz w:val="20"/>
                <w:szCs w:val="20"/>
                <w:lang w:val="en-US"/>
              </w:rPr>
              <w:t>Accelerate viable commercial fusion energy</w:t>
            </w:r>
          </w:p>
        </w:tc>
        <w:tc>
          <w:tcPr>
            <w:tcW w:w="2094" w:type="dxa"/>
            <w:vAlign w:val="center"/>
          </w:tcPr>
          <w:p w14:paraId="1804EB2C" w14:textId="77777777" w:rsidR="00D946C3" w:rsidRPr="00D946C3" w:rsidRDefault="00D946C3" w:rsidP="004B33A1">
            <w:pPr>
              <w:pStyle w:val="Zv-bodyreport"/>
              <w:ind w:firstLine="0"/>
              <w:jc w:val="left"/>
              <w:rPr>
                <w:sz w:val="20"/>
                <w:szCs w:val="20"/>
                <w:lang w:val="en-US"/>
              </w:rPr>
            </w:pPr>
            <w:r w:rsidRPr="00D946C3">
              <w:rPr>
                <w:sz w:val="20"/>
                <w:szCs w:val="20"/>
                <w:lang w:val="en-US"/>
              </w:rPr>
              <w:t>Operate fusion machines economically and permanently</w:t>
            </w:r>
          </w:p>
        </w:tc>
        <w:tc>
          <w:tcPr>
            <w:tcW w:w="1817" w:type="dxa"/>
            <w:vAlign w:val="center"/>
          </w:tcPr>
          <w:p w14:paraId="0FBEBC72" w14:textId="77777777" w:rsidR="00D946C3" w:rsidRPr="00D946C3" w:rsidRDefault="00D946C3" w:rsidP="004B33A1">
            <w:pPr>
              <w:pStyle w:val="Zv-bodyreport"/>
              <w:ind w:firstLine="0"/>
              <w:jc w:val="left"/>
              <w:rPr>
                <w:sz w:val="20"/>
                <w:szCs w:val="20"/>
                <w:lang w:val="en-US"/>
              </w:rPr>
            </w:pPr>
            <w:r w:rsidRPr="00D946C3">
              <w:rPr>
                <w:sz w:val="20"/>
                <w:szCs w:val="20"/>
                <w:lang w:val="en-US"/>
              </w:rPr>
              <w:t>Achieve technological solution for DEMO</w:t>
            </w:r>
          </w:p>
          <w:p w14:paraId="23502381" w14:textId="77777777" w:rsidR="00D946C3" w:rsidRPr="00D946C3" w:rsidRDefault="00D946C3" w:rsidP="004B33A1">
            <w:pPr>
              <w:pStyle w:val="Zv-bodyreport"/>
              <w:ind w:firstLine="0"/>
              <w:jc w:val="left"/>
              <w:rPr>
                <w:sz w:val="20"/>
                <w:szCs w:val="20"/>
                <w:lang w:val="en-US"/>
              </w:rPr>
            </w:pPr>
            <w:r w:rsidRPr="00D946C3">
              <w:rPr>
                <w:sz w:val="20"/>
                <w:szCs w:val="20"/>
                <w:lang w:val="en-US"/>
              </w:rPr>
              <w:t>Promote balanced research on helical and laser fusion</w:t>
            </w:r>
          </w:p>
        </w:tc>
      </w:tr>
      <w:tr w:rsidR="00D946C3" w:rsidRPr="00A97F04" w14:paraId="1C57706A" w14:textId="77777777" w:rsidTr="00975B45">
        <w:trPr>
          <w:trHeight w:val="178"/>
        </w:trPr>
        <w:tc>
          <w:tcPr>
            <w:tcW w:w="1494" w:type="dxa"/>
            <w:vAlign w:val="center"/>
          </w:tcPr>
          <w:p w14:paraId="38DFF092"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Published strategic document</w:t>
            </w:r>
          </w:p>
        </w:tc>
        <w:tc>
          <w:tcPr>
            <w:tcW w:w="2409" w:type="dxa"/>
            <w:vAlign w:val="center"/>
          </w:tcPr>
          <w:p w14:paraId="021CDB99" w14:textId="77777777" w:rsidR="00D946C3" w:rsidRPr="00D946C3" w:rsidRDefault="00D946C3" w:rsidP="004B33A1">
            <w:pPr>
              <w:pStyle w:val="Zv-bodyreport"/>
              <w:ind w:firstLine="0"/>
              <w:jc w:val="left"/>
              <w:rPr>
                <w:sz w:val="20"/>
                <w:szCs w:val="20"/>
                <w:lang w:val="en-US"/>
              </w:rPr>
            </w:pPr>
            <w:r w:rsidRPr="00D946C3">
              <w:rPr>
                <w:sz w:val="20"/>
                <w:szCs w:val="20"/>
                <w:lang w:val="en-US"/>
              </w:rPr>
              <w:t>the UK fusion strategy</w:t>
            </w:r>
          </w:p>
        </w:tc>
        <w:tc>
          <w:tcPr>
            <w:tcW w:w="1817" w:type="dxa"/>
            <w:vAlign w:val="center"/>
          </w:tcPr>
          <w:p w14:paraId="282125CB" w14:textId="77777777" w:rsidR="00D946C3" w:rsidRPr="00D946C3" w:rsidRDefault="00D946C3" w:rsidP="004B33A1">
            <w:pPr>
              <w:pStyle w:val="Zv-bodyreport"/>
              <w:ind w:firstLine="0"/>
              <w:jc w:val="left"/>
              <w:rPr>
                <w:sz w:val="20"/>
                <w:szCs w:val="20"/>
                <w:lang w:val="en-US"/>
              </w:rPr>
            </w:pPr>
            <w:r w:rsidRPr="00D946C3">
              <w:rPr>
                <w:sz w:val="20"/>
                <w:szCs w:val="20"/>
                <w:lang w:val="en-US"/>
              </w:rPr>
              <w:t>expected</w:t>
            </w:r>
          </w:p>
        </w:tc>
        <w:tc>
          <w:tcPr>
            <w:tcW w:w="2094" w:type="dxa"/>
            <w:vAlign w:val="center"/>
          </w:tcPr>
          <w:p w14:paraId="1AB3B2D8" w14:textId="77777777" w:rsidR="00D946C3" w:rsidRPr="00D946C3" w:rsidRDefault="00D946C3" w:rsidP="004B33A1">
            <w:pPr>
              <w:pStyle w:val="Zv-bodyreport"/>
              <w:ind w:firstLine="0"/>
              <w:jc w:val="left"/>
              <w:rPr>
                <w:sz w:val="20"/>
                <w:szCs w:val="20"/>
                <w:lang w:val="en-US"/>
              </w:rPr>
            </w:pPr>
            <w:r w:rsidRPr="00D946C3">
              <w:rPr>
                <w:sz w:val="20"/>
                <w:szCs w:val="20"/>
                <w:lang w:val="en-US"/>
              </w:rPr>
              <w:t>-</w:t>
            </w:r>
          </w:p>
        </w:tc>
        <w:tc>
          <w:tcPr>
            <w:tcW w:w="1817" w:type="dxa"/>
            <w:vAlign w:val="center"/>
          </w:tcPr>
          <w:p w14:paraId="7AE0C7A1" w14:textId="77777777" w:rsidR="00D946C3" w:rsidRPr="00D946C3" w:rsidRDefault="00D946C3" w:rsidP="004B33A1">
            <w:pPr>
              <w:pStyle w:val="Zv-bodyreport"/>
              <w:ind w:firstLine="0"/>
              <w:jc w:val="left"/>
              <w:rPr>
                <w:sz w:val="20"/>
                <w:szCs w:val="20"/>
                <w:lang w:val="en-US"/>
              </w:rPr>
            </w:pPr>
            <w:r w:rsidRPr="00D946C3">
              <w:rPr>
                <w:sz w:val="20"/>
                <w:szCs w:val="20"/>
                <w:lang w:val="en-US"/>
              </w:rPr>
              <w:t>expected in the second half of 2022</w:t>
            </w:r>
          </w:p>
        </w:tc>
      </w:tr>
      <w:tr w:rsidR="00D946C3" w14:paraId="51B92C26" w14:textId="77777777" w:rsidTr="00975B45">
        <w:trPr>
          <w:trHeight w:val="178"/>
        </w:trPr>
        <w:tc>
          <w:tcPr>
            <w:tcW w:w="1494" w:type="dxa"/>
            <w:vAlign w:val="center"/>
          </w:tcPr>
          <w:p w14:paraId="61804EF9"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Time horizon</w:t>
            </w:r>
          </w:p>
        </w:tc>
        <w:tc>
          <w:tcPr>
            <w:tcW w:w="2409" w:type="dxa"/>
            <w:vAlign w:val="center"/>
          </w:tcPr>
          <w:p w14:paraId="126296B4" w14:textId="77777777" w:rsidR="00D946C3" w:rsidRPr="00D946C3" w:rsidRDefault="00D946C3" w:rsidP="004B33A1">
            <w:pPr>
              <w:pStyle w:val="Zv-bodyreport"/>
              <w:ind w:firstLine="0"/>
              <w:jc w:val="left"/>
              <w:rPr>
                <w:sz w:val="20"/>
                <w:szCs w:val="20"/>
                <w:lang w:val="en-US"/>
              </w:rPr>
            </w:pPr>
            <w:r w:rsidRPr="00D946C3">
              <w:rPr>
                <w:sz w:val="20"/>
                <w:szCs w:val="20"/>
                <w:lang w:val="en-US"/>
              </w:rPr>
              <w:t xml:space="preserve">up to 2040 and further </w:t>
            </w:r>
          </w:p>
        </w:tc>
        <w:tc>
          <w:tcPr>
            <w:tcW w:w="1817" w:type="dxa"/>
            <w:vAlign w:val="center"/>
          </w:tcPr>
          <w:p w14:paraId="6B3C2E9C" w14:textId="77777777" w:rsidR="00D946C3" w:rsidRPr="00D946C3" w:rsidRDefault="00D946C3" w:rsidP="004B33A1">
            <w:pPr>
              <w:pStyle w:val="Zv-bodyreport"/>
              <w:ind w:firstLine="0"/>
              <w:jc w:val="left"/>
              <w:rPr>
                <w:sz w:val="20"/>
                <w:szCs w:val="20"/>
                <w:lang w:val="en-US"/>
              </w:rPr>
            </w:pPr>
            <w:r w:rsidRPr="00D946C3">
              <w:rPr>
                <w:sz w:val="20"/>
                <w:szCs w:val="20"/>
                <w:lang w:val="en-US"/>
              </w:rPr>
              <w:t>up to 2032 and further</w:t>
            </w:r>
          </w:p>
        </w:tc>
        <w:tc>
          <w:tcPr>
            <w:tcW w:w="2094" w:type="dxa"/>
            <w:vAlign w:val="center"/>
          </w:tcPr>
          <w:p w14:paraId="7ED511DA" w14:textId="77777777" w:rsidR="00D946C3" w:rsidRPr="00D946C3" w:rsidRDefault="00D946C3" w:rsidP="004B33A1">
            <w:pPr>
              <w:pStyle w:val="Zv-bodyreport"/>
              <w:ind w:firstLine="0"/>
              <w:jc w:val="left"/>
              <w:rPr>
                <w:sz w:val="20"/>
                <w:szCs w:val="20"/>
                <w:lang w:val="en-US"/>
              </w:rPr>
            </w:pPr>
            <w:r w:rsidRPr="00D946C3">
              <w:rPr>
                <w:sz w:val="20"/>
                <w:szCs w:val="20"/>
                <w:lang w:val="en-US"/>
              </w:rPr>
              <w:t>not specified</w:t>
            </w:r>
          </w:p>
        </w:tc>
        <w:tc>
          <w:tcPr>
            <w:tcW w:w="1817" w:type="dxa"/>
            <w:vAlign w:val="center"/>
          </w:tcPr>
          <w:p w14:paraId="4F1AC9B6" w14:textId="77777777" w:rsidR="00D946C3" w:rsidRPr="00D946C3" w:rsidRDefault="00D946C3" w:rsidP="004B33A1">
            <w:pPr>
              <w:pStyle w:val="Zv-bodyreport"/>
              <w:ind w:firstLine="0"/>
              <w:jc w:val="left"/>
              <w:rPr>
                <w:sz w:val="20"/>
                <w:szCs w:val="20"/>
                <w:lang w:val="en-US"/>
              </w:rPr>
            </w:pPr>
            <w:r w:rsidRPr="00D946C3">
              <w:rPr>
                <w:sz w:val="20"/>
                <w:szCs w:val="20"/>
                <w:lang w:val="en-US"/>
              </w:rPr>
              <w:t>up to 2035 and further</w:t>
            </w:r>
          </w:p>
        </w:tc>
      </w:tr>
      <w:tr w:rsidR="00D946C3" w:rsidRPr="00A97F04" w14:paraId="1008E798" w14:textId="77777777" w:rsidTr="00975B45">
        <w:trPr>
          <w:trHeight w:val="190"/>
        </w:trPr>
        <w:tc>
          <w:tcPr>
            <w:tcW w:w="1494" w:type="dxa"/>
            <w:vAlign w:val="center"/>
          </w:tcPr>
          <w:p w14:paraId="47DF9043"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Government bodies involved</w:t>
            </w:r>
          </w:p>
        </w:tc>
        <w:tc>
          <w:tcPr>
            <w:tcW w:w="2409" w:type="dxa"/>
            <w:vAlign w:val="center"/>
          </w:tcPr>
          <w:p w14:paraId="66AE27BD" w14:textId="77777777" w:rsidR="00D946C3" w:rsidRPr="00D946C3" w:rsidRDefault="00D946C3" w:rsidP="004B33A1">
            <w:pPr>
              <w:pStyle w:val="Zv-bodyreport"/>
              <w:ind w:firstLine="0"/>
              <w:jc w:val="left"/>
              <w:rPr>
                <w:sz w:val="20"/>
                <w:szCs w:val="20"/>
                <w:lang w:val="en-US"/>
              </w:rPr>
            </w:pPr>
            <w:r w:rsidRPr="00D946C3">
              <w:rPr>
                <w:sz w:val="20"/>
                <w:szCs w:val="20"/>
                <w:lang w:val="en-US"/>
              </w:rPr>
              <w:t>BEIS</w:t>
            </w:r>
          </w:p>
          <w:p w14:paraId="42376FDA" w14:textId="77777777" w:rsidR="00D946C3" w:rsidRPr="00D946C3" w:rsidRDefault="00D946C3" w:rsidP="004B33A1">
            <w:pPr>
              <w:pStyle w:val="Zv-bodyreport"/>
              <w:ind w:firstLine="0"/>
              <w:jc w:val="left"/>
              <w:rPr>
                <w:sz w:val="20"/>
                <w:szCs w:val="20"/>
                <w:lang w:val="en-US"/>
              </w:rPr>
            </w:pPr>
            <w:r w:rsidRPr="00D946C3">
              <w:rPr>
                <w:sz w:val="20"/>
                <w:szCs w:val="20"/>
                <w:lang w:val="en-US"/>
              </w:rPr>
              <w:t>Environment Agency</w:t>
            </w:r>
          </w:p>
          <w:p w14:paraId="63CAD124" w14:textId="77777777" w:rsidR="00D946C3" w:rsidRPr="00D946C3" w:rsidRDefault="00D946C3" w:rsidP="004B33A1">
            <w:pPr>
              <w:pStyle w:val="Zv-bodyreport"/>
              <w:ind w:firstLine="0"/>
              <w:jc w:val="left"/>
              <w:rPr>
                <w:sz w:val="20"/>
                <w:szCs w:val="20"/>
                <w:lang w:val="en-US"/>
              </w:rPr>
            </w:pPr>
            <w:r w:rsidRPr="00D946C3">
              <w:rPr>
                <w:sz w:val="20"/>
                <w:szCs w:val="20"/>
                <w:lang w:val="en-US"/>
              </w:rPr>
              <w:t>Health and Safety Executive</w:t>
            </w:r>
          </w:p>
          <w:p w14:paraId="76C62ED6" w14:textId="77777777" w:rsidR="00D946C3" w:rsidRPr="00D946C3" w:rsidRDefault="00D946C3" w:rsidP="004B33A1">
            <w:pPr>
              <w:pStyle w:val="Zv-bodyreport"/>
              <w:ind w:firstLine="0"/>
              <w:jc w:val="left"/>
              <w:rPr>
                <w:sz w:val="20"/>
                <w:szCs w:val="20"/>
                <w:lang w:val="en-US"/>
              </w:rPr>
            </w:pPr>
            <w:r w:rsidRPr="00D946C3">
              <w:rPr>
                <w:sz w:val="20"/>
                <w:szCs w:val="20"/>
                <w:lang w:val="en-US"/>
              </w:rPr>
              <w:t>UKAEA</w:t>
            </w:r>
          </w:p>
        </w:tc>
        <w:tc>
          <w:tcPr>
            <w:tcW w:w="1817" w:type="dxa"/>
            <w:vAlign w:val="center"/>
          </w:tcPr>
          <w:p w14:paraId="2BFFC300" w14:textId="77777777" w:rsidR="00D946C3" w:rsidRPr="00D946C3" w:rsidRDefault="00D946C3" w:rsidP="004B33A1">
            <w:pPr>
              <w:pStyle w:val="Zv-bodyreport"/>
              <w:ind w:firstLine="0"/>
              <w:jc w:val="left"/>
              <w:rPr>
                <w:sz w:val="20"/>
                <w:szCs w:val="20"/>
                <w:lang w:val="en-US"/>
              </w:rPr>
            </w:pPr>
            <w:r w:rsidRPr="00D946C3">
              <w:rPr>
                <w:sz w:val="20"/>
                <w:szCs w:val="20"/>
                <w:lang w:val="en-US"/>
              </w:rPr>
              <w:t>Department of Energy</w:t>
            </w:r>
          </w:p>
          <w:p w14:paraId="0DE8A933" w14:textId="77777777" w:rsidR="00D946C3" w:rsidRPr="00D946C3" w:rsidRDefault="00D946C3" w:rsidP="004B33A1">
            <w:pPr>
              <w:pStyle w:val="Zv-bodyreport"/>
              <w:ind w:firstLine="0"/>
              <w:jc w:val="left"/>
              <w:rPr>
                <w:sz w:val="20"/>
                <w:szCs w:val="20"/>
                <w:lang w:val="en-US"/>
              </w:rPr>
            </w:pPr>
            <w:r w:rsidRPr="00D946C3">
              <w:rPr>
                <w:sz w:val="20"/>
                <w:szCs w:val="20"/>
                <w:lang w:val="en-US"/>
              </w:rPr>
              <w:t>Nuclear Regulatory Commission</w:t>
            </w:r>
          </w:p>
          <w:p w14:paraId="31AFC6F8" w14:textId="77777777" w:rsidR="00D946C3" w:rsidRPr="00D946C3" w:rsidRDefault="00D946C3" w:rsidP="004B33A1">
            <w:pPr>
              <w:pStyle w:val="Zv-bodyreport"/>
              <w:ind w:firstLine="0"/>
              <w:jc w:val="left"/>
              <w:rPr>
                <w:sz w:val="20"/>
                <w:szCs w:val="20"/>
                <w:lang w:val="en-US"/>
              </w:rPr>
            </w:pPr>
            <w:r w:rsidRPr="00D946C3">
              <w:rPr>
                <w:sz w:val="20"/>
                <w:szCs w:val="20"/>
                <w:lang w:val="en-US"/>
              </w:rPr>
              <w:t>Fusion Energy Sciences Advisory Committee</w:t>
            </w:r>
          </w:p>
          <w:p w14:paraId="3F70EFD6" w14:textId="77777777" w:rsidR="00D946C3" w:rsidRPr="00D946C3" w:rsidRDefault="00D946C3" w:rsidP="004B33A1">
            <w:pPr>
              <w:pStyle w:val="Zv-bodyreport"/>
              <w:ind w:firstLine="0"/>
              <w:jc w:val="left"/>
              <w:rPr>
                <w:sz w:val="20"/>
                <w:szCs w:val="20"/>
                <w:lang w:val="en-US"/>
              </w:rPr>
            </w:pPr>
            <w:r w:rsidRPr="00D946C3">
              <w:rPr>
                <w:sz w:val="20"/>
                <w:szCs w:val="20"/>
                <w:lang w:val="en-US"/>
              </w:rPr>
              <w:t>ARPA-E</w:t>
            </w:r>
          </w:p>
        </w:tc>
        <w:tc>
          <w:tcPr>
            <w:tcW w:w="2094" w:type="dxa"/>
            <w:vAlign w:val="center"/>
          </w:tcPr>
          <w:p w14:paraId="6AADB31D" w14:textId="77777777" w:rsidR="00D946C3" w:rsidRPr="00D946C3" w:rsidRDefault="00D946C3" w:rsidP="004B33A1">
            <w:pPr>
              <w:pStyle w:val="Zv-bodyreport"/>
              <w:ind w:firstLine="0"/>
              <w:jc w:val="left"/>
              <w:rPr>
                <w:sz w:val="20"/>
                <w:szCs w:val="20"/>
                <w:lang w:val="en-US"/>
              </w:rPr>
            </w:pPr>
            <w:r w:rsidRPr="00D946C3">
              <w:rPr>
                <w:sz w:val="20"/>
                <w:szCs w:val="20"/>
                <w:lang w:val="en-US"/>
              </w:rPr>
              <w:t>not specified</w:t>
            </w:r>
          </w:p>
        </w:tc>
        <w:tc>
          <w:tcPr>
            <w:tcW w:w="1817" w:type="dxa"/>
            <w:vAlign w:val="center"/>
          </w:tcPr>
          <w:p w14:paraId="24BD5F97" w14:textId="77777777" w:rsidR="00D946C3" w:rsidRPr="00D946C3" w:rsidRDefault="00D946C3" w:rsidP="004B33A1">
            <w:pPr>
              <w:pStyle w:val="Zv-bodyreport"/>
              <w:ind w:firstLine="0"/>
              <w:jc w:val="left"/>
              <w:rPr>
                <w:sz w:val="20"/>
                <w:szCs w:val="20"/>
                <w:lang w:val="en-US"/>
              </w:rPr>
            </w:pPr>
            <w:r w:rsidRPr="00D946C3">
              <w:rPr>
                <w:sz w:val="20"/>
                <w:szCs w:val="20"/>
                <w:lang w:val="en-US"/>
              </w:rPr>
              <w:t>MEXT – Ministry of education, culture, sports, science and technology</w:t>
            </w:r>
          </w:p>
        </w:tc>
      </w:tr>
      <w:tr w:rsidR="00D946C3" w14:paraId="4CE98691" w14:textId="77777777" w:rsidTr="00975B45">
        <w:trPr>
          <w:trHeight w:val="190"/>
        </w:trPr>
        <w:tc>
          <w:tcPr>
            <w:tcW w:w="1494" w:type="dxa"/>
            <w:vAlign w:val="center"/>
          </w:tcPr>
          <w:p w14:paraId="40A96D7D"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Regulation principles declared</w:t>
            </w:r>
          </w:p>
        </w:tc>
        <w:tc>
          <w:tcPr>
            <w:tcW w:w="2409" w:type="dxa"/>
            <w:vAlign w:val="center"/>
          </w:tcPr>
          <w:p w14:paraId="3EDA21E3" w14:textId="77777777" w:rsidR="00D946C3" w:rsidRPr="00D946C3" w:rsidRDefault="00D946C3" w:rsidP="004B33A1">
            <w:pPr>
              <w:pStyle w:val="Zv-bodyreport"/>
              <w:ind w:firstLine="0"/>
              <w:jc w:val="left"/>
              <w:rPr>
                <w:sz w:val="20"/>
                <w:szCs w:val="20"/>
                <w:lang w:val="en-US"/>
              </w:rPr>
            </w:pPr>
            <w:r w:rsidRPr="00D946C3">
              <w:rPr>
                <w:sz w:val="20"/>
                <w:szCs w:val="20"/>
                <w:lang w:val="en-US"/>
              </w:rPr>
              <w:t>alternative to fission</w:t>
            </w:r>
          </w:p>
        </w:tc>
        <w:tc>
          <w:tcPr>
            <w:tcW w:w="1817" w:type="dxa"/>
            <w:vAlign w:val="center"/>
          </w:tcPr>
          <w:p w14:paraId="5152D443" w14:textId="77777777" w:rsidR="00D946C3" w:rsidRPr="00D946C3" w:rsidRDefault="00D946C3" w:rsidP="004B33A1">
            <w:pPr>
              <w:pStyle w:val="Zv-bodyreport"/>
              <w:ind w:firstLine="0"/>
              <w:jc w:val="left"/>
              <w:rPr>
                <w:sz w:val="20"/>
                <w:szCs w:val="20"/>
                <w:lang w:val="en-US"/>
              </w:rPr>
            </w:pPr>
            <w:r w:rsidRPr="00D946C3">
              <w:rPr>
                <w:sz w:val="20"/>
                <w:szCs w:val="20"/>
                <w:lang w:val="en-US"/>
              </w:rPr>
              <w:t>inventory regulated by NRC</w:t>
            </w:r>
          </w:p>
          <w:p w14:paraId="71A5DD29" w14:textId="77777777" w:rsidR="00D946C3" w:rsidRPr="00D946C3" w:rsidRDefault="00D946C3" w:rsidP="004B33A1">
            <w:pPr>
              <w:pStyle w:val="Zv-bodyreport"/>
              <w:ind w:firstLine="0"/>
              <w:jc w:val="left"/>
              <w:rPr>
                <w:sz w:val="20"/>
                <w:szCs w:val="20"/>
                <w:lang w:val="en-US"/>
              </w:rPr>
            </w:pPr>
            <w:r w:rsidRPr="00D946C3">
              <w:rPr>
                <w:sz w:val="20"/>
                <w:szCs w:val="20"/>
                <w:lang w:val="en-US"/>
              </w:rPr>
              <w:t>alternative regulation for facilities</w:t>
            </w:r>
          </w:p>
        </w:tc>
        <w:tc>
          <w:tcPr>
            <w:tcW w:w="2094" w:type="dxa"/>
            <w:vAlign w:val="center"/>
          </w:tcPr>
          <w:p w14:paraId="03227166" w14:textId="77777777" w:rsidR="00D946C3" w:rsidRPr="00D946C3" w:rsidRDefault="00D946C3" w:rsidP="004B33A1">
            <w:pPr>
              <w:pStyle w:val="Zv-bodyreport"/>
              <w:ind w:firstLine="0"/>
              <w:jc w:val="left"/>
              <w:rPr>
                <w:sz w:val="20"/>
                <w:szCs w:val="20"/>
                <w:lang w:val="en-US"/>
              </w:rPr>
            </w:pPr>
            <w:r w:rsidRPr="00D946C3">
              <w:rPr>
                <w:sz w:val="20"/>
                <w:szCs w:val="20"/>
                <w:lang w:val="en-US"/>
              </w:rPr>
              <w:t>not specified</w:t>
            </w:r>
          </w:p>
        </w:tc>
        <w:tc>
          <w:tcPr>
            <w:tcW w:w="1817" w:type="dxa"/>
            <w:vAlign w:val="center"/>
          </w:tcPr>
          <w:p w14:paraId="5B650123" w14:textId="77777777" w:rsidR="00D946C3" w:rsidRPr="00D946C3" w:rsidRDefault="00D946C3" w:rsidP="004B33A1">
            <w:pPr>
              <w:pStyle w:val="Zv-bodyreport"/>
              <w:ind w:firstLine="0"/>
              <w:jc w:val="left"/>
              <w:rPr>
                <w:sz w:val="20"/>
                <w:szCs w:val="20"/>
                <w:lang w:val="en-US"/>
              </w:rPr>
            </w:pPr>
            <w:r w:rsidRPr="00D946C3">
              <w:rPr>
                <w:sz w:val="20"/>
                <w:szCs w:val="20"/>
                <w:lang w:val="en-US"/>
              </w:rPr>
              <w:t>not specified</w:t>
            </w:r>
          </w:p>
        </w:tc>
      </w:tr>
      <w:tr w:rsidR="00D946C3" w14:paraId="48DC15D7" w14:textId="77777777" w:rsidTr="00975B45">
        <w:trPr>
          <w:trHeight w:val="190"/>
        </w:trPr>
        <w:tc>
          <w:tcPr>
            <w:tcW w:w="1494" w:type="dxa"/>
            <w:vAlign w:val="center"/>
          </w:tcPr>
          <w:p w14:paraId="35DC33E8"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Demonstration facility and its timeline</w:t>
            </w:r>
          </w:p>
        </w:tc>
        <w:tc>
          <w:tcPr>
            <w:tcW w:w="2409" w:type="dxa"/>
            <w:vAlign w:val="center"/>
          </w:tcPr>
          <w:p w14:paraId="5BC00CD8" w14:textId="77777777" w:rsidR="00D946C3" w:rsidRPr="00D946C3" w:rsidRDefault="00D946C3" w:rsidP="004B33A1">
            <w:pPr>
              <w:pStyle w:val="Zv-bodyreport"/>
              <w:ind w:firstLine="0"/>
              <w:jc w:val="left"/>
              <w:rPr>
                <w:sz w:val="20"/>
                <w:szCs w:val="20"/>
                <w:lang w:val="en-US"/>
              </w:rPr>
            </w:pPr>
            <w:r w:rsidRPr="00D946C3">
              <w:rPr>
                <w:sz w:val="20"/>
                <w:szCs w:val="20"/>
                <w:lang w:val="en-US"/>
              </w:rPr>
              <w:t>STEP – spherical tokamak</w:t>
            </w:r>
          </w:p>
          <w:p w14:paraId="71B991D5" w14:textId="77777777" w:rsidR="00D946C3" w:rsidRPr="00D946C3" w:rsidRDefault="00D946C3" w:rsidP="004B33A1">
            <w:pPr>
              <w:pStyle w:val="Zv-bodyreport"/>
              <w:ind w:firstLine="0"/>
              <w:jc w:val="left"/>
              <w:rPr>
                <w:sz w:val="20"/>
                <w:szCs w:val="20"/>
                <w:lang w:val="en-US"/>
              </w:rPr>
            </w:pPr>
            <w:r w:rsidRPr="00D946C3">
              <w:rPr>
                <w:sz w:val="20"/>
                <w:szCs w:val="20"/>
                <w:lang w:val="en-US"/>
              </w:rPr>
              <w:t>Concept design by 2024</w:t>
            </w:r>
          </w:p>
          <w:p w14:paraId="771C90A3" w14:textId="77777777" w:rsidR="00D946C3" w:rsidRPr="00D946C3" w:rsidRDefault="00D946C3" w:rsidP="004B33A1">
            <w:pPr>
              <w:pStyle w:val="Zv-bodyreport"/>
              <w:ind w:firstLine="0"/>
              <w:jc w:val="left"/>
              <w:rPr>
                <w:sz w:val="20"/>
                <w:szCs w:val="20"/>
                <w:lang w:val="en-US"/>
              </w:rPr>
            </w:pPr>
            <w:bookmarkStart w:id="1" w:name="OLE_LINK1"/>
            <w:r w:rsidRPr="00D946C3">
              <w:rPr>
                <w:sz w:val="20"/>
                <w:szCs w:val="20"/>
                <w:lang w:val="en-US"/>
              </w:rPr>
              <w:t>Construction around 2040</w:t>
            </w:r>
            <w:bookmarkEnd w:id="1"/>
          </w:p>
        </w:tc>
        <w:tc>
          <w:tcPr>
            <w:tcW w:w="1817" w:type="dxa"/>
            <w:vAlign w:val="center"/>
          </w:tcPr>
          <w:p w14:paraId="1DE5AB96" w14:textId="77777777" w:rsidR="00D946C3" w:rsidRPr="00D946C3" w:rsidRDefault="00D946C3" w:rsidP="004B33A1">
            <w:pPr>
              <w:pStyle w:val="Zv-bodyreport"/>
              <w:ind w:firstLine="0"/>
              <w:jc w:val="left"/>
              <w:rPr>
                <w:sz w:val="20"/>
                <w:szCs w:val="20"/>
                <w:lang w:val="en-US"/>
              </w:rPr>
            </w:pPr>
            <w:r w:rsidRPr="00D946C3">
              <w:rPr>
                <w:sz w:val="20"/>
                <w:szCs w:val="20"/>
                <w:lang w:val="en-US"/>
              </w:rPr>
              <w:t>not specified</w:t>
            </w:r>
          </w:p>
        </w:tc>
        <w:tc>
          <w:tcPr>
            <w:tcW w:w="2094" w:type="dxa"/>
            <w:vAlign w:val="center"/>
          </w:tcPr>
          <w:p w14:paraId="0EF46267" w14:textId="77777777" w:rsidR="00D946C3" w:rsidRPr="00D946C3" w:rsidRDefault="00D946C3" w:rsidP="004B33A1">
            <w:pPr>
              <w:pStyle w:val="Zv-bodyreport"/>
              <w:ind w:firstLine="0"/>
              <w:jc w:val="left"/>
              <w:rPr>
                <w:sz w:val="20"/>
                <w:szCs w:val="20"/>
                <w:lang w:val="en-US"/>
              </w:rPr>
            </w:pPr>
            <w:r w:rsidRPr="00D946C3">
              <w:rPr>
                <w:sz w:val="20"/>
                <w:szCs w:val="20"/>
                <w:lang w:val="en-US"/>
              </w:rPr>
              <w:t>CFETR for steady-state operation and tritium production (200 MW)</w:t>
            </w:r>
          </w:p>
          <w:p w14:paraId="506FB2C7" w14:textId="77777777" w:rsidR="00D946C3" w:rsidRPr="00D946C3" w:rsidRDefault="00D946C3" w:rsidP="004B33A1">
            <w:pPr>
              <w:pStyle w:val="Zv-bodyreport"/>
              <w:ind w:firstLine="0"/>
              <w:jc w:val="left"/>
              <w:rPr>
                <w:sz w:val="20"/>
                <w:szCs w:val="20"/>
                <w:lang w:val="en-US"/>
              </w:rPr>
            </w:pPr>
            <w:r w:rsidRPr="00D946C3">
              <w:rPr>
                <w:sz w:val="20"/>
                <w:szCs w:val="20"/>
                <w:lang w:val="en-US"/>
              </w:rPr>
              <w:t>Complete in 2030s</w:t>
            </w:r>
          </w:p>
          <w:p w14:paraId="682A6052" w14:textId="77777777" w:rsidR="00D946C3" w:rsidRPr="00D946C3" w:rsidRDefault="00D946C3" w:rsidP="004B33A1">
            <w:pPr>
              <w:pStyle w:val="Zv-bodyreport"/>
              <w:ind w:firstLine="0"/>
              <w:jc w:val="left"/>
              <w:rPr>
                <w:sz w:val="20"/>
                <w:szCs w:val="20"/>
                <w:lang w:val="en-US"/>
              </w:rPr>
            </w:pPr>
            <w:r w:rsidRPr="00D946C3">
              <w:rPr>
                <w:sz w:val="20"/>
                <w:szCs w:val="20"/>
                <w:lang w:val="en-US"/>
              </w:rPr>
              <w:t>Prototype plant in 2050</w:t>
            </w:r>
          </w:p>
        </w:tc>
        <w:tc>
          <w:tcPr>
            <w:tcW w:w="1817" w:type="dxa"/>
            <w:vAlign w:val="center"/>
          </w:tcPr>
          <w:p w14:paraId="3CBE1670" w14:textId="77777777" w:rsidR="00D946C3" w:rsidRPr="00D946C3" w:rsidRDefault="00D946C3" w:rsidP="004B33A1">
            <w:pPr>
              <w:pStyle w:val="Zv-bodyreport"/>
              <w:ind w:firstLine="0"/>
              <w:jc w:val="left"/>
              <w:rPr>
                <w:sz w:val="20"/>
                <w:szCs w:val="20"/>
                <w:lang w:val="en-US"/>
              </w:rPr>
            </w:pPr>
            <w:r w:rsidRPr="00D946C3">
              <w:rPr>
                <w:sz w:val="20"/>
                <w:szCs w:val="20"/>
                <w:lang w:val="en-US"/>
              </w:rPr>
              <w:t>DEMO</w:t>
            </w:r>
          </w:p>
          <w:p w14:paraId="636F88B3" w14:textId="77777777" w:rsidR="00D946C3" w:rsidRPr="00D946C3" w:rsidRDefault="00D946C3" w:rsidP="004B33A1">
            <w:pPr>
              <w:pStyle w:val="Zv-bodyreport"/>
              <w:ind w:firstLine="0"/>
              <w:jc w:val="left"/>
              <w:rPr>
                <w:sz w:val="20"/>
                <w:szCs w:val="20"/>
                <w:lang w:val="en-US"/>
              </w:rPr>
            </w:pPr>
            <w:r w:rsidRPr="00D946C3">
              <w:rPr>
                <w:sz w:val="20"/>
                <w:szCs w:val="20"/>
                <w:lang w:val="en-US"/>
              </w:rPr>
              <w:t>Construction in 2030s</w:t>
            </w:r>
          </w:p>
        </w:tc>
      </w:tr>
      <w:tr w:rsidR="00D946C3" w14:paraId="19A933F0" w14:textId="77777777" w:rsidTr="00975B45">
        <w:trPr>
          <w:trHeight w:val="190"/>
        </w:trPr>
        <w:tc>
          <w:tcPr>
            <w:tcW w:w="1494" w:type="dxa"/>
            <w:vAlign w:val="center"/>
          </w:tcPr>
          <w:p w14:paraId="3E3EB8A4"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Number of private companies</w:t>
            </w:r>
          </w:p>
        </w:tc>
        <w:tc>
          <w:tcPr>
            <w:tcW w:w="2409" w:type="dxa"/>
            <w:vAlign w:val="center"/>
          </w:tcPr>
          <w:p w14:paraId="073E35C3" w14:textId="77777777" w:rsidR="00D946C3" w:rsidRPr="00D946C3" w:rsidRDefault="00D946C3" w:rsidP="004B33A1">
            <w:pPr>
              <w:pStyle w:val="Zv-bodyreport"/>
              <w:ind w:firstLine="0"/>
              <w:jc w:val="left"/>
              <w:rPr>
                <w:sz w:val="20"/>
                <w:szCs w:val="20"/>
                <w:lang w:val="en-US"/>
              </w:rPr>
            </w:pPr>
            <w:r w:rsidRPr="00D946C3">
              <w:rPr>
                <w:sz w:val="20"/>
                <w:szCs w:val="20"/>
                <w:lang w:val="en-US"/>
              </w:rPr>
              <w:t>3</w:t>
            </w:r>
            <w:r w:rsidRPr="00D946C3">
              <w:rPr>
                <w:rStyle w:val="ae"/>
                <w:sz w:val="20"/>
                <w:szCs w:val="20"/>
                <w:lang w:val="en-US"/>
              </w:rPr>
              <w:footnoteReference w:id="4"/>
            </w:r>
          </w:p>
        </w:tc>
        <w:tc>
          <w:tcPr>
            <w:tcW w:w="1817" w:type="dxa"/>
            <w:vAlign w:val="center"/>
          </w:tcPr>
          <w:p w14:paraId="78A12692" w14:textId="77777777" w:rsidR="00D946C3" w:rsidRPr="00D946C3" w:rsidRDefault="00D946C3" w:rsidP="004B33A1">
            <w:pPr>
              <w:pStyle w:val="Zv-bodyreport"/>
              <w:ind w:firstLine="0"/>
              <w:jc w:val="left"/>
              <w:rPr>
                <w:sz w:val="20"/>
                <w:szCs w:val="20"/>
                <w:lang w:val="en-US"/>
              </w:rPr>
            </w:pPr>
            <w:r w:rsidRPr="00D946C3">
              <w:rPr>
                <w:sz w:val="20"/>
                <w:szCs w:val="20"/>
                <w:lang w:val="en-US"/>
              </w:rPr>
              <w:t>21</w:t>
            </w:r>
          </w:p>
        </w:tc>
        <w:tc>
          <w:tcPr>
            <w:tcW w:w="2094" w:type="dxa"/>
            <w:vAlign w:val="center"/>
          </w:tcPr>
          <w:p w14:paraId="595199BC" w14:textId="77777777" w:rsidR="00D946C3" w:rsidRPr="00D946C3" w:rsidRDefault="00D946C3" w:rsidP="004B33A1">
            <w:pPr>
              <w:pStyle w:val="Zv-bodyreport"/>
              <w:ind w:firstLine="0"/>
              <w:jc w:val="left"/>
              <w:rPr>
                <w:sz w:val="20"/>
                <w:szCs w:val="20"/>
                <w:lang w:val="en-US"/>
              </w:rPr>
            </w:pPr>
            <w:r w:rsidRPr="00D946C3">
              <w:rPr>
                <w:sz w:val="20"/>
                <w:szCs w:val="20"/>
                <w:lang w:val="en-US"/>
              </w:rPr>
              <w:t>1</w:t>
            </w:r>
          </w:p>
        </w:tc>
        <w:tc>
          <w:tcPr>
            <w:tcW w:w="1817" w:type="dxa"/>
            <w:vAlign w:val="center"/>
          </w:tcPr>
          <w:p w14:paraId="2A83B450" w14:textId="77777777" w:rsidR="00D946C3" w:rsidRPr="00D946C3" w:rsidRDefault="00D946C3" w:rsidP="004B33A1">
            <w:pPr>
              <w:pStyle w:val="Zv-bodyreport"/>
              <w:ind w:firstLine="0"/>
              <w:jc w:val="left"/>
              <w:rPr>
                <w:sz w:val="20"/>
                <w:szCs w:val="20"/>
                <w:lang w:val="en-US"/>
              </w:rPr>
            </w:pPr>
            <w:r w:rsidRPr="00D946C3">
              <w:rPr>
                <w:sz w:val="20"/>
                <w:szCs w:val="20"/>
                <w:lang w:val="en-US"/>
              </w:rPr>
              <w:t>3</w:t>
            </w:r>
          </w:p>
        </w:tc>
      </w:tr>
      <w:tr w:rsidR="00D946C3" w14:paraId="24AEAA71" w14:textId="77777777" w:rsidTr="00975B45">
        <w:trPr>
          <w:trHeight w:val="251"/>
        </w:trPr>
        <w:tc>
          <w:tcPr>
            <w:tcW w:w="1494" w:type="dxa"/>
            <w:vAlign w:val="center"/>
          </w:tcPr>
          <w:p w14:paraId="0B3A2D9F" w14:textId="77777777" w:rsidR="00D946C3" w:rsidRPr="00D946C3" w:rsidRDefault="00D946C3" w:rsidP="004B33A1">
            <w:pPr>
              <w:pStyle w:val="Zv-bodyreport"/>
              <w:ind w:firstLine="0"/>
              <w:jc w:val="left"/>
              <w:rPr>
                <w:b/>
                <w:bCs/>
                <w:sz w:val="20"/>
                <w:szCs w:val="20"/>
                <w:lang w:val="en-US"/>
              </w:rPr>
            </w:pPr>
            <w:r w:rsidRPr="00D946C3">
              <w:rPr>
                <w:b/>
                <w:bCs/>
                <w:sz w:val="20"/>
                <w:szCs w:val="20"/>
                <w:lang w:val="en-US"/>
              </w:rPr>
              <w:t>Source</w:t>
            </w:r>
          </w:p>
        </w:tc>
        <w:tc>
          <w:tcPr>
            <w:tcW w:w="2409" w:type="dxa"/>
            <w:vAlign w:val="center"/>
          </w:tcPr>
          <w:p w14:paraId="51F4DF6A" w14:textId="014C3D01" w:rsidR="00D946C3" w:rsidRPr="00D946C3" w:rsidRDefault="00D946C3" w:rsidP="004B33A1">
            <w:pPr>
              <w:pStyle w:val="Zv-bodyreport"/>
              <w:ind w:firstLine="0"/>
              <w:jc w:val="left"/>
              <w:rPr>
                <w:sz w:val="20"/>
                <w:szCs w:val="20"/>
                <w:lang w:val="en-US"/>
              </w:rPr>
            </w:pPr>
            <w:r>
              <w:rPr>
                <w:sz w:val="20"/>
                <w:szCs w:val="20"/>
                <w:lang w:val="en-GB"/>
              </w:rPr>
              <w:t>(</w:t>
            </w:r>
            <w:r w:rsidRPr="00D946C3">
              <w:rPr>
                <w:sz w:val="20"/>
                <w:szCs w:val="20"/>
                <w:lang w:val="en-GB"/>
              </w:rPr>
              <w:t>20</w:t>
            </w:r>
            <w:r>
              <w:rPr>
                <w:sz w:val="20"/>
                <w:szCs w:val="20"/>
                <w:lang w:val="en-GB"/>
              </w:rPr>
              <w:t>)</w:t>
            </w:r>
          </w:p>
        </w:tc>
        <w:tc>
          <w:tcPr>
            <w:tcW w:w="1817" w:type="dxa"/>
            <w:vAlign w:val="center"/>
          </w:tcPr>
          <w:p w14:paraId="3A2BB741" w14:textId="2FD72F2E" w:rsidR="00D946C3" w:rsidRPr="00D946C3" w:rsidRDefault="00D946C3" w:rsidP="004B33A1">
            <w:pPr>
              <w:pStyle w:val="Zv-bodyreport"/>
              <w:ind w:firstLine="0"/>
              <w:jc w:val="left"/>
              <w:rPr>
                <w:sz w:val="20"/>
                <w:szCs w:val="20"/>
                <w:lang w:val="en-US"/>
              </w:rPr>
            </w:pPr>
            <w:r>
              <w:rPr>
                <w:sz w:val="20"/>
                <w:szCs w:val="20"/>
                <w:lang w:val="en-GB"/>
              </w:rPr>
              <w:t>(</w:t>
            </w:r>
            <w:r w:rsidRPr="00D946C3">
              <w:rPr>
                <w:sz w:val="20"/>
                <w:szCs w:val="20"/>
                <w:lang w:val="en-GB"/>
              </w:rPr>
              <w:t>21</w:t>
            </w:r>
            <w:r>
              <w:rPr>
                <w:sz w:val="20"/>
                <w:szCs w:val="20"/>
                <w:lang w:val="en-GB"/>
              </w:rPr>
              <w:t>)</w:t>
            </w:r>
          </w:p>
        </w:tc>
        <w:tc>
          <w:tcPr>
            <w:tcW w:w="2094" w:type="dxa"/>
            <w:vAlign w:val="center"/>
          </w:tcPr>
          <w:p w14:paraId="3A2218F9" w14:textId="7A3E04F9" w:rsidR="00D946C3" w:rsidRPr="00D946C3" w:rsidRDefault="00D946C3" w:rsidP="004B33A1">
            <w:pPr>
              <w:pStyle w:val="Zv-bodyreport"/>
              <w:ind w:firstLine="0"/>
              <w:jc w:val="left"/>
              <w:rPr>
                <w:sz w:val="20"/>
                <w:szCs w:val="20"/>
                <w:lang w:val="en-US"/>
              </w:rPr>
            </w:pPr>
            <w:r>
              <w:rPr>
                <w:sz w:val="20"/>
                <w:szCs w:val="20"/>
                <w:lang w:val="en-GB"/>
              </w:rPr>
              <w:t>(</w:t>
            </w:r>
            <w:r w:rsidRPr="00D946C3">
              <w:rPr>
                <w:sz w:val="20"/>
                <w:szCs w:val="20"/>
                <w:lang w:val="en-GB"/>
              </w:rPr>
              <w:t>22</w:t>
            </w:r>
            <w:r>
              <w:rPr>
                <w:sz w:val="20"/>
                <w:szCs w:val="20"/>
                <w:lang w:val="en-GB"/>
              </w:rPr>
              <w:t>)</w:t>
            </w:r>
          </w:p>
        </w:tc>
        <w:tc>
          <w:tcPr>
            <w:tcW w:w="1817" w:type="dxa"/>
            <w:vAlign w:val="center"/>
          </w:tcPr>
          <w:p w14:paraId="4924D290" w14:textId="4272F35E" w:rsidR="00D946C3" w:rsidRPr="00D946C3" w:rsidRDefault="00D946C3" w:rsidP="004B33A1">
            <w:pPr>
              <w:pStyle w:val="Zv-bodyreport"/>
              <w:ind w:firstLine="0"/>
              <w:jc w:val="left"/>
              <w:rPr>
                <w:sz w:val="20"/>
                <w:szCs w:val="20"/>
                <w:lang w:val="en-US"/>
              </w:rPr>
            </w:pPr>
            <w:r>
              <w:rPr>
                <w:sz w:val="20"/>
                <w:szCs w:val="20"/>
                <w:lang w:val="en-GB"/>
              </w:rPr>
              <w:t>(</w:t>
            </w:r>
            <w:r w:rsidRPr="00D946C3">
              <w:rPr>
                <w:sz w:val="20"/>
                <w:szCs w:val="20"/>
                <w:lang w:val="en-GB"/>
              </w:rPr>
              <w:t>23</w:t>
            </w:r>
            <w:r>
              <w:rPr>
                <w:sz w:val="20"/>
                <w:szCs w:val="20"/>
                <w:lang w:val="en-GB"/>
              </w:rPr>
              <w:t>)</w:t>
            </w:r>
          </w:p>
        </w:tc>
      </w:tr>
    </w:tbl>
    <w:p w14:paraId="3BC36039" w14:textId="77777777" w:rsidR="00975B45" w:rsidRPr="00975B45" w:rsidRDefault="00975B45" w:rsidP="00975B45">
      <w:pPr>
        <w:pStyle w:val="Zv-bodyreport"/>
        <w:spacing w:before="280" w:after="280"/>
        <w:ind w:firstLine="0"/>
        <w:rPr>
          <w:rFonts w:eastAsiaTheme="minorHAnsi"/>
          <w:lang w:val="en-GB" w:eastAsia="ar-SA"/>
        </w:rPr>
      </w:pPr>
      <w:r w:rsidRPr="00975B45">
        <w:rPr>
          <w:rFonts w:eastAsiaTheme="minorHAnsi"/>
          <w:lang w:val="en-GB" w:eastAsia="ar-SA"/>
        </w:rPr>
        <w:t xml:space="preserve">Public spending imposes its own limitations (red tape, strict regulation, several levels of reporting etc.) on the already complex subject of scientific research. For these reasons, the </w:t>
      </w:r>
      <w:r w:rsidRPr="00975B45">
        <w:rPr>
          <w:rFonts w:eastAsiaTheme="minorHAnsi"/>
          <w:lang w:val="en-GB" w:eastAsia="ar-SA"/>
        </w:rPr>
        <w:lastRenderedPageBreak/>
        <w:t>progress in fusion energy development for the last decades was slow paced. The difference today is the number of private initiatives. Their entrepreneurship approach makes it possible to achieve significant results with limited resources. Fusion private companies have become a game-changer in the same way, the commercial entrance had changed the American space industry.</w:t>
      </w:r>
    </w:p>
    <w:p w14:paraId="514F2C45" w14:textId="77777777" w:rsidR="00975B45" w:rsidRPr="00975B45" w:rsidRDefault="00975B45" w:rsidP="00975B45">
      <w:pPr>
        <w:pStyle w:val="Zv-bodyreport"/>
        <w:spacing w:before="280" w:after="280"/>
        <w:ind w:firstLine="0"/>
        <w:rPr>
          <w:rFonts w:eastAsiaTheme="minorHAnsi"/>
          <w:lang w:val="en-GB" w:eastAsia="ar-SA"/>
        </w:rPr>
      </w:pPr>
      <w:r w:rsidRPr="00975B45">
        <w:rPr>
          <w:rFonts w:eastAsiaTheme="minorHAnsi"/>
          <w:lang w:val="en-GB" w:eastAsia="ar-SA"/>
        </w:rPr>
        <w:t xml:space="preserve">Unsurprisingly, in 2018 Fusion Industry Association (FIA) was found in the USA as a non-profit independent trade association for the international fusion industry. For the last decade, the number of private fusion companies grew 3 times, and today FIA supports 27 member companies working on different technical approaches. Most of them explore magnetic confinement, especially with tokamaks and </w:t>
      </w:r>
      <w:proofErr w:type="spellStart"/>
      <w:r w:rsidRPr="00975B45">
        <w:rPr>
          <w:rFonts w:eastAsiaTheme="minorHAnsi"/>
          <w:lang w:val="en-GB" w:eastAsia="ar-SA"/>
        </w:rPr>
        <w:t>spheromaks</w:t>
      </w:r>
      <w:proofErr w:type="spellEnd"/>
      <w:r w:rsidRPr="00975B45">
        <w:rPr>
          <w:rFonts w:eastAsiaTheme="minorHAnsi"/>
          <w:lang w:val="en-GB" w:eastAsia="ar-SA"/>
        </w:rPr>
        <w:t xml:space="preserve">, </w:t>
      </w:r>
      <w:proofErr w:type="spellStart"/>
      <w:r w:rsidRPr="00975B45">
        <w:rPr>
          <w:rFonts w:eastAsiaTheme="minorHAnsi"/>
          <w:lang w:val="en-GB" w:eastAsia="ar-SA"/>
        </w:rPr>
        <w:t>f.e</w:t>
      </w:r>
      <w:proofErr w:type="spellEnd"/>
      <w:r w:rsidRPr="00975B45">
        <w:rPr>
          <w:rFonts w:eastAsiaTheme="minorHAnsi"/>
          <w:lang w:val="en-GB" w:eastAsia="ar-SA"/>
        </w:rPr>
        <w:t xml:space="preserve">. CFS, Tokamak Energy, </w:t>
      </w:r>
      <w:proofErr w:type="spellStart"/>
      <w:r w:rsidRPr="00975B45">
        <w:rPr>
          <w:rFonts w:eastAsiaTheme="minorHAnsi"/>
          <w:lang w:val="en-GB" w:eastAsia="ar-SA"/>
        </w:rPr>
        <w:t>CTFusion</w:t>
      </w:r>
      <w:proofErr w:type="spellEnd"/>
      <w:r w:rsidRPr="00975B45">
        <w:rPr>
          <w:rFonts w:eastAsiaTheme="minorHAnsi"/>
          <w:lang w:val="en-GB" w:eastAsia="ar-SA"/>
        </w:rPr>
        <w:t>, etc. The other two most popular concepts are magneto-inertial (General Fusion, TAE Technologies, Zap Energy, etc.) and inertial confinements (First Light, Marvel Fusion, Focused Energy). R</w:t>
      </w:r>
      <w:proofErr w:type="spellStart"/>
      <w:r w:rsidRPr="00975B45">
        <w:rPr>
          <w:rFonts w:eastAsiaTheme="minorHAnsi"/>
          <w:lang w:val="en-GB" w:eastAsia="ar-SA"/>
        </w:rPr>
        <w:t>ecently</w:t>
      </w:r>
      <w:proofErr w:type="spellEnd"/>
      <w:r w:rsidRPr="00975B45">
        <w:rPr>
          <w:rFonts w:eastAsiaTheme="minorHAnsi"/>
          <w:lang w:val="en-GB" w:eastAsia="ar-SA"/>
        </w:rPr>
        <w:t xml:space="preserve">, interest in inertial fusion confinement has increased substantially.    </w:t>
      </w:r>
    </w:p>
    <w:p w14:paraId="5D04C712" w14:textId="14ABE605" w:rsidR="00D946C3" w:rsidRDefault="009B22A3" w:rsidP="00D946C3">
      <w:pPr>
        <w:pStyle w:val="a1"/>
        <w:spacing w:before="280" w:after="280" w:line="240" w:lineRule="auto"/>
        <w:ind w:firstLine="0"/>
        <w:rPr>
          <w:sz w:val="24"/>
          <w:szCs w:val="24"/>
        </w:rPr>
      </w:pPr>
      <w:r w:rsidRPr="00D83133">
        <w:rPr>
          <w:noProof/>
        </w:rPr>
        <w:drawing>
          <wp:inline distT="0" distB="0" distL="0" distR="0" wp14:anchorId="21A40318" wp14:editId="7B6917F7">
            <wp:extent cx="5732145" cy="3389447"/>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3389447"/>
                    </a:xfrm>
                    <a:prstGeom prst="rect">
                      <a:avLst/>
                    </a:prstGeom>
                  </pic:spPr>
                </pic:pic>
              </a:graphicData>
            </a:graphic>
          </wp:inline>
        </w:drawing>
      </w:r>
    </w:p>
    <w:p w14:paraId="47BB78F8" w14:textId="056C149C" w:rsidR="009B22A3" w:rsidRDefault="009B22A3" w:rsidP="009B22A3">
      <w:pPr>
        <w:pStyle w:val="Zv-bodyreport"/>
        <w:ind w:firstLine="0"/>
        <w:jc w:val="center"/>
        <w:rPr>
          <w:i/>
          <w:sz w:val="22"/>
          <w:szCs w:val="22"/>
          <w:lang w:val="en-GB" w:eastAsia="en-US"/>
        </w:rPr>
      </w:pPr>
      <w:r w:rsidRPr="00531652">
        <w:rPr>
          <w:i/>
          <w:sz w:val="22"/>
          <w:szCs w:val="22"/>
          <w:lang w:val="en-GB" w:eastAsia="en-US"/>
        </w:rPr>
        <w:t xml:space="preserve">FIG </w:t>
      </w:r>
      <w:r>
        <w:rPr>
          <w:i/>
          <w:sz w:val="22"/>
          <w:szCs w:val="22"/>
          <w:lang w:val="en-GB" w:eastAsia="en-US"/>
        </w:rPr>
        <w:t>6</w:t>
      </w:r>
      <w:r w:rsidRPr="00531652">
        <w:rPr>
          <w:i/>
          <w:sz w:val="22"/>
          <w:szCs w:val="22"/>
          <w:lang w:val="en-GB" w:eastAsia="en-US"/>
        </w:rPr>
        <w:t xml:space="preserve">. </w:t>
      </w:r>
      <w:r w:rsidRPr="009B22A3">
        <w:rPr>
          <w:i/>
          <w:sz w:val="22"/>
          <w:szCs w:val="22"/>
          <w:lang w:val="en-GB" w:eastAsia="en-US"/>
        </w:rPr>
        <w:t>Fusion industry highlights</w:t>
      </w:r>
    </w:p>
    <w:p w14:paraId="7E1CA67F" w14:textId="26890205" w:rsidR="009B22A3" w:rsidRPr="001F4BE7" w:rsidRDefault="009B22A3" w:rsidP="009B22A3">
      <w:pPr>
        <w:pStyle w:val="Zv-bodyreport"/>
        <w:ind w:firstLine="0"/>
        <w:jc w:val="center"/>
        <w:rPr>
          <w:i/>
          <w:sz w:val="22"/>
          <w:szCs w:val="22"/>
          <w:lang w:val="en-GB" w:eastAsia="en-US"/>
        </w:rPr>
      </w:pPr>
      <w:r w:rsidRPr="00531652">
        <w:rPr>
          <w:i/>
          <w:sz w:val="22"/>
          <w:szCs w:val="22"/>
          <w:lang w:val="en-GB" w:eastAsia="en-US"/>
        </w:rPr>
        <w:t>Source:</w:t>
      </w:r>
      <w:r>
        <w:rPr>
          <w:i/>
          <w:sz w:val="22"/>
          <w:szCs w:val="22"/>
          <w:lang w:val="en-GB" w:eastAsia="en-US"/>
        </w:rPr>
        <w:t xml:space="preserve"> </w:t>
      </w:r>
      <w:r w:rsidRPr="009B22A3">
        <w:rPr>
          <w:i/>
          <w:sz w:val="22"/>
          <w:szCs w:val="22"/>
          <w:lang w:val="en-GB" w:eastAsia="en-US"/>
        </w:rPr>
        <w:t>FIA</w:t>
      </w:r>
      <w:r w:rsidRPr="00531652">
        <w:rPr>
          <w:i/>
          <w:sz w:val="22"/>
          <w:szCs w:val="22"/>
          <w:lang w:val="en-GB" w:eastAsia="en-US"/>
        </w:rPr>
        <w:t xml:space="preserve">                                </w:t>
      </w:r>
      <w:r>
        <w:rPr>
          <w:i/>
          <w:sz w:val="22"/>
          <w:szCs w:val="22"/>
          <w:lang w:val="en-GB" w:eastAsia="en-US"/>
        </w:rPr>
        <w:t xml:space="preserve">              </w:t>
      </w:r>
    </w:p>
    <w:p w14:paraId="047486AF" w14:textId="6D16B5AB" w:rsidR="007C267B" w:rsidRPr="007C267B" w:rsidRDefault="007C267B" w:rsidP="007C267B">
      <w:pPr>
        <w:pStyle w:val="Zv-bodyreport"/>
        <w:spacing w:before="280" w:after="280"/>
        <w:ind w:firstLine="0"/>
        <w:rPr>
          <w:rFonts w:eastAsiaTheme="minorHAnsi"/>
          <w:lang w:val="en-GB" w:eastAsia="ar-SA"/>
        </w:rPr>
      </w:pPr>
      <w:r w:rsidRPr="007C267B">
        <w:rPr>
          <w:rFonts w:eastAsiaTheme="minorHAnsi"/>
          <w:lang w:val="en-GB" w:eastAsia="ar-SA"/>
        </w:rPr>
        <w:t>The most considerable matter from the FIA data Fig</w:t>
      </w:r>
      <w:r>
        <w:rPr>
          <w:rFonts w:eastAsiaTheme="minorHAnsi"/>
          <w:lang w:val="en-GB" w:eastAsia="ar-SA"/>
        </w:rPr>
        <w:t>.</w:t>
      </w:r>
      <w:r w:rsidRPr="007C267B">
        <w:rPr>
          <w:rFonts w:eastAsiaTheme="minorHAnsi"/>
          <w:lang w:val="en-GB" w:eastAsia="ar-SA"/>
        </w:rPr>
        <w:t xml:space="preserve"> 6 is the amount of money has already been invested in fusion start-up companies. Over 100 capitalists had provided more than $4 B for FIA’s members, over $168 M during the first quarter of 2022. Private capital, with a flexible approach within limited resources, is ready to take part in creating a fusion energy source. Almost 5% of total investment in fusion was made by oil and gas majors – Eni, Equinor and Chevron Fig</w:t>
      </w:r>
      <w:r>
        <w:rPr>
          <w:rFonts w:eastAsiaTheme="minorHAnsi"/>
          <w:lang w:val="en-GB" w:eastAsia="ar-SA"/>
        </w:rPr>
        <w:t>.</w:t>
      </w:r>
      <w:r w:rsidRPr="007C267B">
        <w:rPr>
          <w:rFonts w:eastAsiaTheme="minorHAnsi"/>
          <w:lang w:val="en-GB" w:eastAsia="ar-SA"/>
        </w:rPr>
        <w:t xml:space="preserve"> 7. In addition, early 2022 Japanese oil and gas corporation – </w:t>
      </w:r>
      <w:proofErr w:type="spellStart"/>
      <w:r w:rsidRPr="007C267B">
        <w:rPr>
          <w:rFonts w:eastAsiaTheme="minorHAnsi"/>
          <w:lang w:val="en-GB" w:eastAsia="ar-SA"/>
        </w:rPr>
        <w:t>Inpex</w:t>
      </w:r>
      <w:proofErr w:type="spellEnd"/>
      <w:r w:rsidRPr="007C267B">
        <w:rPr>
          <w:rFonts w:eastAsiaTheme="minorHAnsi"/>
          <w:lang w:val="en-GB" w:eastAsia="ar-SA"/>
        </w:rPr>
        <w:t xml:space="preserve"> – has announced </w:t>
      </w:r>
      <w:r>
        <w:rPr>
          <w:rFonts w:eastAsiaTheme="minorHAnsi"/>
          <w:lang w:val="en-GB" w:eastAsia="ar-SA"/>
        </w:rPr>
        <w:t>(</w:t>
      </w:r>
      <w:r w:rsidRPr="007C267B">
        <w:rPr>
          <w:rFonts w:eastAsiaTheme="minorHAnsi"/>
          <w:lang w:val="en-GB" w:eastAsia="ar-SA"/>
        </w:rPr>
        <w:t>24</w:t>
      </w:r>
      <w:r>
        <w:rPr>
          <w:rFonts w:eastAsiaTheme="minorHAnsi"/>
          <w:lang w:val="en-GB" w:eastAsia="ar-SA"/>
        </w:rPr>
        <w:t>)</w:t>
      </w:r>
      <w:r w:rsidRPr="007C267B">
        <w:rPr>
          <w:rFonts w:eastAsiaTheme="minorHAnsi"/>
          <w:lang w:val="en-GB" w:eastAsia="ar-SA"/>
        </w:rPr>
        <w:t xml:space="preserve"> its plan to provide funds for national fusion start-ups and the intention to collaborate with foreign companies.</w:t>
      </w:r>
    </w:p>
    <w:p w14:paraId="055FA219" w14:textId="5947F372" w:rsidR="007C267B" w:rsidRDefault="007C267B" w:rsidP="007C267B">
      <w:pPr>
        <w:pStyle w:val="Zv-bodyreport"/>
        <w:spacing w:before="280" w:after="280"/>
        <w:ind w:firstLine="0"/>
        <w:rPr>
          <w:rFonts w:eastAsiaTheme="minorHAnsi"/>
          <w:lang w:val="en-GB" w:eastAsia="ar-SA"/>
        </w:rPr>
      </w:pPr>
      <w:r w:rsidRPr="007C267B">
        <w:rPr>
          <w:rFonts w:eastAsiaTheme="minorHAnsi"/>
          <w:lang w:val="en-GB" w:eastAsia="ar-SA"/>
        </w:rPr>
        <w:t xml:space="preserve">Famous billionaires such as Jeff Bezos, Bill Gates and George Soros have already asserted fusion and spent their own money on its development. Among investors, significant share (62%) is gained by Private equity and Venture capital funds. Some funds have even </w:t>
      </w:r>
      <w:r w:rsidRPr="007C267B">
        <w:rPr>
          <w:rFonts w:eastAsiaTheme="minorHAnsi"/>
          <w:lang w:val="en-GB" w:eastAsia="ar-SA"/>
        </w:rPr>
        <w:lastRenderedPageBreak/>
        <w:t xml:space="preserve">diversified their fusion portfolios and invested in more than 1 start-ups: Temasek, Google Ventures, Jameel Investment and </w:t>
      </w:r>
      <w:proofErr w:type="spellStart"/>
      <w:r w:rsidRPr="007C267B">
        <w:rPr>
          <w:rFonts w:eastAsiaTheme="minorHAnsi"/>
          <w:lang w:val="en-GB" w:eastAsia="ar-SA"/>
        </w:rPr>
        <w:t>LowerCarbon</w:t>
      </w:r>
      <w:proofErr w:type="spellEnd"/>
      <w:r w:rsidRPr="007C267B">
        <w:rPr>
          <w:rFonts w:eastAsiaTheme="minorHAnsi"/>
          <w:lang w:val="en-GB" w:eastAsia="ar-SA"/>
        </w:rPr>
        <w:t xml:space="preserve">. Others – Energy Impact Partner and </w:t>
      </w:r>
      <w:proofErr w:type="spellStart"/>
      <w:r w:rsidRPr="007C267B">
        <w:rPr>
          <w:rFonts w:eastAsiaTheme="minorHAnsi"/>
          <w:lang w:val="en-GB" w:eastAsia="ar-SA"/>
        </w:rPr>
        <w:t>LowerCarbon</w:t>
      </w:r>
      <w:proofErr w:type="spellEnd"/>
      <w:r w:rsidRPr="007C267B">
        <w:rPr>
          <w:rFonts w:eastAsiaTheme="minorHAnsi"/>
          <w:lang w:val="en-GB" w:eastAsia="ar-SA"/>
        </w:rPr>
        <w:t xml:space="preserve"> – have declared creation of new funds with focus on the fusion technology. With the apparent aim of multiple yields on their investment via increase in enterprise value, they recognize the viability of business models of existing start-ups and believe in future market growth. </w:t>
      </w:r>
    </w:p>
    <w:p w14:paraId="3853537A" w14:textId="47F3C6DC" w:rsidR="00DD60A5" w:rsidRPr="007C267B" w:rsidRDefault="00DD60A5" w:rsidP="00DD60A5">
      <w:pPr>
        <w:pStyle w:val="Zv-bodyreport"/>
        <w:spacing w:before="280" w:after="280"/>
        <w:ind w:firstLine="0"/>
        <w:jc w:val="center"/>
        <w:rPr>
          <w:rFonts w:eastAsiaTheme="minorHAnsi"/>
          <w:lang w:val="en-GB" w:eastAsia="ar-SA"/>
        </w:rPr>
      </w:pPr>
      <w:r>
        <w:rPr>
          <w:noProof/>
        </w:rPr>
        <w:drawing>
          <wp:inline distT="0" distB="0" distL="0" distR="0" wp14:anchorId="6E20D03E" wp14:editId="7BE1D10F">
            <wp:extent cx="3784600" cy="22790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804954" cy="2291342"/>
                    </a:xfrm>
                    <a:prstGeom prst="rect">
                      <a:avLst/>
                    </a:prstGeom>
                  </pic:spPr>
                </pic:pic>
              </a:graphicData>
            </a:graphic>
          </wp:inline>
        </w:drawing>
      </w:r>
    </w:p>
    <w:p w14:paraId="2E371B90" w14:textId="5B62CE02" w:rsidR="00DD60A5" w:rsidRDefault="00DD60A5" w:rsidP="00DD60A5">
      <w:pPr>
        <w:pStyle w:val="Zv-bodyreport"/>
        <w:ind w:firstLine="0"/>
        <w:jc w:val="center"/>
        <w:rPr>
          <w:i/>
          <w:sz w:val="22"/>
          <w:szCs w:val="22"/>
          <w:lang w:val="en-GB" w:eastAsia="en-US"/>
        </w:rPr>
      </w:pPr>
      <w:r w:rsidRPr="00531652">
        <w:rPr>
          <w:i/>
          <w:sz w:val="22"/>
          <w:szCs w:val="22"/>
          <w:lang w:val="en-GB" w:eastAsia="en-US"/>
        </w:rPr>
        <w:t xml:space="preserve">FIG </w:t>
      </w:r>
      <w:r w:rsidRPr="00DD60A5">
        <w:rPr>
          <w:i/>
          <w:sz w:val="22"/>
          <w:szCs w:val="22"/>
          <w:lang w:val="en-US" w:eastAsia="en-US"/>
        </w:rPr>
        <w:t>7</w:t>
      </w:r>
      <w:r w:rsidRPr="00531652">
        <w:rPr>
          <w:i/>
          <w:sz w:val="22"/>
          <w:szCs w:val="22"/>
          <w:lang w:val="en-GB" w:eastAsia="en-US"/>
        </w:rPr>
        <w:t xml:space="preserve">. </w:t>
      </w:r>
      <w:r w:rsidRPr="00DD60A5">
        <w:rPr>
          <w:i/>
          <w:sz w:val="22"/>
          <w:szCs w:val="22"/>
          <w:lang w:val="en-GB" w:eastAsia="en-US"/>
        </w:rPr>
        <w:t>Fusion investors analysis</w:t>
      </w:r>
    </w:p>
    <w:p w14:paraId="67916F8F" w14:textId="55F12432" w:rsidR="00D946C3" w:rsidRPr="00DD60A5" w:rsidRDefault="00DD60A5" w:rsidP="00DD60A5">
      <w:pPr>
        <w:pStyle w:val="Zv-bodyreport"/>
        <w:ind w:firstLine="0"/>
        <w:jc w:val="center"/>
        <w:rPr>
          <w:i/>
          <w:sz w:val="22"/>
          <w:szCs w:val="22"/>
          <w:lang w:val="en-GB" w:eastAsia="en-US"/>
        </w:rPr>
      </w:pPr>
      <w:r w:rsidRPr="00531652">
        <w:rPr>
          <w:i/>
          <w:sz w:val="22"/>
          <w:szCs w:val="22"/>
          <w:lang w:val="en-GB" w:eastAsia="en-US"/>
        </w:rPr>
        <w:t>Source:</w:t>
      </w:r>
      <w:r>
        <w:rPr>
          <w:i/>
          <w:sz w:val="22"/>
          <w:szCs w:val="22"/>
          <w:lang w:val="en-GB" w:eastAsia="en-US"/>
        </w:rPr>
        <w:t xml:space="preserve"> </w:t>
      </w:r>
      <w:r w:rsidRPr="00DD60A5">
        <w:rPr>
          <w:i/>
          <w:sz w:val="22"/>
          <w:szCs w:val="22"/>
          <w:lang w:val="en-GB" w:eastAsia="en-US"/>
        </w:rPr>
        <w:t>FIA, author’s estimatio</w:t>
      </w:r>
      <w:r>
        <w:rPr>
          <w:i/>
          <w:sz w:val="22"/>
          <w:szCs w:val="22"/>
          <w:lang w:val="en-GB" w:eastAsia="en-US"/>
        </w:rPr>
        <w:t>n</w:t>
      </w:r>
    </w:p>
    <w:p w14:paraId="0846F5B2" w14:textId="5FE0F4CC" w:rsidR="00DD60A5" w:rsidRPr="00DD60A5" w:rsidRDefault="00DD60A5" w:rsidP="00DD60A5">
      <w:pPr>
        <w:overflowPunct/>
        <w:autoSpaceDE/>
        <w:autoSpaceDN/>
        <w:adjustRightInd/>
        <w:spacing w:before="280" w:after="280"/>
        <w:jc w:val="both"/>
        <w:textAlignment w:val="auto"/>
        <w:rPr>
          <w:rFonts w:eastAsiaTheme="minorHAnsi"/>
          <w:sz w:val="24"/>
          <w:szCs w:val="24"/>
          <w:lang w:eastAsia="ar-SA"/>
        </w:rPr>
      </w:pPr>
      <w:r w:rsidRPr="00DD60A5">
        <w:rPr>
          <w:rFonts w:eastAsiaTheme="minorHAnsi"/>
          <w:sz w:val="24"/>
          <w:szCs w:val="24"/>
          <w:lang w:eastAsia="ar-SA"/>
        </w:rPr>
        <w:t>As well as the diversity of technical approaches, fusion companies propose a variety of business models. Three leading FIA’s members – CFS, Helion Energy and General Fusion have raised over $3 B of the total private investment. All of them have completely different monetization plans. CFS developing tokamak reactor is going to get first dollar revenue by selling superconducting magnets and now builds its manufacturing plant. Meanwhile Helion Energy advocating magneto-inertial confinement with D-He3 fuel mix suggests recapturing as electricity the change in field induces current. This clean fusion electricity will power homes, communities and provide cash flows for Helion Energy. According to FIA’s members estimations, we might to wait for the first fusion kilowatt in to a grid in the 2030s Fig</w:t>
      </w:r>
      <w:r w:rsidR="00A51D5E">
        <w:rPr>
          <w:rFonts w:eastAsiaTheme="minorHAnsi"/>
          <w:sz w:val="24"/>
          <w:szCs w:val="24"/>
          <w:lang w:eastAsia="ar-SA"/>
        </w:rPr>
        <w:t>.</w:t>
      </w:r>
      <w:r w:rsidRPr="00DD60A5">
        <w:rPr>
          <w:rFonts w:eastAsiaTheme="minorHAnsi"/>
          <w:sz w:val="24"/>
          <w:szCs w:val="24"/>
          <w:lang w:eastAsia="ar-SA"/>
        </w:rPr>
        <w:t xml:space="preserve"> 6.</w:t>
      </w:r>
    </w:p>
    <w:p w14:paraId="7254EFF6" w14:textId="1C2FB019" w:rsidR="00DD60A5" w:rsidRDefault="00DD60A5" w:rsidP="00DD60A5">
      <w:pPr>
        <w:overflowPunct/>
        <w:autoSpaceDE/>
        <w:autoSpaceDN/>
        <w:adjustRightInd/>
        <w:spacing w:before="280" w:after="280"/>
        <w:jc w:val="both"/>
        <w:textAlignment w:val="auto"/>
        <w:rPr>
          <w:rFonts w:eastAsiaTheme="minorHAnsi"/>
          <w:sz w:val="24"/>
          <w:szCs w:val="24"/>
          <w:lang w:eastAsia="ar-SA"/>
        </w:rPr>
      </w:pPr>
      <w:r w:rsidRPr="00DD60A5">
        <w:rPr>
          <w:rFonts w:eastAsiaTheme="minorHAnsi"/>
          <w:sz w:val="24"/>
          <w:szCs w:val="24"/>
          <w:lang w:eastAsia="ar-SA"/>
        </w:rPr>
        <w:t xml:space="preserve">If and when fusion is proven at scale, it is likely to be disruptive energy technology, but it is necessary to validate its competitiveness among existing approaches. Analysing supply side, get the estimation of possible LCOE for fusion power plant with 400 MW installed capacity Table 4 with existing references on capital expenditures (CAPEX) and operational costs (OPEX) for fusion power plant Table 3. </w:t>
      </w:r>
      <w:r w:rsidR="00A51D5E">
        <w:rPr>
          <w:rFonts w:eastAsiaTheme="minorHAnsi"/>
          <w:sz w:val="24"/>
          <w:szCs w:val="24"/>
          <w:lang w:eastAsia="ar-SA"/>
        </w:rPr>
        <w:t>F</w:t>
      </w:r>
      <w:r w:rsidRPr="00DD60A5">
        <w:rPr>
          <w:rFonts w:eastAsiaTheme="minorHAnsi"/>
          <w:sz w:val="24"/>
          <w:szCs w:val="24"/>
          <w:lang w:eastAsia="ar-SA"/>
        </w:rPr>
        <w:t xml:space="preserve">or LCOE </w:t>
      </w:r>
      <w:r w:rsidR="00A51D5E">
        <w:rPr>
          <w:rFonts w:eastAsiaTheme="minorHAnsi"/>
          <w:sz w:val="24"/>
          <w:szCs w:val="24"/>
          <w:lang w:eastAsia="ar-SA"/>
        </w:rPr>
        <w:t>see Eq. (1) below</w:t>
      </w:r>
      <w:r w:rsidR="00A51D5E">
        <w:rPr>
          <w:rStyle w:val="ae"/>
          <w:rFonts w:eastAsiaTheme="minorHAnsi"/>
          <w:sz w:val="24"/>
          <w:szCs w:val="24"/>
          <w:lang w:eastAsia="ar-SA"/>
        </w:rPr>
        <w:footnoteReference w:id="5"/>
      </w:r>
      <w:r w:rsidRPr="00DD60A5">
        <w:rPr>
          <w:rFonts w:eastAsiaTheme="minorHAnsi"/>
          <w:sz w:val="24"/>
          <w:szCs w:val="24"/>
          <w:lang w:eastAsia="ar-SA"/>
        </w:rPr>
        <w:t>:</w:t>
      </w:r>
    </w:p>
    <w:p w14:paraId="0A0C5B3C" w14:textId="3AE375B1" w:rsidR="00A51D5E" w:rsidRDefault="00A51D5E" w:rsidP="00A51D5E">
      <w:pPr>
        <w:pStyle w:val="Zv-bodyreport"/>
        <w:jc w:val="center"/>
        <w:rPr>
          <w:lang w:val="en-GB"/>
        </w:rPr>
      </w:pPr>
      <m:oMath>
        <m:r>
          <w:rPr>
            <w:rFonts w:ascii="Cambria Math" w:hAnsi="Cambria Math" w:cs="Cambria Math"/>
            <w:lang w:val="en-GB"/>
          </w:rPr>
          <m:t xml:space="preserve">                                                    </m:t>
        </m:r>
        <m:r>
          <w:rPr>
            <w:rFonts w:ascii="Cambria Math" w:hAnsi="Cambria Math" w:cs="Cambria Math"/>
            <w:lang w:val="en-GB"/>
          </w:rPr>
          <m:t>LCOE</m:t>
        </m:r>
        <m:r>
          <m:rPr>
            <m:sty m:val="p"/>
          </m:rPr>
          <w:rPr>
            <w:rFonts w:ascii="Cambria Math" w:hAnsi="Cambria Math" w:cs="Cambria Math"/>
            <w:lang w:val="en-GB"/>
          </w:rPr>
          <m:t>=</m:t>
        </m:r>
        <m:f>
          <m:fPr>
            <m:ctrlPr>
              <w:rPr>
                <w:rFonts w:ascii="Cambria Math" w:hAnsi="Cambria Math"/>
                <w:lang w:val="en-GB"/>
              </w:rPr>
            </m:ctrlPr>
          </m:fPr>
          <m:num>
            <m:nary>
              <m:naryPr>
                <m:chr m:val="∑"/>
                <m:limLoc m:val="undOvr"/>
                <m:ctrlPr>
                  <w:rPr>
                    <w:rFonts w:ascii="Cambria Math" w:hAnsi="Cambria Math" w:cs="Cambria Math"/>
                    <w:lang w:val="en-GB"/>
                  </w:rPr>
                </m:ctrlPr>
              </m:naryPr>
              <m:sub>
                <m:r>
                  <w:rPr>
                    <w:rFonts w:ascii="Cambria Math" w:hAnsi="Cambria Math" w:cs="Cambria Math"/>
                    <w:lang w:val="en-GB"/>
                  </w:rPr>
                  <m:t>n=0</m:t>
                </m:r>
              </m:sub>
              <m:sup>
                <m:r>
                  <w:rPr>
                    <w:rFonts w:ascii="Cambria Math" w:hAnsi="Cambria Math" w:cs="Cambria Math"/>
                    <w:lang w:val="en-GB"/>
                  </w:rPr>
                  <m:t>N</m:t>
                </m:r>
              </m:sup>
              <m:e>
                <m:f>
                  <m:fPr>
                    <m:ctrlPr>
                      <w:rPr>
                        <w:rFonts w:ascii="Cambria Math" w:hAnsi="Cambria Math" w:cs="Cambria Math"/>
                        <w:i/>
                        <w:lang w:val="en-GB"/>
                      </w:rPr>
                    </m:ctrlPr>
                  </m:fPr>
                  <m:num>
                    <m:sSub>
                      <m:sSubPr>
                        <m:ctrlPr>
                          <w:rPr>
                            <w:rFonts w:ascii="Cambria Math" w:hAnsi="Cambria Math" w:cs="Cambria Math"/>
                            <w:i/>
                            <w:lang w:val="en-GB"/>
                          </w:rPr>
                        </m:ctrlPr>
                      </m:sSubPr>
                      <m:e>
                        <m:r>
                          <w:rPr>
                            <w:rFonts w:ascii="Cambria Math" w:hAnsi="Cambria Math" w:cs="Cambria Math"/>
                            <w:lang w:val="en-GB"/>
                          </w:rPr>
                          <m:t>CAPEX</m:t>
                        </m:r>
                      </m:e>
                      <m:sub>
                        <m:r>
                          <w:rPr>
                            <w:rFonts w:ascii="Cambria Math" w:hAnsi="Cambria Math" w:cs="Cambria Math"/>
                            <w:lang w:val="en-GB"/>
                          </w:rPr>
                          <m:t>n</m:t>
                        </m:r>
                      </m:sub>
                    </m:sSub>
                  </m:num>
                  <m:den>
                    <m:sSup>
                      <m:sSupPr>
                        <m:ctrlPr>
                          <w:rPr>
                            <w:rFonts w:ascii="Cambria Math" w:hAnsi="Cambria Math" w:cs="Cambria Math"/>
                            <w:i/>
                            <w:lang w:val="en-GB"/>
                          </w:rPr>
                        </m:ctrlPr>
                      </m:sSupPr>
                      <m:e>
                        <m:r>
                          <w:rPr>
                            <w:rFonts w:ascii="Cambria Math" w:hAnsi="Cambria Math" w:cs="Cambria Math"/>
                            <w:lang w:val="en-GB"/>
                          </w:rPr>
                          <m:t>(1+r)</m:t>
                        </m:r>
                      </m:e>
                      <m:sup>
                        <m:r>
                          <w:rPr>
                            <w:rFonts w:ascii="Cambria Math" w:hAnsi="Cambria Math" w:cs="Cambria Math"/>
                            <w:lang w:val="en-GB"/>
                          </w:rPr>
                          <m:t>n</m:t>
                        </m:r>
                      </m:sup>
                    </m:sSup>
                  </m:den>
                </m:f>
              </m:e>
            </m:nary>
            <m:r>
              <m:rPr>
                <m:sty m:val="p"/>
              </m:rPr>
              <w:rPr>
                <w:rFonts w:ascii="Cambria Math" w:hAnsi="Cambria Math" w:cs="Cambria Math"/>
                <w:lang w:val="en-GB"/>
              </w:rPr>
              <m:t xml:space="preserve"> + </m:t>
            </m:r>
            <m:nary>
              <m:naryPr>
                <m:chr m:val="∑"/>
                <m:limLoc m:val="undOvr"/>
                <m:ctrlPr>
                  <w:rPr>
                    <w:rFonts w:ascii="Cambria Math" w:hAnsi="Cambria Math" w:cs="Cambria Math"/>
                    <w:lang w:val="en-GB"/>
                  </w:rPr>
                </m:ctrlPr>
              </m:naryPr>
              <m:sub>
                <m:r>
                  <w:rPr>
                    <w:rFonts w:ascii="Cambria Math" w:hAnsi="Cambria Math" w:cs="Cambria Math"/>
                    <w:lang w:val="en-GB"/>
                  </w:rPr>
                  <m:t>n=0</m:t>
                </m:r>
              </m:sub>
              <m:sup>
                <m:r>
                  <w:rPr>
                    <w:rFonts w:ascii="Cambria Math" w:hAnsi="Cambria Math" w:cs="Cambria Math"/>
                    <w:lang w:val="en-GB"/>
                  </w:rPr>
                  <m:t>N</m:t>
                </m:r>
              </m:sup>
              <m:e>
                <m:f>
                  <m:fPr>
                    <m:ctrlPr>
                      <w:rPr>
                        <w:rFonts w:ascii="Cambria Math" w:hAnsi="Cambria Math" w:cs="Cambria Math"/>
                        <w:i/>
                        <w:lang w:val="en-GB"/>
                      </w:rPr>
                    </m:ctrlPr>
                  </m:fPr>
                  <m:num>
                    <m:sSub>
                      <m:sSubPr>
                        <m:ctrlPr>
                          <w:rPr>
                            <w:rFonts w:ascii="Cambria Math" w:hAnsi="Cambria Math" w:cs="Cambria Math"/>
                            <w:i/>
                            <w:lang w:val="en-GB"/>
                          </w:rPr>
                        </m:ctrlPr>
                      </m:sSubPr>
                      <m:e>
                        <m:r>
                          <w:rPr>
                            <w:rFonts w:ascii="Cambria Math" w:hAnsi="Cambria Math" w:cs="Cambria Math"/>
                            <w:lang w:val="en-GB"/>
                          </w:rPr>
                          <m:t>OPEX</m:t>
                        </m:r>
                      </m:e>
                      <m:sub>
                        <m:r>
                          <w:rPr>
                            <w:rFonts w:ascii="Cambria Math" w:hAnsi="Cambria Math" w:cs="Cambria Math"/>
                            <w:lang w:val="en-GB"/>
                          </w:rPr>
                          <m:t>n</m:t>
                        </m:r>
                      </m:sub>
                    </m:sSub>
                  </m:num>
                  <m:den>
                    <m:sSup>
                      <m:sSupPr>
                        <m:ctrlPr>
                          <w:rPr>
                            <w:rFonts w:ascii="Cambria Math" w:hAnsi="Cambria Math" w:cs="Cambria Math"/>
                            <w:i/>
                            <w:lang w:val="en-GB"/>
                          </w:rPr>
                        </m:ctrlPr>
                      </m:sSupPr>
                      <m:e>
                        <m:r>
                          <w:rPr>
                            <w:rFonts w:ascii="Cambria Math" w:hAnsi="Cambria Math" w:cs="Cambria Math"/>
                            <w:lang w:val="en-GB"/>
                          </w:rPr>
                          <m:t>(1+r)</m:t>
                        </m:r>
                      </m:e>
                      <m:sup>
                        <m:r>
                          <w:rPr>
                            <w:rFonts w:ascii="Cambria Math" w:hAnsi="Cambria Math" w:cs="Cambria Math"/>
                            <w:lang w:val="en-GB"/>
                          </w:rPr>
                          <m:t>n</m:t>
                        </m:r>
                      </m:sup>
                    </m:sSup>
                  </m:den>
                </m:f>
              </m:e>
            </m:nary>
          </m:num>
          <m:den>
            <m:nary>
              <m:naryPr>
                <m:chr m:val="∑"/>
                <m:limLoc m:val="undOvr"/>
                <m:ctrlPr>
                  <w:rPr>
                    <w:rFonts w:ascii="Cambria Math" w:hAnsi="Cambria Math" w:cs="Cambria Math"/>
                    <w:lang w:val="en-GB"/>
                  </w:rPr>
                </m:ctrlPr>
              </m:naryPr>
              <m:sub>
                <m:r>
                  <w:rPr>
                    <w:rFonts w:ascii="Cambria Math" w:hAnsi="Cambria Math" w:cs="Cambria Math"/>
                    <w:lang w:val="en-GB"/>
                  </w:rPr>
                  <m:t>n=0</m:t>
                </m:r>
              </m:sub>
              <m:sup>
                <m:r>
                  <w:rPr>
                    <w:rFonts w:ascii="Cambria Math" w:hAnsi="Cambria Math" w:cs="Cambria Math"/>
                    <w:lang w:val="en-GB"/>
                  </w:rPr>
                  <m:t>N</m:t>
                </m:r>
              </m:sup>
              <m:e>
                <m:f>
                  <m:fPr>
                    <m:ctrlPr>
                      <w:rPr>
                        <w:rFonts w:ascii="Cambria Math" w:hAnsi="Cambria Math" w:cs="Cambria Math"/>
                        <w:i/>
                        <w:lang w:val="en-GB"/>
                      </w:rPr>
                    </m:ctrlPr>
                  </m:fPr>
                  <m:num>
                    <m:sSub>
                      <m:sSubPr>
                        <m:ctrlPr>
                          <w:rPr>
                            <w:rFonts w:ascii="Cambria Math" w:hAnsi="Cambria Math" w:cs="Cambria Math"/>
                            <w:i/>
                            <w:lang w:val="en-GB"/>
                          </w:rPr>
                        </m:ctrlPr>
                      </m:sSubPr>
                      <m:e>
                        <m:r>
                          <w:rPr>
                            <w:rFonts w:ascii="Cambria Math" w:hAnsi="Cambria Math" w:cs="Cambria Math"/>
                            <w:lang w:val="en-GB"/>
                          </w:rPr>
                          <m:t>Energy output</m:t>
                        </m:r>
                      </m:e>
                      <m:sub>
                        <m:r>
                          <w:rPr>
                            <w:rFonts w:ascii="Cambria Math" w:hAnsi="Cambria Math" w:cs="Cambria Math"/>
                            <w:lang w:val="en-GB"/>
                          </w:rPr>
                          <m:t>n</m:t>
                        </m:r>
                      </m:sub>
                    </m:sSub>
                  </m:num>
                  <m:den>
                    <m:sSup>
                      <m:sSupPr>
                        <m:ctrlPr>
                          <w:rPr>
                            <w:rFonts w:ascii="Cambria Math" w:hAnsi="Cambria Math" w:cs="Cambria Math"/>
                            <w:i/>
                            <w:lang w:val="en-GB"/>
                          </w:rPr>
                        </m:ctrlPr>
                      </m:sSupPr>
                      <m:e>
                        <m:r>
                          <w:rPr>
                            <w:rFonts w:ascii="Cambria Math" w:hAnsi="Cambria Math" w:cs="Cambria Math"/>
                            <w:lang w:val="en-GB"/>
                          </w:rPr>
                          <m:t>(1+r)</m:t>
                        </m:r>
                      </m:e>
                      <m:sup>
                        <m:r>
                          <w:rPr>
                            <w:rFonts w:ascii="Cambria Math" w:hAnsi="Cambria Math" w:cs="Cambria Math"/>
                            <w:lang w:val="en-GB"/>
                          </w:rPr>
                          <m:t>n</m:t>
                        </m:r>
                      </m:sup>
                    </m:sSup>
                  </m:den>
                </m:f>
              </m:e>
            </m:nary>
          </m:den>
        </m:f>
        <m:r>
          <w:rPr>
            <w:rFonts w:ascii="Cambria Math" w:hAnsi="Cambria Math"/>
            <w:lang w:val="en-GB"/>
          </w:rPr>
          <m:t xml:space="preserve">                                              </m:t>
        </m:r>
      </m:oMath>
      <w:r>
        <w:rPr>
          <w:lang w:val="en-GB"/>
        </w:rPr>
        <w:t xml:space="preserve">  (1)</w:t>
      </w:r>
    </w:p>
    <w:p w14:paraId="405B41B9" w14:textId="77777777" w:rsidR="003C3379" w:rsidRDefault="003C3379" w:rsidP="00DD60A5">
      <w:pPr>
        <w:overflowPunct/>
        <w:autoSpaceDE/>
        <w:autoSpaceDN/>
        <w:adjustRightInd/>
        <w:spacing w:before="280" w:after="280"/>
        <w:jc w:val="both"/>
        <w:textAlignment w:val="auto"/>
        <w:rPr>
          <w:sz w:val="24"/>
          <w:szCs w:val="24"/>
        </w:rPr>
      </w:pPr>
    </w:p>
    <w:p w14:paraId="64B6E8BA" w14:textId="77777777" w:rsidR="003C3379" w:rsidRDefault="003C3379" w:rsidP="00DD60A5">
      <w:pPr>
        <w:overflowPunct/>
        <w:autoSpaceDE/>
        <w:autoSpaceDN/>
        <w:adjustRightInd/>
        <w:spacing w:before="280" w:after="280"/>
        <w:jc w:val="both"/>
        <w:textAlignment w:val="auto"/>
        <w:rPr>
          <w:sz w:val="24"/>
          <w:szCs w:val="24"/>
        </w:rPr>
      </w:pPr>
    </w:p>
    <w:p w14:paraId="6C83742A" w14:textId="07F5331F" w:rsidR="00A51D5E" w:rsidRDefault="003C3379" w:rsidP="00DD60A5">
      <w:pPr>
        <w:overflowPunct/>
        <w:autoSpaceDE/>
        <w:autoSpaceDN/>
        <w:adjustRightInd/>
        <w:spacing w:before="280" w:after="280"/>
        <w:jc w:val="both"/>
        <w:textAlignment w:val="auto"/>
        <w:rPr>
          <w:sz w:val="24"/>
          <w:szCs w:val="24"/>
        </w:rPr>
      </w:pPr>
      <w:r w:rsidRPr="00DF3A79">
        <w:rPr>
          <w:sz w:val="24"/>
          <w:szCs w:val="24"/>
        </w:rPr>
        <w:lastRenderedPageBreak/>
        <w:t xml:space="preserve">TABLE </w:t>
      </w:r>
      <w:r>
        <w:rPr>
          <w:sz w:val="24"/>
          <w:szCs w:val="24"/>
        </w:rPr>
        <w:t>3</w:t>
      </w:r>
      <w:r w:rsidRPr="00DF3A79">
        <w:rPr>
          <w:sz w:val="24"/>
          <w:szCs w:val="24"/>
        </w:rPr>
        <w:t>.</w:t>
      </w:r>
      <w:r w:rsidRPr="00DF3A79">
        <w:rPr>
          <w:sz w:val="24"/>
          <w:szCs w:val="24"/>
        </w:rPr>
        <w:tab/>
      </w:r>
      <w:r w:rsidRPr="003C3379">
        <w:rPr>
          <w:sz w:val="24"/>
          <w:szCs w:val="24"/>
        </w:rPr>
        <w:t xml:space="preserve">CAPEX </w:t>
      </w:r>
      <w:r w:rsidRPr="003C3379">
        <w:rPr>
          <w:sz w:val="24"/>
          <w:szCs w:val="24"/>
        </w:rPr>
        <w:t>AND</w:t>
      </w:r>
      <w:r w:rsidRPr="003C3379">
        <w:rPr>
          <w:sz w:val="24"/>
          <w:szCs w:val="24"/>
        </w:rPr>
        <w:t xml:space="preserve"> OPEX </w:t>
      </w:r>
      <w:r w:rsidRPr="003C3379">
        <w:rPr>
          <w:sz w:val="24"/>
          <w:szCs w:val="24"/>
        </w:rPr>
        <w:t>ESTIMATION IN 2020 PRICES</w:t>
      </w:r>
    </w:p>
    <w:tbl>
      <w:tblPr>
        <w:tblStyle w:val="af"/>
        <w:tblW w:w="0" w:type="auto"/>
        <w:tblLook w:val="04A0" w:firstRow="1" w:lastRow="0" w:firstColumn="1" w:lastColumn="0" w:noHBand="0" w:noVBand="1"/>
      </w:tblPr>
      <w:tblGrid>
        <w:gridCol w:w="394"/>
        <w:gridCol w:w="1323"/>
        <w:gridCol w:w="1587"/>
        <w:gridCol w:w="1583"/>
        <w:gridCol w:w="1569"/>
        <w:gridCol w:w="1295"/>
        <w:gridCol w:w="1492"/>
      </w:tblGrid>
      <w:tr w:rsidR="003C3379" w14:paraId="39B10BFB" w14:textId="77777777" w:rsidTr="00AF4C4A">
        <w:tc>
          <w:tcPr>
            <w:tcW w:w="394" w:type="dxa"/>
            <w:vAlign w:val="center"/>
          </w:tcPr>
          <w:p w14:paraId="7FB5EFD7" w14:textId="77777777" w:rsidR="003C3379" w:rsidRPr="003C3379" w:rsidRDefault="003C3379" w:rsidP="004B33A1">
            <w:pPr>
              <w:pStyle w:val="Zv-bodyreport"/>
              <w:ind w:firstLine="0"/>
              <w:jc w:val="left"/>
              <w:rPr>
                <w:b/>
                <w:bCs/>
                <w:sz w:val="22"/>
                <w:szCs w:val="22"/>
                <w:lang w:val="en-GB"/>
              </w:rPr>
            </w:pPr>
            <w:r w:rsidRPr="003C3379">
              <w:rPr>
                <w:b/>
                <w:bCs/>
                <w:sz w:val="22"/>
                <w:szCs w:val="22"/>
                <w:lang w:val="en-GB"/>
              </w:rPr>
              <w:t>#</w:t>
            </w:r>
          </w:p>
        </w:tc>
        <w:tc>
          <w:tcPr>
            <w:tcW w:w="1323" w:type="dxa"/>
            <w:vAlign w:val="center"/>
          </w:tcPr>
          <w:p w14:paraId="01BF0E6C" w14:textId="77777777" w:rsidR="003C3379" w:rsidRPr="003C3379" w:rsidRDefault="003C3379" w:rsidP="004B33A1">
            <w:pPr>
              <w:pStyle w:val="Zv-bodyreport"/>
              <w:ind w:firstLine="0"/>
              <w:jc w:val="left"/>
              <w:rPr>
                <w:b/>
                <w:bCs/>
                <w:sz w:val="22"/>
                <w:szCs w:val="22"/>
                <w:lang w:val="en-US"/>
              </w:rPr>
            </w:pPr>
            <w:r w:rsidRPr="003C3379">
              <w:rPr>
                <w:b/>
                <w:bCs/>
                <w:sz w:val="22"/>
                <w:szCs w:val="22"/>
                <w:lang w:val="en-US"/>
              </w:rPr>
              <w:t>Project Name</w:t>
            </w:r>
          </w:p>
        </w:tc>
        <w:tc>
          <w:tcPr>
            <w:tcW w:w="1587" w:type="dxa"/>
            <w:vAlign w:val="center"/>
          </w:tcPr>
          <w:p w14:paraId="1998F21E" w14:textId="77777777" w:rsidR="003C3379" w:rsidRPr="003C3379" w:rsidRDefault="003C3379" w:rsidP="004B33A1">
            <w:pPr>
              <w:pStyle w:val="Zv-bodyreport"/>
              <w:ind w:firstLine="0"/>
              <w:jc w:val="center"/>
              <w:rPr>
                <w:b/>
                <w:bCs/>
                <w:sz w:val="22"/>
                <w:szCs w:val="22"/>
                <w:lang w:val="en-US"/>
              </w:rPr>
            </w:pPr>
            <w:r w:rsidRPr="003C3379">
              <w:rPr>
                <w:b/>
                <w:bCs/>
                <w:sz w:val="22"/>
                <w:szCs w:val="22"/>
                <w:lang w:val="en-US"/>
              </w:rPr>
              <w:t>Capacity to the grid, MW</w:t>
            </w:r>
          </w:p>
        </w:tc>
        <w:tc>
          <w:tcPr>
            <w:tcW w:w="1583" w:type="dxa"/>
            <w:vAlign w:val="center"/>
          </w:tcPr>
          <w:p w14:paraId="1B8D3B2D" w14:textId="77777777" w:rsidR="003C3379" w:rsidRPr="003C3379" w:rsidRDefault="003C3379" w:rsidP="004B33A1">
            <w:pPr>
              <w:pStyle w:val="Zv-bodyreport"/>
              <w:ind w:firstLine="0"/>
              <w:jc w:val="center"/>
              <w:rPr>
                <w:b/>
                <w:bCs/>
                <w:sz w:val="22"/>
                <w:szCs w:val="22"/>
                <w:lang w:val="en-US"/>
              </w:rPr>
            </w:pPr>
            <w:r w:rsidRPr="003C3379">
              <w:rPr>
                <w:b/>
                <w:bCs/>
                <w:sz w:val="22"/>
                <w:szCs w:val="22"/>
                <w:lang w:val="en-US"/>
              </w:rPr>
              <w:t>Project’s cost, $B</w:t>
            </w:r>
          </w:p>
        </w:tc>
        <w:tc>
          <w:tcPr>
            <w:tcW w:w="1569" w:type="dxa"/>
            <w:vAlign w:val="center"/>
          </w:tcPr>
          <w:p w14:paraId="1423E266" w14:textId="77777777" w:rsidR="003C3379" w:rsidRPr="003C3379" w:rsidRDefault="003C3379" w:rsidP="004B33A1">
            <w:pPr>
              <w:pStyle w:val="Zv-bodyreport"/>
              <w:ind w:firstLine="0"/>
              <w:jc w:val="center"/>
              <w:rPr>
                <w:b/>
                <w:bCs/>
                <w:sz w:val="22"/>
                <w:szCs w:val="22"/>
                <w:lang w:val="en-US"/>
              </w:rPr>
            </w:pPr>
            <w:r w:rsidRPr="003C3379">
              <w:rPr>
                <w:b/>
                <w:bCs/>
                <w:sz w:val="22"/>
                <w:szCs w:val="22"/>
                <w:lang w:val="en-US"/>
              </w:rPr>
              <w:t>CAPEX, $M/MW</w:t>
            </w:r>
          </w:p>
        </w:tc>
        <w:tc>
          <w:tcPr>
            <w:tcW w:w="1295" w:type="dxa"/>
            <w:vAlign w:val="center"/>
          </w:tcPr>
          <w:p w14:paraId="3FB12D9C" w14:textId="77777777" w:rsidR="003C3379" w:rsidRPr="003C3379" w:rsidRDefault="003C3379" w:rsidP="004B33A1">
            <w:pPr>
              <w:pStyle w:val="Zv-bodyreport"/>
              <w:ind w:firstLine="0"/>
              <w:jc w:val="center"/>
              <w:rPr>
                <w:b/>
                <w:bCs/>
                <w:sz w:val="22"/>
                <w:szCs w:val="22"/>
                <w:lang w:val="en-US"/>
              </w:rPr>
            </w:pPr>
            <w:r w:rsidRPr="003C3379">
              <w:rPr>
                <w:b/>
                <w:bCs/>
                <w:sz w:val="22"/>
                <w:szCs w:val="22"/>
                <w:lang w:val="en-US"/>
              </w:rPr>
              <w:t>OPEX, $/MW</w:t>
            </w:r>
            <w:r w:rsidRPr="003C3379">
              <w:rPr>
                <w:b/>
                <w:bCs/>
                <w:sz w:val="22"/>
                <w:szCs w:val="22"/>
                <w:lang w:val="en-US"/>
              </w:rPr>
              <w:sym w:font="Symbol" w:char="F0B7"/>
            </w:r>
            <w:r w:rsidRPr="003C3379">
              <w:rPr>
                <w:b/>
                <w:bCs/>
                <w:sz w:val="22"/>
                <w:szCs w:val="22"/>
                <w:lang w:val="en-US"/>
              </w:rPr>
              <w:t>h</w:t>
            </w:r>
          </w:p>
        </w:tc>
        <w:tc>
          <w:tcPr>
            <w:tcW w:w="1492" w:type="dxa"/>
            <w:vAlign w:val="center"/>
          </w:tcPr>
          <w:p w14:paraId="0B2F8940" w14:textId="77777777" w:rsidR="003C3379" w:rsidRPr="003C3379" w:rsidRDefault="003C3379" w:rsidP="004B33A1">
            <w:pPr>
              <w:pStyle w:val="Zv-bodyreport"/>
              <w:ind w:firstLine="0"/>
              <w:jc w:val="left"/>
              <w:rPr>
                <w:b/>
                <w:bCs/>
                <w:sz w:val="22"/>
                <w:szCs w:val="22"/>
                <w:lang w:val="en-US"/>
              </w:rPr>
            </w:pPr>
            <w:r w:rsidRPr="003C3379">
              <w:rPr>
                <w:b/>
                <w:bCs/>
                <w:sz w:val="22"/>
                <w:szCs w:val="22"/>
                <w:lang w:val="en-US"/>
              </w:rPr>
              <w:t>Source</w:t>
            </w:r>
          </w:p>
        </w:tc>
      </w:tr>
      <w:tr w:rsidR="003C3379" w14:paraId="572FB682" w14:textId="77777777" w:rsidTr="00AF4C4A">
        <w:tc>
          <w:tcPr>
            <w:tcW w:w="394" w:type="dxa"/>
            <w:vAlign w:val="center"/>
          </w:tcPr>
          <w:p w14:paraId="58256AB5"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1</w:t>
            </w:r>
          </w:p>
        </w:tc>
        <w:tc>
          <w:tcPr>
            <w:tcW w:w="1323" w:type="dxa"/>
            <w:vAlign w:val="center"/>
          </w:tcPr>
          <w:p w14:paraId="2E7B8962"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DEMO2</w:t>
            </w:r>
          </w:p>
        </w:tc>
        <w:tc>
          <w:tcPr>
            <w:tcW w:w="1587" w:type="dxa"/>
            <w:vAlign w:val="center"/>
          </w:tcPr>
          <w:p w14:paraId="54523018"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1 000</w:t>
            </w:r>
          </w:p>
        </w:tc>
        <w:tc>
          <w:tcPr>
            <w:tcW w:w="1583" w:type="dxa"/>
            <w:vAlign w:val="center"/>
          </w:tcPr>
          <w:p w14:paraId="700BEB19"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9.39</w:t>
            </w:r>
          </w:p>
        </w:tc>
        <w:tc>
          <w:tcPr>
            <w:tcW w:w="1569" w:type="dxa"/>
            <w:vAlign w:val="center"/>
          </w:tcPr>
          <w:p w14:paraId="14470AE2"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9.39</w:t>
            </w:r>
          </w:p>
        </w:tc>
        <w:tc>
          <w:tcPr>
            <w:tcW w:w="1295" w:type="dxa"/>
            <w:vAlign w:val="center"/>
          </w:tcPr>
          <w:p w14:paraId="047929B1"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6.5</w:t>
            </w:r>
          </w:p>
        </w:tc>
        <w:tc>
          <w:tcPr>
            <w:tcW w:w="1492" w:type="dxa"/>
            <w:vAlign w:val="center"/>
          </w:tcPr>
          <w:p w14:paraId="37411782"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[25]</w:t>
            </w:r>
          </w:p>
        </w:tc>
      </w:tr>
      <w:tr w:rsidR="003C3379" w14:paraId="73B509BA" w14:textId="77777777" w:rsidTr="00AF4C4A">
        <w:tc>
          <w:tcPr>
            <w:tcW w:w="394" w:type="dxa"/>
            <w:vAlign w:val="center"/>
          </w:tcPr>
          <w:p w14:paraId="5C7982B9"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2</w:t>
            </w:r>
          </w:p>
        </w:tc>
        <w:tc>
          <w:tcPr>
            <w:tcW w:w="1323" w:type="dxa"/>
            <w:vAlign w:val="center"/>
          </w:tcPr>
          <w:p w14:paraId="3C98E9D2"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ARC</w:t>
            </w:r>
          </w:p>
        </w:tc>
        <w:tc>
          <w:tcPr>
            <w:tcW w:w="1587" w:type="dxa"/>
            <w:vAlign w:val="center"/>
          </w:tcPr>
          <w:p w14:paraId="514EE55F"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200</w:t>
            </w:r>
          </w:p>
        </w:tc>
        <w:tc>
          <w:tcPr>
            <w:tcW w:w="1583" w:type="dxa"/>
            <w:vAlign w:val="center"/>
          </w:tcPr>
          <w:p w14:paraId="5AC23D4F"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4.3-5.4</w:t>
            </w:r>
          </w:p>
        </w:tc>
        <w:tc>
          <w:tcPr>
            <w:tcW w:w="1569" w:type="dxa"/>
            <w:vAlign w:val="center"/>
          </w:tcPr>
          <w:p w14:paraId="68B6EAB2"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22-27</w:t>
            </w:r>
          </w:p>
        </w:tc>
        <w:tc>
          <w:tcPr>
            <w:tcW w:w="1295" w:type="dxa"/>
            <w:vAlign w:val="center"/>
          </w:tcPr>
          <w:p w14:paraId="4C569730"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w:t>
            </w:r>
          </w:p>
        </w:tc>
        <w:tc>
          <w:tcPr>
            <w:tcW w:w="1492" w:type="dxa"/>
            <w:vAlign w:val="center"/>
          </w:tcPr>
          <w:p w14:paraId="30F2F530"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[26]</w:t>
            </w:r>
          </w:p>
        </w:tc>
      </w:tr>
      <w:tr w:rsidR="003C3379" w14:paraId="097E2650" w14:textId="77777777" w:rsidTr="00AF4C4A">
        <w:tc>
          <w:tcPr>
            <w:tcW w:w="394" w:type="dxa"/>
            <w:vAlign w:val="center"/>
          </w:tcPr>
          <w:p w14:paraId="034315DE"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3</w:t>
            </w:r>
          </w:p>
        </w:tc>
        <w:tc>
          <w:tcPr>
            <w:tcW w:w="1323" w:type="dxa"/>
            <w:vAlign w:val="center"/>
          </w:tcPr>
          <w:p w14:paraId="3FAA8B56"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ALPHA</w:t>
            </w:r>
          </w:p>
        </w:tc>
        <w:tc>
          <w:tcPr>
            <w:tcW w:w="1587" w:type="dxa"/>
            <w:vAlign w:val="center"/>
          </w:tcPr>
          <w:p w14:paraId="0CB04A19"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150</w:t>
            </w:r>
          </w:p>
        </w:tc>
        <w:tc>
          <w:tcPr>
            <w:tcW w:w="1583" w:type="dxa"/>
            <w:vAlign w:val="center"/>
          </w:tcPr>
          <w:p w14:paraId="6217621E"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0.76-2.1</w:t>
            </w:r>
          </w:p>
        </w:tc>
        <w:tc>
          <w:tcPr>
            <w:tcW w:w="1569" w:type="dxa"/>
            <w:vAlign w:val="center"/>
          </w:tcPr>
          <w:p w14:paraId="361C0C37"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5.1-14</w:t>
            </w:r>
          </w:p>
        </w:tc>
        <w:tc>
          <w:tcPr>
            <w:tcW w:w="1295" w:type="dxa"/>
            <w:vAlign w:val="center"/>
          </w:tcPr>
          <w:p w14:paraId="6D0D625C"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14.8-31.2</w:t>
            </w:r>
          </w:p>
        </w:tc>
        <w:tc>
          <w:tcPr>
            <w:tcW w:w="1492" w:type="dxa"/>
            <w:vAlign w:val="center"/>
          </w:tcPr>
          <w:p w14:paraId="35834F18"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[27]</w:t>
            </w:r>
          </w:p>
        </w:tc>
      </w:tr>
      <w:tr w:rsidR="003C3379" w14:paraId="296BE535" w14:textId="77777777" w:rsidTr="00AF4C4A">
        <w:tc>
          <w:tcPr>
            <w:tcW w:w="394" w:type="dxa"/>
            <w:vAlign w:val="center"/>
          </w:tcPr>
          <w:p w14:paraId="47906F54"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4</w:t>
            </w:r>
          </w:p>
        </w:tc>
        <w:tc>
          <w:tcPr>
            <w:tcW w:w="1323" w:type="dxa"/>
            <w:vAlign w:val="center"/>
          </w:tcPr>
          <w:p w14:paraId="0B0BC010"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BETHE</w:t>
            </w:r>
          </w:p>
        </w:tc>
        <w:tc>
          <w:tcPr>
            <w:tcW w:w="1587" w:type="dxa"/>
            <w:vAlign w:val="center"/>
          </w:tcPr>
          <w:p w14:paraId="5CD3D16B"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400</w:t>
            </w:r>
          </w:p>
        </w:tc>
        <w:tc>
          <w:tcPr>
            <w:tcW w:w="1583" w:type="dxa"/>
            <w:vAlign w:val="center"/>
          </w:tcPr>
          <w:p w14:paraId="4515EB22"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2</w:t>
            </w:r>
          </w:p>
        </w:tc>
        <w:tc>
          <w:tcPr>
            <w:tcW w:w="1569" w:type="dxa"/>
            <w:vAlign w:val="center"/>
          </w:tcPr>
          <w:p w14:paraId="74EA5B74"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5</w:t>
            </w:r>
          </w:p>
        </w:tc>
        <w:tc>
          <w:tcPr>
            <w:tcW w:w="1295" w:type="dxa"/>
            <w:vAlign w:val="center"/>
          </w:tcPr>
          <w:p w14:paraId="5DC364C1"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5</w:t>
            </w:r>
          </w:p>
        </w:tc>
        <w:tc>
          <w:tcPr>
            <w:tcW w:w="1492" w:type="dxa"/>
            <w:vAlign w:val="center"/>
          </w:tcPr>
          <w:p w14:paraId="2BFD2472"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[28]</w:t>
            </w:r>
          </w:p>
        </w:tc>
      </w:tr>
      <w:tr w:rsidR="003C3379" w14:paraId="74CCB35F" w14:textId="77777777" w:rsidTr="00AF4C4A">
        <w:tc>
          <w:tcPr>
            <w:tcW w:w="394" w:type="dxa"/>
            <w:vAlign w:val="center"/>
          </w:tcPr>
          <w:p w14:paraId="2B44FA25"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5</w:t>
            </w:r>
          </w:p>
        </w:tc>
        <w:tc>
          <w:tcPr>
            <w:tcW w:w="1323" w:type="dxa"/>
            <w:vAlign w:val="center"/>
          </w:tcPr>
          <w:p w14:paraId="103D39C2"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Estimation</w:t>
            </w:r>
          </w:p>
        </w:tc>
        <w:tc>
          <w:tcPr>
            <w:tcW w:w="1587" w:type="dxa"/>
            <w:vAlign w:val="center"/>
          </w:tcPr>
          <w:p w14:paraId="17DD7290"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400</w:t>
            </w:r>
          </w:p>
        </w:tc>
        <w:tc>
          <w:tcPr>
            <w:tcW w:w="1583" w:type="dxa"/>
            <w:vAlign w:val="center"/>
          </w:tcPr>
          <w:p w14:paraId="2580C2CD"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1.2</w:t>
            </w:r>
          </w:p>
        </w:tc>
        <w:tc>
          <w:tcPr>
            <w:tcW w:w="1569" w:type="dxa"/>
            <w:vAlign w:val="center"/>
          </w:tcPr>
          <w:p w14:paraId="57BDE6B2"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3</w:t>
            </w:r>
          </w:p>
        </w:tc>
        <w:tc>
          <w:tcPr>
            <w:tcW w:w="1295" w:type="dxa"/>
            <w:vAlign w:val="center"/>
          </w:tcPr>
          <w:p w14:paraId="2B482BA8" w14:textId="77777777" w:rsidR="003C3379" w:rsidRPr="003C3379" w:rsidRDefault="003C3379" w:rsidP="004B33A1">
            <w:pPr>
              <w:pStyle w:val="Zv-bodyreport"/>
              <w:ind w:firstLine="0"/>
              <w:jc w:val="center"/>
              <w:rPr>
                <w:sz w:val="22"/>
                <w:szCs w:val="22"/>
                <w:lang w:val="en-GB" w:eastAsia="en-US"/>
              </w:rPr>
            </w:pPr>
            <w:r w:rsidRPr="003C3379">
              <w:rPr>
                <w:sz w:val="22"/>
                <w:szCs w:val="22"/>
                <w:lang w:val="en-GB" w:eastAsia="en-US"/>
              </w:rPr>
              <w:t>2.69</w:t>
            </w:r>
          </w:p>
        </w:tc>
        <w:tc>
          <w:tcPr>
            <w:tcW w:w="1492" w:type="dxa"/>
            <w:vAlign w:val="center"/>
          </w:tcPr>
          <w:p w14:paraId="0ABFA294" w14:textId="77777777" w:rsidR="003C3379" w:rsidRPr="003C3379" w:rsidRDefault="003C3379" w:rsidP="004B33A1">
            <w:pPr>
              <w:pStyle w:val="Zv-bodyreport"/>
              <w:ind w:firstLine="0"/>
              <w:jc w:val="left"/>
              <w:rPr>
                <w:sz w:val="22"/>
                <w:szCs w:val="22"/>
                <w:lang w:val="en-GB" w:eastAsia="en-US"/>
              </w:rPr>
            </w:pPr>
            <w:r w:rsidRPr="003C3379">
              <w:rPr>
                <w:sz w:val="22"/>
                <w:szCs w:val="22"/>
                <w:lang w:val="en-GB" w:eastAsia="en-US"/>
              </w:rPr>
              <w:t>[29]</w:t>
            </w:r>
          </w:p>
        </w:tc>
      </w:tr>
      <w:tr w:rsidR="003C3379" w14:paraId="1A2C1E53" w14:textId="77777777" w:rsidTr="00AF4C4A">
        <w:tc>
          <w:tcPr>
            <w:tcW w:w="4887" w:type="dxa"/>
            <w:gridSpan w:val="4"/>
            <w:vAlign w:val="center"/>
          </w:tcPr>
          <w:p w14:paraId="6C0A38C6" w14:textId="77777777" w:rsidR="003C3379" w:rsidRPr="003C3379" w:rsidRDefault="003C3379" w:rsidP="004B33A1">
            <w:pPr>
              <w:pStyle w:val="Zv-bodyreport"/>
              <w:ind w:firstLine="0"/>
              <w:jc w:val="right"/>
              <w:rPr>
                <w:b/>
                <w:bCs/>
                <w:sz w:val="22"/>
                <w:szCs w:val="22"/>
                <w:lang w:val="en-GB" w:eastAsia="en-US"/>
              </w:rPr>
            </w:pPr>
            <w:r w:rsidRPr="003C3379">
              <w:rPr>
                <w:b/>
                <w:bCs/>
                <w:sz w:val="22"/>
                <w:szCs w:val="22"/>
                <w:lang w:val="en-GB" w:eastAsia="en-US"/>
              </w:rPr>
              <w:t>Weighted average</w:t>
            </w:r>
          </w:p>
        </w:tc>
        <w:tc>
          <w:tcPr>
            <w:tcW w:w="1569" w:type="dxa"/>
            <w:vAlign w:val="center"/>
          </w:tcPr>
          <w:p w14:paraId="5F30E81B" w14:textId="77777777" w:rsidR="003C3379" w:rsidRPr="003C3379" w:rsidRDefault="003C3379" w:rsidP="004B33A1">
            <w:pPr>
              <w:pStyle w:val="Zv-bodyreport"/>
              <w:ind w:firstLine="0"/>
              <w:jc w:val="center"/>
              <w:rPr>
                <w:b/>
                <w:bCs/>
                <w:sz w:val="22"/>
                <w:szCs w:val="22"/>
                <w:lang w:val="en-GB" w:eastAsia="en-US"/>
              </w:rPr>
            </w:pPr>
            <w:r w:rsidRPr="003C3379">
              <w:rPr>
                <w:b/>
                <w:bCs/>
                <w:sz w:val="22"/>
                <w:szCs w:val="22"/>
                <w:lang w:val="en-GB" w:eastAsia="en-US"/>
              </w:rPr>
              <w:t>10.1</w:t>
            </w:r>
          </w:p>
        </w:tc>
        <w:tc>
          <w:tcPr>
            <w:tcW w:w="1295" w:type="dxa"/>
            <w:vAlign w:val="center"/>
          </w:tcPr>
          <w:p w14:paraId="72454E77" w14:textId="77777777" w:rsidR="003C3379" w:rsidRPr="003C3379" w:rsidRDefault="003C3379" w:rsidP="004B33A1">
            <w:pPr>
              <w:pStyle w:val="Zv-bodyreport"/>
              <w:ind w:firstLine="0"/>
              <w:jc w:val="center"/>
              <w:rPr>
                <w:b/>
                <w:bCs/>
                <w:sz w:val="22"/>
                <w:szCs w:val="22"/>
                <w:lang w:val="en-GB" w:eastAsia="en-US"/>
              </w:rPr>
            </w:pPr>
            <w:r w:rsidRPr="003C3379">
              <w:rPr>
                <w:b/>
                <w:bCs/>
                <w:sz w:val="22"/>
                <w:szCs w:val="22"/>
                <w:lang w:val="en-GB" w:eastAsia="en-US"/>
              </w:rPr>
              <w:t>7.85</w:t>
            </w:r>
          </w:p>
        </w:tc>
        <w:tc>
          <w:tcPr>
            <w:tcW w:w="1492" w:type="dxa"/>
            <w:vAlign w:val="center"/>
          </w:tcPr>
          <w:p w14:paraId="67E01254" w14:textId="77777777" w:rsidR="003C3379" w:rsidRPr="003C3379" w:rsidRDefault="003C3379" w:rsidP="004B33A1">
            <w:pPr>
              <w:pStyle w:val="Zv-bodyreport"/>
              <w:ind w:firstLine="0"/>
              <w:jc w:val="left"/>
              <w:rPr>
                <w:sz w:val="22"/>
                <w:szCs w:val="22"/>
                <w:lang w:val="en-GB" w:eastAsia="en-US"/>
              </w:rPr>
            </w:pPr>
          </w:p>
        </w:tc>
      </w:tr>
    </w:tbl>
    <w:p w14:paraId="0C490D9B" w14:textId="5DD75C45" w:rsidR="00AF4C4A" w:rsidRDefault="00AF4C4A" w:rsidP="00AF4C4A">
      <w:pPr>
        <w:overflowPunct/>
        <w:autoSpaceDE/>
        <w:autoSpaceDN/>
        <w:adjustRightInd/>
        <w:spacing w:before="280" w:after="280"/>
        <w:jc w:val="both"/>
        <w:textAlignment w:val="auto"/>
        <w:rPr>
          <w:sz w:val="24"/>
          <w:szCs w:val="24"/>
        </w:rPr>
      </w:pPr>
      <w:r w:rsidRPr="00DF3A79">
        <w:rPr>
          <w:sz w:val="24"/>
          <w:szCs w:val="24"/>
        </w:rPr>
        <w:t xml:space="preserve">TABLE </w:t>
      </w:r>
      <w:r>
        <w:rPr>
          <w:sz w:val="24"/>
          <w:szCs w:val="24"/>
        </w:rPr>
        <w:t>4</w:t>
      </w:r>
      <w:r w:rsidRPr="00DF3A79">
        <w:rPr>
          <w:sz w:val="24"/>
          <w:szCs w:val="24"/>
        </w:rPr>
        <w:t>.</w:t>
      </w:r>
      <w:r w:rsidRPr="00DF3A79">
        <w:rPr>
          <w:sz w:val="24"/>
          <w:szCs w:val="24"/>
        </w:rPr>
        <w:tab/>
      </w:r>
      <w:r w:rsidRPr="00AF4C4A">
        <w:rPr>
          <w:sz w:val="24"/>
          <w:szCs w:val="24"/>
        </w:rPr>
        <w:t>S</w:t>
      </w:r>
      <w:r w:rsidRPr="00AF4C4A">
        <w:rPr>
          <w:sz w:val="24"/>
          <w:szCs w:val="24"/>
        </w:rPr>
        <w:t>ENSITIVITY ANALYSIS OF</w:t>
      </w:r>
      <w:r w:rsidRPr="00AF4C4A">
        <w:rPr>
          <w:sz w:val="24"/>
          <w:szCs w:val="24"/>
        </w:rPr>
        <w:t xml:space="preserve"> LCOE </w:t>
      </w:r>
      <w:r w:rsidRPr="00AF4C4A">
        <w:rPr>
          <w:sz w:val="24"/>
          <w:szCs w:val="24"/>
        </w:rPr>
        <w:t xml:space="preserve">DEPENDING ON THE </w:t>
      </w:r>
      <w:r w:rsidRPr="00AF4C4A">
        <w:rPr>
          <w:sz w:val="24"/>
          <w:szCs w:val="24"/>
        </w:rPr>
        <w:t xml:space="preserve">CAPEX </w:t>
      </w:r>
      <w:r w:rsidRPr="00AF4C4A">
        <w:rPr>
          <w:sz w:val="24"/>
          <w:szCs w:val="24"/>
        </w:rPr>
        <w:t>AND</w:t>
      </w:r>
      <w:r w:rsidRPr="00AF4C4A">
        <w:rPr>
          <w:sz w:val="24"/>
          <w:szCs w:val="24"/>
        </w:rPr>
        <w:t xml:space="preserve"> OPEX</w:t>
      </w:r>
      <w:r w:rsidRPr="00AF4C4A">
        <w:rPr>
          <w:sz w:val="24"/>
          <w:szCs w:val="24"/>
        </w:rPr>
        <w:t xml:space="preserve"> LEVELS, $/MWH ESTIMATION IN 2020 PRICES</w:t>
      </w:r>
    </w:p>
    <w:p w14:paraId="29FBAE4A" w14:textId="2DC2ACA8" w:rsidR="00AF4C4A" w:rsidRPr="00AF4C4A" w:rsidRDefault="002C5F9A" w:rsidP="00AF4C4A">
      <w:pPr>
        <w:overflowPunct/>
        <w:autoSpaceDE/>
        <w:autoSpaceDN/>
        <w:adjustRightInd/>
        <w:spacing w:before="280" w:after="280"/>
        <w:jc w:val="both"/>
        <w:textAlignment w:val="auto"/>
        <w:rPr>
          <w:sz w:val="24"/>
          <w:szCs w:val="24"/>
          <w:lang w:val="en-US"/>
        </w:rPr>
      </w:pPr>
      <w:r w:rsidRPr="0071419E">
        <w:rPr>
          <w:noProof/>
          <w:lang w:val="en-US"/>
        </w:rPr>
        <w:drawing>
          <wp:inline distT="0" distB="0" distL="0" distR="0" wp14:anchorId="20666A72" wp14:editId="723E7C80">
            <wp:extent cx="5732145" cy="15778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1577856"/>
                    </a:xfrm>
                    <a:prstGeom prst="rect">
                      <a:avLst/>
                    </a:prstGeom>
                  </pic:spPr>
                </pic:pic>
              </a:graphicData>
            </a:graphic>
          </wp:inline>
        </w:drawing>
      </w:r>
    </w:p>
    <w:p w14:paraId="044A8478" w14:textId="4B9021EC" w:rsidR="003C3379" w:rsidRDefault="002C5F9A" w:rsidP="00DD60A5">
      <w:pPr>
        <w:overflowPunct/>
        <w:autoSpaceDE/>
        <w:autoSpaceDN/>
        <w:adjustRightInd/>
        <w:spacing w:before="280" w:after="280"/>
        <w:jc w:val="both"/>
        <w:textAlignment w:val="auto"/>
        <w:rPr>
          <w:rFonts w:eastAsiaTheme="minorHAnsi"/>
          <w:sz w:val="24"/>
          <w:szCs w:val="24"/>
          <w:lang w:eastAsia="ar-SA"/>
        </w:rPr>
      </w:pPr>
      <w:r w:rsidRPr="002C5F9A">
        <w:rPr>
          <w:rFonts w:eastAsiaTheme="minorHAnsi"/>
          <w:sz w:val="24"/>
          <w:szCs w:val="24"/>
          <w:lang w:eastAsia="ar-SA"/>
        </w:rPr>
        <w:t>Comparing with current levels of LCOE by technology, fusion energy could hardly compete with mature nuclear, coal and gas-fired generation Fig</w:t>
      </w:r>
      <w:r>
        <w:rPr>
          <w:rFonts w:eastAsiaTheme="minorHAnsi"/>
          <w:sz w:val="24"/>
          <w:szCs w:val="24"/>
          <w:lang w:eastAsia="ar-SA"/>
        </w:rPr>
        <w:t>.</w:t>
      </w:r>
      <w:r w:rsidRPr="002C5F9A">
        <w:rPr>
          <w:rFonts w:eastAsiaTheme="minorHAnsi"/>
          <w:sz w:val="24"/>
          <w:szCs w:val="24"/>
          <w:lang w:eastAsia="ar-SA"/>
        </w:rPr>
        <w:t xml:space="preserve"> 8, until the technology would be scaled up and CAPEX level would drastically decrease. The ability of self-sustain tritium production is another crucial cost driver. With the current market price of tritium – $30 thousand/gram and 40-50 kg annual inventory requitement for 400-500 MW plant, the fuel costs would be skyrocketing. So, it’s vitally important to implement a tritium breeding system for power plant functioning.</w:t>
      </w:r>
    </w:p>
    <w:p w14:paraId="73723552" w14:textId="7F9DF295" w:rsidR="007244D1" w:rsidRDefault="007244D1" w:rsidP="007244D1">
      <w:pPr>
        <w:overflowPunct/>
        <w:autoSpaceDE/>
        <w:autoSpaceDN/>
        <w:adjustRightInd/>
        <w:spacing w:before="280" w:after="280"/>
        <w:jc w:val="center"/>
        <w:textAlignment w:val="auto"/>
        <w:rPr>
          <w:rFonts w:eastAsiaTheme="minorHAnsi"/>
          <w:sz w:val="24"/>
          <w:szCs w:val="24"/>
          <w:lang w:eastAsia="ar-SA"/>
        </w:rPr>
      </w:pPr>
      <w:r w:rsidRPr="00502037">
        <w:rPr>
          <w:noProof/>
          <w:lang w:val="en-US"/>
        </w:rPr>
        <w:drawing>
          <wp:inline distT="0" distB="0" distL="0" distR="0" wp14:anchorId="69702AFF" wp14:editId="710242A7">
            <wp:extent cx="5732145" cy="16950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1695021"/>
                    </a:xfrm>
                    <a:prstGeom prst="rect">
                      <a:avLst/>
                    </a:prstGeom>
                  </pic:spPr>
                </pic:pic>
              </a:graphicData>
            </a:graphic>
          </wp:inline>
        </w:drawing>
      </w:r>
    </w:p>
    <w:p w14:paraId="7BDFECC2" w14:textId="0AAB2F81" w:rsidR="007244D1" w:rsidRDefault="007244D1" w:rsidP="007244D1">
      <w:pPr>
        <w:pStyle w:val="Zv-bodyreport"/>
        <w:ind w:firstLine="0"/>
        <w:jc w:val="center"/>
        <w:rPr>
          <w:i/>
          <w:sz w:val="22"/>
          <w:szCs w:val="22"/>
          <w:lang w:val="en-GB" w:eastAsia="en-US"/>
        </w:rPr>
      </w:pPr>
      <w:r w:rsidRPr="00531652">
        <w:rPr>
          <w:i/>
          <w:sz w:val="22"/>
          <w:szCs w:val="22"/>
          <w:lang w:val="en-GB" w:eastAsia="en-US"/>
        </w:rPr>
        <w:t xml:space="preserve">FIG </w:t>
      </w:r>
      <w:r>
        <w:rPr>
          <w:i/>
          <w:sz w:val="22"/>
          <w:szCs w:val="22"/>
          <w:lang w:val="en-US" w:eastAsia="en-US"/>
        </w:rPr>
        <w:t>8</w:t>
      </w:r>
      <w:r w:rsidRPr="00531652">
        <w:rPr>
          <w:i/>
          <w:sz w:val="22"/>
          <w:szCs w:val="22"/>
          <w:lang w:val="en-GB" w:eastAsia="en-US"/>
        </w:rPr>
        <w:t xml:space="preserve">. </w:t>
      </w:r>
      <w:r w:rsidRPr="007244D1">
        <w:rPr>
          <w:i/>
          <w:sz w:val="22"/>
          <w:szCs w:val="22"/>
          <w:lang w:val="en-GB" w:eastAsia="en-US"/>
        </w:rPr>
        <w:t>LCOE by technology</w:t>
      </w:r>
      <w:r w:rsidRPr="007244D1">
        <w:rPr>
          <w:i/>
          <w:sz w:val="22"/>
          <w:szCs w:val="22"/>
          <w:lang w:val="en-GB" w:eastAsia="en-US"/>
        </w:rPr>
        <w:t xml:space="preserve"> </w:t>
      </w:r>
    </w:p>
    <w:p w14:paraId="588ABA4C" w14:textId="65FE4B72" w:rsidR="007244D1" w:rsidRPr="00DD60A5" w:rsidRDefault="007244D1" w:rsidP="007244D1">
      <w:pPr>
        <w:pStyle w:val="Zv-bodyreport"/>
        <w:ind w:firstLine="0"/>
        <w:jc w:val="center"/>
        <w:rPr>
          <w:i/>
          <w:sz w:val="22"/>
          <w:szCs w:val="22"/>
          <w:lang w:val="en-GB" w:eastAsia="en-US"/>
        </w:rPr>
      </w:pPr>
      <w:r w:rsidRPr="00531652">
        <w:rPr>
          <w:i/>
          <w:sz w:val="22"/>
          <w:szCs w:val="22"/>
          <w:lang w:val="en-GB" w:eastAsia="en-US"/>
        </w:rPr>
        <w:t>Source:</w:t>
      </w:r>
      <w:r>
        <w:rPr>
          <w:i/>
          <w:sz w:val="22"/>
          <w:szCs w:val="22"/>
          <w:lang w:val="en-GB" w:eastAsia="en-US"/>
        </w:rPr>
        <w:t xml:space="preserve"> </w:t>
      </w:r>
      <w:r w:rsidRPr="007244D1">
        <w:rPr>
          <w:i/>
          <w:sz w:val="22"/>
          <w:szCs w:val="22"/>
          <w:lang w:val="en-GB" w:eastAsia="en-US"/>
        </w:rPr>
        <w:t>IEA</w:t>
      </w:r>
    </w:p>
    <w:p w14:paraId="757F2DFE" w14:textId="77777777" w:rsidR="009B535E" w:rsidRPr="009B535E" w:rsidRDefault="009B535E" w:rsidP="009B535E">
      <w:pPr>
        <w:overflowPunct/>
        <w:autoSpaceDE/>
        <w:autoSpaceDN/>
        <w:adjustRightInd/>
        <w:spacing w:before="280" w:after="280"/>
        <w:jc w:val="both"/>
        <w:textAlignment w:val="auto"/>
        <w:rPr>
          <w:rFonts w:eastAsiaTheme="minorHAnsi"/>
          <w:sz w:val="24"/>
          <w:szCs w:val="24"/>
          <w:lang w:eastAsia="ar-SA"/>
        </w:rPr>
      </w:pPr>
      <w:r w:rsidRPr="009B535E">
        <w:rPr>
          <w:rFonts w:eastAsiaTheme="minorHAnsi"/>
          <w:sz w:val="24"/>
          <w:szCs w:val="24"/>
          <w:lang w:eastAsia="ar-SA"/>
        </w:rPr>
        <w:t>However, being a source of clean, abundant, safe, affordable energy fusion could be a complement to renewables. On the other side, present electricity prices worldwide could be a barrier for fusion energy to enter the several countries. This is reasonable, as every territory has its own pros and cons, and we should spread and deploy the cheapest sources of energy.</w:t>
      </w:r>
    </w:p>
    <w:p w14:paraId="230E6FB3" w14:textId="041517AE" w:rsidR="007244D1" w:rsidRDefault="009B535E" w:rsidP="009B535E">
      <w:pPr>
        <w:overflowPunct/>
        <w:autoSpaceDE/>
        <w:autoSpaceDN/>
        <w:adjustRightInd/>
        <w:spacing w:before="280" w:after="280"/>
        <w:jc w:val="both"/>
        <w:textAlignment w:val="auto"/>
        <w:rPr>
          <w:rFonts w:eastAsiaTheme="minorHAnsi"/>
          <w:sz w:val="24"/>
          <w:szCs w:val="24"/>
          <w:lang w:eastAsia="ar-SA"/>
        </w:rPr>
      </w:pPr>
      <w:r w:rsidRPr="009B535E">
        <w:rPr>
          <w:rFonts w:eastAsiaTheme="minorHAnsi"/>
          <w:sz w:val="24"/>
          <w:szCs w:val="24"/>
          <w:lang w:eastAsia="ar-SA"/>
        </w:rPr>
        <w:lastRenderedPageBreak/>
        <w:t xml:space="preserve">Regional variation in the price of electricity is driven by fuel costs volatility, local carbon price and renewables potential. Considering recent power market volatility, there are places in the world where fusion could be potentially competitive, </w:t>
      </w:r>
      <w:proofErr w:type="spellStart"/>
      <w:r w:rsidRPr="009B535E">
        <w:rPr>
          <w:rFonts w:eastAsiaTheme="minorHAnsi"/>
          <w:sz w:val="24"/>
          <w:szCs w:val="24"/>
          <w:lang w:eastAsia="ar-SA"/>
        </w:rPr>
        <w:t>f.e</w:t>
      </w:r>
      <w:proofErr w:type="spellEnd"/>
      <w:r w:rsidRPr="009B535E">
        <w:rPr>
          <w:rFonts w:eastAsiaTheme="minorHAnsi"/>
          <w:sz w:val="24"/>
          <w:szCs w:val="24"/>
          <w:lang w:eastAsia="ar-SA"/>
        </w:rPr>
        <w:t>. Germany, UK, Japan and Singapore Fig</w:t>
      </w:r>
      <w:r>
        <w:rPr>
          <w:rFonts w:eastAsiaTheme="minorHAnsi"/>
          <w:sz w:val="24"/>
          <w:szCs w:val="24"/>
          <w:lang w:eastAsia="ar-SA"/>
        </w:rPr>
        <w:t>.</w:t>
      </w:r>
      <w:r w:rsidRPr="009B535E">
        <w:rPr>
          <w:rFonts w:eastAsiaTheme="minorHAnsi"/>
          <w:sz w:val="24"/>
          <w:szCs w:val="24"/>
          <w:lang w:eastAsia="ar-SA"/>
        </w:rPr>
        <w:t xml:space="preserve"> 9. Meanwhile fusion deployment for integration of the other low-carbon technologies such as hydrogen production, use of waste heat to power direct-air carbon capture, etc. could improve fusion economics, bring revenue and ease its market penetration.</w:t>
      </w:r>
    </w:p>
    <w:p w14:paraId="383A26C8" w14:textId="569F2B64" w:rsidR="009B535E" w:rsidRDefault="009B535E" w:rsidP="009B535E">
      <w:pPr>
        <w:overflowPunct/>
        <w:autoSpaceDE/>
        <w:autoSpaceDN/>
        <w:adjustRightInd/>
        <w:spacing w:before="280" w:after="280"/>
        <w:jc w:val="center"/>
        <w:textAlignment w:val="auto"/>
        <w:rPr>
          <w:rFonts w:eastAsiaTheme="minorHAnsi"/>
          <w:sz w:val="24"/>
          <w:szCs w:val="24"/>
          <w:lang w:eastAsia="ar-SA"/>
        </w:rPr>
      </w:pPr>
      <w:r>
        <w:rPr>
          <w:noProof/>
        </w:rPr>
        <w:drawing>
          <wp:inline distT="0" distB="0" distL="0" distR="0" wp14:anchorId="435C10A0" wp14:editId="3DF6B1D4">
            <wp:extent cx="4572000" cy="2743200"/>
            <wp:effectExtent l="0" t="0" r="0" b="0"/>
            <wp:docPr id="17" name="Диаграмма 17">
              <a:extLst xmlns:a="http://schemas.openxmlformats.org/drawingml/2006/main">
                <a:ext uri="{FF2B5EF4-FFF2-40B4-BE49-F238E27FC236}">
                  <a16:creationId xmlns:a16="http://schemas.microsoft.com/office/drawing/2014/main" id="{6141F668-383D-0948-A58D-1F4E6BB69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D7CDE5" w14:textId="424ED9EA" w:rsidR="00260ACA" w:rsidRDefault="00260ACA" w:rsidP="00260ACA">
      <w:pPr>
        <w:pStyle w:val="Zv-bodyreport"/>
        <w:ind w:firstLine="0"/>
        <w:jc w:val="center"/>
        <w:rPr>
          <w:i/>
          <w:sz w:val="22"/>
          <w:szCs w:val="22"/>
          <w:lang w:val="en-GB" w:eastAsia="en-US"/>
        </w:rPr>
      </w:pPr>
      <w:r w:rsidRPr="00531652">
        <w:rPr>
          <w:i/>
          <w:sz w:val="22"/>
          <w:szCs w:val="22"/>
          <w:lang w:val="en-GB" w:eastAsia="en-US"/>
        </w:rPr>
        <w:t xml:space="preserve">FIG </w:t>
      </w:r>
      <w:r>
        <w:rPr>
          <w:i/>
          <w:sz w:val="22"/>
          <w:szCs w:val="22"/>
          <w:lang w:val="en-US" w:eastAsia="en-US"/>
        </w:rPr>
        <w:t>9</w:t>
      </w:r>
      <w:r w:rsidRPr="00531652">
        <w:rPr>
          <w:i/>
          <w:sz w:val="22"/>
          <w:szCs w:val="22"/>
          <w:lang w:val="en-GB" w:eastAsia="en-US"/>
        </w:rPr>
        <w:t xml:space="preserve">. </w:t>
      </w:r>
      <w:r w:rsidRPr="00260ACA">
        <w:rPr>
          <w:i/>
          <w:sz w:val="22"/>
          <w:szCs w:val="22"/>
          <w:lang w:val="en-GB" w:eastAsia="en-US"/>
        </w:rPr>
        <w:t>Electricity prices by countries, $/MWh in 2021 prices</w:t>
      </w:r>
    </w:p>
    <w:p w14:paraId="335086DA" w14:textId="2CC1EA9E" w:rsidR="009B535E" w:rsidRPr="00260ACA" w:rsidRDefault="00260ACA" w:rsidP="00260ACA">
      <w:pPr>
        <w:pStyle w:val="Zv-bodyreport"/>
        <w:ind w:firstLine="0"/>
        <w:jc w:val="center"/>
        <w:rPr>
          <w:i/>
          <w:sz w:val="22"/>
          <w:szCs w:val="22"/>
          <w:lang w:val="en-GB" w:eastAsia="en-US"/>
        </w:rPr>
      </w:pPr>
      <w:r w:rsidRPr="00531652">
        <w:rPr>
          <w:i/>
          <w:sz w:val="22"/>
          <w:szCs w:val="22"/>
          <w:lang w:val="en-GB" w:eastAsia="en-US"/>
        </w:rPr>
        <w:t>Source:</w:t>
      </w:r>
      <w:r>
        <w:rPr>
          <w:i/>
          <w:sz w:val="22"/>
          <w:szCs w:val="22"/>
          <w:lang w:val="en-GB" w:eastAsia="en-US"/>
        </w:rPr>
        <w:t xml:space="preserve"> </w:t>
      </w:r>
      <w:r w:rsidRPr="00260ACA">
        <w:rPr>
          <w:i/>
          <w:sz w:val="22"/>
          <w:szCs w:val="22"/>
          <w:lang w:val="en-GB" w:eastAsia="en-US"/>
        </w:rPr>
        <w:t>globalpetrolprices.com</w:t>
      </w:r>
    </w:p>
    <w:p w14:paraId="767EB092" w14:textId="1A3185F5" w:rsidR="00260ACA" w:rsidRDefault="00260ACA" w:rsidP="00FB6822">
      <w:pPr>
        <w:overflowPunct/>
        <w:autoSpaceDE/>
        <w:autoSpaceDN/>
        <w:adjustRightInd/>
        <w:spacing w:before="280" w:after="280"/>
        <w:jc w:val="both"/>
        <w:textAlignment w:val="auto"/>
        <w:rPr>
          <w:rFonts w:eastAsiaTheme="minorHAnsi"/>
          <w:sz w:val="24"/>
          <w:szCs w:val="24"/>
          <w:lang w:eastAsia="ar-SA"/>
        </w:rPr>
      </w:pPr>
      <w:r w:rsidRPr="00260ACA">
        <w:rPr>
          <w:rFonts w:eastAsiaTheme="minorHAnsi"/>
          <w:sz w:val="24"/>
          <w:szCs w:val="24"/>
          <w:lang w:eastAsia="ar-SA"/>
        </w:rPr>
        <w:t>The overview of international investment activity, market perspectives and benchmark prices, presented in this paper, could be a convincing argument for intensifying spending on CFT worldwide. It could be a bridge between scientific research and business interest to get a margin on investment. Such kind of collaboration would speed up fusion development and assist in creation new, sustainable and low-carbon future.</w:t>
      </w:r>
    </w:p>
    <w:p w14:paraId="197201E0" w14:textId="5315762C" w:rsidR="00604C59" w:rsidRPr="00DF3A79" w:rsidRDefault="00604C59" w:rsidP="00046928">
      <w:pPr>
        <w:pStyle w:val="Otherunnumberedheadings"/>
        <w:spacing w:before="280" w:beforeAutospacing="0" w:after="280" w:afterAutospacing="0"/>
        <w:rPr>
          <w:rFonts w:ascii="Times New Roman" w:hAnsi="Times New Roman"/>
          <w:sz w:val="24"/>
          <w:szCs w:val="24"/>
        </w:rPr>
      </w:pPr>
      <w:r w:rsidRPr="00DF3A79">
        <w:rPr>
          <w:rFonts w:ascii="Times New Roman" w:hAnsi="Times New Roman"/>
          <w:sz w:val="24"/>
          <w:szCs w:val="24"/>
        </w:rPr>
        <w:t>References</w:t>
      </w:r>
    </w:p>
    <w:p w14:paraId="3D26861B" w14:textId="77777777" w:rsidR="00260ACA" w:rsidRPr="00260ACA" w:rsidRDefault="00260ACA" w:rsidP="00260ACA">
      <w:pPr>
        <w:pStyle w:val="Referencelist"/>
        <w:jc w:val="left"/>
        <w:rPr>
          <w:sz w:val="22"/>
          <w:szCs w:val="22"/>
        </w:rPr>
      </w:pPr>
      <w:r w:rsidRPr="00260ACA">
        <w:rPr>
          <w:sz w:val="22"/>
          <w:szCs w:val="22"/>
        </w:rPr>
        <w:t>https://www.un.org/en/global-issues/population#:~:text=The%20world's%20population%20is%20expected,nearly%2011%20billion%20around%202100</w:t>
      </w:r>
    </w:p>
    <w:p w14:paraId="09F37EF9" w14:textId="77777777" w:rsidR="00260ACA" w:rsidRPr="00260ACA" w:rsidRDefault="00260ACA" w:rsidP="00260ACA">
      <w:pPr>
        <w:pStyle w:val="Referencelist"/>
        <w:jc w:val="left"/>
        <w:rPr>
          <w:sz w:val="22"/>
          <w:szCs w:val="22"/>
        </w:rPr>
      </w:pPr>
      <w:r w:rsidRPr="00260ACA">
        <w:rPr>
          <w:sz w:val="22"/>
          <w:szCs w:val="22"/>
        </w:rPr>
        <w:t>https://www.rff.org/publications/reports/global-energy-outlook-2021-pathways-from-paris/</w:t>
      </w:r>
    </w:p>
    <w:p w14:paraId="5D5ABCAB" w14:textId="77777777" w:rsidR="00260ACA" w:rsidRPr="00260ACA" w:rsidRDefault="00260ACA" w:rsidP="00260ACA">
      <w:pPr>
        <w:pStyle w:val="Referencelist"/>
        <w:jc w:val="left"/>
        <w:rPr>
          <w:sz w:val="22"/>
          <w:szCs w:val="22"/>
        </w:rPr>
      </w:pPr>
      <w:hyperlink r:id="rId34" w:history="1">
        <w:r w:rsidRPr="00260ACA">
          <w:rPr>
            <w:sz w:val="22"/>
            <w:szCs w:val="22"/>
          </w:rPr>
          <w:t>https://www.reuters.com/article/us-climate-europe-eib-idUSKBN1XO2OS</w:t>
        </w:r>
      </w:hyperlink>
    </w:p>
    <w:p w14:paraId="7D04DE62" w14:textId="77777777" w:rsidR="00260ACA" w:rsidRPr="00260ACA" w:rsidRDefault="00260ACA" w:rsidP="00260ACA">
      <w:pPr>
        <w:pStyle w:val="Referencelist"/>
        <w:jc w:val="left"/>
        <w:rPr>
          <w:sz w:val="22"/>
          <w:szCs w:val="22"/>
        </w:rPr>
      </w:pPr>
      <w:hyperlink r:id="rId35" w:history="1">
        <w:r w:rsidRPr="00260ACA">
          <w:rPr>
            <w:sz w:val="22"/>
            <w:szCs w:val="22"/>
          </w:rPr>
          <w:t>https://www.visualcapitalist.com/climate-targets-of-fortune-500-companies/</w:t>
        </w:r>
      </w:hyperlink>
    </w:p>
    <w:p w14:paraId="3ED455E1" w14:textId="77777777" w:rsidR="00260ACA" w:rsidRPr="00260ACA" w:rsidRDefault="00260ACA" w:rsidP="00260ACA">
      <w:pPr>
        <w:pStyle w:val="Referencelist"/>
        <w:jc w:val="left"/>
        <w:rPr>
          <w:sz w:val="22"/>
          <w:szCs w:val="22"/>
        </w:rPr>
      </w:pPr>
      <w:r w:rsidRPr="00260ACA">
        <w:rPr>
          <w:sz w:val="22"/>
          <w:szCs w:val="22"/>
        </w:rPr>
        <w:t xml:space="preserve">IEA. World Energy Outlook 2019: </w:t>
      </w:r>
      <w:hyperlink r:id="rId36" w:history="1">
        <w:r w:rsidRPr="00260ACA">
          <w:rPr>
            <w:sz w:val="22"/>
            <w:szCs w:val="22"/>
          </w:rPr>
          <w:t>https://www.iea.org/reports/world-energy-outlook-2019/electricity</w:t>
        </w:r>
      </w:hyperlink>
    </w:p>
    <w:p w14:paraId="72EF7160" w14:textId="77777777" w:rsidR="00260ACA" w:rsidRPr="00260ACA" w:rsidRDefault="00260ACA" w:rsidP="00260ACA">
      <w:pPr>
        <w:pStyle w:val="Referencelist"/>
        <w:jc w:val="left"/>
        <w:rPr>
          <w:sz w:val="22"/>
          <w:szCs w:val="22"/>
        </w:rPr>
      </w:pPr>
      <w:hyperlink r:id="rId37" w:history="1">
        <w:r w:rsidRPr="00260ACA">
          <w:rPr>
            <w:sz w:val="22"/>
            <w:szCs w:val="22"/>
          </w:rPr>
          <w:t>https://www.researchandmarkets.com/reports/5240353/electric-power-generation-transmission-and?utm_source=CI&amp;utm_medium=PressRelease&amp;utm_code=782l4t&amp;utm_campaign=1512252+-+Global+Electric+Power+Generation%2c+Transmission%2c+and+Distribution+Market+Report+(2021+to+2030)+-+COVID-19+Impact+and+Recovery&amp;utm_exec=jamu273prd</w:t>
        </w:r>
      </w:hyperlink>
    </w:p>
    <w:p w14:paraId="66DD6B81" w14:textId="77777777" w:rsidR="00260ACA" w:rsidRPr="00260ACA" w:rsidRDefault="00260ACA" w:rsidP="00260ACA">
      <w:pPr>
        <w:pStyle w:val="Referencelist"/>
        <w:jc w:val="left"/>
        <w:rPr>
          <w:sz w:val="22"/>
          <w:szCs w:val="22"/>
        </w:rPr>
      </w:pPr>
      <w:r w:rsidRPr="00260ACA">
        <w:rPr>
          <w:sz w:val="22"/>
          <w:szCs w:val="22"/>
        </w:rPr>
        <w:t>https://about.bnef.com/new-energy-outlook/?utm_medium=Adwords_SEM&amp;utm_source=pdsrch&amp;utm_content=bnef-search&amp;utm_campaign=477539&amp;tactic=477539&amp;gclid=Cj0KCQiAnaeNBhCUARIsABEee8ViBmfHbqTpF29CDOur2Txq5h3gw2PPUowEFEzqlI_rknICtsfAsMEaAs3aEALw_wcB</w:t>
      </w:r>
    </w:p>
    <w:p w14:paraId="577228FA" w14:textId="77777777" w:rsidR="00260ACA" w:rsidRPr="00260ACA" w:rsidRDefault="00260ACA" w:rsidP="00260ACA">
      <w:pPr>
        <w:pStyle w:val="Referencelist"/>
        <w:jc w:val="left"/>
        <w:rPr>
          <w:sz w:val="22"/>
          <w:szCs w:val="22"/>
        </w:rPr>
      </w:pPr>
      <w:hyperlink r:id="rId38" w:anchor=":~:text=Cement%20production%3A%20%2419%E2%80%93%24205%20per,plants%3A%20%2420%E2%80%93%24132%20per%20ton" w:history="1">
        <w:r w:rsidRPr="00260ACA">
          <w:rPr>
            <w:sz w:val="22"/>
            <w:szCs w:val="22"/>
          </w:rPr>
          <w:t>https://www.belfercenter.org/publication/carbon-capture-utilization-and-storage-technologies-and-costs-us-context#:~:text=Cement%20production%3A%20%2419%E2%80%93%24205%20per,plants%3A%20%2420%E2%80%93%24132%20per%20ton</w:t>
        </w:r>
      </w:hyperlink>
    </w:p>
    <w:p w14:paraId="519AD4FD" w14:textId="77777777" w:rsidR="00260ACA" w:rsidRPr="00260ACA" w:rsidRDefault="00260ACA" w:rsidP="00260ACA">
      <w:pPr>
        <w:pStyle w:val="Referencelist"/>
        <w:jc w:val="left"/>
        <w:rPr>
          <w:sz w:val="22"/>
          <w:szCs w:val="22"/>
        </w:rPr>
      </w:pPr>
      <w:hyperlink r:id="rId39" w:history="1">
        <w:r w:rsidRPr="00260ACA">
          <w:rPr>
            <w:sz w:val="22"/>
            <w:szCs w:val="22"/>
          </w:rPr>
          <w:t>https://nucleus.iaea.org/sites/fusionportal/Pages/FusDIS.aspx</w:t>
        </w:r>
      </w:hyperlink>
    </w:p>
    <w:p w14:paraId="3BE9C367" w14:textId="77777777" w:rsidR="00260ACA" w:rsidRPr="00260ACA" w:rsidRDefault="00260ACA" w:rsidP="00260ACA">
      <w:pPr>
        <w:pStyle w:val="Referencelist"/>
        <w:jc w:val="left"/>
        <w:rPr>
          <w:sz w:val="22"/>
          <w:szCs w:val="22"/>
        </w:rPr>
      </w:pPr>
      <w:r w:rsidRPr="00260ACA">
        <w:rPr>
          <w:sz w:val="22"/>
          <w:szCs w:val="22"/>
        </w:rPr>
        <w:t>http://www.iter.org/faq#Do_we_really_know_how_much_ITER_will_cost</w:t>
      </w:r>
    </w:p>
    <w:p w14:paraId="11FA29ED" w14:textId="77777777" w:rsidR="00260ACA" w:rsidRPr="00260ACA" w:rsidRDefault="00260ACA" w:rsidP="00260ACA">
      <w:pPr>
        <w:pStyle w:val="Referencelist"/>
        <w:jc w:val="left"/>
        <w:rPr>
          <w:sz w:val="22"/>
          <w:szCs w:val="22"/>
        </w:rPr>
      </w:pPr>
      <w:r w:rsidRPr="00260ACA">
        <w:rPr>
          <w:sz w:val="22"/>
          <w:szCs w:val="22"/>
        </w:rPr>
        <w:t>https://energypost.eu/nuclear-fusion-u-s-and-china-race-to-build-worlds-first-commercial-plant/</w:t>
      </w:r>
    </w:p>
    <w:p w14:paraId="452724F7" w14:textId="77777777" w:rsidR="00260ACA" w:rsidRPr="00260ACA" w:rsidRDefault="00260ACA" w:rsidP="00260ACA">
      <w:pPr>
        <w:pStyle w:val="Referencelist"/>
        <w:jc w:val="left"/>
        <w:rPr>
          <w:sz w:val="22"/>
          <w:szCs w:val="22"/>
        </w:rPr>
      </w:pPr>
      <w:r w:rsidRPr="00260ACA">
        <w:rPr>
          <w:sz w:val="22"/>
          <w:szCs w:val="22"/>
        </w:rPr>
        <w:t>http://www.tj.kyushu-u.ac.jp/evergreen/contents/EG2017-4_4_content/pdf/Pages%2016-23.pdf</w:t>
      </w:r>
    </w:p>
    <w:p w14:paraId="09C1F698" w14:textId="77777777" w:rsidR="00260ACA" w:rsidRPr="00260ACA" w:rsidRDefault="00260ACA" w:rsidP="00260ACA">
      <w:pPr>
        <w:pStyle w:val="Referencelist"/>
        <w:jc w:val="left"/>
        <w:rPr>
          <w:sz w:val="22"/>
          <w:szCs w:val="22"/>
        </w:rPr>
      </w:pPr>
      <w:r w:rsidRPr="00260ACA">
        <w:rPr>
          <w:sz w:val="22"/>
          <w:szCs w:val="22"/>
        </w:rPr>
        <w:t>https://www.fusionindustryassociation.org/post/support-for-fusion-energy-in-the-house-passed-build-back-better-legislation</w:t>
      </w:r>
    </w:p>
    <w:p w14:paraId="711DD70B" w14:textId="77777777" w:rsidR="00260ACA" w:rsidRPr="00260ACA" w:rsidRDefault="00260ACA" w:rsidP="00260ACA">
      <w:pPr>
        <w:pStyle w:val="Referencelist"/>
        <w:jc w:val="left"/>
        <w:rPr>
          <w:sz w:val="22"/>
          <w:szCs w:val="22"/>
        </w:rPr>
      </w:pPr>
      <w:r w:rsidRPr="00260ACA">
        <w:rPr>
          <w:sz w:val="22"/>
          <w:szCs w:val="22"/>
        </w:rPr>
        <w:t>https://assets.publishing.service.gov.uk/government/uploads/system/uploads/attachment_data/file/1010003/UKAEA_Annual_Report_and_Accounts_2020_21_P52_Double_page_spead.pdf</w:t>
      </w:r>
    </w:p>
    <w:p w14:paraId="20CFB92F" w14:textId="77777777" w:rsidR="00260ACA" w:rsidRPr="00260ACA" w:rsidRDefault="00260ACA" w:rsidP="00260ACA">
      <w:pPr>
        <w:pStyle w:val="Referencelist"/>
        <w:jc w:val="left"/>
        <w:rPr>
          <w:sz w:val="22"/>
          <w:szCs w:val="22"/>
        </w:rPr>
      </w:pPr>
      <w:r w:rsidRPr="00260ACA">
        <w:rPr>
          <w:sz w:val="22"/>
          <w:szCs w:val="22"/>
        </w:rPr>
        <w:t>http://www.innov-rosatom.ru/about/o-portale/%D0%A4%D0%9F%203.pdf</w:t>
      </w:r>
    </w:p>
    <w:p w14:paraId="5C000109" w14:textId="77777777" w:rsidR="00260ACA" w:rsidRPr="00260ACA" w:rsidRDefault="00260ACA" w:rsidP="00260ACA">
      <w:pPr>
        <w:pStyle w:val="Referencelist"/>
        <w:jc w:val="left"/>
        <w:rPr>
          <w:sz w:val="22"/>
          <w:szCs w:val="22"/>
        </w:rPr>
      </w:pPr>
      <w:r w:rsidRPr="00260ACA">
        <w:rPr>
          <w:sz w:val="22"/>
          <w:szCs w:val="22"/>
        </w:rPr>
        <w:t>https://www.cleanenergywire.org/news/germany-should-continue-nuclear-fusion-research-fight-climate-change-opinion</w:t>
      </w:r>
    </w:p>
    <w:p w14:paraId="0734A29F" w14:textId="77777777" w:rsidR="00260ACA" w:rsidRPr="00260ACA" w:rsidRDefault="00260ACA" w:rsidP="00260ACA">
      <w:pPr>
        <w:pStyle w:val="Referencelist"/>
        <w:jc w:val="left"/>
        <w:rPr>
          <w:sz w:val="22"/>
          <w:szCs w:val="22"/>
        </w:rPr>
      </w:pPr>
      <w:r w:rsidRPr="00260ACA">
        <w:rPr>
          <w:sz w:val="22"/>
          <w:szCs w:val="22"/>
        </w:rPr>
        <w:t>https://www.iisd.org/sustainable-recovery/news/clean-recovery-spain-offers-eur-181-million-for-renewable-energy-projects/</w:t>
      </w:r>
    </w:p>
    <w:p w14:paraId="094F53E7" w14:textId="77777777" w:rsidR="00260ACA" w:rsidRPr="00260ACA" w:rsidRDefault="00260ACA" w:rsidP="00260ACA">
      <w:pPr>
        <w:pStyle w:val="Referencelist"/>
        <w:jc w:val="left"/>
        <w:rPr>
          <w:sz w:val="22"/>
          <w:szCs w:val="22"/>
        </w:rPr>
      </w:pPr>
      <w:r w:rsidRPr="00260ACA">
        <w:rPr>
          <w:sz w:val="22"/>
          <w:szCs w:val="22"/>
        </w:rPr>
        <w:t>https://nucleus-new.iaea.org/sites/fusionportal/Shared%20Documents/FEC%202018/fec2018-material/material0900.pdf</w:t>
      </w:r>
    </w:p>
    <w:p w14:paraId="435289DA" w14:textId="77777777" w:rsidR="00260ACA" w:rsidRPr="00260ACA" w:rsidRDefault="00260ACA" w:rsidP="00260ACA">
      <w:pPr>
        <w:pStyle w:val="Referencelist"/>
        <w:jc w:val="left"/>
        <w:rPr>
          <w:sz w:val="22"/>
          <w:szCs w:val="22"/>
        </w:rPr>
      </w:pPr>
      <w:r w:rsidRPr="00260ACA">
        <w:rPr>
          <w:sz w:val="22"/>
          <w:szCs w:val="22"/>
        </w:rPr>
        <w:t>https://www.nature.com/articles/nature.2013.12251</w:t>
      </w:r>
    </w:p>
    <w:p w14:paraId="507F4E3B" w14:textId="77777777" w:rsidR="00260ACA" w:rsidRPr="00260ACA" w:rsidRDefault="00260ACA" w:rsidP="00260ACA">
      <w:pPr>
        <w:pStyle w:val="Referencelist"/>
        <w:jc w:val="left"/>
        <w:rPr>
          <w:sz w:val="22"/>
          <w:szCs w:val="22"/>
        </w:rPr>
      </w:pPr>
      <w:hyperlink r:id="rId40" w:history="1">
        <w:r w:rsidRPr="00260ACA">
          <w:rPr>
            <w:sz w:val="22"/>
            <w:szCs w:val="22"/>
          </w:rPr>
          <w:t>https://www.gov.uk/government/publications/towards-fusion-energy-the-uk-fusion-strategy</w:t>
        </w:r>
      </w:hyperlink>
    </w:p>
    <w:p w14:paraId="3EE905B3" w14:textId="77777777" w:rsidR="00260ACA" w:rsidRPr="00260ACA" w:rsidRDefault="00260ACA" w:rsidP="00260ACA">
      <w:pPr>
        <w:pStyle w:val="Referencelist"/>
        <w:jc w:val="left"/>
        <w:rPr>
          <w:sz w:val="22"/>
          <w:szCs w:val="22"/>
        </w:rPr>
      </w:pPr>
      <w:hyperlink r:id="rId41" w:history="1">
        <w:r w:rsidRPr="00260ACA">
          <w:rPr>
            <w:sz w:val="22"/>
            <w:szCs w:val="22"/>
          </w:rPr>
          <w:t>https://www.whitehouse.gov/ostp/news-updates/2022/03/15/fact-sheet-developing-a-bold-vision-for-commercial-fusion-energy/</w:t>
        </w:r>
      </w:hyperlink>
    </w:p>
    <w:p w14:paraId="0C8C7CD2" w14:textId="77777777" w:rsidR="00260ACA" w:rsidRPr="00260ACA" w:rsidRDefault="00260ACA" w:rsidP="00260ACA">
      <w:pPr>
        <w:pStyle w:val="Referencelist"/>
        <w:jc w:val="left"/>
        <w:rPr>
          <w:sz w:val="22"/>
          <w:szCs w:val="22"/>
        </w:rPr>
      </w:pPr>
      <w:r w:rsidRPr="00260ACA">
        <w:rPr>
          <w:sz w:val="22"/>
          <w:szCs w:val="22"/>
        </w:rPr>
        <w:t>https://table.media/china/en/feature/hope-for-inexhaustible-energy-from-nuclear-fusion/</w:t>
      </w:r>
    </w:p>
    <w:p w14:paraId="049D4123" w14:textId="77777777" w:rsidR="00260ACA" w:rsidRPr="00260ACA" w:rsidRDefault="00260ACA" w:rsidP="00260ACA">
      <w:pPr>
        <w:pStyle w:val="Referencelist"/>
        <w:jc w:val="left"/>
        <w:rPr>
          <w:sz w:val="22"/>
          <w:szCs w:val="22"/>
        </w:rPr>
      </w:pPr>
      <w:hyperlink r:id="rId42" w:history="1">
        <w:r w:rsidRPr="00260ACA">
          <w:rPr>
            <w:sz w:val="22"/>
            <w:szCs w:val="22"/>
          </w:rPr>
          <w:t>https://www.fusion.qst.go.jp/fusion-energy-forum/topics/topics2019/MEXT_en.pdf</w:t>
        </w:r>
      </w:hyperlink>
    </w:p>
    <w:p w14:paraId="1FD87BB6" w14:textId="77777777" w:rsidR="00260ACA" w:rsidRPr="00260ACA" w:rsidRDefault="00260ACA" w:rsidP="00260ACA">
      <w:pPr>
        <w:pStyle w:val="Referencelist"/>
        <w:jc w:val="left"/>
        <w:rPr>
          <w:sz w:val="22"/>
          <w:szCs w:val="22"/>
        </w:rPr>
      </w:pPr>
      <w:hyperlink r:id="rId43" w:history="1">
        <w:r w:rsidRPr="00260ACA">
          <w:rPr>
            <w:sz w:val="22"/>
            <w:szCs w:val="22"/>
          </w:rPr>
          <w:t>https://asia.nikkei.com/Business/Energy/Japan-s-Inpex-to-join-nuclear-fusion-race-with-startup-investments</w:t>
        </w:r>
      </w:hyperlink>
    </w:p>
    <w:p w14:paraId="4F0EBE19" w14:textId="77777777" w:rsidR="00260ACA" w:rsidRPr="00260ACA" w:rsidRDefault="00260ACA" w:rsidP="00260ACA">
      <w:pPr>
        <w:pStyle w:val="Referencelist"/>
        <w:jc w:val="left"/>
        <w:rPr>
          <w:sz w:val="22"/>
          <w:szCs w:val="22"/>
        </w:rPr>
      </w:pPr>
      <w:hyperlink r:id="rId44" w:anchor="!" w:history="1">
        <w:proofErr w:type="spellStart"/>
        <w:r w:rsidRPr="00260ACA">
          <w:rPr>
            <w:sz w:val="22"/>
            <w:szCs w:val="22"/>
          </w:rPr>
          <w:t>Slavomir</w:t>
        </w:r>
        <w:proofErr w:type="spellEnd"/>
        <w:r w:rsidRPr="00260ACA">
          <w:rPr>
            <w:sz w:val="22"/>
            <w:szCs w:val="22"/>
          </w:rPr>
          <w:t xml:space="preserve"> </w:t>
        </w:r>
        <w:proofErr w:type="spellStart"/>
        <w:r w:rsidRPr="00260ACA">
          <w:rPr>
            <w:sz w:val="22"/>
            <w:szCs w:val="22"/>
          </w:rPr>
          <w:t>Entler</w:t>
        </w:r>
        <w:proofErr w:type="spellEnd"/>
        <w:r w:rsidRPr="00260ACA">
          <w:rPr>
            <w:sz w:val="22"/>
            <w:szCs w:val="22"/>
          </w:rPr>
          <w:t>,</w:t>
        </w:r>
      </w:hyperlink>
      <w:r w:rsidRPr="00260ACA">
        <w:rPr>
          <w:sz w:val="22"/>
          <w:szCs w:val="22"/>
        </w:rPr>
        <w:t xml:space="preserve"> </w:t>
      </w:r>
      <w:hyperlink r:id="rId45" w:anchor="!" w:history="1">
        <w:r w:rsidRPr="00260ACA">
          <w:rPr>
            <w:sz w:val="22"/>
            <w:szCs w:val="22"/>
          </w:rPr>
          <w:t xml:space="preserve">Jan </w:t>
        </w:r>
        <w:proofErr w:type="spellStart"/>
        <w:r w:rsidRPr="00260ACA">
          <w:rPr>
            <w:sz w:val="22"/>
            <w:szCs w:val="22"/>
          </w:rPr>
          <w:t>Horacek</w:t>
        </w:r>
        <w:proofErr w:type="spellEnd"/>
        <w:r w:rsidRPr="00260ACA">
          <w:rPr>
            <w:sz w:val="22"/>
            <w:szCs w:val="22"/>
          </w:rPr>
          <w:t>,</w:t>
        </w:r>
      </w:hyperlink>
      <w:r w:rsidRPr="00260ACA">
        <w:rPr>
          <w:sz w:val="22"/>
          <w:szCs w:val="22"/>
        </w:rPr>
        <w:t xml:space="preserve"> </w:t>
      </w:r>
      <w:hyperlink r:id="rId46" w:anchor="!" w:history="1">
        <w:r w:rsidRPr="00260ACA">
          <w:rPr>
            <w:sz w:val="22"/>
            <w:szCs w:val="22"/>
          </w:rPr>
          <w:t xml:space="preserve">Tomas </w:t>
        </w:r>
        <w:proofErr w:type="spellStart"/>
        <w:r w:rsidRPr="00260ACA">
          <w:rPr>
            <w:sz w:val="22"/>
            <w:szCs w:val="22"/>
          </w:rPr>
          <w:t>Dlouhy</w:t>
        </w:r>
        <w:proofErr w:type="spellEnd"/>
        <w:r w:rsidRPr="00260ACA">
          <w:rPr>
            <w:sz w:val="22"/>
            <w:szCs w:val="22"/>
          </w:rPr>
          <w:t xml:space="preserve">, </w:t>
        </w:r>
      </w:hyperlink>
      <w:hyperlink r:id="rId47" w:anchor="!" w:history="1">
        <w:r w:rsidRPr="00260ACA">
          <w:rPr>
            <w:sz w:val="22"/>
            <w:szCs w:val="22"/>
          </w:rPr>
          <w:t>Vaclav Dostal.</w:t>
        </w:r>
      </w:hyperlink>
      <w:r w:rsidRPr="00260ACA">
        <w:rPr>
          <w:sz w:val="22"/>
          <w:szCs w:val="22"/>
        </w:rPr>
        <w:t xml:space="preserve"> Approximation of the economy of fusion energy</w:t>
      </w:r>
    </w:p>
    <w:p w14:paraId="039F9BC7" w14:textId="77777777" w:rsidR="00260ACA" w:rsidRPr="00260ACA" w:rsidRDefault="00260ACA" w:rsidP="00260ACA">
      <w:pPr>
        <w:pStyle w:val="Referencelist"/>
        <w:jc w:val="left"/>
        <w:rPr>
          <w:sz w:val="22"/>
          <w:szCs w:val="22"/>
        </w:rPr>
      </w:pPr>
      <w:hyperlink r:id="rId48" w:anchor=":~:text=MIT's%20ARC%20reactor%20is%20projected,to%20five%20years%2C%20Sorbom%20said" w:history="1">
        <w:r w:rsidRPr="00260ACA">
          <w:rPr>
            <w:sz w:val="22"/>
            <w:szCs w:val="22"/>
          </w:rPr>
          <w:t>https://www.computerworld.com/article/3028113/mit-takes-a-page-from-tony-stark-edges-closer-to-an-arc-fusion-reactor.html#:~:text=MIT's%20ARC%20reactor%20is%20projected,to%20five%20years%2C%20Sorbom%20said</w:t>
        </w:r>
      </w:hyperlink>
      <w:r w:rsidRPr="00260ACA">
        <w:rPr>
          <w:sz w:val="22"/>
          <w:szCs w:val="22"/>
        </w:rPr>
        <w:t>.</w:t>
      </w:r>
    </w:p>
    <w:p w14:paraId="1D27DAD7" w14:textId="77777777" w:rsidR="00260ACA" w:rsidRPr="00260ACA" w:rsidRDefault="00260ACA" w:rsidP="00260ACA">
      <w:pPr>
        <w:pStyle w:val="Referencelist"/>
        <w:jc w:val="left"/>
        <w:rPr>
          <w:sz w:val="22"/>
          <w:szCs w:val="22"/>
        </w:rPr>
      </w:pPr>
      <w:hyperlink r:id="rId49" w:history="1">
        <w:r w:rsidRPr="00260ACA">
          <w:rPr>
            <w:sz w:val="22"/>
            <w:szCs w:val="22"/>
          </w:rPr>
          <w:t>https://www.researchgate.net/publication/318215383_Conceptual_Cost_Study_for_a_Fusion_Power_Plant_Based_on_Four_Technologies_from_the_DOE_ARPA-E_ALPHA_Program</w:t>
        </w:r>
      </w:hyperlink>
    </w:p>
    <w:p w14:paraId="1D0330C4" w14:textId="77777777" w:rsidR="00260ACA" w:rsidRPr="00260ACA" w:rsidRDefault="00260ACA" w:rsidP="00260ACA">
      <w:pPr>
        <w:pStyle w:val="Referencelist"/>
        <w:jc w:val="left"/>
        <w:rPr>
          <w:sz w:val="22"/>
          <w:szCs w:val="22"/>
        </w:rPr>
      </w:pPr>
      <w:r w:rsidRPr="00260ACA">
        <w:rPr>
          <w:sz w:val="22"/>
          <w:szCs w:val="22"/>
        </w:rPr>
        <w:t>https://arpa-e.energy.gov/technologies/programs/bethe</w:t>
      </w:r>
    </w:p>
    <w:p w14:paraId="1E728DB2" w14:textId="77777777" w:rsidR="00260ACA" w:rsidRPr="00260ACA" w:rsidRDefault="00260ACA" w:rsidP="00260ACA">
      <w:pPr>
        <w:pStyle w:val="Referencelist"/>
        <w:jc w:val="left"/>
        <w:rPr>
          <w:sz w:val="22"/>
          <w:szCs w:val="22"/>
        </w:rPr>
      </w:pPr>
      <w:hyperlink r:id="rId50" w:history="1">
        <w:r w:rsidRPr="00260ACA">
          <w:rPr>
            <w:sz w:val="22"/>
            <w:szCs w:val="22"/>
          </w:rPr>
          <w:t>Samuel E. Wurzel</w:t>
        </w:r>
      </w:hyperlink>
      <w:r w:rsidRPr="00260ACA">
        <w:rPr>
          <w:sz w:val="22"/>
          <w:szCs w:val="22"/>
        </w:rPr>
        <w:t>, </w:t>
      </w:r>
      <w:hyperlink r:id="rId51" w:history="1">
        <w:r w:rsidRPr="00260ACA">
          <w:rPr>
            <w:sz w:val="22"/>
            <w:szCs w:val="22"/>
          </w:rPr>
          <w:t>Scott C. Hsu</w:t>
        </w:r>
      </w:hyperlink>
      <w:r w:rsidRPr="00260ACA">
        <w:rPr>
          <w:sz w:val="22"/>
          <w:szCs w:val="22"/>
        </w:rPr>
        <w:t>. Progress toward fusion energy breakeven and gain as measured against the Lawson criterion</w:t>
      </w:r>
    </w:p>
    <w:p w14:paraId="254B4264" w14:textId="77777777" w:rsidR="00434009" w:rsidRPr="00DF3A79" w:rsidRDefault="00434009" w:rsidP="00434009">
      <w:pPr>
        <w:pStyle w:val="Referencelist"/>
        <w:numPr>
          <w:ilvl w:val="0"/>
          <w:numId w:val="0"/>
        </w:numPr>
        <w:ind w:left="720" w:hanging="360"/>
        <w:rPr>
          <w:rFonts w:eastAsiaTheme="minorHAnsi"/>
          <w:sz w:val="22"/>
          <w:szCs w:val="20"/>
          <w:lang w:eastAsia="ar-SA"/>
        </w:rPr>
      </w:pPr>
    </w:p>
    <w:sectPr w:rsidR="00434009" w:rsidRPr="00DF3A79" w:rsidSect="0026525A">
      <w:footerReference w:type="even" r:id="rId52"/>
      <w:footerReference w:type="default" r:id="rId53"/>
      <w:headerReference w:type="first" r:id="rId54"/>
      <w:footerReference w:type="first" r:id="rId5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466B1" w14:textId="77777777" w:rsidR="00846BAF" w:rsidRDefault="00846BAF">
      <w:r>
        <w:separator/>
      </w:r>
    </w:p>
  </w:endnote>
  <w:endnote w:type="continuationSeparator" w:id="0">
    <w:p w14:paraId="473C7D90" w14:textId="77777777" w:rsidR="00846BAF" w:rsidRDefault="00846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CF06" w14:textId="77777777" w:rsidR="00E20E70" w:rsidRDefault="00E20E70">
    <w:pPr>
      <w:pStyle w:val="zyxClassification1"/>
    </w:pPr>
    <w:r>
      <w:fldChar w:fldCharType="begin"/>
    </w:r>
    <w:r>
      <w:instrText xml:space="preserve"> DOCPROPERTY "IaeaClassification"  \* MERGEFORMAT </w:instrText>
    </w:r>
    <w:r>
      <w:fldChar w:fldCharType="end"/>
    </w:r>
  </w:p>
  <w:p w14:paraId="200521DA"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B193" w14:textId="6E1AF563" w:rsidR="00E20E70" w:rsidRPr="00C95D35" w:rsidRDefault="00E20E70" w:rsidP="00C95D35">
    <w:pPr>
      <w:pStyle w:val="zyxClassification1"/>
    </w:pPr>
    <w:r>
      <w:fldChar w:fldCharType="begin"/>
    </w:r>
    <w:r>
      <w:instrText xml:space="preserve"> DOCPROPERTY "IaeaClassification"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5EDCE14" w14:textId="77777777">
      <w:trPr>
        <w:cantSplit/>
      </w:trPr>
      <w:tc>
        <w:tcPr>
          <w:tcW w:w="4644" w:type="dxa"/>
        </w:tcPr>
        <w:p w14:paraId="4046DEF9"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9E4DC9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5BEF301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02140AC5"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1F07BD0C"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8621B" w14:textId="77777777" w:rsidR="00846BAF" w:rsidRDefault="00846BAF">
      <w:r>
        <w:t>___________________________________________________________________________</w:t>
      </w:r>
    </w:p>
  </w:footnote>
  <w:footnote w:type="continuationSeparator" w:id="0">
    <w:p w14:paraId="3DB1D0D7" w14:textId="77777777" w:rsidR="00846BAF" w:rsidRDefault="00846BAF">
      <w:r>
        <w:t>___________________________________________________________________________</w:t>
      </w:r>
    </w:p>
  </w:footnote>
  <w:footnote w:type="continuationNotice" w:id="1">
    <w:p w14:paraId="0FAD7056" w14:textId="77777777" w:rsidR="00846BAF" w:rsidRDefault="00846BAF"/>
  </w:footnote>
  <w:footnote w:id="2">
    <w:p w14:paraId="271B6791" w14:textId="77777777" w:rsidR="00D37AFD" w:rsidRPr="003E0DAF" w:rsidRDefault="00D37AFD" w:rsidP="00D37AFD">
      <w:pPr>
        <w:pStyle w:val="aa"/>
      </w:pPr>
      <w:r>
        <w:rPr>
          <w:rStyle w:val="ae"/>
        </w:rPr>
        <w:footnoteRef/>
      </w:r>
      <w:r w:rsidRPr="003E0DAF">
        <w:t xml:space="preserve"> </w:t>
      </w:r>
      <w:r>
        <w:t>Carbon capture, utilization and storage</w:t>
      </w:r>
    </w:p>
  </w:footnote>
  <w:footnote w:id="3">
    <w:p w14:paraId="318C650A" w14:textId="77777777" w:rsidR="001F4BE7" w:rsidRPr="00E83406" w:rsidRDefault="001F4BE7" w:rsidP="001F4BE7">
      <w:pPr>
        <w:pStyle w:val="aa"/>
      </w:pPr>
      <w:r>
        <w:rPr>
          <w:rStyle w:val="ae"/>
        </w:rPr>
        <w:footnoteRef/>
      </w:r>
      <w:r w:rsidRPr="00E83406">
        <w:t xml:space="preserve"> </w:t>
      </w:r>
      <w:r>
        <w:t xml:space="preserve">25-30% load factor assumed </w:t>
      </w:r>
    </w:p>
  </w:footnote>
  <w:footnote w:id="4">
    <w:p w14:paraId="5BCD7981" w14:textId="77777777" w:rsidR="00D946C3" w:rsidRPr="00F01D9B" w:rsidRDefault="00D946C3" w:rsidP="00D946C3">
      <w:pPr>
        <w:pStyle w:val="aa"/>
      </w:pPr>
      <w:r>
        <w:rPr>
          <w:rStyle w:val="ae"/>
        </w:rPr>
        <w:footnoteRef/>
      </w:r>
      <w:r w:rsidRPr="00F01D9B">
        <w:t xml:space="preserve"> </w:t>
      </w:r>
      <w:r>
        <w:t xml:space="preserve">Including Canadian General Fusion building demonstration fusion power plant on the territory of UKAEA </w:t>
      </w:r>
      <w:proofErr w:type="spellStart"/>
      <w:r>
        <w:t>Culham</w:t>
      </w:r>
      <w:proofErr w:type="spellEnd"/>
      <w:r>
        <w:t xml:space="preserve"> Campus</w:t>
      </w:r>
    </w:p>
  </w:footnote>
  <w:footnote w:id="5">
    <w:p w14:paraId="255C15D9" w14:textId="08E4C799" w:rsidR="00A51D5E" w:rsidRDefault="00A51D5E">
      <w:pPr>
        <w:pStyle w:val="aa"/>
      </w:pPr>
      <w:r>
        <w:rPr>
          <w:rStyle w:val="ae"/>
        </w:rPr>
        <w:footnoteRef/>
      </w:r>
      <w:r>
        <w:t xml:space="preserve"> Not included fuel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1492AB90" w14:textId="77777777">
      <w:trPr>
        <w:cantSplit/>
        <w:trHeight w:val="716"/>
      </w:trPr>
      <w:tc>
        <w:tcPr>
          <w:tcW w:w="979" w:type="dxa"/>
          <w:vMerge w:val="restart"/>
        </w:tcPr>
        <w:p w14:paraId="3504C8F1" w14:textId="77777777" w:rsidR="00E20E70" w:rsidRDefault="00E20E70">
          <w:pPr>
            <w:spacing w:before="180"/>
            <w:ind w:left="17"/>
          </w:pPr>
        </w:p>
      </w:tc>
      <w:tc>
        <w:tcPr>
          <w:tcW w:w="3638" w:type="dxa"/>
          <w:vAlign w:val="bottom"/>
        </w:tcPr>
        <w:p w14:paraId="139D94AE" w14:textId="77777777" w:rsidR="00E20E70" w:rsidRDefault="00E20E70">
          <w:pPr>
            <w:spacing w:after="20"/>
          </w:pPr>
        </w:p>
      </w:tc>
      <w:bookmarkStart w:id="2" w:name="DOC_bkmClassification1"/>
      <w:tc>
        <w:tcPr>
          <w:tcW w:w="5702" w:type="dxa"/>
          <w:vMerge w:val="restart"/>
          <w:tcMar>
            <w:right w:w="193" w:type="dxa"/>
          </w:tcMar>
        </w:tcPr>
        <w:p w14:paraId="1F5D837F"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618A6006" w14:textId="77777777" w:rsidR="00E20E70" w:rsidRDefault="00E20E70">
          <w:pPr>
            <w:pStyle w:val="zyxConfid2Red"/>
          </w:pPr>
          <w:r>
            <w:fldChar w:fldCharType="begin"/>
          </w:r>
          <w:r>
            <w:instrText>DOCPROPERTY "IaeaClassification2"  \* MERGEFORMAT</w:instrText>
          </w:r>
          <w:r>
            <w:fldChar w:fldCharType="end"/>
          </w:r>
        </w:p>
      </w:tc>
    </w:tr>
    <w:tr w:rsidR="00E20E70" w14:paraId="624C849A" w14:textId="77777777">
      <w:trPr>
        <w:cantSplit/>
        <w:trHeight w:val="167"/>
      </w:trPr>
      <w:tc>
        <w:tcPr>
          <w:tcW w:w="979" w:type="dxa"/>
          <w:vMerge/>
        </w:tcPr>
        <w:p w14:paraId="59CC5D92" w14:textId="77777777" w:rsidR="00E20E70" w:rsidRDefault="00E20E70">
          <w:pPr>
            <w:spacing w:before="57"/>
          </w:pPr>
        </w:p>
      </w:tc>
      <w:tc>
        <w:tcPr>
          <w:tcW w:w="3638" w:type="dxa"/>
          <w:vAlign w:val="bottom"/>
        </w:tcPr>
        <w:p w14:paraId="102E94F7" w14:textId="77777777" w:rsidR="00E20E70" w:rsidRDefault="00E20E70">
          <w:pPr>
            <w:pStyle w:val="9"/>
            <w:spacing w:before="0" w:after="10"/>
          </w:pPr>
        </w:p>
      </w:tc>
      <w:tc>
        <w:tcPr>
          <w:tcW w:w="5702" w:type="dxa"/>
          <w:vMerge/>
          <w:vAlign w:val="bottom"/>
        </w:tcPr>
        <w:p w14:paraId="661582EC" w14:textId="77777777" w:rsidR="00E20E70" w:rsidRDefault="00E20E70">
          <w:pPr>
            <w:pStyle w:val="9"/>
            <w:spacing w:before="0" w:after="10"/>
          </w:pPr>
        </w:p>
      </w:tc>
    </w:tr>
  </w:tbl>
  <w:p w14:paraId="2C88053A"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1B6AD5A"/>
    <w:lvl w:ilvl="0">
      <w:numFmt w:val="decimal"/>
      <w:lvlText w:val="*"/>
      <w:lvlJc w:val="left"/>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0FC66120"/>
    <w:multiLevelType w:val="hybridMultilevel"/>
    <w:tmpl w:val="028E4940"/>
    <w:lvl w:ilvl="0" w:tplc="724A08B4">
      <w:start w:val="1"/>
      <w:numFmt w:val="decimal"/>
      <w:pStyle w:val="Zv-References-en"/>
      <w:lvlText w:val="[%1]."/>
      <w:lvlJc w:val="left"/>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95682798">
    <w:abstractNumId w:val="9"/>
  </w:num>
  <w:num w:numId="2" w16cid:durableId="1431855878">
    <w:abstractNumId w:val="6"/>
  </w:num>
  <w:num w:numId="3" w16cid:durableId="603004132">
    <w:abstractNumId w:val="12"/>
  </w:num>
  <w:num w:numId="4" w16cid:durableId="1963222568">
    <w:abstractNumId w:val="12"/>
  </w:num>
  <w:num w:numId="5" w16cid:durableId="973679044">
    <w:abstractNumId w:val="12"/>
  </w:num>
  <w:num w:numId="6" w16cid:durableId="385683495">
    <w:abstractNumId w:val="7"/>
  </w:num>
  <w:num w:numId="7" w16cid:durableId="84349068">
    <w:abstractNumId w:val="10"/>
  </w:num>
  <w:num w:numId="8" w16cid:durableId="538708724">
    <w:abstractNumId w:val="13"/>
  </w:num>
  <w:num w:numId="9" w16cid:durableId="129059591">
    <w:abstractNumId w:val="2"/>
  </w:num>
  <w:num w:numId="10" w16cid:durableId="1200241678">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658266694">
    <w:abstractNumId w:val="12"/>
  </w:num>
  <w:num w:numId="12" w16cid:durableId="833762838">
    <w:abstractNumId w:val="12"/>
  </w:num>
  <w:num w:numId="13" w16cid:durableId="1550848032">
    <w:abstractNumId w:val="12"/>
  </w:num>
  <w:num w:numId="14" w16cid:durableId="111780020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2004552546">
    <w:abstractNumId w:val="12"/>
  </w:num>
  <w:num w:numId="16" w16cid:durableId="969827771">
    <w:abstractNumId w:val="12"/>
  </w:num>
  <w:num w:numId="17" w16cid:durableId="1839035485">
    <w:abstractNumId w:val="12"/>
  </w:num>
  <w:num w:numId="18" w16cid:durableId="4749493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6885855">
    <w:abstractNumId w:val="12"/>
  </w:num>
  <w:num w:numId="20" w16cid:durableId="1137406796">
    <w:abstractNumId w:val="4"/>
  </w:num>
  <w:num w:numId="21" w16cid:durableId="975404350">
    <w:abstractNumId w:val="12"/>
  </w:num>
  <w:num w:numId="22" w16cid:durableId="1802769681">
    <w:abstractNumId w:val="5"/>
  </w:num>
  <w:num w:numId="23" w16cid:durableId="329021138">
    <w:abstractNumId w:val="1"/>
  </w:num>
  <w:num w:numId="24" w16cid:durableId="1839494993">
    <w:abstractNumId w:val="11"/>
  </w:num>
  <w:num w:numId="25" w16cid:durableId="639381527">
    <w:abstractNumId w:val="12"/>
  </w:num>
  <w:num w:numId="26" w16cid:durableId="98570852">
    <w:abstractNumId w:val="12"/>
  </w:num>
  <w:num w:numId="27" w16cid:durableId="302544663">
    <w:abstractNumId w:val="12"/>
  </w:num>
  <w:num w:numId="28" w16cid:durableId="1629240927">
    <w:abstractNumId w:val="12"/>
  </w:num>
  <w:num w:numId="29" w16cid:durableId="1282565296">
    <w:abstractNumId w:val="12"/>
  </w:num>
  <w:num w:numId="30" w16cid:durableId="265887922">
    <w:abstractNumId w:val="8"/>
  </w:num>
  <w:num w:numId="31" w16cid:durableId="222757082">
    <w:abstractNumId w:val="8"/>
  </w:num>
  <w:num w:numId="32" w16cid:durableId="597375546">
    <w:abstractNumId w:val="12"/>
  </w:num>
  <w:num w:numId="33" w16cid:durableId="111105033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16cid:durableId="1725330306">
    <w:abstractNumId w:val="4"/>
  </w:num>
  <w:num w:numId="35" w16cid:durableId="1279682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C41"/>
    <w:rsid w:val="000229AB"/>
    <w:rsid w:val="0002569A"/>
    <w:rsid w:val="000300A7"/>
    <w:rsid w:val="00037321"/>
    <w:rsid w:val="00046928"/>
    <w:rsid w:val="000552F9"/>
    <w:rsid w:val="00073700"/>
    <w:rsid w:val="000A0299"/>
    <w:rsid w:val="000C6874"/>
    <w:rsid w:val="000F7E94"/>
    <w:rsid w:val="00107F61"/>
    <w:rsid w:val="001119D6"/>
    <w:rsid w:val="0012117D"/>
    <w:rsid w:val="00126389"/>
    <w:rsid w:val="001308F2"/>
    <w:rsid w:val="001313E8"/>
    <w:rsid w:val="0019014D"/>
    <w:rsid w:val="001C58F5"/>
    <w:rsid w:val="001D5CEE"/>
    <w:rsid w:val="001F49FB"/>
    <w:rsid w:val="001F4BE7"/>
    <w:rsid w:val="002071D9"/>
    <w:rsid w:val="00235900"/>
    <w:rsid w:val="00256822"/>
    <w:rsid w:val="00260ACA"/>
    <w:rsid w:val="0026525A"/>
    <w:rsid w:val="00265CBF"/>
    <w:rsid w:val="00274790"/>
    <w:rsid w:val="00285755"/>
    <w:rsid w:val="002A1F9C"/>
    <w:rsid w:val="002B29C2"/>
    <w:rsid w:val="002C4208"/>
    <w:rsid w:val="002C5F9A"/>
    <w:rsid w:val="00306628"/>
    <w:rsid w:val="00352DE1"/>
    <w:rsid w:val="003728E6"/>
    <w:rsid w:val="003760DD"/>
    <w:rsid w:val="003B5E0E"/>
    <w:rsid w:val="003C3379"/>
    <w:rsid w:val="003D255A"/>
    <w:rsid w:val="00416949"/>
    <w:rsid w:val="00434009"/>
    <w:rsid w:val="004370D8"/>
    <w:rsid w:val="00446113"/>
    <w:rsid w:val="00472C43"/>
    <w:rsid w:val="00477B19"/>
    <w:rsid w:val="004910D8"/>
    <w:rsid w:val="00531652"/>
    <w:rsid w:val="00537496"/>
    <w:rsid w:val="00544ED3"/>
    <w:rsid w:val="00547F26"/>
    <w:rsid w:val="0057131A"/>
    <w:rsid w:val="0058477B"/>
    <w:rsid w:val="0058654F"/>
    <w:rsid w:val="00596ACA"/>
    <w:rsid w:val="005B7E6B"/>
    <w:rsid w:val="005C5D2D"/>
    <w:rsid w:val="005E1B27"/>
    <w:rsid w:val="005E39BC"/>
    <w:rsid w:val="005F00A0"/>
    <w:rsid w:val="005F4AF8"/>
    <w:rsid w:val="006000B2"/>
    <w:rsid w:val="00604C59"/>
    <w:rsid w:val="00612CB0"/>
    <w:rsid w:val="00647F33"/>
    <w:rsid w:val="00654B09"/>
    <w:rsid w:val="00662532"/>
    <w:rsid w:val="00675240"/>
    <w:rsid w:val="00684298"/>
    <w:rsid w:val="006B2274"/>
    <w:rsid w:val="007113E8"/>
    <w:rsid w:val="00717C6F"/>
    <w:rsid w:val="007244D1"/>
    <w:rsid w:val="007445DA"/>
    <w:rsid w:val="00765630"/>
    <w:rsid w:val="00790E9A"/>
    <w:rsid w:val="007B4FD1"/>
    <w:rsid w:val="007B57CF"/>
    <w:rsid w:val="007C267B"/>
    <w:rsid w:val="007D0519"/>
    <w:rsid w:val="00800B84"/>
    <w:rsid w:val="00802381"/>
    <w:rsid w:val="00815F3A"/>
    <w:rsid w:val="008270D0"/>
    <w:rsid w:val="00827B38"/>
    <w:rsid w:val="00846BAF"/>
    <w:rsid w:val="0085046A"/>
    <w:rsid w:val="008601BE"/>
    <w:rsid w:val="00883848"/>
    <w:rsid w:val="00897ED5"/>
    <w:rsid w:val="008B6BB9"/>
    <w:rsid w:val="008C3C89"/>
    <w:rsid w:val="008F4C98"/>
    <w:rsid w:val="00911543"/>
    <w:rsid w:val="009519C9"/>
    <w:rsid w:val="00975B45"/>
    <w:rsid w:val="009B22A3"/>
    <w:rsid w:val="009B535E"/>
    <w:rsid w:val="009D0B86"/>
    <w:rsid w:val="009D21F0"/>
    <w:rsid w:val="009E0D5B"/>
    <w:rsid w:val="009E1558"/>
    <w:rsid w:val="00A42898"/>
    <w:rsid w:val="00A51D5E"/>
    <w:rsid w:val="00A964E3"/>
    <w:rsid w:val="00AB6ACE"/>
    <w:rsid w:val="00AC5A3A"/>
    <w:rsid w:val="00AD6BB4"/>
    <w:rsid w:val="00AE0AE2"/>
    <w:rsid w:val="00AE6705"/>
    <w:rsid w:val="00AF4C4A"/>
    <w:rsid w:val="00B1443F"/>
    <w:rsid w:val="00B54CDF"/>
    <w:rsid w:val="00B808D8"/>
    <w:rsid w:val="00B82FA5"/>
    <w:rsid w:val="00B90025"/>
    <w:rsid w:val="00BC0D33"/>
    <w:rsid w:val="00BD1400"/>
    <w:rsid w:val="00BD196C"/>
    <w:rsid w:val="00BD605C"/>
    <w:rsid w:val="00BE2A76"/>
    <w:rsid w:val="00C520EE"/>
    <w:rsid w:val="00C65E60"/>
    <w:rsid w:val="00C95D35"/>
    <w:rsid w:val="00CB0288"/>
    <w:rsid w:val="00CD7ABF"/>
    <w:rsid w:val="00CE5A52"/>
    <w:rsid w:val="00CF584F"/>
    <w:rsid w:val="00CF7AF3"/>
    <w:rsid w:val="00D03338"/>
    <w:rsid w:val="00D26ADA"/>
    <w:rsid w:val="00D35A78"/>
    <w:rsid w:val="00D37AFD"/>
    <w:rsid w:val="00D555A1"/>
    <w:rsid w:val="00D64DC2"/>
    <w:rsid w:val="00D946C3"/>
    <w:rsid w:val="00DA46CA"/>
    <w:rsid w:val="00DD60A5"/>
    <w:rsid w:val="00DE5C99"/>
    <w:rsid w:val="00DE7061"/>
    <w:rsid w:val="00DF21EB"/>
    <w:rsid w:val="00DF3A79"/>
    <w:rsid w:val="00E20E70"/>
    <w:rsid w:val="00E25B68"/>
    <w:rsid w:val="00E84003"/>
    <w:rsid w:val="00EC10FC"/>
    <w:rsid w:val="00EE0041"/>
    <w:rsid w:val="00EE29B9"/>
    <w:rsid w:val="00EE30B2"/>
    <w:rsid w:val="00EF5DCA"/>
    <w:rsid w:val="00F004EE"/>
    <w:rsid w:val="00F041CD"/>
    <w:rsid w:val="00F42E23"/>
    <w:rsid w:val="00F45EEE"/>
    <w:rsid w:val="00F51E9C"/>
    <w:rsid w:val="00F523CA"/>
    <w:rsid w:val="00F70F80"/>
    <w:rsid w:val="00F74A45"/>
    <w:rsid w:val="00F74A9D"/>
    <w:rsid w:val="00F81411"/>
    <w:rsid w:val="00F9590C"/>
    <w:rsid w:val="00FB6822"/>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A9FC1"/>
  <w15:docId w15:val="{1D5323B3-0188-4AAC-A100-D147430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0"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link w:val="10"/>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link w:val="20"/>
    <w:qFormat/>
    <w:rsid w:val="00EE0041"/>
    <w:pPr>
      <w:widowControl w:val="0"/>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link w:val="ab"/>
    <w:semiHidden/>
    <w:locked/>
    <w:pPr>
      <w:tabs>
        <w:tab w:val="left" w:pos="459"/>
      </w:tabs>
      <w:spacing w:before="142"/>
      <w:ind w:left="459"/>
      <w:jc w:val="both"/>
    </w:pPr>
    <w:rPr>
      <w:sz w:val="18"/>
      <w:lang w:eastAsia="en-US"/>
    </w:rPr>
  </w:style>
  <w:style w:type="paragraph" w:styleId="ac">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pPr>
  </w:style>
  <w:style w:type="paragraph" w:customStyle="1" w:styleId="ListNumbered">
    <w:name w:val="List Numbered"/>
    <w:basedOn w:val="a1"/>
    <w:uiPriority w:val="5"/>
    <w:qFormat/>
    <w:locked/>
    <w:rsid w:val="00717C6F"/>
    <w:pPr>
      <w:numPr>
        <w:numId w:val="22"/>
      </w:numPr>
    </w:pPr>
  </w:style>
  <w:style w:type="paragraph" w:styleId="ad">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e">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f">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0">
    <w:name w:val="Balloon Text"/>
    <w:basedOn w:val="a"/>
    <w:link w:val="af1"/>
    <w:uiPriority w:val="49"/>
    <w:locked/>
    <w:rsid w:val="005F00A0"/>
    <w:rPr>
      <w:rFonts w:ascii="Tahoma" w:hAnsi="Tahoma" w:cs="Tahoma"/>
      <w:sz w:val="16"/>
      <w:szCs w:val="16"/>
    </w:rPr>
  </w:style>
  <w:style w:type="character" w:customStyle="1" w:styleId="af1">
    <w:name w:val="Текст выноски Знак"/>
    <w:basedOn w:val="a2"/>
    <w:link w:val="af0"/>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character" w:customStyle="1" w:styleId="10">
    <w:name w:val="Заголовок 1 Знак"/>
    <w:aliases w:val="Paper title Знак"/>
    <w:basedOn w:val="a2"/>
    <w:link w:val="1"/>
    <w:rsid w:val="00477B19"/>
    <w:rPr>
      <w:rFonts w:ascii="Times New Roman Bold" w:hAnsi="Times New Roman Bold"/>
      <w:b/>
      <w:caps/>
      <w:sz w:val="24"/>
      <w:lang w:val="en-US" w:eastAsia="en-US"/>
    </w:rPr>
  </w:style>
  <w:style w:type="character" w:customStyle="1" w:styleId="20">
    <w:name w:val="Заголовок 2 Знак"/>
    <w:aliases w:val="1st level paper heading Знак"/>
    <w:basedOn w:val="a2"/>
    <w:link w:val="2"/>
    <w:rsid w:val="00011C41"/>
    <w:rPr>
      <w:caps/>
      <w:lang w:eastAsia="en-US"/>
    </w:rPr>
  </w:style>
  <w:style w:type="paragraph" w:customStyle="1" w:styleId="Zv-Titlereport">
    <w:name w:val="Zv-Title_report"/>
    <w:basedOn w:val="3"/>
    <w:next w:val="a"/>
    <w:rsid w:val="00FB6822"/>
    <w:pPr>
      <w:keepNext/>
      <w:widowControl/>
      <w:numPr>
        <w:ilvl w:val="0"/>
        <w:numId w:val="0"/>
      </w:numPr>
      <w:spacing w:before="0" w:after="120" w:line="240" w:lineRule="auto"/>
      <w:jc w:val="center"/>
    </w:pPr>
    <w:rPr>
      <w:caps/>
      <w:kern w:val="24"/>
      <w:sz w:val="24"/>
      <w:lang w:val="ru-RU" w:eastAsia="ru-RU"/>
    </w:rPr>
  </w:style>
  <w:style w:type="paragraph" w:customStyle="1" w:styleId="Zv-bodyreport">
    <w:name w:val="Zv-body_report"/>
    <w:basedOn w:val="a"/>
    <w:rsid w:val="00FB6822"/>
    <w:pPr>
      <w:overflowPunct/>
      <w:autoSpaceDE/>
      <w:autoSpaceDN/>
      <w:adjustRightInd/>
      <w:ind w:firstLine="284"/>
      <w:jc w:val="both"/>
      <w:textAlignment w:val="auto"/>
    </w:pPr>
    <w:rPr>
      <w:sz w:val="24"/>
      <w:szCs w:val="24"/>
      <w:lang w:val="ru-RU" w:eastAsia="ru-RU"/>
    </w:rPr>
  </w:style>
  <w:style w:type="character" w:styleId="af2">
    <w:name w:val="Hyperlink"/>
    <w:basedOn w:val="a2"/>
    <w:locked/>
    <w:rsid w:val="00FB6822"/>
    <w:rPr>
      <w:color w:val="0000FF" w:themeColor="hyperlink"/>
      <w:u w:val="single"/>
    </w:rPr>
  </w:style>
  <w:style w:type="character" w:customStyle="1" w:styleId="ab">
    <w:name w:val="Текст сноски Знак"/>
    <w:basedOn w:val="a2"/>
    <w:link w:val="aa"/>
    <w:semiHidden/>
    <w:rsid w:val="00D37AFD"/>
    <w:rPr>
      <w:sz w:val="18"/>
      <w:lang w:eastAsia="en-US"/>
    </w:rPr>
  </w:style>
  <w:style w:type="paragraph" w:customStyle="1" w:styleId="Zv-References-en">
    <w:name w:val="Zv-References-en"/>
    <w:basedOn w:val="a"/>
    <w:qFormat/>
    <w:rsid w:val="00260ACA"/>
    <w:pPr>
      <w:numPr>
        <w:numId w:val="35"/>
      </w:numPr>
      <w:tabs>
        <w:tab w:val="left" w:pos="567"/>
      </w:tabs>
      <w:overflowPunct/>
      <w:autoSpaceDE/>
      <w:autoSpaceDN/>
      <w:adjustRightInd/>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38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ea.org/reports/world-energy-outlook-2019/electricity" TargetMode="External"/><Relationship Id="rId18" Type="http://schemas.openxmlformats.org/officeDocument/2006/relationships/hyperlink" Target="https://www.equinor.com/energy/ventures" TargetMode="External"/><Relationship Id="rId26" Type="http://schemas.openxmlformats.org/officeDocument/2006/relationships/image" Target="media/image3.png"/><Relationship Id="rId39" Type="http://schemas.openxmlformats.org/officeDocument/2006/relationships/hyperlink" Target="https://nucleus.iaea.org/sites/fusionportal/Pages/FusDIS.aspx" TargetMode="External"/><Relationship Id="rId21" Type="http://schemas.openxmlformats.org/officeDocument/2006/relationships/hyperlink" Target="https://www.conocophillips.com/about-us/how-energy-works/creating-innovative-solutions/technology-ventures/" TargetMode="External"/><Relationship Id="rId34" Type="http://schemas.openxmlformats.org/officeDocument/2006/relationships/hyperlink" Target="https://www.reuters.com/article/us-climate-europe-eib-idUSKBN1XO2OS" TargetMode="External"/><Relationship Id="rId42" Type="http://schemas.openxmlformats.org/officeDocument/2006/relationships/hyperlink" Target="https://www.fusion.qst.go.jp/fusion-energy-forum/topics/topics2019/MEXT_en.pdf" TargetMode="External"/><Relationship Id="rId47" Type="http://schemas.openxmlformats.org/officeDocument/2006/relationships/hyperlink" Target="https://www.sciencedirect.com/science/article/pii/S0360544218305395" TargetMode="External"/><Relationship Id="rId50" Type="http://schemas.openxmlformats.org/officeDocument/2006/relationships/hyperlink" Target="https://arxiv.org/search/physics?searchtype=author&amp;query=Wurzel%2C+S+E" TargetMode="Externa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p.com/en/global/bp-ventures.html"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energytracker.asia/oil-and-gas-industrys-net-zero-commitments/" TargetMode="External"/><Relationship Id="rId32" Type="http://schemas.openxmlformats.org/officeDocument/2006/relationships/image" Target="media/image8.png"/><Relationship Id="rId37" Type="http://schemas.openxmlformats.org/officeDocument/2006/relationships/hyperlink" Target="https://www.researchandmarkets.com/reports/5240353/electric-power-generation-transmission-and?utm_source=CI&amp;utm_medium=PressRelease&amp;utm_code=782l4t&amp;utm_campaign=1512252+-+Global+Electric+Power+Generation%2c+Transmission%2c+and+Distribution+Market+Report+(2021+to+2030)+-+COVID-19+Impact+and+Recovery&amp;utm_exec=jamu273prd" TargetMode="External"/><Relationship Id="rId40" Type="http://schemas.openxmlformats.org/officeDocument/2006/relationships/hyperlink" Target="https://www.gov.uk/government/publications/towards-fusion-energy-the-uk-fusion-strategy" TargetMode="External"/><Relationship Id="rId45" Type="http://schemas.openxmlformats.org/officeDocument/2006/relationships/hyperlink" Target="https://www.sciencedirect.com/science/article/pii/S0360544218305395"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www.repsol.com/en/energy-and-innovation/corporate-venturing/index.c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i.com/eninext/en-US/home.html" TargetMode="External"/><Relationship Id="rId22" Type="http://schemas.openxmlformats.org/officeDocument/2006/relationships/hyperlink" Target="https://www.chevron.com/technology/technology-ventures" TargetMode="External"/><Relationship Id="rId27" Type="http://schemas.openxmlformats.org/officeDocument/2006/relationships/chart" Target="charts/chart1.xml"/><Relationship Id="rId30" Type="http://schemas.openxmlformats.org/officeDocument/2006/relationships/image" Target="media/image6.svg"/><Relationship Id="rId35" Type="http://schemas.openxmlformats.org/officeDocument/2006/relationships/hyperlink" Target="https://www.visualcapitalist.com/climate-targets-of-fortune-500-companies/" TargetMode="External"/><Relationship Id="rId43" Type="http://schemas.openxmlformats.org/officeDocument/2006/relationships/hyperlink" Target="https://asia.nikkei.com/Business/Energy/Japan-s-Inpex-to-join-nuclear-fusion-race-with-startup-investments" TargetMode="External"/><Relationship Id="rId48" Type="http://schemas.openxmlformats.org/officeDocument/2006/relationships/hyperlink" Target="https://www.computerworld.com/article/3028113/mit-takes-a-page-from-tony-stark-edges-closer-to-an-arc-fusion-reactor.html"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rxiv.org/search/physics?searchtype=author&amp;query=Hsu%2C+S+C" TargetMode="External"/><Relationship Id="rId3" Type="http://schemas.openxmlformats.org/officeDocument/2006/relationships/customXml" Target="../customXml/item3.xml"/><Relationship Id="rId12" Type="http://schemas.openxmlformats.org/officeDocument/2006/relationships/hyperlink" Target="https://tradingeconomics.com/commodity/carbon" TargetMode="External"/><Relationship Id="rId17" Type="http://schemas.openxmlformats.org/officeDocument/2006/relationships/hyperlink" Target="https://www.shell.com/energy-and-innovation/new-energies/shell-ventures.html" TargetMode="External"/><Relationship Id="rId25" Type="http://schemas.openxmlformats.org/officeDocument/2006/relationships/image" Target="media/image2.png"/><Relationship Id="rId33" Type="http://schemas.openxmlformats.org/officeDocument/2006/relationships/chart" Target="charts/chart2.xml"/><Relationship Id="rId38" Type="http://schemas.openxmlformats.org/officeDocument/2006/relationships/hyperlink" Target="https://www.belfercenter.org/publication/carbon-capture-utilization-and-storage-technologies-and-costs-us-context" TargetMode="External"/><Relationship Id="rId46" Type="http://schemas.openxmlformats.org/officeDocument/2006/relationships/hyperlink" Target="https://www.sciencedirect.com/science/article/pii/S0360544218305395" TargetMode="External"/><Relationship Id="rId20" Type="http://schemas.openxmlformats.org/officeDocument/2006/relationships/hyperlink" Target="https://www.oxy.com/operations/carbon-innovation/project-ventures/" TargetMode="External"/><Relationship Id="rId41" Type="http://schemas.openxmlformats.org/officeDocument/2006/relationships/hyperlink" Target="https://www.whitehouse.gov/ostp/news-updates/2022/03/15/fact-sheet-developing-a-bold-vision-for-commercial-fusion-energy/"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entures.totalenergies.com/en" TargetMode="External"/><Relationship Id="rId23" Type="http://schemas.openxmlformats.org/officeDocument/2006/relationships/hyperlink" Target="https://www.cbinsights.com/investor/exxon-capital-ventures" TargetMode="External"/><Relationship Id="rId28" Type="http://schemas.openxmlformats.org/officeDocument/2006/relationships/image" Target="media/image4.png"/><Relationship Id="rId36" Type="http://schemas.openxmlformats.org/officeDocument/2006/relationships/hyperlink" Target="https://www.iea.org/reports/world-energy-outlook-2019/electricity" TargetMode="External"/><Relationship Id="rId49" Type="http://schemas.openxmlformats.org/officeDocument/2006/relationships/hyperlink" Target="https://www.researchgate.net/publication/318215383_Conceptual_Cost_Study_for_a_Fusion_Power_Plant_Based_on_Four_Technologies_from_the_DOE_ARPA-E_ALPHA_Program"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sciencedirect.com/science/article/pii/S0360544218305395" TargetMode="External"/><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nnasoldatova/Documents/He%203/IAEA/220425_tables&amp;plo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nasoldatova/Documents/He%203/IAEA/220425_tables&amp;plo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Reactors!$Y$180:$Y$190</c:f>
              <c:strCache>
                <c:ptCount val="11"/>
                <c:pt idx="0">
                  <c:v>South Korea</c:v>
                </c:pt>
                <c:pt idx="1">
                  <c:v>India</c:v>
                </c:pt>
                <c:pt idx="2">
                  <c:v>Spain</c:v>
                </c:pt>
                <c:pt idx="3">
                  <c:v>Germany</c:v>
                </c:pt>
                <c:pt idx="4">
                  <c:v>Russia</c:v>
                </c:pt>
                <c:pt idx="5">
                  <c:v>UK</c:v>
                </c:pt>
                <c:pt idx="6">
                  <c:v>USA</c:v>
                </c:pt>
                <c:pt idx="7">
                  <c:v>Japan</c:v>
                </c:pt>
                <c:pt idx="8">
                  <c:v>China</c:v>
                </c:pt>
                <c:pt idx="9">
                  <c:v>ITER</c:v>
                </c:pt>
                <c:pt idx="10">
                  <c:v>Global power market</c:v>
                </c:pt>
              </c:strCache>
            </c:strRef>
          </c:cat>
          <c:val>
            <c:numRef>
              <c:f>Reactors!$Z$180:$Z$190</c:f>
              <c:numCache>
                <c:formatCode>#,##0</c:formatCode>
                <c:ptCount val="11"/>
                <c:pt idx="0">
                  <c:v>1</c:v>
                </c:pt>
                <c:pt idx="1">
                  <c:v>5</c:v>
                </c:pt>
                <c:pt idx="2">
                  <c:v>110</c:v>
                </c:pt>
                <c:pt idx="3">
                  <c:v>150</c:v>
                </c:pt>
                <c:pt idx="4">
                  <c:v>250</c:v>
                </c:pt>
                <c:pt idx="5">
                  <c:v>500</c:v>
                </c:pt>
                <c:pt idx="6">
                  <c:v>900</c:v>
                </c:pt>
                <c:pt idx="7">
                  <c:v>1000</c:v>
                </c:pt>
                <c:pt idx="8">
                  <c:v>1100</c:v>
                </c:pt>
                <c:pt idx="9">
                  <c:v>22000</c:v>
                </c:pt>
                <c:pt idx="10">
                  <c:v>3451790</c:v>
                </c:pt>
              </c:numCache>
            </c:numRef>
          </c:val>
          <c:extLst>
            <c:ext xmlns:c16="http://schemas.microsoft.com/office/drawing/2014/chart" uri="{C3380CC4-5D6E-409C-BE32-E72D297353CC}">
              <c16:uniqueId val="{00000000-778C-A84A-BF65-C772A04D5E0C}"/>
            </c:ext>
          </c:extLst>
        </c:ser>
        <c:dLbls>
          <c:showLegendKey val="0"/>
          <c:showVal val="0"/>
          <c:showCatName val="0"/>
          <c:showSerName val="0"/>
          <c:showPercent val="0"/>
          <c:showBubbleSize val="0"/>
        </c:dLbls>
        <c:gapWidth val="182"/>
        <c:axId val="554077055"/>
        <c:axId val="554493951"/>
      </c:barChart>
      <c:catAx>
        <c:axId val="55407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4493951"/>
        <c:crosses val="autoZero"/>
        <c:auto val="1"/>
        <c:lblAlgn val="ctr"/>
        <c:lblOffset val="100"/>
        <c:noMultiLvlLbl val="0"/>
      </c:catAx>
      <c:valAx>
        <c:axId val="554493951"/>
        <c:scaling>
          <c:orientation val="minMax"/>
          <c:max val="3000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4077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Лист1!$C$78:$C$91</c:f>
              <c:strCache>
                <c:ptCount val="14"/>
                <c:pt idx="0">
                  <c:v>Turkey</c:v>
                </c:pt>
                <c:pt idx="1">
                  <c:v>India</c:v>
                </c:pt>
                <c:pt idx="2">
                  <c:v>Mexico</c:v>
                </c:pt>
                <c:pt idx="3">
                  <c:v>China</c:v>
                </c:pt>
                <c:pt idx="4">
                  <c:v>South Korea</c:v>
                </c:pt>
                <c:pt idx="5">
                  <c:v>Canada</c:v>
                </c:pt>
                <c:pt idx="6">
                  <c:v>Norway</c:v>
                </c:pt>
                <c:pt idx="7">
                  <c:v>USA</c:v>
                </c:pt>
                <c:pt idx="8">
                  <c:v>Singapore</c:v>
                </c:pt>
                <c:pt idx="9">
                  <c:v>France </c:v>
                </c:pt>
                <c:pt idx="10">
                  <c:v>Japan</c:v>
                </c:pt>
                <c:pt idx="11">
                  <c:v>Spain</c:v>
                </c:pt>
                <c:pt idx="12">
                  <c:v>UK</c:v>
                </c:pt>
                <c:pt idx="13">
                  <c:v>Germany</c:v>
                </c:pt>
              </c:strCache>
            </c:strRef>
          </c:cat>
          <c:val>
            <c:numRef>
              <c:f>Лист1!$B$78:$B$91</c:f>
              <c:numCache>
                <c:formatCode>General</c:formatCode>
                <c:ptCount val="14"/>
                <c:pt idx="0">
                  <c:v>62</c:v>
                </c:pt>
                <c:pt idx="1">
                  <c:v>78</c:v>
                </c:pt>
                <c:pt idx="2">
                  <c:v>84</c:v>
                </c:pt>
                <c:pt idx="3">
                  <c:v>85</c:v>
                </c:pt>
                <c:pt idx="4">
                  <c:v>97</c:v>
                </c:pt>
                <c:pt idx="5">
                  <c:v>115</c:v>
                </c:pt>
                <c:pt idx="6">
                  <c:v>146</c:v>
                </c:pt>
                <c:pt idx="7">
                  <c:v>159</c:v>
                </c:pt>
                <c:pt idx="8">
                  <c:v>180</c:v>
                </c:pt>
                <c:pt idx="9">
                  <c:v>194</c:v>
                </c:pt>
                <c:pt idx="10">
                  <c:v>233</c:v>
                </c:pt>
                <c:pt idx="11">
                  <c:v>254</c:v>
                </c:pt>
                <c:pt idx="12">
                  <c:v>272</c:v>
                </c:pt>
                <c:pt idx="13">
                  <c:v>333</c:v>
                </c:pt>
              </c:numCache>
            </c:numRef>
          </c:val>
          <c:extLst>
            <c:ext xmlns:c16="http://schemas.microsoft.com/office/drawing/2014/chart" uri="{C3380CC4-5D6E-409C-BE32-E72D297353CC}">
              <c16:uniqueId val="{00000000-F91B-104C-8980-641F5BAD321C}"/>
            </c:ext>
          </c:extLst>
        </c:ser>
        <c:dLbls>
          <c:showLegendKey val="0"/>
          <c:showVal val="0"/>
          <c:showCatName val="0"/>
          <c:showSerName val="0"/>
          <c:showPercent val="0"/>
          <c:showBubbleSize val="0"/>
        </c:dLbls>
        <c:gapWidth val="182"/>
        <c:axId val="585944463"/>
        <c:axId val="559824415"/>
      </c:barChart>
      <c:catAx>
        <c:axId val="585944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9824415"/>
        <c:crosses val="autoZero"/>
        <c:auto val="1"/>
        <c:lblAlgn val="ctr"/>
        <c:lblOffset val="100"/>
        <c:noMultiLvlLbl val="0"/>
      </c:catAx>
      <c:valAx>
        <c:axId val="5598244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5944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04DD3E36ADA4B92EE7D9E39D8DAF8" ma:contentTypeVersion="2" ma:contentTypeDescription="Create a new document." ma:contentTypeScope="" ma:versionID="a4648eff60659d46ad5efc00a5bb5677">
  <xsd:schema xmlns:xsd="http://www.w3.org/2001/XMLSchema" xmlns:xs="http://www.w3.org/2001/XMLSchema" xmlns:p="http://schemas.microsoft.com/office/2006/metadata/properties" xmlns:ns2="5fab57e6-9ee8-46b6-b53f-50dcb88dcbfd" targetNamespace="http://schemas.microsoft.com/office/2006/metadata/properties" ma:root="true" ma:fieldsID="fb214c4c02a937ba04f4bca321e30c18" ns2:_="">
    <xsd:import namespace="5fab57e6-9ee8-46b6-b53f-50dcb88dcbf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b57e6-9ee8-46b6-b53f-50dcb88dcb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524336-44D2-4810-8AC5-ABFCEAFBE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b57e6-9ee8-46b6-b53f-50dcb88dc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FAADFD-9F90-45A7-8D8C-F0FF3C47E4FF}">
  <ds:schemaRefs>
    <ds:schemaRef ds:uri="http://schemas.openxmlformats.org/officeDocument/2006/bibliography"/>
  </ds:schemaRefs>
</ds:datastoreItem>
</file>

<file path=customXml/itemProps3.xml><?xml version="1.0" encoding="utf-8"?>
<ds:datastoreItem xmlns:ds="http://schemas.openxmlformats.org/officeDocument/2006/customXml" ds:itemID="{60472CCC-200B-45DB-BAFA-1F39767D8D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8D096D-FB69-4394-B957-B7A6600351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39</TotalTime>
  <Pages>10</Pages>
  <Words>3528</Words>
  <Characters>19407</Characters>
  <Application>Microsoft Office Word</Application>
  <DocSecurity>0</DocSecurity>
  <Lines>626</Lines>
  <Paragraphs>358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Extended Abtract</vt:lpstr>
      <vt:lpstr>Extended Abtract</vt:lpstr>
    </vt:vector>
  </TitlesOfParts>
  <Company>IAEA</Company>
  <LinksUpToDate>false</LinksUpToDate>
  <CharactersWithSpaces>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Abtract</dc:title>
  <dc:creator>Chirayu.Batra@iaea.org</dc:creator>
  <cp:lastModifiedBy>anna.kazachevsky@outlook.com</cp:lastModifiedBy>
  <cp:revision>72</cp:revision>
  <cp:lastPrinted>2015-12-01T10:27:00Z</cp:lastPrinted>
  <dcterms:created xsi:type="dcterms:W3CDTF">2017-04-03T14:23:00Z</dcterms:created>
  <dcterms:modified xsi:type="dcterms:W3CDTF">2022-05-16T13:10:00Z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0x010100A3104DD3E36ADA4B92EE7D9E39D8DAF8</vt:lpwstr>
  </property>
</Properties>
</file>