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A902" w14:textId="17FD6EB1" w:rsidR="00604C59" w:rsidRPr="00073700" w:rsidRDefault="00DF2787" w:rsidP="00DF2787">
      <w:pPr>
        <w:pStyle w:val="Heading1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0" w:right="0"/>
        <w:jc w:val="center"/>
        <w:rPr>
          <w:rFonts w:ascii="Times New Roman" w:hAnsi="Times New Roman"/>
          <w:bCs/>
          <w:noProof/>
          <w:szCs w:val="24"/>
          <w:lang w:val="en-GB"/>
        </w:rPr>
      </w:pPr>
      <w:r>
        <w:rPr>
          <w:rFonts w:ascii="Times New Roman" w:hAnsi="Times New Roman"/>
          <w:bCs/>
          <w:noProof/>
          <w:szCs w:val="24"/>
          <w:lang w:val="en-GB"/>
        </w:rPr>
        <w:t xml:space="preserve">Leveraging Particle Accelerator and </w:t>
      </w:r>
      <w:r w:rsidR="002E0879">
        <w:rPr>
          <w:rFonts w:ascii="Times New Roman" w:hAnsi="Times New Roman"/>
          <w:bCs/>
          <w:noProof/>
          <w:szCs w:val="24"/>
          <w:lang w:val="en-GB"/>
        </w:rPr>
        <w:t>RADIOACTIVE</w:t>
      </w:r>
      <w:r>
        <w:rPr>
          <w:rFonts w:ascii="Times New Roman" w:hAnsi="Times New Roman"/>
          <w:bCs/>
          <w:noProof/>
          <w:szCs w:val="24"/>
          <w:lang w:val="en-GB"/>
        </w:rPr>
        <w:t xml:space="preserve"> Material Safety Paradigms for Regulating Fusion Devices</w:t>
      </w:r>
    </w:p>
    <w:p w14:paraId="2A7F935C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563BB534" w14:textId="77777777" w:rsidR="00566244" w:rsidRDefault="00566244" w:rsidP="00566244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4BA35D6A" w14:textId="77777777" w:rsidR="00566244" w:rsidRPr="00073700" w:rsidRDefault="00566244" w:rsidP="00566244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SACHIN DESAI</w:t>
      </w:r>
    </w:p>
    <w:p w14:paraId="554376F6" w14:textId="77777777" w:rsidR="00566244" w:rsidRDefault="00566244" w:rsidP="00566244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Helion Energy, Inc.</w:t>
      </w:r>
    </w:p>
    <w:p w14:paraId="183791D6" w14:textId="77777777" w:rsidR="00566244" w:rsidRDefault="00566244" w:rsidP="00566244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DF2787">
        <w:rPr>
          <w:sz w:val="24"/>
          <w:szCs w:val="24"/>
          <w:lang w:val="en-GB"/>
        </w:rPr>
        <w:t>1415 75th St SW, Everett, WA 98203</w:t>
      </w:r>
    </w:p>
    <w:p w14:paraId="26E289BF" w14:textId="77777777" w:rsidR="00566244" w:rsidRDefault="00566244" w:rsidP="00566244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sdesai@helionenergy.com</w:t>
      </w:r>
    </w:p>
    <w:p w14:paraId="6CA73A5C" w14:textId="77777777" w:rsidR="00A91BBA" w:rsidRDefault="00A91BBA" w:rsidP="00A91BBA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6676BDE0" w14:textId="77777777" w:rsidR="00A91BBA" w:rsidRPr="00073700" w:rsidRDefault="00A91BBA" w:rsidP="00A91BBA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MICHAEL HUA</w:t>
      </w:r>
    </w:p>
    <w:p w14:paraId="745F2E49" w14:textId="77777777" w:rsidR="00A91BBA" w:rsidRDefault="00A91BBA" w:rsidP="00A91BBA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Helion Energy, Inc.</w:t>
      </w:r>
    </w:p>
    <w:p w14:paraId="027FA6A7" w14:textId="77777777" w:rsidR="00A91BBA" w:rsidRDefault="00A91BBA" w:rsidP="00A91BBA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DF2787">
        <w:rPr>
          <w:sz w:val="24"/>
          <w:szCs w:val="24"/>
          <w:lang w:val="en-GB"/>
        </w:rPr>
        <w:t>1415 75th St SW, Everett, WA 98203</w:t>
      </w:r>
    </w:p>
    <w:p w14:paraId="7628F928" w14:textId="77777777" w:rsidR="00A91BBA" w:rsidRPr="00073700" w:rsidRDefault="00A91BBA" w:rsidP="00A91BBA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mhua@helionenergy.com</w:t>
      </w:r>
    </w:p>
    <w:p w14:paraId="54ECF2A8" w14:textId="77777777" w:rsidR="00566244" w:rsidRDefault="0056624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2A460203" w14:textId="77777777" w:rsidR="00A91BBA" w:rsidRDefault="00DF2787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ab/>
      </w:r>
      <w:r w:rsidR="003021C3" w:rsidRPr="003021C3">
        <w:rPr>
          <w:rFonts w:eastAsiaTheme="minorHAnsi"/>
          <w:b/>
          <w:bCs/>
          <w:sz w:val="24"/>
          <w:szCs w:val="24"/>
          <w:u w:val="single"/>
          <w:lang w:eastAsia="ar-SA"/>
        </w:rPr>
        <w:t>Introduction:</w:t>
      </w:r>
      <w:r w:rsidR="003021C3">
        <w:rPr>
          <w:rFonts w:eastAsiaTheme="minorHAnsi"/>
          <w:sz w:val="24"/>
          <w:szCs w:val="24"/>
          <w:lang w:eastAsia="ar-SA"/>
        </w:rPr>
        <w:t xml:space="preserve"> </w:t>
      </w:r>
    </w:p>
    <w:p w14:paraId="1BDFCE12" w14:textId="4D394A0D" w:rsidR="001864F0" w:rsidRDefault="00DF2787" w:rsidP="00A91BBA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Fusion </w:t>
      </w:r>
      <w:r w:rsidR="00B97F5F">
        <w:rPr>
          <w:rFonts w:eastAsiaTheme="minorHAnsi"/>
          <w:sz w:val="24"/>
          <w:szCs w:val="24"/>
          <w:lang w:eastAsia="ar-SA"/>
        </w:rPr>
        <w:t>promises</w:t>
      </w:r>
      <w:r>
        <w:rPr>
          <w:rFonts w:eastAsiaTheme="minorHAnsi"/>
          <w:sz w:val="24"/>
          <w:szCs w:val="24"/>
          <w:lang w:eastAsia="ar-SA"/>
        </w:rPr>
        <w:t xml:space="preserve"> unlimited, safe, carbon</w:t>
      </w:r>
      <w:r w:rsidR="00B62681">
        <w:rPr>
          <w:rFonts w:eastAsiaTheme="minorHAnsi"/>
          <w:sz w:val="24"/>
          <w:szCs w:val="24"/>
          <w:lang w:eastAsia="ar-SA"/>
        </w:rPr>
        <w:t>-</w:t>
      </w:r>
      <w:r>
        <w:rPr>
          <w:rFonts w:eastAsiaTheme="minorHAnsi"/>
          <w:sz w:val="24"/>
          <w:szCs w:val="24"/>
          <w:lang w:eastAsia="ar-SA"/>
        </w:rPr>
        <w:t>free electricity.  Recent advancements in both the public and private spheres have raised the prospect that commercial</w:t>
      </w:r>
      <w:r w:rsidR="00C0559D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deployment of fusion energy systems may happen before the end of the decade.  </w:t>
      </w:r>
      <w:r w:rsidR="001864F0">
        <w:rPr>
          <w:rFonts w:eastAsiaTheme="minorHAnsi"/>
          <w:sz w:val="24"/>
          <w:szCs w:val="24"/>
          <w:lang w:eastAsia="ar-SA"/>
        </w:rPr>
        <w:t xml:space="preserve">This includes </w:t>
      </w:r>
      <w:r w:rsidR="00B97F5F">
        <w:rPr>
          <w:rFonts w:eastAsiaTheme="minorHAnsi"/>
          <w:sz w:val="24"/>
          <w:szCs w:val="24"/>
          <w:lang w:eastAsia="ar-SA"/>
        </w:rPr>
        <w:t>several</w:t>
      </w:r>
      <w:r w:rsidR="001864F0">
        <w:rPr>
          <w:rFonts w:eastAsiaTheme="minorHAnsi"/>
          <w:sz w:val="24"/>
          <w:szCs w:val="24"/>
          <w:lang w:eastAsia="ar-SA"/>
        </w:rPr>
        <w:t xml:space="preserve"> potential mid-decade technical accomplishments, such as Helion Energy’s planned demonstration of net electricity from fusion</w:t>
      </w:r>
      <w:r w:rsidR="00B97F5F">
        <w:rPr>
          <w:rFonts w:eastAsiaTheme="minorHAnsi"/>
          <w:sz w:val="24"/>
          <w:szCs w:val="24"/>
          <w:lang w:eastAsia="ar-SA"/>
        </w:rPr>
        <w:t xml:space="preserve"> in 2024</w:t>
      </w:r>
      <w:r w:rsidR="001864F0">
        <w:rPr>
          <w:rFonts w:eastAsiaTheme="minorHAnsi"/>
          <w:sz w:val="24"/>
          <w:szCs w:val="24"/>
          <w:lang w:eastAsia="ar-SA"/>
        </w:rPr>
        <w:t xml:space="preserve">.  </w:t>
      </w:r>
    </w:p>
    <w:p w14:paraId="7E70DE90" w14:textId="4562F647" w:rsidR="00DF2787" w:rsidRDefault="00DF2787" w:rsidP="001864F0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As a result</w:t>
      </w:r>
      <w:r w:rsidR="00C867B0">
        <w:rPr>
          <w:rFonts w:eastAsiaTheme="minorHAnsi"/>
          <w:sz w:val="24"/>
          <w:szCs w:val="24"/>
          <w:lang w:eastAsia="ar-SA"/>
        </w:rPr>
        <w:t xml:space="preserve"> of the rapid advancement in the field,</w:t>
      </w:r>
      <w:r>
        <w:rPr>
          <w:rFonts w:eastAsiaTheme="minorHAnsi"/>
          <w:sz w:val="24"/>
          <w:szCs w:val="24"/>
          <w:lang w:eastAsia="ar-SA"/>
        </w:rPr>
        <w:t xml:space="preserve"> there has been increased interest in </w:t>
      </w:r>
      <w:r w:rsidR="00C867B0">
        <w:rPr>
          <w:rFonts w:eastAsiaTheme="minorHAnsi"/>
          <w:sz w:val="24"/>
          <w:szCs w:val="24"/>
          <w:lang w:eastAsia="ar-SA"/>
        </w:rPr>
        <w:t xml:space="preserve">establishing </w:t>
      </w:r>
      <w:r>
        <w:rPr>
          <w:rFonts w:eastAsiaTheme="minorHAnsi"/>
          <w:sz w:val="24"/>
          <w:szCs w:val="24"/>
          <w:lang w:eastAsia="ar-SA"/>
        </w:rPr>
        <w:t>regulatory frameworks for fusion devices</w:t>
      </w:r>
      <w:r w:rsidR="00C867B0">
        <w:rPr>
          <w:rFonts w:eastAsiaTheme="minorHAnsi"/>
          <w:sz w:val="24"/>
          <w:szCs w:val="24"/>
          <w:lang w:eastAsia="ar-SA"/>
        </w:rPr>
        <w:t xml:space="preserve"> that can</w:t>
      </w:r>
      <w:r>
        <w:rPr>
          <w:rFonts w:eastAsiaTheme="minorHAnsi"/>
          <w:sz w:val="24"/>
          <w:szCs w:val="24"/>
          <w:lang w:eastAsia="ar-SA"/>
        </w:rPr>
        <w:t xml:space="preserve"> enable their expeditious </w:t>
      </w:r>
      <w:r w:rsidR="00C0559D">
        <w:rPr>
          <w:rFonts w:eastAsiaTheme="minorHAnsi"/>
          <w:sz w:val="24"/>
          <w:szCs w:val="24"/>
          <w:lang w:eastAsia="ar-SA"/>
        </w:rPr>
        <w:t>deployment</w:t>
      </w:r>
      <w:r>
        <w:rPr>
          <w:rFonts w:eastAsiaTheme="minorHAnsi"/>
          <w:sz w:val="24"/>
          <w:szCs w:val="24"/>
          <w:lang w:eastAsia="ar-SA"/>
        </w:rPr>
        <w:t xml:space="preserve"> while </w:t>
      </w:r>
      <w:r w:rsidR="00C0559D">
        <w:rPr>
          <w:rFonts w:eastAsiaTheme="minorHAnsi"/>
          <w:sz w:val="24"/>
          <w:szCs w:val="24"/>
          <w:lang w:eastAsia="ar-SA"/>
        </w:rPr>
        <w:t>protecting public health and safety.</w:t>
      </w:r>
      <w:r w:rsidR="001864F0">
        <w:rPr>
          <w:rFonts w:eastAsiaTheme="minorHAnsi"/>
          <w:sz w:val="24"/>
          <w:szCs w:val="24"/>
          <w:lang w:eastAsia="ar-SA"/>
        </w:rPr>
        <w:t xml:space="preserve">  Although there remains no immediate need for regulation of fusion devices, </w:t>
      </w:r>
      <w:r w:rsidR="00E7632F">
        <w:rPr>
          <w:rFonts w:eastAsiaTheme="minorHAnsi"/>
          <w:sz w:val="24"/>
          <w:szCs w:val="24"/>
          <w:lang w:eastAsia="ar-SA"/>
        </w:rPr>
        <w:t xml:space="preserve">early </w:t>
      </w:r>
      <w:r w:rsidR="001864F0">
        <w:rPr>
          <w:rFonts w:eastAsiaTheme="minorHAnsi"/>
          <w:sz w:val="24"/>
          <w:szCs w:val="24"/>
          <w:lang w:eastAsia="ar-SA"/>
        </w:rPr>
        <w:t xml:space="preserve">effort to </w:t>
      </w:r>
      <w:r w:rsidR="00E7632F">
        <w:rPr>
          <w:rFonts w:eastAsiaTheme="minorHAnsi"/>
          <w:sz w:val="24"/>
          <w:szCs w:val="24"/>
          <w:lang w:eastAsia="ar-SA"/>
        </w:rPr>
        <w:t xml:space="preserve">learn </w:t>
      </w:r>
      <w:r w:rsidR="001864F0">
        <w:rPr>
          <w:rFonts w:eastAsiaTheme="minorHAnsi"/>
          <w:sz w:val="24"/>
          <w:szCs w:val="24"/>
          <w:lang w:eastAsia="ar-SA"/>
        </w:rPr>
        <w:t>about the diversity of technologies and approaches</w:t>
      </w:r>
      <w:r w:rsidR="00E7632F">
        <w:rPr>
          <w:rFonts w:eastAsiaTheme="minorHAnsi"/>
          <w:sz w:val="24"/>
          <w:szCs w:val="24"/>
          <w:lang w:eastAsia="ar-SA"/>
        </w:rPr>
        <w:t xml:space="preserve"> to regulation</w:t>
      </w:r>
      <w:r w:rsidR="001864F0">
        <w:rPr>
          <w:rFonts w:eastAsiaTheme="minorHAnsi"/>
          <w:sz w:val="24"/>
          <w:szCs w:val="24"/>
          <w:lang w:eastAsia="ar-SA"/>
        </w:rPr>
        <w:t xml:space="preserve"> in place today</w:t>
      </w:r>
      <w:r w:rsidR="00E7632F">
        <w:rPr>
          <w:rFonts w:eastAsiaTheme="minorHAnsi"/>
          <w:sz w:val="24"/>
          <w:szCs w:val="24"/>
          <w:lang w:eastAsia="ar-SA"/>
        </w:rPr>
        <w:t xml:space="preserve"> </w:t>
      </w:r>
      <w:r w:rsidR="001864F0">
        <w:rPr>
          <w:rFonts w:eastAsiaTheme="minorHAnsi"/>
          <w:sz w:val="24"/>
          <w:szCs w:val="24"/>
          <w:lang w:eastAsia="ar-SA"/>
        </w:rPr>
        <w:t>can help ensure an appropriate framework is in place by the late 2020s and early 2030s.</w:t>
      </w:r>
    </w:p>
    <w:p w14:paraId="2AF5F890" w14:textId="53F40534" w:rsidR="003021C3" w:rsidRDefault="00C0559D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ab/>
      </w:r>
      <w:r w:rsidR="001864F0">
        <w:rPr>
          <w:rFonts w:eastAsiaTheme="minorHAnsi"/>
          <w:sz w:val="24"/>
          <w:szCs w:val="24"/>
          <w:lang w:eastAsia="ar-SA"/>
        </w:rPr>
        <w:t xml:space="preserve">To this end, there are a variety of applicable precedent for the regulation of fusion devices.  </w:t>
      </w:r>
      <w:r w:rsidR="00CD6D48">
        <w:rPr>
          <w:rFonts w:eastAsiaTheme="minorHAnsi"/>
          <w:sz w:val="24"/>
          <w:szCs w:val="24"/>
          <w:lang w:eastAsia="ar-SA"/>
        </w:rPr>
        <w:t>This presentation examines</w:t>
      </w:r>
      <w:r w:rsidR="001864F0">
        <w:rPr>
          <w:rFonts w:eastAsiaTheme="minorHAnsi"/>
          <w:sz w:val="24"/>
          <w:szCs w:val="24"/>
          <w:lang w:eastAsia="ar-SA"/>
        </w:rPr>
        <w:t xml:space="preserve"> the current frameworks that exist for regulating </w:t>
      </w:r>
      <w:r w:rsidR="001864F0" w:rsidRPr="003021C3">
        <w:rPr>
          <w:rFonts w:eastAsiaTheme="minorHAnsi"/>
          <w:sz w:val="24"/>
          <w:szCs w:val="24"/>
          <w:u w:val="single"/>
          <w:lang w:eastAsia="ar-SA"/>
        </w:rPr>
        <w:t>particle accelerators</w:t>
      </w:r>
      <w:r w:rsidR="001864F0">
        <w:rPr>
          <w:rFonts w:eastAsiaTheme="minorHAnsi"/>
          <w:sz w:val="24"/>
          <w:szCs w:val="24"/>
          <w:lang w:eastAsia="ar-SA"/>
        </w:rPr>
        <w:t xml:space="preserve"> and </w:t>
      </w:r>
      <w:r w:rsidR="003021C3" w:rsidRPr="00DB2C0E">
        <w:rPr>
          <w:rFonts w:eastAsiaTheme="minorHAnsi"/>
          <w:sz w:val="24"/>
          <w:szCs w:val="24"/>
          <w:lang w:eastAsia="ar-SA"/>
        </w:rPr>
        <w:t>certain</w:t>
      </w:r>
      <w:r w:rsidR="003021C3" w:rsidRPr="0033755E">
        <w:rPr>
          <w:rFonts w:eastAsiaTheme="minorHAnsi"/>
          <w:sz w:val="24"/>
          <w:szCs w:val="24"/>
          <w:lang w:eastAsia="ar-SA"/>
        </w:rPr>
        <w:t xml:space="preserve"> </w:t>
      </w:r>
      <w:r w:rsidR="003021C3" w:rsidRPr="003021C3">
        <w:rPr>
          <w:rFonts w:eastAsiaTheme="minorHAnsi"/>
          <w:sz w:val="24"/>
          <w:szCs w:val="24"/>
          <w:u w:val="single"/>
          <w:lang w:eastAsia="ar-SA"/>
        </w:rPr>
        <w:t>radioactive materials licensees</w:t>
      </w:r>
      <w:r w:rsidR="003021C3">
        <w:rPr>
          <w:rFonts w:eastAsiaTheme="minorHAnsi"/>
          <w:sz w:val="24"/>
          <w:szCs w:val="24"/>
          <w:lang w:eastAsia="ar-SA"/>
        </w:rPr>
        <w:t xml:space="preserve"> (such as irradiators)</w:t>
      </w:r>
      <w:r w:rsidR="00CD6D48">
        <w:rPr>
          <w:rFonts w:eastAsiaTheme="minorHAnsi"/>
          <w:sz w:val="24"/>
          <w:szCs w:val="24"/>
          <w:lang w:eastAsia="ar-SA"/>
        </w:rPr>
        <w:t>.  These frameworks</w:t>
      </w:r>
      <w:r w:rsidR="003021C3">
        <w:rPr>
          <w:rFonts w:eastAsiaTheme="minorHAnsi"/>
          <w:sz w:val="24"/>
          <w:szCs w:val="24"/>
          <w:lang w:eastAsia="ar-SA"/>
        </w:rPr>
        <w:t xml:space="preserve"> provide applicable precedent for </w:t>
      </w:r>
      <w:r w:rsidR="005F7BD3">
        <w:rPr>
          <w:rFonts w:eastAsiaTheme="minorHAnsi"/>
          <w:sz w:val="24"/>
          <w:szCs w:val="24"/>
          <w:lang w:eastAsia="ar-SA"/>
        </w:rPr>
        <w:t xml:space="preserve">regulating </w:t>
      </w:r>
      <w:r w:rsidR="00CD6D48">
        <w:rPr>
          <w:rFonts w:eastAsiaTheme="minorHAnsi"/>
          <w:sz w:val="24"/>
          <w:szCs w:val="24"/>
          <w:lang w:eastAsia="ar-SA"/>
        </w:rPr>
        <w:t xml:space="preserve">future </w:t>
      </w:r>
      <w:r w:rsidR="003021C3">
        <w:rPr>
          <w:rFonts w:eastAsiaTheme="minorHAnsi"/>
          <w:sz w:val="24"/>
          <w:szCs w:val="24"/>
          <w:lang w:eastAsia="ar-SA"/>
        </w:rPr>
        <w:t xml:space="preserve">fusion </w:t>
      </w:r>
      <w:r w:rsidR="00CD6D48">
        <w:rPr>
          <w:rFonts w:eastAsiaTheme="minorHAnsi"/>
          <w:sz w:val="24"/>
          <w:szCs w:val="24"/>
          <w:lang w:eastAsia="ar-SA"/>
        </w:rPr>
        <w:t xml:space="preserve">power plants </w:t>
      </w:r>
      <w:r w:rsidR="00AB77C9">
        <w:rPr>
          <w:rFonts w:eastAsiaTheme="minorHAnsi"/>
          <w:sz w:val="24"/>
          <w:szCs w:val="24"/>
          <w:lang w:eastAsia="ar-SA"/>
        </w:rPr>
        <w:t>as described below.</w:t>
      </w:r>
    </w:p>
    <w:p w14:paraId="02E62D84" w14:textId="77777777" w:rsidR="00FB3D9B" w:rsidRDefault="003021C3" w:rsidP="00E748BB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3021C3">
        <w:rPr>
          <w:rFonts w:eastAsiaTheme="minorHAnsi"/>
          <w:b/>
          <w:bCs/>
          <w:sz w:val="24"/>
          <w:szCs w:val="24"/>
          <w:u w:val="single"/>
          <w:lang w:eastAsia="ar-SA"/>
        </w:rPr>
        <w:t>Operational Safety:</w:t>
      </w:r>
      <w:r w:rsidRPr="00773E4A">
        <w:rPr>
          <w:rFonts w:eastAsiaTheme="minorHAnsi"/>
          <w:sz w:val="24"/>
          <w:szCs w:val="24"/>
          <w:lang w:eastAsia="ar-SA"/>
        </w:rPr>
        <w:t xml:space="preserve"> </w:t>
      </w:r>
    </w:p>
    <w:p w14:paraId="271C19DD" w14:textId="77777777" w:rsidR="004F6D4E" w:rsidRDefault="00DB2C0E" w:rsidP="004F6D4E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Fusion devices are fundamentally akin to particle accelerators</w:t>
      </w:r>
      <w:r w:rsidR="00AB77C9">
        <w:rPr>
          <w:rFonts w:eastAsiaTheme="minorHAnsi"/>
          <w:sz w:val="24"/>
          <w:szCs w:val="24"/>
          <w:lang w:eastAsia="ar-SA"/>
        </w:rPr>
        <w:t xml:space="preserve"> in comparing operational hazards and safety systems</w:t>
      </w:r>
      <w:r>
        <w:rPr>
          <w:rFonts w:eastAsiaTheme="minorHAnsi"/>
          <w:sz w:val="24"/>
          <w:szCs w:val="24"/>
          <w:lang w:eastAsia="ar-SA"/>
        </w:rPr>
        <w:t xml:space="preserve">.  </w:t>
      </w:r>
    </w:p>
    <w:p w14:paraId="2556087F" w14:textId="62D82353" w:rsidR="00E748BB" w:rsidRDefault="008A514E" w:rsidP="004F6D4E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T</w:t>
      </w:r>
      <w:r w:rsidR="00DB2C0E">
        <w:rPr>
          <w:rFonts w:eastAsiaTheme="minorHAnsi"/>
          <w:sz w:val="24"/>
          <w:szCs w:val="24"/>
          <w:lang w:eastAsia="ar-SA"/>
        </w:rPr>
        <w:t xml:space="preserve">he </w:t>
      </w:r>
      <w:r w:rsidR="0033755E">
        <w:rPr>
          <w:rFonts w:eastAsiaTheme="minorHAnsi"/>
          <w:sz w:val="24"/>
          <w:szCs w:val="24"/>
          <w:lang w:eastAsia="ar-SA"/>
        </w:rPr>
        <w:t xml:space="preserve">primary hazard associated with </w:t>
      </w:r>
      <w:r>
        <w:rPr>
          <w:rFonts w:eastAsiaTheme="minorHAnsi"/>
          <w:sz w:val="24"/>
          <w:szCs w:val="24"/>
          <w:lang w:eastAsia="ar-SA"/>
        </w:rPr>
        <w:t>both</w:t>
      </w:r>
      <w:r w:rsidR="00AB77C9">
        <w:rPr>
          <w:rFonts w:eastAsiaTheme="minorHAnsi"/>
          <w:sz w:val="24"/>
          <w:szCs w:val="24"/>
          <w:lang w:eastAsia="ar-SA"/>
        </w:rPr>
        <w:t xml:space="preserve"> types of devices</w:t>
      </w:r>
      <w:r w:rsidR="0033755E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is </w:t>
      </w:r>
      <w:r w:rsidR="00AB77C9">
        <w:rPr>
          <w:rFonts w:eastAsiaTheme="minorHAnsi"/>
          <w:sz w:val="24"/>
          <w:szCs w:val="24"/>
          <w:lang w:eastAsia="ar-SA"/>
        </w:rPr>
        <w:t>in the form of photon and</w:t>
      </w:r>
      <w:r>
        <w:rPr>
          <w:rFonts w:eastAsiaTheme="minorHAnsi"/>
          <w:sz w:val="24"/>
          <w:szCs w:val="24"/>
          <w:lang w:eastAsia="ar-SA"/>
        </w:rPr>
        <w:t xml:space="preserve"> neutron radiation from the device.  In the Helion device, this is </w:t>
      </w:r>
      <w:r w:rsidR="00AB77C9">
        <w:rPr>
          <w:rFonts w:eastAsiaTheme="minorHAnsi"/>
          <w:sz w:val="24"/>
          <w:szCs w:val="24"/>
          <w:lang w:eastAsia="ar-SA"/>
        </w:rPr>
        <w:t xml:space="preserve">specifically </w:t>
      </w:r>
      <w:r>
        <w:rPr>
          <w:rFonts w:eastAsiaTheme="minorHAnsi"/>
          <w:sz w:val="24"/>
          <w:szCs w:val="24"/>
          <w:lang w:eastAsia="ar-SA"/>
        </w:rPr>
        <w:t>in the form of photons and 2.45</w:t>
      </w:r>
      <w:r w:rsidR="002E6B72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MeV neutrons.  </w:t>
      </w:r>
      <w:r w:rsidR="00AB77C9">
        <w:rPr>
          <w:rFonts w:eastAsiaTheme="minorHAnsi"/>
          <w:sz w:val="24"/>
          <w:szCs w:val="24"/>
          <w:lang w:eastAsia="ar-SA"/>
        </w:rPr>
        <w:t xml:space="preserve">Particle accelerators such </w:t>
      </w:r>
      <w:r w:rsidR="002E6B72">
        <w:rPr>
          <w:rFonts w:eastAsiaTheme="minorHAnsi"/>
          <w:sz w:val="24"/>
          <w:szCs w:val="24"/>
          <w:lang w:eastAsia="ar-SA"/>
        </w:rPr>
        <w:t xml:space="preserve">as </w:t>
      </w:r>
      <w:r w:rsidR="00AB77C9">
        <w:rPr>
          <w:rFonts w:eastAsiaTheme="minorHAnsi"/>
          <w:sz w:val="24"/>
          <w:szCs w:val="24"/>
          <w:lang w:eastAsia="ar-SA"/>
        </w:rPr>
        <w:t xml:space="preserve">linear accelerators and cyclotrons </w:t>
      </w:r>
      <w:r w:rsidR="007E0AB7">
        <w:rPr>
          <w:rFonts w:eastAsiaTheme="minorHAnsi"/>
          <w:sz w:val="24"/>
          <w:szCs w:val="24"/>
          <w:lang w:eastAsia="ar-SA"/>
        </w:rPr>
        <w:t>comprise</w:t>
      </w:r>
      <w:r w:rsidR="00AB77C9">
        <w:rPr>
          <w:rFonts w:eastAsiaTheme="minorHAnsi"/>
          <w:sz w:val="24"/>
          <w:szCs w:val="24"/>
          <w:lang w:eastAsia="ar-SA"/>
        </w:rPr>
        <w:t xml:space="preserve"> a wide range of </w:t>
      </w:r>
      <w:r w:rsidR="007E0AB7">
        <w:rPr>
          <w:rFonts w:eastAsiaTheme="minorHAnsi"/>
          <w:sz w:val="24"/>
          <w:szCs w:val="24"/>
          <w:lang w:eastAsia="ar-SA"/>
        </w:rPr>
        <w:t>radiation profiles</w:t>
      </w:r>
      <w:r w:rsidR="003A18EC">
        <w:rPr>
          <w:rFonts w:eastAsiaTheme="minorHAnsi"/>
          <w:sz w:val="24"/>
          <w:szCs w:val="24"/>
          <w:lang w:eastAsia="ar-SA"/>
        </w:rPr>
        <w:t>,</w:t>
      </w:r>
      <w:r w:rsidR="007E0AB7">
        <w:rPr>
          <w:rFonts w:eastAsiaTheme="minorHAnsi"/>
          <w:sz w:val="24"/>
          <w:szCs w:val="24"/>
          <w:lang w:eastAsia="ar-SA"/>
        </w:rPr>
        <w:t xml:space="preserve"> including </w:t>
      </w:r>
      <w:r w:rsidR="00AB77C9">
        <w:rPr>
          <w:rFonts w:eastAsiaTheme="minorHAnsi"/>
          <w:sz w:val="24"/>
          <w:szCs w:val="24"/>
          <w:lang w:eastAsia="ar-SA"/>
        </w:rPr>
        <w:t xml:space="preserve">neutron and photon </w:t>
      </w:r>
      <w:r w:rsidR="003A18EC">
        <w:rPr>
          <w:rFonts w:eastAsiaTheme="minorHAnsi"/>
          <w:sz w:val="24"/>
          <w:szCs w:val="24"/>
          <w:lang w:eastAsia="ar-SA"/>
        </w:rPr>
        <w:t xml:space="preserve">emissions </w:t>
      </w:r>
      <w:r w:rsidR="007E0AB7">
        <w:rPr>
          <w:rFonts w:eastAsiaTheme="minorHAnsi"/>
          <w:sz w:val="24"/>
          <w:szCs w:val="24"/>
          <w:lang w:eastAsia="ar-SA"/>
        </w:rPr>
        <w:t xml:space="preserve">with </w:t>
      </w:r>
      <w:r w:rsidR="00AB77C9">
        <w:rPr>
          <w:rFonts w:eastAsiaTheme="minorHAnsi"/>
          <w:sz w:val="24"/>
          <w:szCs w:val="24"/>
          <w:lang w:eastAsia="ar-SA"/>
        </w:rPr>
        <w:t>energies</w:t>
      </w:r>
      <w:r w:rsidR="007E0AB7">
        <w:rPr>
          <w:rFonts w:eastAsiaTheme="minorHAnsi"/>
          <w:sz w:val="24"/>
          <w:szCs w:val="24"/>
          <w:lang w:eastAsia="ar-SA"/>
        </w:rPr>
        <w:t xml:space="preserve"> ranging </w:t>
      </w:r>
      <w:r w:rsidR="00AB77C9">
        <w:rPr>
          <w:rFonts w:eastAsiaTheme="minorHAnsi"/>
          <w:sz w:val="24"/>
          <w:szCs w:val="24"/>
          <w:lang w:eastAsia="ar-SA"/>
        </w:rPr>
        <w:t xml:space="preserve">from </w:t>
      </w:r>
      <w:r w:rsidR="007E0AB7">
        <w:rPr>
          <w:rFonts w:eastAsiaTheme="minorHAnsi"/>
          <w:sz w:val="24"/>
          <w:szCs w:val="24"/>
          <w:lang w:eastAsia="ar-SA"/>
        </w:rPr>
        <w:t xml:space="preserve">a few </w:t>
      </w:r>
      <w:r w:rsidR="00AB77C9">
        <w:rPr>
          <w:rFonts w:eastAsiaTheme="minorHAnsi"/>
          <w:sz w:val="24"/>
          <w:szCs w:val="24"/>
          <w:lang w:eastAsia="ar-SA"/>
        </w:rPr>
        <w:t xml:space="preserve">MeV to </w:t>
      </w:r>
      <w:r w:rsidR="007E0AB7">
        <w:rPr>
          <w:rFonts w:eastAsiaTheme="minorHAnsi"/>
          <w:sz w:val="24"/>
          <w:szCs w:val="24"/>
          <w:lang w:eastAsia="ar-SA"/>
        </w:rPr>
        <w:t xml:space="preserve">more than a </w:t>
      </w:r>
      <w:r w:rsidR="00AB77C9">
        <w:rPr>
          <w:rFonts w:eastAsiaTheme="minorHAnsi"/>
          <w:sz w:val="24"/>
          <w:szCs w:val="24"/>
          <w:lang w:eastAsia="ar-SA"/>
        </w:rPr>
        <w:t xml:space="preserve">GeV.  </w:t>
      </w:r>
      <w:r>
        <w:rPr>
          <w:rFonts w:eastAsiaTheme="minorHAnsi"/>
          <w:sz w:val="24"/>
          <w:szCs w:val="24"/>
          <w:lang w:eastAsia="ar-SA"/>
        </w:rPr>
        <w:t xml:space="preserve">The </w:t>
      </w:r>
      <w:r w:rsidR="00AB77C9">
        <w:rPr>
          <w:rFonts w:eastAsiaTheme="minorHAnsi"/>
          <w:sz w:val="24"/>
          <w:szCs w:val="24"/>
          <w:lang w:eastAsia="ar-SA"/>
        </w:rPr>
        <w:t xml:space="preserve">means of addressing the hazard is </w:t>
      </w:r>
      <w:r w:rsidR="002E0879">
        <w:rPr>
          <w:rFonts w:eastAsiaTheme="minorHAnsi"/>
          <w:sz w:val="24"/>
          <w:szCs w:val="24"/>
          <w:lang w:eastAsia="ar-SA"/>
        </w:rPr>
        <w:t xml:space="preserve">likewise </w:t>
      </w:r>
      <w:r w:rsidR="00AB77C9">
        <w:rPr>
          <w:rFonts w:eastAsiaTheme="minorHAnsi"/>
          <w:sz w:val="24"/>
          <w:szCs w:val="24"/>
          <w:lang w:eastAsia="ar-SA"/>
        </w:rPr>
        <w:t>identical in both cases</w:t>
      </w:r>
      <w:r w:rsidR="007E0AB7">
        <w:rPr>
          <w:rFonts w:eastAsiaTheme="minorHAnsi"/>
          <w:sz w:val="24"/>
          <w:szCs w:val="24"/>
          <w:lang w:eastAsia="ar-SA"/>
        </w:rPr>
        <w:t xml:space="preserve"> </w:t>
      </w:r>
      <w:r w:rsidR="00AB77C9">
        <w:rPr>
          <w:rFonts w:eastAsiaTheme="minorHAnsi"/>
          <w:sz w:val="24"/>
          <w:szCs w:val="24"/>
          <w:lang w:eastAsia="ar-SA"/>
        </w:rPr>
        <w:t>and include borated concrete, hydrogenous</w:t>
      </w:r>
      <w:r w:rsidR="007E0AB7">
        <w:rPr>
          <w:rFonts w:eastAsiaTheme="minorHAnsi"/>
          <w:sz w:val="24"/>
          <w:szCs w:val="24"/>
          <w:lang w:eastAsia="ar-SA"/>
        </w:rPr>
        <w:t xml:space="preserve"> materials</w:t>
      </w:r>
      <w:r w:rsidR="00AB77C9">
        <w:rPr>
          <w:rFonts w:eastAsiaTheme="minorHAnsi"/>
          <w:sz w:val="24"/>
          <w:szCs w:val="24"/>
          <w:lang w:eastAsia="ar-SA"/>
        </w:rPr>
        <w:t xml:space="preserve">, </w:t>
      </w:r>
      <w:r w:rsidR="007E0AB7">
        <w:rPr>
          <w:rFonts w:eastAsiaTheme="minorHAnsi"/>
          <w:sz w:val="24"/>
          <w:szCs w:val="24"/>
          <w:lang w:eastAsia="ar-SA"/>
        </w:rPr>
        <w:t xml:space="preserve">lead, and </w:t>
      </w:r>
      <w:r w:rsidR="00AB77C9">
        <w:rPr>
          <w:rFonts w:eastAsiaTheme="minorHAnsi"/>
          <w:sz w:val="24"/>
          <w:szCs w:val="24"/>
          <w:lang w:eastAsia="ar-SA"/>
        </w:rPr>
        <w:t>other shielding</w:t>
      </w:r>
      <w:r w:rsidR="007E0AB7">
        <w:rPr>
          <w:rFonts w:eastAsiaTheme="minorHAnsi"/>
          <w:sz w:val="24"/>
          <w:szCs w:val="24"/>
          <w:lang w:eastAsia="ar-SA"/>
        </w:rPr>
        <w:t xml:space="preserve"> coupled with</w:t>
      </w:r>
      <w:r w:rsidR="00AB77C9">
        <w:rPr>
          <w:rFonts w:eastAsiaTheme="minorHAnsi"/>
          <w:sz w:val="24"/>
          <w:szCs w:val="24"/>
          <w:lang w:eastAsia="ar-SA"/>
        </w:rPr>
        <w:t xml:space="preserve"> external monitoring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="00AB77C9">
        <w:rPr>
          <w:rFonts w:eastAsiaTheme="minorHAnsi"/>
          <w:sz w:val="24"/>
          <w:szCs w:val="24"/>
          <w:lang w:eastAsia="ar-SA"/>
        </w:rPr>
        <w:t>and sensors</w:t>
      </w:r>
      <w:r>
        <w:rPr>
          <w:rFonts w:eastAsiaTheme="minorHAnsi"/>
          <w:sz w:val="24"/>
          <w:szCs w:val="24"/>
          <w:lang w:eastAsia="ar-SA"/>
        </w:rPr>
        <w:t xml:space="preserve">.  </w:t>
      </w:r>
      <w:r w:rsidR="00D7047A">
        <w:rPr>
          <w:rFonts w:eastAsiaTheme="minorHAnsi"/>
          <w:sz w:val="24"/>
          <w:szCs w:val="24"/>
          <w:lang w:eastAsia="ar-SA"/>
        </w:rPr>
        <w:t>Correspondingly</w:t>
      </w:r>
      <w:r w:rsidR="004F6D4E">
        <w:rPr>
          <w:rFonts w:eastAsiaTheme="minorHAnsi"/>
          <w:sz w:val="24"/>
          <w:szCs w:val="24"/>
          <w:lang w:eastAsia="ar-SA"/>
        </w:rPr>
        <w:t>, a</w:t>
      </w:r>
      <w:r w:rsidR="00AB77C9">
        <w:rPr>
          <w:rFonts w:eastAsiaTheme="minorHAnsi"/>
          <w:sz w:val="24"/>
          <w:szCs w:val="24"/>
          <w:lang w:eastAsia="ar-SA"/>
        </w:rPr>
        <w:t xml:space="preserve"> key differentiator between fusion and fission devices is that </w:t>
      </w:r>
      <w:r w:rsidR="006820D2">
        <w:rPr>
          <w:rFonts w:eastAsiaTheme="minorHAnsi"/>
          <w:sz w:val="24"/>
          <w:szCs w:val="24"/>
          <w:lang w:eastAsia="ar-SA"/>
        </w:rPr>
        <w:t xml:space="preserve">fusion devices are </w:t>
      </w:r>
      <w:r w:rsidR="00B129A1">
        <w:rPr>
          <w:rFonts w:eastAsiaTheme="minorHAnsi"/>
          <w:sz w:val="24"/>
          <w:szCs w:val="24"/>
          <w:lang w:eastAsia="ar-SA"/>
        </w:rPr>
        <w:t>in</w:t>
      </w:r>
      <w:r w:rsidR="006820D2">
        <w:rPr>
          <w:rFonts w:eastAsiaTheme="minorHAnsi"/>
          <w:sz w:val="24"/>
          <w:szCs w:val="24"/>
          <w:lang w:eastAsia="ar-SA"/>
        </w:rPr>
        <w:t>capable of undergoing criticality</w:t>
      </w:r>
      <w:r w:rsidR="00B129A1">
        <w:rPr>
          <w:rFonts w:eastAsiaTheme="minorHAnsi"/>
          <w:sz w:val="24"/>
          <w:szCs w:val="24"/>
          <w:lang w:eastAsia="ar-SA"/>
        </w:rPr>
        <w:t>.</w:t>
      </w:r>
      <w:r w:rsidR="006820D2">
        <w:rPr>
          <w:rFonts w:eastAsiaTheme="minorHAnsi"/>
          <w:sz w:val="24"/>
          <w:szCs w:val="24"/>
          <w:lang w:eastAsia="ar-SA"/>
        </w:rPr>
        <w:t xml:space="preserve">  </w:t>
      </w:r>
      <w:r w:rsidR="00B129A1">
        <w:rPr>
          <w:rFonts w:eastAsiaTheme="minorHAnsi"/>
          <w:sz w:val="24"/>
          <w:szCs w:val="24"/>
          <w:lang w:eastAsia="ar-SA"/>
        </w:rPr>
        <w:t xml:space="preserve">Thus, </w:t>
      </w:r>
      <w:r w:rsidR="006820D2">
        <w:rPr>
          <w:rFonts w:eastAsiaTheme="minorHAnsi"/>
          <w:sz w:val="24"/>
          <w:szCs w:val="24"/>
          <w:lang w:eastAsia="ar-SA"/>
        </w:rPr>
        <w:t xml:space="preserve">safety </w:t>
      </w:r>
      <w:r w:rsidR="004F6D4E">
        <w:rPr>
          <w:rFonts w:eastAsiaTheme="minorHAnsi"/>
          <w:sz w:val="24"/>
          <w:szCs w:val="24"/>
          <w:lang w:eastAsia="ar-SA"/>
        </w:rPr>
        <w:t>approaches</w:t>
      </w:r>
      <w:r w:rsidR="006820D2">
        <w:rPr>
          <w:rFonts w:eastAsiaTheme="minorHAnsi"/>
          <w:sz w:val="24"/>
          <w:szCs w:val="24"/>
          <w:lang w:eastAsia="ar-SA"/>
        </w:rPr>
        <w:t xml:space="preserve"> </w:t>
      </w:r>
      <w:r w:rsidR="00B129A1">
        <w:rPr>
          <w:rFonts w:eastAsiaTheme="minorHAnsi"/>
          <w:sz w:val="24"/>
          <w:szCs w:val="24"/>
          <w:lang w:eastAsia="ar-SA"/>
        </w:rPr>
        <w:t>for to</w:t>
      </w:r>
      <w:r w:rsidR="006820D2">
        <w:rPr>
          <w:rFonts w:eastAsiaTheme="minorHAnsi"/>
          <w:sz w:val="24"/>
          <w:szCs w:val="24"/>
          <w:lang w:eastAsia="ar-SA"/>
        </w:rPr>
        <w:t xml:space="preserve"> criticality </w:t>
      </w:r>
      <w:r w:rsidR="004F6D4E">
        <w:rPr>
          <w:rFonts w:eastAsiaTheme="minorHAnsi"/>
          <w:sz w:val="24"/>
          <w:szCs w:val="24"/>
          <w:lang w:eastAsia="ar-SA"/>
        </w:rPr>
        <w:t xml:space="preserve">management </w:t>
      </w:r>
      <w:r w:rsidR="00D7047A">
        <w:rPr>
          <w:rFonts w:eastAsiaTheme="minorHAnsi"/>
          <w:sz w:val="24"/>
          <w:szCs w:val="24"/>
          <w:lang w:eastAsia="ar-SA"/>
        </w:rPr>
        <w:t xml:space="preserve">uniquely </w:t>
      </w:r>
      <w:r w:rsidR="006820D2">
        <w:rPr>
          <w:rFonts w:eastAsiaTheme="minorHAnsi"/>
          <w:sz w:val="24"/>
          <w:szCs w:val="24"/>
          <w:lang w:eastAsia="ar-SA"/>
        </w:rPr>
        <w:t xml:space="preserve">associated with fission </w:t>
      </w:r>
      <w:r w:rsidR="00AB77C9">
        <w:rPr>
          <w:rFonts w:eastAsiaTheme="minorHAnsi"/>
          <w:sz w:val="24"/>
          <w:szCs w:val="24"/>
          <w:lang w:eastAsia="ar-SA"/>
        </w:rPr>
        <w:t>systems</w:t>
      </w:r>
      <w:r w:rsidR="006820D2">
        <w:rPr>
          <w:rFonts w:eastAsiaTheme="minorHAnsi"/>
          <w:sz w:val="24"/>
          <w:szCs w:val="24"/>
          <w:lang w:eastAsia="ar-SA"/>
        </w:rPr>
        <w:t xml:space="preserve"> are not required</w:t>
      </w:r>
      <w:r w:rsidR="00B129A1">
        <w:rPr>
          <w:rFonts w:eastAsiaTheme="minorHAnsi"/>
          <w:sz w:val="24"/>
          <w:szCs w:val="24"/>
          <w:lang w:eastAsia="ar-SA"/>
        </w:rPr>
        <w:t xml:space="preserve"> for fusion</w:t>
      </w:r>
      <w:r w:rsidR="00A70B17">
        <w:rPr>
          <w:rFonts w:eastAsiaTheme="minorHAnsi"/>
          <w:sz w:val="24"/>
          <w:szCs w:val="24"/>
          <w:lang w:eastAsia="ar-SA"/>
        </w:rPr>
        <w:t>.</w:t>
      </w:r>
    </w:p>
    <w:p w14:paraId="58037B30" w14:textId="63F19EB1" w:rsidR="00D4032A" w:rsidRDefault="00E748BB" w:rsidP="00E748BB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lastRenderedPageBreak/>
        <w:t>A secondary hazard during operation is management of the tritium</w:t>
      </w:r>
      <w:r w:rsidR="0019221D">
        <w:rPr>
          <w:rFonts w:eastAsiaTheme="minorHAnsi"/>
          <w:sz w:val="24"/>
          <w:szCs w:val="24"/>
          <w:lang w:eastAsia="ar-SA"/>
        </w:rPr>
        <w:t xml:space="preserve">.  </w:t>
      </w:r>
      <w:r w:rsidR="00483F73">
        <w:rPr>
          <w:rFonts w:eastAsiaTheme="minorHAnsi"/>
          <w:sz w:val="24"/>
          <w:szCs w:val="24"/>
          <w:lang w:eastAsia="ar-SA"/>
        </w:rPr>
        <w:t>T</w:t>
      </w:r>
      <w:r w:rsidR="006820D2">
        <w:rPr>
          <w:rFonts w:eastAsiaTheme="minorHAnsi"/>
          <w:sz w:val="24"/>
          <w:szCs w:val="24"/>
          <w:lang w:eastAsia="ar-SA"/>
        </w:rPr>
        <w:t xml:space="preserve">ritium management is </w:t>
      </w:r>
      <w:r w:rsidR="00D4032A">
        <w:rPr>
          <w:rFonts w:eastAsiaTheme="minorHAnsi"/>
          <w:sz w:val="24"/>
          <w:szCs w:val="24"/>
          <w:lang w:eastAsia="ar-SA"/>
        </w:rPr>
        <w:t xml:space="preserve">similar in this context to medical cyclotrons that produce radioactive materials </w:t>
      </w:r>
      <w:r w:rsidR="007512D7">
        <w:rPr>
          <w:rFonts w:eastAsiaTheme="minorHAnsi"/>
          <w:sz w:val="24"/>
          <w:szCs w:val="24"/>
          <w:lang w:eastAsia="ar-SA"/>
        </w:rPr>
        <w:t xml:space="preserve">through target bombardment with accelerated particles </w:t>
      </w:r>
      <w:r w:rsidR="00B129A1">
        <w:rPr>
          <w:rFonts w:eastAsiaTheme="minorHAnsi"/>
          <w:sz w:val="24"/>
          <w:szCs w:val="24"/>
          <w:lang w:eastAsia="ar-SA"/>
        </w:rPr>
        <w:t>(e.g., PET radioisotopes)</w:t>
      </w:r>
      <w:r w:rsidR="00D4032A">
        <w:rPr>
          <w:rFonts w:eastAsiaTheme="minorHAnsi"/>
          <w:sz w:val="24"/>
          <w:szCs w:val="24"/>
          <w:lang w:eastAsia="ar-SA"/>
        </w:rPr>
        <w:t xml:space="preserve">.  </w:t>
      </w:r>
      <w:r w:rsidR="00282B05">
        <w:rPr>
          <w:rFonts w:eastAsiaTheme="minorHAnsi"/>
          <w:sz w:val="24"/>
          <w:szCs w:val="24"/>
          <w:lang w:eastAsia="ar-SA"/>
        </w:rPr>
        <w:t xml:space="preserve">As a particular case in point, </w:t>
      </w:r>
      <w:r w:rsidR="00D4032A">
        <w:rPr>
          <w:rFonts w:eastAsiaTheme="minorHAnsi"/>
          <w:sz w:val="24"/>
          <w:szCs w:val="24"/>
          <w:lang w:eastAsia="ar-SA"/>
        </w:rPr>
        <w:t>Helion</w:t>
      </w:r>
      <w:r w:rsidR="007512D7">
        <w:rPr>
          <w:rFonts w:eastAsiaTheme="minorHAnsi"/>
          <w:sz w:val="24"/>
          <w:szCs w:val="24"/>
          <w:lang w:eastAsia="ar-SA"/>
        </w:rPr>
        <w:t xml:space="preserve">’s </w:t>
      </w:r>
      <w:r w:rsidR="00483F73">
        <w:rPr>
          <w:rFonts w:eastAsiaTheme="minorHAnsi"/>
          <w:sz w:val="24"/>
          <w:szCs w:val="24"/>
          <w:lang w:eastAsia="ar-SA"/>
        </w:rPr>
        <w:t>fusion devices</w:t>
      </w:r>
      <w:r w:rsidR="00D4032A">
        <w:rPr>
          <w:rFonts w:eastAsiaTheme="minorHAnsi"/>
          <w:sz w:val="24"/>
          <w:szCs w:val="24"/>
          <w:lang w:eastAsia="ar-SA"/>
        </w:rPr>
        <w:t xml:space="preserve"> </w:t>
      </w:r>
      <w:r w:rsidR="00282B05">
        <w:rPr>
          <w:rFonts w:eastAsiaTheme="minorHAnsi"/>
          <w:sz w:val="24"/>
          <w:szCs w:val="24"/>
          <w:lang w:eastAsia="ar-SA"/>
        </w:rPr>
        <w:t xml:space="preserve">use </w:t>
      </w:r>
      <w:r w:rsidR="00D4032A">
        <w:rPr>
          <w:rFonts w:eastAsiaTheme="minorHAnsi"/>
          <w:sz w:val="24"/>
          <w:szCs w:val="24"/>
          <w:lang w:eastAsia="ar-SA"/>
        </w:rPr>
        <w:t>D-</w:t>
      </w:r>
      <w:r w:rsidR="000B2F0D">
        <w:rPr>
          <w:rFonts w:eastAsiaTheme="minorHAnsi"/>
          <w:sz w:val="24"/>
          <w:szCs w:val="24"/>
          <w:lang w:eastAsia="ar-SA"/>
        </w:rPr>
        <w:t>3</w:t>
      </w:r>
      <w:r w:rsidR="00D4032A">
        <w:rPr>
          <w:rFonts w:eastAsiaTheme="minorHAnsi"/>
          <w:sz w:val="24"/>
          <w:szCs w:val="24"/>
          <w:lang w:eastAsia="ar-SA"/>
        </w:rPr>
        <w:t>He fusion fuel</w:t>
      </w:r>
      <w:r w:rsidR="00483F73">
        <w:rPr>
          <w:rFonts w:eastAsiaTheme="minorHAnsi"/>
          <w:sz w:val="24"/>
          <w:szCs w:val="24"/>
          <w:lang w:eastAsia="ar-SA"/>
        </w:rPr>
        <w:t>. The D-</w:t>
      </w:r>
      <w:r w:rsidR="000B2F0D">
        <w:rPr>
          <w:rFonts w:eastAsiaTheme="minorHAnsi"/>
          <w:sz w:val="24"/>
          <w:szCs w:val="24"/>
          <w:lang w:eastAsia="ar-SA"/>
        </w:rPr>
        <w:t>3</w:t>
      </w:r>
      <w:r w:rsidR="00483F73">
        <w:rPr>
          <w:rFonts w:eastAsiaTheme="minorHAnsi"/>
          <w:sz w:val="24"/>
          <w:szCs w:val="24"/>
          <w:lang w:eastAsia="ar-SA"/>
        </w:rPr>
        <w:t xml:space="preserve">He fuel is </w:t>
      </w:r>
      <w:r w:rsidR="002E05FD">
        <w:rPr>
          <w:rFonts w:eastAsiaTheme="minorHAnsi"/>
          <w:sz w:val="24"/>
          <w:szCs w:val="24"/>
          <w:lang w:eastAsia="ar-SA"/>
        </w:rPr>
        <w:t>stable</w:t>
      </w:r>
      <w:r w:rsidR="00483F73">
        <w:rPr>
          <w:rFonts w:eastAsiaTheme="minorHAnsi"/>
          <w:sz w:val="24"/>
          <w:szCs w:val="24"/>
          <w:lang w:eastAsia="ar-SA"/>
        </w:rPr>
        <w:t xml:space="preserve"> and fusion produces</w:t>
      </w:r>
      <w:r w:rsidR="00D4032A">
        <w:rPr>
          <w:rFonts w:eastAsiaTheme="minorHAnsi"/>
          <w:sz w:val="24"/>
          <w:szCs w:val="24"/>
          <w:lang w:eastAsia="ar-SA"/>
        </w:rPr>
        <w:t xml:space="preserve"> tritium </w:t>
      </w:r>
      <w:r w:rsidR="007512D7">
        <w:rPr>
          <w:rFonts w:eastAsiaTheme="minorHAnsi"/>
          <w:sz w:val="24"/>
          <w:szCs w:val="24"/>
          <w:lang w:eastAsia="ar-SA"/>
        </w:rPr>
        <w:t xml:space="preserve">as a </w:t>
      </w:r>
      <w:r w:rsidR="00483F73">
        <w:rPr>
          <w:rFonts w:eastAsiaTheme="minorHAnsi"/>
          <w:sz w:val="24"/>
          <w:szCs w:val="24"/>
          <w:lang w:eastAsia="ar-SA"/>
        </w:rPr>
        <w:t>byproduct</w:t>
      </w:r>
      <w:r w:rsidR="00D4032A">
        <w:rPr>
          <w:rFonts w:eastAsiaTheme="minorHAnsi"/>
          <w:sz w:val="24"/>
          <w:szCs w:val="24"/>
          <w:lang w:eastAsia="ar-SA"/>
        </w:rPr>
        <w:t xml:space="preserve">.  Thus, tritium produced </w:t>
      </w:r>
      <w:r w:rsidR="004F6D4E">
        <w:rPr>
          <w:rFonts w:eastAsiaTheme="minorHAnsi"/>
          <w:sz w:val="24"/>
          <w:szCs w:val="24"/>
          <w:lang w:eastAsia="ar-SA"/>
        </w:rPr>
        <w:t>is</w:t>
      </w:r>
      <w:r w:rsidR="00D4032A">
        <w:rPr>
          <w:rFonts w:eastAsiaTheme="minorHAnsi"/>
          <w:sz w:val="24"/>
          <w:szCs w:val="24"/>
          <w:lang w:eastAsia="ar-SA"/>
        </w:rPr>
        <w:t xml:space="preserve"> </w:t>
      </w:r>
      <w:r w:rsidR="004F6D4E">
        <w:rPr>
          <w:rFonts w:eastAsiaTheme="minorHAnsi"/>
          <w:sz w:val="24"/>
          <w:szCs w:val="24"/>
          <w:lang w:eastAsia="ar-SA"/>
        </w:rPr>
        <w:t xml:space="preserve">captured in </w:t>
      </w:r>
      <w:r w:rsidR="00D4032A">
        <w:rPr>
          <w:rFonts w:eastAsiaTheme="minorHAnsi"/>
          <w:sz w:val="24"/>
          <w:szCs w:val="24"/>
          <w:lang w:eastAsia="ar-SA"/>
        </w:rPr>
        <w:t xml:space="preserve">exhaust and is </w:t>
      </w:r>
      <w:r w:rsidR="004F6D4E">
        <w:rPr>
          <w:rFonts w:eastAsiaTheme="minorHAnsi"/>
          <w:sz w:val="24"/>
          <w:szCs w:val="24"/>
          <w:lang w:eastAsia="ar-SA"/>
        </w:rPr>
        <w:t xml:space="preserve">separately </w:t>
      </w:r>
      <w:r w:rsidR="00D4032A">
        <w:rPr>
          <w:rFonts w:eastAsiaTheme="minorHAnsi"/>
          <w:sz w:val="24"/>
          <w:szCs w:val="24"/>
          <w:lang w:eastAsia="ar-SA"/>
        </w:rPr>
        <w:t xml:space="preserve">managed via glovebox and isotope separation systems for eventual storage and potential disposal.  This </w:t>
      </w:r>
      <w:r w:rsidR="004F6D4E">
        <w:rPr>
          <w:rFonts w:eastAsiaTheme="minorHAnsi"/>
          <w:sz w:val="24"/>
          <w:szCs w:val="24"/>
          <w:lang w:eastAsia="ar-SA"/>
        </w:rPr>
        <w:t xml:space="preserve">enables the tritium management paradigm for </w:t>
      </w:r>
      <w:r w:rsidR="00282B05">
        <w:rPr>
          <w:rFonts w:eastAsiaTheme="minorHAnsi"/>
          <w:sz w:val="24"/>
          <w:szCs w:val="24"/>
          <w:lang w:eastAsia="ar-SA"/>
        </w:rPr>
        <w:t xml:space="preserve">such types of </w:t>
      </w:r>
      <w:r w:rsidR="004F6D4E">
        <w:rPr>
          <w:rFonts w:eastAsiaTheme="minorHAnsi"/>
          <w:sz w:val="24"/>
          <w:szCs w:val="24"/>
          <w:lang w:eastAsia="ar-SA"/>
        </w:rPr>
        <w:t xml:space="preserve">fusion devices to be </w:t>
      </w:r>
      <w:r w:rsidR="00282B05">
        <w:rPr>
          <w:rFonts w:eastAsiaTheme="minorHAnsi"/>
          <w:sz w:val="24"/>
          <w:szCs w:val="24"/>
          <w:lang w:eastAsia="ar-SA"/>
        </w:rPr>
        <w:t xml:space="preserve">very </w:t>
      </w:r>
      <w:r w:rsidR="004F6D4E">
        <w:rPr>
          <w:rFonts w:eastAsiaTheme="minorHAnsi"/>
          <w:sz w:val="24"/>
          <w:szCs w:val="24"/>
          <w:lang w:eastAsia="ar-SA"/>
        </w:rPr>
        <w:t>similar to</w:t>
      </w:r>
      <w:r w:rsidR="00D4032A">
        <w:rPr>
          <w:rFonts w:eastAsiaTheme="minorHAnsi"/>
          <w:sz w:val="24"/>
          <w:szCs w:val="24"/>
          <w:lang w:eastAsia="ar-SA"/>
        </w:rPr>
        <w:t xml:space="preserve"> medical </w:t>
      </w:r>
      <w:r w:rsidR="00BD4236">
        <w:rPr>
          <w:rFonts w:eastAsiaTheme="minorHAnsi"/>
          <w:sz w:val="24"/>
          <w:szCs w:val="24"/>
          <w:lang w:eastAsia="ar-SA"/>
        </w:rPr>
        <w:t>cyclotrons</w:t>
      </w:r>
      <w:r w:rsidR="00D4032A">
        <w:rPr>
          <w:rFonts w:eastAsiaTheme="minorHAnsi"/>
          <w:sz w:val="24"/>
          <w:szCs w:val="24"/>
          <w:lang w:eastAsia="ar-SA"/>
        </w:rPr>
        <w:t xml:space="preserve"> that produce radioactive materials as part operation</w:t>
      </w:r>
      <w:r w:rsidR="004F6D4E">
        <w:rPr>
          <w:rFonts w:eastAsiaTheme="minorHAnsi"/>
          <w:sz w:val="24"/>
          <w:szCs w:val="24"/>
          <w:lang w:eastAsia="ar-SA"/>
        </w:rPr>
        <w:t xml:space="preserve"> (</w:t>
      </w:r>
      <w:r w:rsidR="00D4032A">
        <w:rPr>
          <w:rFonts w:eastAsiaTheme="minorHAnsi"/>
          <w:sz w:val="24"/>
          <w:szCs w:val="24"/>
          <w:lang w:eastAsia="ar-SA"/>
        </w:rPr>
        <w:t xml:space="preserve">and </w:t>
      </w:r>
      <w:r w:rsidR="004F6D4E">
        <w:rPr>
          <w:rFonts w:eastAsiaTheme="minorHAnsi"/>
          <w:sz w:val="24"/>
          <w:szCs w:val="24"/>
          <w:lang w:eastAsia="ar-SA"/>
        </w:rPr>
        <w:t xml:space="preserve">likewise </w:t>
      </w:r>
      <w:r w:rsidR="00D4032A">
        <w:rPr>
          <w:rFonts w:eastAsiaTheme="minorHAnsi"/>
          <w:sz w:val="24"/>
          <w:szCs w:val="24"/>
          <w:lang w:eastAsia="ar-SA"/>
        </w:rPr>
        <w:t>handle those materials in gloveboxes and separation systems after the fact</w:t>
      </w:r>
      <w:r w:rsidR="004F6D4E">
        <w:rPr>
          <w:rFonts w:eastAsiaTheme="minorHAnsi"/>
          <w:sz w:val="24"/>
          <w:szCs w:val="24"/>
          <w:lang w:eastAsia="ar-SA"/>
        </w:rPr>
        <w:t>)</w:t>
      </w:r>
      <w:r w:rsidR="00D4032A">
        <w:rPr>
          <w:rFonts w:eastAsiaTheme="minorHAnsi"/>
          <w:sz w:val="24"/>
          <w:szCs w:val="24"/>
          <w:lang w:eastAsia="ar-SA"/>
        </w:rPr>
        <w:t xml:space="preserve">. </w:t>
      </w:r>
    </w:p>
    <w:p w14:paraId="24A61A78" w14:textId="7ED0D7BE" w:rsidR="00E748BB" w:rsidRDefault="00E748BB" w:rsidP="00E748BB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A tertiary hazard</w:t>
      </w:r>
      <w:r w:rsidR="004F6D4E">
        <w:rPr>
          <w:rFonts w:eastAsiaTheme="minorHAnsi"/>
          <w:sz w:val="24"/>
          <w:szCs w:val="24"/>
          <w:lang w:eastAsia="ar-SA"/>
        </w:rPr>
        <w:t xml:space="preserve"> during operation comes in </w:t>
      </w:r>
      <w:r>
        <w:rPr>
          <w:rFonts w:eastAsiaTheme="minorHAnsi"/>
          <w:sz w:val="24"/>
          <w:szCs w:val="24"/>
          <w:lang w:eastAsia="ar-SA"/>
        </w:rPr>
        <w:t>the form of activated shielding</w:t>
      </w:r>
      <w:r w:rsidR="004F6D4E">
        <w:rPr>
          <w:rFonts w:eastAsiaTheme="minorHAnsi"/>
          <w:sz w:val="24"/>
          <w:szCs w:val="24"/>
          <w:lang w:eastAsia="ar-SA"/>
        </w:rPr>
        <w:t xml:space="preserve">.  This </w:t>
      </w:r>
      <w:r>
        <w:rPr>
          <w:rFonts w:eastAsiaTheme="minorHAnsi"/>
          <w:sz w:val="24"/>
          <w:szCs w:val="24"/>
          <w:lang w:eastAsia="ar-SA"/>
        </w:rPr>
        <w:t xml:space="preserve">is also similar for both fusion devices and particle accelerators, and can be managed in a similar fashion.  In the case of the Helion device, activated concrete shielding </w:t>
      </w:r>
      <w:r w:rsidR="004F6D4E">
        <w:rPr>
          <w:rFonts w:eastAsiaTheme="minorHAnsi"/>
          <w:sz w:val="24"/>
          <w:szCs w:val="24"/>
          <w:lang w:eastAsia="ar-SA"/>
        </w:rPr>
        <w:t xml:space="preserve">comprises the largest volume of waste, and can </w:t>
      </w:r>
      <w:r w:rsidR="00B27EA2">
        <w:rPr>
          <w:rFonts w:eastAsiaTheme="minorHAnsi"/>
          <w:sz w:val="24"/>
          <w:szCs w:val="24"/>
          <w:lang w:eastAsia="ar-SA"/>
        </w:rPr>
        <w:t xml:space="preserve">potentially </w:t>
      </w:r>
      <w:r w:rsidR="004F6D4E">
        <w:rPr>
          <w:rFonts w:eastAsiaTheme="minorHAnsi"/>
          <w:sz w:val="24"/>
          <w:szCs w:val="24"/>
          <w:lang w:eastAsia="ar-SA"/>
        </w:rPr>
        <w:t>be</w:t>
      </w:r>
      <w:r>
        <w:rPr>
          <w:rFonts w:eastAsiaTheme="minorHAnsi"/>
          <w:sz w:val="24"/>
          <w:szCs w:val="24"/>
          <w:lang w:eastAsia="ar-SA"/>
        </w:rPr>
        <w:t xml:space="preserve"> held to decay on site and be disposed of in accordance with national regulations related to disposal of very low level radiological waste. </w:t>
      </w:r>
    </w:p>
    <w:p w14:paraId="052172FF" w14:textId="220FF3ED" w:rsidR="00132DDB" w:rsidRDefault="004F6D4E" w:rsidP="00E748BB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Our</w:t>
      </w:r>
      <w:r w:rsidR="00132DDB">
        <w:rPr>
          <w:rFonts w:eastAsiaTheme="minorHAnsi"/>
          <w:sz w:val="24"/>
          <w:szCs w:val="24"/>
          <w:lang w:eastAsia="ar-SA"/>
        </w:rPr>
        <w:t xml:space="preserve"> presentation </w:t>
      </w:r>
      <w:r w:rsidR="002E05FD">
        <w:rPr>
          <w:rFonts w:eastAsiaTheme="minorHAnsi"/>
          <w:sz w:val="24"/>
          <w:szCs w:val="24"/>
          <w:lang w:eastAsia="ar-SA"/>
        </w:rPr>
        <w:t xml:space="preserve">will </w:t>
      </w:r>
      <w:r w:rsidR="00132DDB">
        <w:rPr>
          <w:rFonts w:eastAsiaTheme="minorHAnsi"/>
          <w:sz w:val="24"/>
          <w:szCs w:val="24"/>
          <w:lang w:eastAsia="ar-SA"/>
        </w:rPr>
        <w:t xml:space="preserve">describe these comparisons in further detail with quantitative </w:t>
      </w:r>
      <w:r>
        <w:rPr>
          <w:rFonts w:eastAsiaTheme="minorHAnsi"/>
          <w:sz w:val="24"/>
          <w:szCs w:val="24"/>
          <w:lang w:eastAsia="ar-SA"/>
        </w:rPr>
        <w:t>support,</w:t>
      </w:r>
      <w:r w:rsidR="00132DDB">
        <w:rPr>
          <w:rFonts w:eastAsiaTheme="minorHAnsi"/>
          <w:sz w:val="24"/>
          <w:szCs w:val="24"/>
          <w:lang w:eastAsia="ar-SA"/>
        </w:rPr>
        <w:t xml:space="preserve"> using the Helion device as an example.</w:t>
      </w:r>
    </w:p>
    <w:p w14:paraId="035F66AF" w14:textId="502F323D" w:rsidR="008A514E" w:rsidRPr="008A514E" w:rsidRDefault="008A514E" w:rsidP="008A514E">
      <w:pPr>
        <w:overflowPunct/>
        <w:autoSpaceDE/>
        <w:autoSpaceDN/>
        <w:adjustRightInd/>
        <w:spacing w:before="280" w:after="280"/>
        <w:ind w:firstLine="567"/>
        <w:jc w:val="center"/>
        <w:textAlignment w:val="auto"/>
        <w:rPr>
          <w:rFonts w:eastAsiaTheme="minorHAnsi"/>
          <w:sz w:val="24"/>
          <w:szCs w:val="24"/>
          <w:u w:val="single"/>
          <w:lang w:eastAsia="ar-SA"/>
        </w:rPr>
      </w:pPr>
      <w:r w:rsidRPr="008A514E">
        <w:rPr>
          <w:rFonts w:eastAsiaTheme="minorHAnsi"/>
          <w:sz w:val="24"/>
          <w:szCs w:val="24"/>
          <w:u w:val="single"/>
          <w:lang w:eastAsia="ar-SA"/>
        </w:rPr>
        <w:t>Figure 1: Comparison Fusion Device &amp; Accelerator Operational Hazards</w:t>
      </w:r>
    </w:p>
    <w:p w14:paraId="70BAEFAD" w14:textId="70B303AB" w:rsidR="008A514E" w:rsidRPr="003021C3" w:rsidRDefault="00696DD6" w:rsidP="00696DD6">
      <w:pPr>
        <w:pBdr>
          <w:bar w:val="single" w:sz="4" w:color="auto"/>
        </w:pBdr>
        <w:overflowPunct/>
        <w:autoSpaceDE/>
        <w:autoSpaceDN/>
        <w:adjustRightInd/>
        <w:spacing w:before="280" w:after="280"/>
        <w:jc w:val="center"/>
        <w:textAlignment w:val="auto"/>
        <w:rPr>
          <w:rFonts w:eastAsiaTheme="minorHAnsi"/>
          <w:sz w:val="24"/>
          <w:szCs w:val="24"/>
          <w:u w:val="single"/>
          <w:lang w:eastAsia="ar-SA"/>
        </w:rPr>
      </w:pPr>
      <w:r>
        <w:rPr>
          <w:rFonts w:eastAsiaTheme="minorHAnsi"/>
          <w:noProof/>
          <w:sz w:val="24"/>
          <w:szCs w:val="24"/>
          <w:u w:val="single"/>
          <w:lang w:eastAsia="ar-SA"/>
        </w:rPr>
        <w:drawing>
          <wp:inline distT="0" distB="0" distL="0" distR="0" wp14:anchorId="101D451F" wp14:editId="10A371FF">
            <wp:extent cx="5649615" cy="2035464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24" cy="2038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F4FAF" w14:textId="77777777" w:rsidR="003021C3" w:rsidRPr="003021C3" w:rsidRDefault="003021C3" w:rsidP="003021C3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b/>
          <w:bCs/>
          <w:sz w:val="24"/>
          <w:szCs w:val="24"/>
          <w:u w:val="single"/>
          <w:lang w:eastAsia="ar-SA"/>
        </w:rPr>
      </w:pPr>
      <w:r w:rsidRPr="003021C3">
        <w:rPr>
          <w:rFonts w:eastAsiaTheme="minorHAnsi"/>
          <w:b/>
          <w:bCs/>
          <w:sz w:val="24"/>
          <w:szCs w:val="24"/>
          <w:u w:val="single"/>
          <w:lang w:eastAsia="ar-SA"/>
        </w:rPr>
        <w:t>Accident Safety:</w:t>
      </w:r>
    </w:p>
    <w:p w14:paraId="229A4F00" w14:textId="3D1C8417" w:rsidR="001405A3" w:rsidRDefault="004F6D4E" w:rsidP="003021C3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Any f</w:t>
      </w:r>
      <w:r w:rsidR="00FB3D9B">
        <w:rPr>
          <w:rFonts w:eastAsiaTheme="minorHAnsi"/>
          <w:sz w:val="24"/>
          <w:szCs w:val="24"/>
          <w:lang w:eastAsia="ar-SA"/>
        </w:rPr>
        <w:t>usion a</w:t>
      </w:r>
      <w:r w:rsidR="00703430">
        <w:rPr>
          <w:rFonts w:eastAsiaTheme="minorHAnsi"/>
          <w:sz w:val="24"/>
          <w:szCs w:val="24"/>
          <w:lang w:eastAsia="ar-SA"/>
        </w:rPr>
        <w:t xml:space="preserve">ccident analysis is fundamentally different from </w:t>
      </w:r>
      <w:r>
        <w:rPr>
          <w:rFonts w:eastAsiaTheme="minorHAnsi"/>
          <w:sz w:val="24"/>
          <w:szCs w:val="24"/>
          <w:lang w:eastAsia="ar-SA"/>
        </w:rPr>
        <w:t xml:space="preserve">a </w:t>
      </w:r>
      <w:r w:rsidR="00703430">
        <w:rPr>
          <w:rFonts w:eastAsiaTheme="minorHAnsi"/>
          <w:sz w:val="24"/>
          <w:szCs w:val="24"/>
          <w:lang w:eastAsia="ar-SA"/>
        </w:rPr>
        <w:t xml:space="preserve">fission </w:t>
      </w:r>
      <w:r w:rsidR="00BB52E9">
        <w:rPr>
          <w:rFonts w:eastAsiaTheme="minorHAnsi"/>
          <w:sz w:val="24"/>
          <w:szCs w:val="24"/>
          <w:lang w:eastAsia="ar-SA"/>
        </w:rPr>
        <w:t xml:space="preserve">accident </w:t>
      </w:r>
      <w:r>
        <w:rPr>
          <w:rFonts w:eastAsiaTheme="minorHAnsi"/>
          <w:sz w:val="24"/>
          <w:szCs w:val="24"/>
          <w:lang w:eastAsia="ar-SA"/>
        </w:rPr>
        <w:t>analysis</w:t>
      </w:r>
      <w:r w:rsidR="00FB3D9B">
        <w:rPr>
          <w:rFonts w:eastAsiaTheme="minorHAnsi"/>
          <w:sz w:val="24"/>
          <w:szCs w:val="24"/>
          <w:lang w:eastAsia="ar-SA"/>
        </w:rPr>
        <w:t xml:space="preserve"> </w:t>
      </w:r>
      <w:r w:rsidR="00703430">
        <w:rPr>
          <w:rFonts w:eastAsiaTheme="minorHAnsi"/>
          <w:sz w:val="24"/>
          <w:szCs w:val="24"/>
          <w:lang w:eastAsia="ar-SA"/>
        </w:rPr>
        <w:t xml:space="preserve">because the inventory associated with </w:t>
      </w:r>
      <w:r w:rsidR="00BB52E9">
        <w:rPr>
          <w:rFonts w:eastAsiaTheme="minorHAnsi"/>
          <w:sz w:val="24"/>
          <w:szCs w:val="24"/>
          <w:lang w:eastAsia="ar-SA"/>
        </w:rPr>
        <w:t>a fusion</w:t>
      </w:r>
      <w:r w:rsidR="00703430">
        <w:rPr>
          <w:rFonts w:eastAsiaTheme="minorHAnsi"/>
          <w:sz w:val="24"/>
          <w:szCs w:val="24"/>
          <w:lang w:eastAsia="ar-SA"/>
        </w:rPr>
        <w:t xml:space="preserve"> device is </w:t>
      </w:r>
      <w:r w:rsidR="00BB52E9">
        <w:rPr>
          <w:rFonts w:eastAsiaTheme="minorHAnsi"/>
          <w:sz w:val="24"/>
          <w:szCs w:val="24"/>
          <w:lang w:eastAsia="ar-SA"/>
        </w:rPr>
        <w:t>less dynamic</w:t>
      </w:r>
      <w:r w:rsidR="00AC6202">
        <w:rPr>
          <w:rFonts w:eastAsiaTheme="minorHAnsi"/>
          <w:sz w:val="24"/>
          <w:szCs w:val="24"/>
          <w:lang w:eastAsia="ar-SA"/>
        </w:rPr>
        <w:t xml:space="preserve">.  Fusion immediately stops upon essentially any device fault (or operator action), at that time eliminating any ability to produce additional </w:t>
      </w:r>
      <w:r w:rsidR="000928B2">
        <w:rPr>
          <w:rFonts w:eastAsiaTheme="minorHAnsi"/>
          <w:sz w:val="24"/>
          <w:szCs w:val="24"/>
          <w:lang w:eastAsia="ar-SA"/>
        </w:rPr>
        <w:t xml:space="preserve">or altered </w:t>
      </w:r>
      <w:r w:rsidR="00AC6202">
        <w:rPr>
          <w:rFonts w:eastAsiaTheme="minorHAnsi"/>
          <w:sz w:val="24"/>
          <w:szCs w:val="24"/>
          <w:lang w:eastAsia="ar-SA"/>
        </w:rPr>
        <w:t xml:space="preserve">inventory.  This is </w:t>
      </w:r>
      <w:r w:rsidR="00BB52E9">
        <w:rPr>
          <w:rFonts w:eastAsiaTheme="minorHAnsi"/>
          <w:sz w:val="24"/>
          <w:szCs w:val="24"/>
          <w:lang w:eastAsia="ar-SA"/>
        </w:rPr>
        <w:t>as opposed to in fission</w:t>
      </w:r>
      <w:r w:rsidR="00AC6202">
        <w:rPr>
          <w:rFonts w:eastAsiaTheme="minorHAnsi"/>
          <w:sz w:val="24"/>
          <w:szCs w:val="24"/>
          <w:lang w:eastAsia="ar-SA"/>
        </w:rPr>
        <w:t>,</w:t>
      </w:r>
      <w:r w:rsidR="00BB52E9">
        <w:rPr>
          <w:rFonts w:eastAsiaTheme="minorHAnsi"/>
          <w:sz w:val="24"/>
          <w:szCs w:val="24"/>
          <w:lang w:eastAsia="ar-SA"/>
        </w:rPr>
        <w:t xml:space="preserve"> where there is always a material risk of uncontrolled fissioning of uranium into new</w:t>
      </w:r>
      <w:r w:rsidR="00AC6202">
        <w:rPr>
          <w:rFonts w:eastAsiaTheme="minorHAnsi"/>
          <w:sz w:val="24"/>
          <w:szCs w:val="24"/>
          <w:lang w:eastAsia="ar-SA"/>
        </w:rPr>
        <w:t>,</w:t>
      </w:r>
      <w:r w:rsidR="00BB52E9">
        <w:rPr>
          <w:rFonts w:eastAsiaTheme="minorHAnsi"/>
          <w:sz w:val="24"/>
          <w:szCs w:val="24"/>
          <w:lang w:eastAsia="ar-SA"/>
        </w:rPr>
        <w:t xml:space="preserve"> highly radioactive daughter products during </w:t>
      </w:r>
      <w:r w:rsidR="004E5A94">
        <w:rPr>
          <w:rFonts w:eastAsiaTheme="minorHAnsi"/>
          <w:sz w:val="24"/>
          <w:szCs w:val="24"/>
          <w:lang w:eastAsia="ar-SA"/>
        </w:rPr>
        <w:t xml:space="preserve">or even after </w:t>
      </w:r>
      <w:r w:rsidR="00AC6202">
        <w:rPr>
          <w:rFonts w:eastAsiaTheme="minorHAnsi"/>
          <w:sz w:val="24"/>
          <w:szCs w:val="24"/>
          <w:lang w:eastAsia="ar-SA"/>
        </w:rPr>
        <w:t>an accident</w:t>
      </w:r>
      <w:r w:rsidR="00CA65AA">
        <w:rPr>
          <w:rFonts w:eastAsiaTheme="minorHAnsi"/>
          <w:sz w:val="24"/>
          <w:szCs w:val="24"/>
          <w:lang w:eastAsia="ar-SA"/>
        </w:rPr>
        <w:t>—which must be uniquely accounted for</w:t>
      </w:r>
      <w:r w:rsidR="00703430">
        <w:rPr>
          <w:rFonts w:eastAsiaTheme="minorHAnsi"/>
          <w:sz w:val="24"/>
          <w:szCs w:val="24"/>
          <w:lang w:eastAsia="ar-SA"/>
        </w:rPr>
        <w:t xml:space="preserve">.  </w:t>
      </w:r>
      <w:r>
        <w:rPr>
          <w:rFonts w:eastAsiaTheme="minorHAnsi"/>
          <w:sz w:val="24"/>
          <w:szCs w:val="24"/>
          <w:lang w:eastAsia="ar-SA"/>
        </w:rPr>
        <w:t xml:space="preserve">Therefore, </w:t>
      </w:r>
      <w:r w:rsidR="004E5A94">
        <w:rPr>
          <w:rFonts w:eastAsiaTheme="minorHAnsi"/>
          <w:sz w:val="24"/>
          <w:szCs w:val="24"/>
          <w:lang w:eastAsia="ar-SA"/>
        </w:rPr>
        <w:t>the</w:t>
      </w:r>
      <w:r>
        <w:rPr>
          <w:rFonts w:eastAsiaTheme="minorHAnsi"/>
          <w:sz w:val="24"/>
          <w:szCs w:val="24"/>
          <w:lang w:eastAsia="ar-SA"/>
        </w:rPr>
        <w:t xml:space="preserve"> safety paradigm for managing </w:t>
      </w:r>
      <w:r w:rsidR="00CA65AA">
        <w:rPr>
          <w:rFonts w:eastAsiaTheme="minorHAnsi"/>
          <w:sz w:val="24"/>
          <w:szCs w:val="24"/>
          <w:lang w:eastAsia="ar-SA"/>
        </w:rPr>
        <w:t>fusion device accidents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="004E5A94">
        <w:rPr>
          <w:rFonts w:eastAsiaTheme="minorHAnsi"/>
          <w:sz w:val="24"/>
          <w:szCs w:val="24"/>
          <w:lang w:eastAsia="ar-SA"/>
        </w:rPr>
        <w:t>is much simpler in nature</w:t>
      </w:r>
      <w:r w:rsidR="00CA65AA">
        <w:rPr>
          <w:rFonts w:eastAsiaTheme="minorHAnsi"/>
          <w:sz w:val="24"/>
          <w:szCs w:val="24"/>
          <w:lang w:eastAsia="ar-SA"/>
        </w:rPr>
        <w:t xml:space="preserve"> than for fission </w:t>
      </w:r>
      <w:r w:rsidR="004E5A94">
        <w:rPr>
          <w:rFonts w:eastAsiaTheme="minorHAnsi"/>
          <w:sz w:val="24"/>
          <w:szCs w:val="24"/>
          <w:lang w:eastAsia="ar-SA"/>
        </w:rPr>
        <w:t xml:space="preserve">and can </w:t>
      </w:r>
      <w:r w:rsidR="00CA65AA">
        <w:rPr>
          <w:rFonts w:eastAsiaTheme="minorHAnsi"/>
          <w:sz w:val="24"/>
          <w:szCs w:val="24"/>
          <w:lang w:eastAsia="ar-SA"/>
        </w:rPr>
        <w:t>take from what is</w:t>
      </w:r>
      <w:r w:rsidR="004E5A94">
        <w:rPr>
          <w:rFonts w:eastAsiaTheme="minorHAnsi"/>
          <w:sz w:val="24"/>
          <w:szCs w:val="24"/>
          <w:lang w:eastAsia="ar-SA"/>
        </w:rPr>
        <w:t xml:space="preserve"> in use</w:t>
      </w:r>
      <w:r w:rsidR="00CA65AA">
        <w:rPr>
          <w:rFonts w:eastAsiaTheme="minorHAnsi"/>
          <w:sz w:val="24"/>
          <w:szCs w:val="24"/>
          <w:lang w:eastAsia="ar-SA"/>
        </w:rPr>
        <w:t xml:space="preserve"> today</w:t>
      </w:r>
      <w:r w:rsidR="004E5A94">
        <w:rPr>
          <w:rFonts w:eastAsiaTheme="minorHAnsi"/>
          <w:sz w:val="24"/>
          <w:szCs w:val="24"/>
          <w:lang w:eastAsia="ar-SA"/>
        </w:rPr>
        <w:t xml:space="preserve"> for</w:t>
      </w:r>
      <w:r w:rsidR="00FD5615">
        <w:rPr>
          <w:rFonts w:eastAsiaTheme="minorHAnsi"/>
          <w:sz w:val="24"/>
          <w:szCs w:val="24"/>
          <w:lang w:eastAsia="ar-SA"/>
        </w:rPr>
        <w:t xml:space="preserve"> many types of</w:t>
      </w:r>
      <w:r w:rsidR="004E5A94">
        <w:rPr>
          <w:rFonts w:eastAsiaTheme="minorHAnsi"/>
          <w:sz w:val="24"/>
          <w:szCs w:val="24"/>
          <w:lang w:eastAsia="ar-SA"/>
        </w:rPr>
        <w:t xml:space="preserve"> </w:t>
      </w:r>
      <w:r w:rsidR="00CA65AA">
        <w:rPr>
          <w:rFonts w:eastAsiaTheme="minorHAnsi"/>
          <w:sz w:val="24"/>
          <w:szCs w:val="24"/>
          <w:lang w:eastAsia="ar-SA"/>
        </w:rPr>
        <w:t xml:space="preserve">industrial </w:t>
      </w:r>
      <w:r>
        <w:rPr>
          <w:rFonts w:eastAsiaTheme="minorHAnsi"/>
          <w:sz w:val="24"/>
          <w:szCs w:val="24"/>
          <w:lang w:eastAsia="ar-SA"/>
        </w:rPr>
        <w:t xml:space="preserve">facilities that work with </w:t>
      </w:r>
      <w:r w:rsidR="00FD5615">
        <w:rPr>
          <w:rFonts w:eastAsiaTheme="minorHAnsi"/>
          <w:sz w:val="24"/>
          <w:szCs w:val="24"/>
          <w:lang w:eastAsia="ar-SA"/>
        </w:rPr>
        <w:t xml:space="preserve">mobile </w:t>
      </w:r>
      <w:r w:rsidR="00CA65AA">
        <w:rPr>
          <w:rFonts w:eastAsiaTheme="minorHAnsi"/>
          <w:sz w:val="24"/>
          <w:szCs w:val="24"/>
          <w:lang w:eastAsia="ar-SA"/>
        </w:rPr>
        <w:t>radioactive materials</w:t>
      </w:r>
      <w:r>
        <w:rPr>
          <w:rFonts w:eastAsiaTheme="minorHAnsi"/>
          <w:sz w:val="24"/>
          <w:szCs w:val="24"/>
          <w:lang w:eastAsia="ar-SA"/>
        </w:rPr>
        <w:t xml:space="preserve">. </w:t>
      </w:r>
      <w:r w:rsidR="00CA65AA">
        <w:rPr>
          <w:rFonts w:eastAsiaTheme="minorHAnsi"/>
          <w:sz w:val="24"/>
          <w:szCs w:val="24"/>
          <w:lang w:eastAsia="ar-SA"/>
        </w:rPr>
        <w:t>Such facilities and industries</w:t>
      </w:r>
      <w:r w:rsidR="001405A3">
        <w:rPr>
          <w:rFonts w:eastAsiaTheme="minorHAnsi"/>
          <w:sz w:val="24"/>
          <w:szCs w:val="24"/>
          <w:lang w:eastAsia="ar-SA"/>
        </w:rPr>
        <w:t xml:space="preserve">, including those </w:t>
      </w:r>
      <w:r w:rsidR="00FB3D9B">
        <w:rPr>
          <w:rFonts w:eastAsiaTheme="minorHAnsi"/>
          <w:sz w:val="24"/>
          <w:szCs w:val="24"/>
          <w:lang w:eastAsia="ar-SA"/>
        </w:rPr>
        <w:t>that use tritium</w:t>
      </w:r>
      <w:r w:rsidR="001405A3">
        <w:rPr>
          <w:rFonts w:eastAsiaTheme="minorHAnsi"/>
          <w:sz w:val="24"/>
          <w:szCs w:val="24"/>
          <w:lang w:eastAsia="ar-SA"/>
        </w:rPr>
        <w:t xml:space="preserve">, </w:t>
      </w:r>
      <w:r w:rsidR="00CA65AA">
        <w:rPr>
          <w:rFonts w:eastAsiaTheme="minorHAnsi"/>
          <w:sz w:val="24"/>
          <w:szCs w:val="24"/>
          <w:lang w:eastAsia="ar-SA"/>
        </w:rPr>
        <w:t xml:space="preserve">thus can provide </w:t>
      </w:r>
      <w:r w:rsidR="001405A3">
        <w:rPr>
          <w:rFonts w:eastAsiaTheme="minorHAnsi"/>
          <w:sz w:val="24"/>
          <w:szCs w:val="24"/>
          <w:lang w:eastAsia="ar-SA"/>
        </w:rPr>
        <w:t xml:space="preserve">helpful precedent for </w:t>
      </w:r>
      <w:r w:rsidR="00CA65AA">
        <w:rPr>
          <w:rFonts w:eastAsiaTheme="minorHAnsi"/>
          <w:sz w:val="24"/>
          <w:szCs w:val="24"/>
          <w:lang w:eastAsia="ar-SA"/>
        </w:rPr>
        <w:t xml:space="preserve">a fusion safety </w:t>
      </w:r>
      <w:r w:rsidR="001405A3">
        <w:rPr>
          <w:rFonts w:eastAsiaTheme="minorHAnsi"/>
          <w:sz w:val="24"/>
          <w:szCs w:val="24"/>
          <w:lang w:eastAsia="ar-SA"/>
        </w:rPr>
        <w:t>analysis</w:t>
      </w:r>
      <w:r w:rsidR="00703430">
        <w:rPr>
          <w:rFonts w:eastAsiaTheme="minorHAnsi"/>
          <w:sz w:val="24"/>
          <w:szCs w:val="24"/>
          <w:lang w:eastAsia="ar-SA"/>
        </w:rPr>
        <w:t xml:space="preserve">.  </w:t>
      </w:r>
    </w:p>
    <w:p w14:paraId="07A0E1C6" w14:textId="37245827" w:rsidR="001405A3" w:rsidRDefault="001405A3" w:rsidP="001405A3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The presentation will discuss how safety systems incorporated in</w:t>
      </w:r>
      <w:r w:rsidR="00ED02BC">
        <w:rPr>
          <w:rFonts w:eastAsiaTheme="minorHAnsi"/>
          <w:sz w:val="24"/>
          <w:szCs w:val="24"/>
          <w:lang w:eastAsia="ar-SA"/>
        </w:rPr>
        <w:t>to</w:t>
      </w:r>
      <w:r>
        <w:rPr>
          <w:rFonts w:eastAsiaTheme="minorHAnsi"/>
          <w:sz w:val="24"/>
          <w:szCs w:val="24"/>
          <w:lang w:eastAsia="ar-SA"/>
        </w:rPr>
        <w:t xml:space="preserve"> such facilities, including detritiation systems, vent filtration, and stacks, can safely manage accidents that may occur at a fusion power plant.  It will further provide quantitative analysis for accident scenarios </w:t>
      </w:r>
      <w:r>
        <w:rPr>
          <w:rFonts w:eastAsiaTheme="minorHAnsi"/>
          <w:sz w:val="24"/>
          <w:szCs w:val="24"/>
          <w:lang w:eastAsia="ar-SA"/>
        </w:rPr>
        <w:lastRenderedPageBreak/>
        <w:t xml:space="preserve">involving a hypothetical Helion or </w:t>
      </w:r>
      <w:r w:rsidR="00F00D04">
        <w:rPr>
          <w:rFonts w:eastAsiaTheme="minorHAnsi"/>
          <w:sz w:val="24"/>
          <w:szCs w:val="24"/>
          <w:lang w:eastAsia="ar-SA"/>
        </w:rPr>
        <w:t>generic</w:t>
      </w:r>
      <w:r>
        <w:rPr>
          <w:rFonts w:eastAsiaTheme="minorHAnsi"/>
          <w:sz w:val="24"/>
          <w:szCs w:val="24"/>
          <w:lang w:eastAsia="ar-SA"/>
        </w:rPr>
        <w:t xml:space="preserve"> fusion power plant, </w:t>
      </w:r>
      <w:r w:rsidR="00F00D04">
        <w:rPr>
          <w:rFonts w:eastAsiaTheme="minorHAnsi"/>
          <w:sz w:val="24"/>
          <w:szCs w:val="24"/>
          <w:lang w:eastAsia="ar-SA"/>
        </w:rPr>
        <w:t>evaluating</w:t>
      </w:r>
      <w:r>
        <w:rPr>
          <w:rFonts w:eastAsiaTheme="minorHAnsi"/>
          <w:sz w:val="24"/>
          <w:szCs w:val="24"/>
          <w:lang w:eastAsia="ar-SA"/>
        </w:rPr>
        <w:t xml:space="preserve"> safety systems employed to address risk</w:t>
      </w:r>
      <w:r w:rsidR="00F00D04">
        <w:rPr>
          <w:rFonts w:eastAsiaTheme="minorHAnsi"/>
          <w:sz w:val="24"/>
          <w:szCs w:val="24"/>
          <w:lang w:eastAsia="ar-SA"/>
        </w:rPr>
        <w:t>,</w:t>
      </w:r>
      <w:r>
        <w:rPr>
          <w:rFonts w:eastAsiaTheme="minorHAnsi"/>
          <w:sz w:val="24"/>
          <w:szCs w:val="24"/>
          <w:lang w:eastAsia="ar-SA"/>
        </w:rPr>
        <w:t xml:space="preserve"> and potential estimates of public impact in design basis and beyond design basis events.</w:t>
      </w:r>
    </w:p>
    <w:p w14:paraId="68040021" w14:textId="4625836F" w:rsidR="00FB3D9B" w:rsidRDefault="00FB3D9B" w:rsidP="00FB3D9B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Furthermore, the presentation </w:t>
      </w:r>
      <w:r w:rsidR="001405A3">
        <w:rPr>
          <w:rFonts w:eastAsiaTheme="minorHAnsi"/>
          <w:sz w:val="24"/>
          <w:szCs w:val="24"/>
          <w:lang w:eastAsia="ar-SA"/>
        </w:rPr>
        <w:t>will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="00F00D04">
        <w:rPr>
          <w:rFonts w:eastAsiaTheme="minorHAnsi"/>
          <w:sz w:val="24"/>
          <w:szCs w:val="24"/>
          <w:lang w:eastAsia="ar-SA"/>
        </w:rPr>
        <w:t xml:space="preserve">reflect on additional </w:t>
      </w:r>
      <w:r>
        <w:rPr>
          <w:rFonts w:eastAsiaTheme="minorHAnsi"/>
          <w:sz w:val="24"/>
          <w:szCs w:val="24"/>
          <w:lang w:eastAsia="ar-SA"/>
        </w:rPr>
        <w:t xml:space="preserve">safety benefits </w:t>
      </w:r>
      <w:r w:rsidR="001405A3">
        <w:rPr>
          <w:rFonts w:eastAsiaTheme="minorHAnsi"/>
          <w:sz w:val="24"/>
          <w:szCs w:val="24"/>
          <w:lang w:eastAsia="ar-SA"/>
        </w:rPr>
        <w:t>reflected</w:t>
      </w:r>
      <w:r w:rsidR="00273F5D">
        <w:rPr>
          <w:rFonts w:eastAsiaTheme="minorHAnsi"/>
          <w:sz w:val="24"/>
          <w:szCs w:val="24"/>
          <w:lang w:eastAsia="ar-SA"/>
        </w:rPr>
        <w:t xml:space="preserve"> in the Helion approach to fusion</w:t>
      </w:r>
      <w:r>
        <w:rPr>
          <w:rFonts w:eastAsiaTheme="minorHAnsi"/>
          <w:sz w:val="24"/>
          <w:szCs w:val="24"/>
          <w:lang w:eastAsia="ar-SA"/>
        </w:rPr>
        <w:t xml:space="preserve"> by separate</w:t>
      </w:r>
      <w:r w:rsidR="00F00D04">
        <w:rPr>
          <w:rFonts w:eastAsiaTheme="minorHAnsi"/>
          <w:sz w:val="24"/>
          <w:szCs w:val="24"/>
          <w:lang w:eastAsia="ar-SA"/>
        </w:rPr>
        <w:t>ly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="00F00D04">
        <w:rPr>
          <w:rFonts w:eastAsiaTheme="minorHAnsi"/>
          <w:sz w:val="24"/>
          <w:szCs w:val="24"/>
          <w:lang w:eastAsia="ar-SA"/>
        </w:rPr>
        <w:t>locating</w:t>
      </w:r>
      <w:r>
        <w:rPr>
          <w:rFonts w:eastAsiaTheme="minorHAnsi"/>
          <w:sz w:val="24"/>
          <w:szCs w:val="24"/>
          <w:lang w:eastAsia="ar-SA"/>
        </w:rPr>
        <w:t xml:space="preserve"> the device and tritium management systems (</w:t>
      </w:r>
      <w:r w:rsidR="001405A3">
        <w:rPr>
          <w:rFonts w:eastAsiaTheme="minorHAnsi"/>
          <w:sz w:val="24"/>
          <w:szCs w:val="24"/>
          <w:lang w:eastAsia="ar-SA"/>
        </w:rPr>
        <w:t>because</w:t>
      </w:r>
      <w:r>
        <w:rPr>
          <w:rFonts w:eastAsiaTheme="minorHAnsi"/>
          <w:sz w:val="24"/>
          <w:szCs w:val="24"/>
          <w:lang w:eastAsia="ar-SA"/>
        </w:rPr>
        <w:t xml:space="preserve"> in the Helion system, the tritium</w:t>
      </w:r>
      <w:r w:rsidR="00273F5D">
        <w:rPr>
          <w:rFonts w:eastAsiaTheme="minorHAnsi"/>
          <w:sz w:val="24"/>
          <w:szCs w:val="24"/>
          <w:lang w:eastAsia="ar-SA"/>
        </w:rPr>
        <w:t xml:space="preserve"> is a</w:t>
      </w:r>
      <w:r w:rsidR="00F00D04">
        <w:rPr>
          <w:rFonts w:eastAsiaTheme="minorHAnsi"/>
          <w:sz w:val="24"/>
          <w:szCs w:val="24"/>
          <w:lang w:eastAsia="ar-SA"/>
        </w:rPr>
        <w:t xml:space="preserve"> </w:t>
      </w:r>
      <w:r w:rsidR="00273F5D">
        <w:rPr>
          <w:rFonts w:eastAsiaTheme="minorHAnsi"/>
          <w:sz w:val="24"/>
          <w:szCs w:val="24"/>
          <w:lang w:eastAsia="ar-SA"/>
        </w:rPr>
        <w:t xml:space="preserve">exhaust product and not a fuel).  This simplifies </w:t>
      </w:r>
      <w:r w:rsidR="001405A3">
        <w:rPr>
          <w:rFonts w:eastAsiaTheme="minorHAnsi"/>
          <w:sz w:val="24"/>
          <w:szCs w:val="24"/>
          <w:lang w:eastAsia="ar-SA"/>
        </w:rPr>
        <w:t xml:space="preserve">the </w:t>
      </w:r>
      <w:r w:rsidR="00273F5D">
        <w:rPr>
          <w:rFonts w:eastAsiaTheme="minorHAnsi"/>
          <w:sz w:val="24"/>
          <w:szCs w:val="24"/>
          <w:lang w:eastAsia="ar-SA"/>
        </w:rPr>
        <w:t xml:space="preserve">accident analysis </w:t>
      </w:r>
      <w:r w:rsidR="001405A3">
        <w:rPr>
          <w:rFonts w:eastAsiaTheme="minorHAnsi"/>
          <w:sz w:val="24"/>
          <w:szCs w:val="24"/>
          <w:lang w:eastAsia="ar-SA"/>
        </w:rPr>
        <w:t xml:space="preserve">as </w:t>
      </w:r>
      <w:r w:rsidR="00A45D3F">
        <w:rPr>
          <w:rFonts w:eastAsiaTheme="minorHAnsi"/>
          <w:sz w:val="24"/>
          <w:szCs w:val="24"/>
          <w:lang w:eastAsia="ar-SA"/>
        </w:rPr>
        <w:t>events</w:t>
      </w:r>
      <w:r w:rsidR="001405A3">
        <w:rPr>
          <w:rFonts w:eastAsiaTheme="minorHAnsi"/>
          <w:sz w:val="24"/>
          <w:szCs w:val="24"/>
          <w:lang w:eastAsia="ar-SA"/>
        </w:rPr>
        <w:t xml:space="preserve"> </w:t>
      </w:r>
      <w:r w:rsidR="00902679">
        <w:rPr>
          <w:rFonts w:eastAsiaTheme="minorHAnsi"/>
          <w:sz w:val="24"/>
          <w:szCs w:val="24"/>
          <w:lang w:eastAsia="ar-SA"/>
        </w:rPr>
        <w:t>and impacts involving</w:t>
      </w:r>
      <w:r w:rsidR="001405A3">
        <w:rPr>
          <w:rFonts w:eastAsiaTheme="minorHAnsi"/>
          <w:sz w:val="24"/>
          <w:szCs w:val="24"/>
          <w:lang w:eastAsia="ar-SA"/>
        </w:rPr>
        <w:t xml:space="preserve"> </w:t>
      </w:r>
      <w:r w:rsidR="00273F5D">
        <w:rPr>
          <w:rFonts w:eastAsiaTheme="minorHAnsi"/>
          <w:sz w:val="24"/>
          <w:szCs w:val="24"/>
          <w:lang w:eastAsia="ar-SA"/>
        </w:rPr>
        <w:t xml:space="preserve">tritium storage facilities </w:t>
      </w:r>
      <w:r w:rsidR="001405A3">
        <w:rPr>
          <w:rFonts w:eastAsiaTheme="minorHAnsi"/>
          <w:sz w:val="24"/>
          <w:szCs w:val="24"/>
          <w:lang w:eastAsia="ar-SA"/>
        </w:rPr>
        <w:t xml:space="preserve">can be </w:t>
      </w:r>
      <w:r w:rsidR="002766E0">
        <w:rPr>
          <w:rFonts w:eastAsiaTheme="minorHAnsi"/>
          <w:sz w:val="24"/>
          <w:szCs w:val="24"/>
          <w:lang w:eastAsia="ar-SA"/>
        </w:rPr>
        <w:t xml:space="preserve">more easily </w:t>
      </w:r>
      <w:r w:rsidR="00A45D3F">
        <w:rPr>
          <w:rFonts w:eastAsiaTheme="minorHAnsi"/>
          <w:sz w:val="24"/>
          <w:szCs w:val="24"/>
          <w:lang w:eastAsia="ar-SA"/>
        </w:rPr>
        <w:t>analysed</w:t>
      </w:r>
      <w:r w:rsidR="001405A3">
        <w:rPr>
          <w:rFonts w:eastAsiaTheme="minorHAnsi"/>
          <w:sz w:val="24"/>
          <w:szCs w:val="24"/>
          <w:lang w:eastAsia="ar-SA"/>
        </w:rPr>
        <w:t xml:space="preserve"> </w:t>
      </w:r>
      <w:r w:rsidR="00A20326">
        <w:rPr>
          <w:rFonts w:eastAsiaTheme="minorHAnsi"/>
          <w:sz w:val="24"/>
          <w:szCs w:val="24"/>
          <w:lang w:eastAsia="ar-SA"/>
        </w:rPr>
        <w:t xml:space="preserve">separate </w:t>
      </w:r>
      <w:r w:rsidR="001405A3">
        <w:rPr>
          <w:rFonts w:eastAsiaTheme="minorHAnsi"/>
          <w:sz w:val="24"/>
          <w:szCs w:val="24"/>
          <w:lang w:eastAsia="ar-SA"/>
        </w:rPr>
        <w:t xml:space="preserve">from </w:t>
      </w:r>
      <w:r w:rsidR="00A45D3F">
        <w:rPr>
          <w:rFonts w:eastAsiaTheme="minorHAnsi"/>
          <w:sz w:val="24"/>
          <w:szCs w:val="24"/>
          <w:lang w:eastAsia="ar-SA"/>
        </w:rPr>
        <w:t>events</w:t>
      </w:r>
      <w:r w:rsidR="00902679">
        <w:rPr>
          <w:rFonts w:eastAsiaTheme="minorHAnsi"/>
          <w:sz w:val="24"/>
          <w:szCs w:val="24"/>
          <w:lang w:eastAsia="ar-SA"/>
        </w:rPr>
        <w:t xml:space="preserve"> and impacts</w:t>
      </w:r>
      <w:r w:rsidR="00A45D3F">
        <w:rPr>
          <w:rFonts w:eastAsiaTheme="minorHAnsi"/>
          <w:sz w:val="24"/>
          <w:szCs w:val="24"/>
          <w:lang w:eastAsia="ar-SA"/>
        </w:rPr>
        <w:t xml:space="preserve"> </w:t>
      </w:r>
      <w:r w:rsidR="001405A3">
        <w:rPr>
          <w:rFonts w:eastAsiaTheme="minorHAnsi"/>
          <w:sz w:val="24"/>
          <w:szCs w:val="24"/>
          <w:lang w:eastAsia="ar-SA"/>
        </w:rPr>
        <w:t>involving the</w:t>
      </w:r>
      <w:r w:rsidR="00273F5D">
        <w:rPr>
          <w:rFonts w:eastAsiaTheme="minorHAnsi"/>
          <w:sz w:val="24"/>
          <w:szCs w:val="24"/>
          <w:lang w:eastAsia="ar-SA"/>
        </w:rPr>
        <w:t xml:space="preserve"> device itself.</w:t>
      </w:r>
      <w:r w:rsidR="001405A3">
        <w:rPr>
          <w:rFonts w:eastAsiaTheme="minorHAnsi"/>
          <w:sz w:val="24"/>
          <w:szCs w:val="24"/>
          <w:lang w:eastAsia="ar-SA"/>
        </w:rPr>
        <w:t xml:space="preserve">  </w:t>
      </w:r>
    </w:p>
    <w:p w14:paraId="3177AF48" w14:textId="72ABAC92" w:rsidR="00C0559D" w:rsidRDefault="003021C3" w:rsidP="003021C3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b/>
          <w:bCs/>
          <w:sz w:val="24"/>
          <w:szCs w:val="24"/>
          <w:u w:val="single"/>
          <w:lang w:eastAsia="ar-SA"/>
        </w:rPr>
      </w:pPr>
      <w:r>
        <w:rPr>
          <w:rFonts w:eastAsiaTheme="minorHAnsi"/>
          <w:b/>
          <w:bCs/>
          <w:sz w:val="24"/>
          <w:szCs w:val="24"/>
          <w:u w:val="single"/>
          <w:lang w:eastAsia="ar-SA"/>
        </w:rPr>
        <w:t>Precedent:</w:t>
      </w:r>
      <w:r w:rsidR="005550E9">
        <w:rPr>
          <w:rFonts w:eastAsiaTheme="minorHAnsi"/>
          <w:b/>
          <w:bCs/>
          <w:sz w:val="24"/>
          <w:szCs w:val="24"/>
          <w:u w:val="single"/>
          <w:lang w:eastAsia="ar-SA"/>
        </w:rPr>
        <w:t xml:space="preserve"> </w:t>
      </w:r>
    </w:p>
    <w:p w14:paraId="3F08597F" w14:textId="3F29129A" w:rsidR="005550E9" w:rsidRPr="005550E9" w:rsidRDefault="005550E9" w:rsidP="003021C3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Any future </w:t>
      </w:r>
      <w:r w:rsidR="001405A3">
        <w:rPr>
          <w:rFonts w:eastAsiaTheme="minorHAnsi"/>
          <w:sz w:val="24"/>
          <w:szCs w:val="24"/>
          <w:lang w:eastAsia="ar-SA"/>
        </w:rPr>
        <w:t>safety</w:t>
      </w:r>
      <w:r>
        <w:rPr>
          <w:rFonts w:eastAsiaTheme="minorHAnsi"/>
          <w:sz w:val="24"/>
          <w:szCs w:val="24"/>
          <w:lang w:eastAsia="ar-SA"/>
        </w:rPr>
        <w:t xml:space="preserve"> framework for fusion should consider frameworks in place today.  The presentation will discuss Helion Energy’s </w:t>
      </w:r>
      <w:r w:rsidR="001405A3">
        <w:rPr>
          <w:rFonts w:eastAsiaTheme="minorHAnsi"/>
          <w:sz w:val="24"/>
          <w:szCs w:val="24"/>
          <w:lang w:eastAsia="ar-SA"/>
        </w:rPr>
        <w:t>licensing of its 6</w:t>
      </w:r>
      <w:r w:rsidR="001405A3" w:rsidRPr="001405A3">
        <w:rPr>
          <w:rFonts w:eastAsiaTheme="minorHAnsi"/>
          <w:sz w:val="24"/>
          <w:szCs w:val="24"/>
          <w:vertAlign w:val="superscript"/>
          <w:lang w:eastAsia="ar-SA"/>
        </w:rPr>
        <w:t>th</w:t>
      </w:r>
      <w:r w:rsidR="001405A3">
        <w:rPr>
          <w:rFonts w:eastAsiaTheme="minorHAnsi"/>
          <w:sz w:val="24"/>
          <w:szCs w:val="24"/>
          <w:lang w:eastAsia="ar-SA"/>
        </w:rPr>
        <w:t xml:space="preserve"> and</w:t>
      </w:r>
      <w:r>
        <w:rPr>
          <w:rFonts w:eastAsiaTheme="minorHAnsi"/>
          <w:sz w:val="24"/>
          <w:szCs w:val="24"/>
          <w:lang w:eastAsia="ar-SA"/>
        </w:rPr>
        <w:t xml:space="preserve"> 7</w:t>
      </w:r>
      <w:r w:rsidRPr="005550E9">
        <w:rPr>
          <w:rFonts w:eastAsiaTheme="minorHAnsi"/>
          <w:sz w:val="24"/>
          <w:szCs w:val="24"/>
          <w:vertAlign w:val="superscript"/>
          <w:lang w:eastAsia="ar-SA"/>
        </w:rPr>
        <w:t>th</w:t>
      </w:r>
      <w:r>
        <w:rPr>
          <w:rFonts w:eastAsiaTheme="minorHAnsi"/>
          <w:sz w:val="24"/>
          <w:szCs w:val="24"/>
          <w:lang w:eastAsia="ar-SA"/>
        </w:rPr>
        <w:t xml:space="preserve"> generation devices under the State of Washington’s </w:t>
      </w:r>
      <w:r w:rsidR="001405A3">
        <w:rPr>
          <w:rFonts w:eastAsiaTheme="minorHAnsi"/>
          <w:sz w:val="24"/>
          <w:szCs w:val="24"/>
          <w:lang w:eastAsia="ar-SA"/>
        </w:rPr>
        <w:t>regulatory regimes</w:t>
      </w:r>
      <w:r>
        <w:rPr>
          <w:rFonts w:eastAsiaTheme="minorHAnsi"/>
          <w:sz w:val="24"/>
          <w:szCs w:val="24"/>
          <w:lang w:eastAsia="ar-SA"/>
        </w:rPr>
        <w:t xml:space="preserve"> for particle accelerators and radioactive materials</w:t>
      </w:r>
      <w:r w:rsidR="001405A3">
        <w:rPr>
          <w:rFonts w:eastAsiaTheme="minorHAnsi"/>
          <w:sz w:val="24"/>
          <w:szCs w:val="24"/>
          <w:lang w:eastAsia="ar-SA"/>
        </w:rPr>
        <w:t xml:space="preserve">, and how </w:t>
      </w:r>
      <w:r w:rsidR="0047770E">
        <w:rPr>
          <w:rFonts w:eastAsiaTheme="minorHAnsi"/>
          <w:sz w:val="24"/>
          <w:szCs w:val="24"/>
          <w:lang w:eastAsia="ar-SA"/>
        </w:rPr>
        <w:t xml:space="preserve">such regimes </w:t>
      </w:r>
      <w:r w:rsidR="001405A3">
        <w:rPr>
          <w:rFonts w:eastAsiaTheme="minorHAnsi"/>
          <w:sz w:val="24"/>
          <w:szCs w:val="24"/>
          <w:lang w:eastAsia="ar-SA"/>
        </w:rPr>
        <w:t xml:space="preserve">may be </w:t>
      </w:r>
      <w:r w:rsidR="0047770E">
        <w:rPr>
          <w:rFonts w:eastAsiaTheme="minorHAnsi"/>
          <w:sz w:val="24"/>
          <w:szCs w:val="24"/>
          <w:lang w:eastAsia="ar-SA"/>
        </w:rPr>
        <w:t xml:space="preserve">leveraged for regulation of </w:t>
      </w:r>
      <w:r w:rsidR="001405A3">
        <w:rPr>
          <w:rFonts w:eastAsiaTheme="minorHAnsi"/>
          <w:sz w:val="24"/>
          <w:szCs w:val="24"/>
          <w:lang w:eastAsia="ar-SA"/>
        </w:rPr>
        <w:t>fusion power plants at scale.</w:t>
      </w:r>
    </w:p>
    <w:p w14:paraId="12ED452E" w14:textId="7F985F07" w:rsidR="007A28D8" w:rsidRDefault="007A28D8" w:rsidP="003021C3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b/>
          <w:bCs/>
          <w:sz w:val="24"/>
          <w:szCs w:val="24"/>
          <w:u w:val="single"/>
          <w:lang w:eastAsia="ar-SA"/>
        </w:rPr>
      </w:pPr>
    </w:p>
    <w:p w14:paraId="13829345" w14:textId="13587E22" w:rsidR="005550E9" w:rsidRDefault="005550E9" w:rsidP="003021C3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b/>
          <w:bCs/>
          <w:sz w:val="24"/>
          <w:szCs w:val="24"/>
          <w:u w:val="single"/>
          <w:lang w:eastAsia="ar-SA"/>
        </w:rPr>
      </w:pPr>
    </w:p>
    <w:p w14:paraId="44EB9D71" w14:textId="77777777" w:rsidR="005550E9" w:rsidRDefault="005550E9" w:rsidP="003021C3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b/>
          <w:bCs/>
          <w:sz w:val="24"/>
          <w:szCs w:val="24"/>
          <w:u w:val="single"/>
          <w:lang w:eastAsia="ar-SA"/>
        </w:rPr>
      </w:pPr>
    </w:p>
    <w:p w14:paraId="60AA5DD1" w14:textId="02DE15D0" w:rsidR="007A28D8" w:rsidRDefault="007A28D8" w:rsidP="003021C3">
      <w:pPr>
        <w:overflowPunct/>
        <w:autoSpaceDE/>
        <w:autoSpaceDN/>
        <w:adjustRightInd/>
        <w:spacing w:before="280" w:after="280"/>
        <w:ind w:firstLine="567"/>
        <w:jc w:val="both"/>
        <w:textAlignment w:val="auto"/>
        <w:rPr>
          <w:rFonts w:eastAsiaTheme="minorHAnsi"/>
          <w:b/>
          <w:bCs/>
          <w:sz w:val="24"/>
          <w:szCs w:val="24"/>
          <w:u w:val="single"/>
          <w:lang w:eastAsia="ar-SA"/>
        </w:rPr>
      </w:pPr>
    </w:p>
    <w:p w14:paraId="549452A1" w14:textId="1E03CFA5" w:rsidR="00DF2787" w:rsidRDefault="00DF2787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</w:p>
    <w:p w14:paraId="197201E0" w14:textId="131531B5" w:rsidR="00604C59" w:rsidRPr="00DF3A79" w:rsidRDefault="00604C59" w:rsidP="000B2F0D">
      <w:pPr>
        <w:overflowPunct/>
        <w:autoSpaceDE/>
        <w:autoSpaceDN/>
        <w:adjustRightInd/>
        <w:spacing w:before="280" w:after="280"/>
        <w:jc w:val="both"/>
        <w:textAlignment w:val="auto"/>
        <w:rPr>
          <w:sz w:val="24"/>
          <w:szCs w:val="24"/>
        </w:rPr>
      </w:pPr>
    </w:p>
    <w:p w14:paraId="254B4264" w14:textId="42116A5D" w:rsidR="00434009" w:rsidRPr="00DF3A79" w:rsidRDefault="00434009" w:rsidP="005550E9">
      <w:pPr>
        <w:pStyle w:val="Referencelist"/>
        <w:numPr>
          <w:ilvl w:val="0"/>
          <w:numId w:val="0"/>
        </w:numPr>
        <w:rPr>
          <w:rFonts w:eastAsiaTheme="minorHAnsi"/>
          <w:sz w:val="22"/>
          <w:szCs w:val="20"/>
          <w:lang w:eastAsia="ar-SA"/>
        </w:rPr>
      </w:pPr>
    </w:p>
    <w:sectPr w:rsidR="00434009" w:rsidRPr="00DF3A79" w:rsidSect="0026525A"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9C41" w14:textId="77777777" w:rsidR="00CE4629" w:rsidRDefault="00CE4629">
      <w:r>
        <w:separator/>
      </w:r>
    </w:p>
  </w:endnote>
  <w:endnote w:type="continuationSeparator" w:id="0">
    <w:p w14:paraId="3E74D03F" w14:textId="77777777" w:rsidR="00CE4629" w:rsidRDefault="00CE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F06" w14:textId="13888EB0" w:rsidR="00E20E70" w:rsidRPr="005550E9" w:rsidRDefault="005550E9" w:rsidP="005550E9">
    <w:pPr>
      <w:pStyle w:val="zyxClassification1"/>
      <w:jc w:val="center"/>
      <w:rPr>
        <w:rFonts w:ascii="Times New Roman" w:hAnsi="Times New Roman" w:cs="Times New Roman"/>
      </w:rPr>
    </w:pPr>
    <w:r w:rsidRPr="005550E9">
      <w:rPr>
        <w:rFonts w:ascii="Times New Roman" w:hAnsi="Times New Roman" w:cs="Times New Roman"/>
      </w:rPr>
      <w:fldChar w:fldCharType="begin"/>
    </w:r>
    <w:r w:rsidRPr="005550E9">
      <w:rPr>
        <w:rFonts w:ascii="Times New Roman" w:hAnsi="Times New Roman" w:cs="Times New Roman"/>
      </w:rPr>
      <w:instrText xml:space="preserve"> PAGE   \* MERGEFORMAT </w:instrText>
    </w:r>
    <w:r w:rsidRPr="005550E9">
      <w:rPr>
        <w:rFonts w:ascii="Times New Roman" w:hAnsi="Times New Roman" w:cs="Times New Roman"/>
      </w:rPr>
      <w:fldChar w:fldCharType="separate"/>
    </w:r>
    <w:r w:rsidRPr="005550E9">
      <w:rPr>
        <w:rFonts w:ascii="Times New Roman" w:hAnsi="Times New Roman" w:cs="Times New Roman"/>
        <w:noProof/>
      </w:rPr>
      <w:t>1</w:t>
    </w:r>
    <w:r w:rsidRPr="005550E9">
      <w:rPr>
        <w:rFonts w:ascii="Times New Roman" w:hAnsi="Times New Roman" w:cs="Times New Roman"/>
        <w:noProof/>
      </w:rPr>
      <w:fldChar w:fldCharType="end"/>
    </w:r>
    <w:r w:rsidR="00E20E70" w:rsidRPr="005550E9">
      <w:rPr>
        <w:rFonts w:ascii="Times New Roman" w:hAnsi="Times New Roman" w:cs="Times New Roman"/>
      </w:rPr>
      <w:fldChar w:fldCharType="begin"/>
    </w:r>
    <w:r w:rsidR="00E20E70" w:rsidRPr="005550E9">
      <w:rPr>
        <w:rFonts w:ascii="Times New Roman" w:hAnsi="Times New Roman" w:cs="Times New Roman"/>
      </w:rPr>
      <w:instrText xml:space="preserve"> DOCPROPERTY "IaeaClassification"  \* MERGEFORMAT </w:instrText>
    </w:r>
    <w:r w:rsidR="00E20E70" w:rsidRPr="005550E9">
      <w:rPr>
        <w:rFonts w:ascii="Times New Roman" w:hAnsi="Times New Roman" w:cs="Times New Roman"/>
      </w:rP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B193" w14:textId="0B32BBBB" w:rsidR="00E20E70" w:rsidRPr="00B336F0" w:rsidRDefault="00B336F0" w:rsidP="00B336F0">
    <w:pPr>
      <w:pStyle w:val="zyxClassification1"/>
      <w:jc w:val="center"/>
      <w:rPr>
        <w:rFonts w:ascii="Times New Roman" w:hAnsi="Times New Roman" w:cs="Times New Roman"/>
      </w:rPr>
    </w:pPr>
    <w:r w:rsidRPr="005550E9">
      <w:rPr>
        <w:rFonts w:ascii="Times New Roman" w:hAnsi="Times New Roman" w:cs="Times New Roman"/>
      </w:rPr>
      <w:fldChar w:fldCharType="begin"/>
    </w:r>
    <w:r w:rsidRPr="005550E9">
      <w:rPr>
        <w:rFonts w:ascii="Times New Roman" w:hAnsi="Times New Roman" w:cs="Times New Roman"/>
      </w:rPr>
      <w:instrText xml:space="preserve"> PAGE   \* MERGEFORMAT </w:instrText>
    </w:r>
    <w:r w:rsidRPr="005550E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 w:rsidRPr="005550E9">
      <w:rPr>
        <w:rFonts w:ascii="Times New Roman" w:hAnsi="Times New Roman" w:cs="Times New Roman"/>
        <w:noProof/>
      </w:rPr>
      <w:fldChar w:fldCharType="end"/>
    </w:r>
    <w:r w:rsidRPr="005550E9">
      <w:rPr>
        <w:rFonts w:ascii="Times New Roman" w:hAnsi="Times New Roman" w:cs="Times New Roman"/>
      </w:rPr>
      <w:fldChar w:fldCharType="begin"/>
    </w:r>
    <w:r w:rsidRPr="005550E9">
      <w:rPr>
        <w:rFonts w:ascii="Times New Roman" w:hAnsi="Times New Roman" w:cs="Times New Roman"/>
      </w:rPr>
      <w:instrText xml:space="preserve"> DOCPROPERTY "IaeaClassification"  \* MERGEFORMAT </w:instrText>
    </w:r>
    <w:r w:rsidRPr="005550E9">
      <w:rPr>
        <w:rFonts w:ascii="Times New Roman" w:hAnsi="Times New Roman" w:cs="Times New Roman"/>
      </w:rPr>
      <w:fldChar w:fldCharType="end"/>
    </w:r>
    <w:r w:rsidR="00E20E70">
      <w:fldChar w:fldCharType="begin"/>
    </w:r>
    <w:r w:rsidR="00E20E70">
      <w:instrText xml:space="preserve"> DOCPROPERTY "IaeaClassification"  \* MERGEFORMAT </w:instrText>
    </w:r>
    <w:r w:rsidR="00E20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70CB" w14:textId="77777777" w:rsidR="00CE4629" w:rsidRDefault="00CE4629">
      <w:r>
        <w:t>___________________________________________________________________________</w:t>
      </w:r>
    </w:p>
  </w:footnote>
  <w:footnote w:type="continuationSeparator" w:id="0">
    <w:p w14:paraId="1F11335C" w14:textId="77777777" w:rsidR="00CE4629" w:rsidRDefault="00CE4629">
      <w:r>
        <w:t>___________________________________________________________________________</w:t>
      </w:r>
    </w:p>
  </w:footnote>
  <w:footnote w:type="continuationNotice" w:id="1">
    <w:p w14:paraId="0636220A" w14:textId="77777777" w:rsidR="00CE4629" w:rsidRDefault="00CE4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1C41"/>
    <w:rsid w:val="000229AB"/>
    <w:rsid w:val="0002569A"/>
    <w:rsid w:val="000300A7"/>
    <w:rsid w:val="00037321"/>
    <w:rsid w:val="00046928"/>
    <w:rsid w:val="000552F9"/>
    <w:rsid w:val="00073700"/>
    <w:rsid w:val="000928B2"/>
    <w:rsid w:val="000A0299"/>
    <w:rsid w:val="000B2F0D"/>
    <w:rsid w:val="000C6874"/>
    <w:rsid w:val="000F7E94"/>
    <w:rsid w:val="00100A66"/>
    <w:rsid w:val="00107F61"/>
    <w:rsid w:val="001119D6"/>
    <w:rsid w:val="0012117D"/>
    <w:rsid w:val="00126389"/>
    <w:rsid w:val="001308F2"/>
    <w:rsid w:val="001313E8"/>
    <w:rsid w:val="00132DDB"/>
    <w:rsid w:val="001405A3"/>
    <w:rsid w:val="00154813"/>
    <w:rsid w:val="001864F0"/>
    <w:rsid w:val="0019014D"/>
    <w:rsid w:val="0019221D"/>
    <w:rsid w:val="001C58F5"/>
    <w:rsid w:val="001D5CEE"/>
    <w:rsid w:val="001E37BC"/>
    <w:rsid w:val="001F49FB"/>
    <w:rsid w:val="002071D9"/>
    <w:rsid w:val="00224565"/>
    <w:rsid w:val="00235900"/>
    <w:rsid w:val="00256822"/>
    <w:rsid w:val="0026525A"/>
    <w:rsid w:val="00265CBF"/>
    <w:rsid w:val="00273F5D"/>
    <w:rsid w:val="00274790"/>
    <w:rsid w:val="002766E0"/>
    <w:rsid w:val="00282B05"/>
    <w:rsid w:val="00285755"/>
    <w:rsid w:val="002A1F9C"/>
    <w:rsid w:val="002B29C2"/>
    <w:rsid w:val="002C4208"/>
    <w:rsid w:val="002C5352"/>
    <w:rsid w:val="002E05FD"/>
    <w:rsid w:val="002E0879"/>
    <w:rsid w:val="002E6B72"/>
    <w:rsid w:val="003021C3"/>
    <w:rsid w:val="00306628"/>
    <w:rsid w:val="0033755E"/>
    <w:rsid w:val="00352DE1"/>
    <w:rsid w:val="003728E6"/>
    <w:rsid w:val="003760DD"/>
    <w:rsid w:val="003A18EC"/>
    <w:rsid w:val="003B5E0E"/>
    <w:rsid w:val="003D255A"/>
    <w:rsid w:val="00416949"/>
    <w:rsid w:val="00434009"/>
    <w:rsid w:val="004370D8"/>
    <w:rsid w:val="00446113"/>
    <w:rsid w:val="00472C43"/>
    <w:rsid w:val="0047770E"/>
    <w:rsid w:val="00477B19"/>
    <w:rsid w:val="00483F73"/>
    <w:rsid w:val="004910D8"/>
    <w:rsid w:val="004E5A94"/>
    <w:rsid w:val="004F6D4E"/>
    <w:rsid w:val="00537496"/>
    <w:rsid w:val="00542215"/>
    <w:rsid w:val="00544ED3"/>
    <w:rsid w:val="00547F26"/>
    <w:rsid w:val="005550E9"/>
    <w:rsid w:val="00566244"/>
    <w:rsid w:val="0057131A"/>
    <w:rsid w:val="00583D14"/>
    <w:rsid w:val="0058477B"/>
    <w:rsid w:val="0058654F"/>
    <w:rsid w:val="00596ACA"/>
    <w:rsid w:val="005B7E6B"/>
    <w:rsid w:val="005C5D2D"/>
    <w:rsid w:val="005E39BC"/>
    <w:rsid w:val="005E4D12"/>
    <w:rsid w:val="005F00A0"/>
    <w:rsid w:val="005F4AF8"/>
    <w:rsid w:val="005F7BD3"/>
    <w:rsid w:val="006000B2"/>
    <w:rsid w:val="00604C59"/>
    <w:rsid w:val="00612CB0"/>
    <w:rsid w:val="00647F33"/>
    <w:rsid w:val="00654B09"/>
    <w:rsid w:val="00662532"/>
    <w:rsid w:val="00675240"/>
    <w:rsid w:val="006820D2"/>
    <w:rsid w:val="00684298"/>
    <w:rsid w:val="00696DD6"/>
    <w:rsid w:val="006B2274"/>
    <w:rsid w:val="00703430"/>
    <w:rsid w:val="007113E8"/>
    <w:rsid w:val="00717C6F"/>
    <w:rsid w:val="007445DA"/>
    <w:rsid w:val="007512D7"/>
    <w:rsid w:val="00765630"/>
    <w:rsid w:val="00773E4A"/>
    <w:rsid w:val="00790E9A"/>
    <w:rsid w:val="007A28D8"/>
    <w:rsid w:val="007B4FD1"/>
    <w:rsid w:val="007B57CF"/>
    <w:rsid w:val="007D0519"/>
    <w:rsid w:val="007E0AB7"/>
    <w:rsid w:val="00800B84"/>
    <w:rsid w:val="00802381"/>
    <w:rsid w:val="00815F3A"/>
    <w:rsid w:val="008270D0"/>
    <w:rsid w:val="00827B38"/>
    <w:rsid w:val="0085046A"/>
    <w:rsid w:val="008601BE"/>
    <w:rsid w:val="00883848"/>
    <w:rsid w:val="00897ED5"/>
    <w:rsid w:val="008A514E"/>
    <w:rsid w:val="008B6BB9"/>
    <w:rsid w:val="008C3C89"/>
    <w:rsid w:val="008F4C98"/>
    <w:rsid w:val="00902679"/>
    <w:rsid w:val="00911543"/>
    <w:rsid w:val="00911D47"/>
    <w:rsid w:val="009519C9"/>
    <w:rsid w:val="00977927"/>
    <w:rsid w:val="009D0B86"/>
    <w:rsid w:val="009D21F0"/>
    <w:rsid w:val="009E0D5B"/>
    <w:rsid w:val="009E1558"/>
    <w:rsid w:val="00A20326"/>
    <w:rsid w:val="00A42898"/>
    <w:rsid w:val="00A45D3F"/>
    <w:rsid w:val="00A70B17"/>
    <w:rsid w:val="00A91BBA"/>
    <w:rsid w:val="00A94C28"/>
    <w:rsid w:val="00A964E3"/>
    <w:rsid w:val="00AB6ACE"/>
    <w:rsid w:val="00AB77C9"/>
    <w:rsid w:val="00AC5A3A"/>
    <w:rsid w:val="00AC6202"/>
    <w:rsid w:val="00AD6BB4"/>
    <w:rsid w:val="00AE0AE2"/>
    <w:rsid w:val="00AE6705"/>
    <w:rsid w:val="00B129A1"/>
    <w:rsid w:val="00B1443F"/>
    <w:rsid w:val="00B27EA2"/>
    <w:rsid w:val="00B336F0"/>
    <w:rsid w:val="00B54CDF"/>
    <w:rsid w:val="00B62681"/>
    <w:rsid w:val="00B808D8"/>
    <w:rsid w:val="00B82FA5"/>
    <w:rsid w:val="00B90025"/>
    <w:rsid w:val="00B97F5F"/>
    <w:rsid w:val="00BB253E"/>
    <w:rsid w:val="00BB52E9"/>
    <w:rsid w:val="00BC0D33"/>
    <w:rsid w:val="00BD1400"/>
    <w:rsid w:val="00BD196C"/>
    <w:rsid w:val="00BD4236"/>
    <w:rsid w:val="00BD605C"/>
    <w:rsid w:val="00BE2A76"/>
    <w:rsid w:val="00C0559D"/>
    <w:rsid w:val="00C520EE"/>
    <w:rsid w:val="00C65E60"/>
    <w:rsid w:val="00C84A75"/>
    <w:rsid w:val="00C867B0"/>
    <w:rsid w:val="00C95D35"/>
    <w:rsid w:val="00CA65AA"/>
    <w:rsid w:val="00CB0288"/>
    <w:rsid w:val="00CD6D48"/>
    <w:rsid w:val="00CD7ABF"/>
    <w:rsid w:val="00CE4629"/>
    <w:rsid w:val="00CE5A52"/>
    <w:rsid w:val="00CF7AF3"/>
    <w:rsid w:val="00D26ADA"/>
    <w:rsid w:val="00D35A78"/>
    <w:rsid w:val="00D4032A"/>
    <w:rsid w:val="00D555A1"/>
    <w:rsid w:val="00D64DC2"/>
    <w:rsid w:val="00D7047A"/>
    <w:rsid w:val="00DA46CA"/>
    <w:rsid w:val="00DB2C0E"/>
    <w:rsid w:val="00DE5C99"/>
    <w:rsid w:val="00DE7061"/>
    <w:rsid w:val="00DF21EB"/>
    <w:rsid w:val="00DF2787"/>
    <w:rsid w:val="00DF3A79"/>
    <w:rsid w:val="00E20E70"/>
    <w:rsid w:val="00E25B68"/>
    <w:rsid w:val="00E748BB"/>
    <w:rsid w:val="00E7632F"/>
    <w:rsid w:val="00E84003"/>
    <w:rsid w:val="00EC10FC"/>
    <w:rsid w:val="00ED02BC"/>
    <w:rsid w:val="00EE0041"/>
    <w:rsid w:val="00EE29B9"/>
    <w:rsid w:val="00EE30B2"/>
    <w:rsid w:val="00EF5DCA"/>
    <w:rsid w:val="00F004EE"/>
    <w:rsid w:val="00F00D04"/>
    <w:rsid w:val="00F041CD"/>
    <w:rsid w:val="00F42E23"/>
    <w:rsid w:val="00F45EEE"/>
    <w:rsid w:val="00F51E9C"/>
    <w:rsid w:val="00F523CA"/>
    <w:rsid w:val="00F70F80"/>
    <w:rsid w:val="00F74A9D"/>
    <w:rsid w:val="00F81411"/>
    <w:rsid w:val="00F9590C"/>
    <w:rsid w:val="00FB3D9B"/>
    <w:rsid w:val="00FD5615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A9FC1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  <w:style w:type="character" w:styleId="CommentReference">
    <w:name w:val="annotation reference"/>
    <w:basedOn w:val="DefaultParagraphFont"/>
    <w:uiPriority w:val="49"/>
    <w:semiHidden/>
    <w:unhideWhenUsed/>
    <w:locked/>
    <w:rsid w:val="00302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unhideWhenUsed/>
    <w:locked/>
    <w:rsid w:val="003021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49"/>
    <w:rsid w:val="003021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unhideWhenUsed/>
    <w:locked/>
    <w:rsid w:val="00302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3021C3"/>
    <w:rPr>
      <w:b/>
      <w:bCs/>
      <w:lang w:eastAsia="en-US"/>
    </w:rPr>
  </w:style>
  <w:style w:type="paragraph" w:styleId="Revision">
    <w:name w:val="Revision"/>
    <w:hidden/>
    <w:uiPriority w:val="99"/>
    <w:semiHidden/>
    <w:rsid w:val="00B6268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4DD3E36ADA4B92EE7D9E39D8DAF8" ma:contentTypeVersion="2" ma:contentTypeDescription="Create a new document." ma:contentTypeScope="" ma:versionID="a4648eff60659d46ad5efc00a5bb5677">
  <xsd:schema xmlns:xsd="http://www.w3.org/2001/XMLSchema" xmlns:xs="http://www.w3.org/2001/XMLSchema" xmlns:p="http://schemas.microsoft.com/office/2006/metadata/properties" xmlns:ns2="5fab57e6-9ee8-46b6-b53f-50dcb88dcbfd" targetNamespace="http://schemas.microsoft.com/office/2006/metadata/properties" ma:root="true" ma:fieldsID="fb214c4c02a937ba04f4bca321e30c18" ns2:_="">
    <xsd:import namespace="5fab57e6-9ee8-46b6-b53f-50dcb88d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7e6-9ee8-46b6-b53f-50dcb88dc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72CCC-200B-45DB-BAFA-1F39767D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AADFD-9F90-45A7-8D8C-F0FF3C47E4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524336-44D2-4810-8AC5-ABFCEAFB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7e6-9ee8-46b6-b53f-50dcb88dc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D096D-FB69-4394-B957-B7A660035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52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Abtract</vt:lpstr>
    </vt:vector>
  </TitlesOfParts>
  <Company>IAEA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creator>Chirayu.Batra@iaea.org</dc:creator>
  <cp:lastModifiedBy>Sachin Desai</cp:lastModifiedBy>
  <cp:revision>15</cp:revision>
  <cp:lastPrinted>2015-12-01T10:27:00Z</cp:lastPrinted>
  <dcterms:created xsi:type="dcterms:W3CDTF">2022-03-11T00:50:00Z</dcterms:created>
  <dcterms:modified xsi:type="dcterms:W3CDTF">2022-03-13T20:03:00Z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0x010100A3104DD3E36ADA4B92EE7D9E39D8DAF8</vt:lpwstr>
  </property>
</Properties>
</file>