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74FC9" w14:textId="46EC2EB0" w:rsidR="0004405F" w:rsidRPr="0004405F" w:rsidRDefault="0004405F" w:rsidP="0004405F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b/>
          <w:bCs/>
          <w:sz w:val="32"/>
          <w:szCs w:val="24"/>
          <w:lang w:eastAsia="ar-SA"/>
        </w:rPr>
      </w:pPr>
      <w:r w:rsidRPr="0004405F">
        <w:rPr>
          <w:rFonts w:eastAsiaTheme="minorHAnsi"/>
          <w:b/>
          <w:bCs/>
          <w:sz w:val="32"/>
          <w:szCs w:val="24"/>
          <w:lang w:eastAsia="ar-SA"/>
        </w:rPr>
        <w:t xml:space="preserve">Synergies </w:t>
      </w:r>
      <w:r w:rsidRPr="0004405F">
        <w:rPr>
          <w:rFonts w:eastAsiaTheme="minorHAnsi"/>
          <w:b/>
          <w:bCs/>
          <w:sz w:val="32"/>
          <w:szCs w:val="24"/>
          <w:lang w:eastAsia="ar-SA"/>
        </w:rPr>
        <w:t>between</w:t>
      </w:r>
      <w:r w:rsidRPr="0004405F">
        <w:rPr>
          <w:rFonts w:eastAsiaTheme="minorHAnsi"/>
          <w:b/>
          <w:bCs/>
          <w:sz w:val="32"/>
          <w:szCs w:val="24"/>
          <w:lang w:eastAsia="ar-SA"/>
        </w:rPr>
        <w:t xml:space="preserve"> Fusion and Fission Energy conversion systems</w:t>
      </w:r>
    </w:p>
    <w:p w14:paraId="7E238A00" w14:textId="77777777" w:rsidR="00555BA4" w:rsidRPr="00073700" w:rsidRDefault="00555BA4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511E05AA" w14:textId="17B4E488" w:rsidR="0019517F" w:rsidRPr="00295595" w:rsidRDefault="00295595" w:rsidP="00073700">
      <w:pPr>
        <w:pStyle w:val="Authornameandaffiliation"/>
        <w:ind w:left="0"/>
        <w:jc w:val="both"/>
        <w:rPr>
          <w:color w:val="FF0000"/>
          <w:sz w:val="24"/>
          <w:szCs w:val="24"/>
          <w:lang w:val="it-IT"/>
        </w:rPr>
      </w:pPr>
      <w:r w:rsidRPr="00295595">
        <w:rPr>
          <w:color w:val="FF0000"/>
          <w:sz w:val="24"/>
          <w:szCs w:val="24"/>
          <w:lang w:val="it-IT"/>
        </w:rPr>
        <w:t xml:space="preserve">L. Candido, </w:t>
      </w:r>
      <w:r w:rsidR="009F3683">
        <w:rPr>
          <w:color w:val="FF0000"/>
          <w:sz w:val="24"/>
          <w:szCs w:val="24"/>
          <w:lang w:val="it-IT"/>
        </w:rPr>
        <w:t>M. Tarantino</w:t>
      </w:r>
      <w:r>
        <w:rPr>
          <w:color w:val="FF0000"/>
          <w:sz w:val="24"/>
          <w:szCs w:val="24"/>
          <w:lang w:val="it-IT"/>
        </w:rPr>
        <w:t>, M. Utili</w:t>
      </w:r>
    </w:p>
    <w:p w14:paraId="291B30A2" w14:textId="27826BC2" w:rsidR="00555BA4" w:rsidRDefault="00555BA4" w:rsidP="00073700">
      <w:pPr>
        <w:pStyle w:val="Authornameandaffiliation"/>
        <w:ind w:left="0"/>
        <w:jc w:val="both"/>
        <w:rPr>
          <w:sz w:val="24"/>
          <w:szCs w:val="24"/>
          <w:lang w:val="it-IT"/>
        </w:rPr>
      </w:pPr>
    </w:p>
    <w:p w14:paraId="201D6B0F" w14:textId="77777777" w:rsidR="0004405F" w:rsidRDefault="0004405F" w:rsidP="0004405F">
      <w:pPr>
        <w:pStyle w:val="Authornameandaffiliation"/>
        <w:ind w:lef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L. Candido</w:t>
      </w:r>
    </w:p>
    <w:p w14:paraId="23A0E914" w14:textId="77777777" w:rsidR="0004405F" w:rsidRDefault="0004405F" w:rsidP="0004405F">
      <w:pPr>
        <w:pStyle w:val="Authornameandaffiliation"/>
        <w:ind w:lef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Politecnico di Torino</w:t>
      </w:r>
    </w:p>
    <w:p w14:paraId="6F1A7ACE" w14:textId="77777777" w:rsidR="0004405F" w:rsidRPr="0004405F" w:rsidRDefault="0004405F" w:rsidP="0004405F">
      <w:pPr>
        <w:pStyle w:val="Authornameandaffiliation"/>
        <w:ind w:left="0"/>
        <w:jc w:val="both"/>
        <w:rPr>
          <w:sz w:val="24"/>
          <w:szCs w:val="24"/>
          <w:lang w:val="it-IT"/>
        </w:rPr>
      </w:pPr>
      <w:r w:rsidRPr="0004405F">
        <w:rPr>
          <w:sz w:val="24"/>
          <w:szCs w:val="24"/>
          <w:lang w:val="it-IT"/>
        </w:rPr>
        <w:t>Torino, Italy</w:t>
      </w:r>
    </w:p>
    <w:p w14:paraId="65E6292B" w14:textId="77777777" w:rsidR="0004405F" w:rsidRPr="007B582D" w:rsidRDefault="0004405F" w:rsidP="0004405F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7B582D">
        <w:rPr>
          <w:sz w:val="24"/>
          <w:szCs w:val="24"/>
          <w:lang w:val="en-GB"/>
        </w:rPr>
        <w:t>Email: luigi.candido@polito.it</w:t>
      </w:r>
    </w:p>
    <w:p w14:paraId="0709DAD9" w14:textId="4FCE4DBE" w:rsidR="0004405F" w:rsidRDefault="0004405F" w:rsidP="00073700">
      <w:pPr>
        <w:pStyle w:val="Authornameandaffiliation"/>
        <w:ind w:left="0"/>
        <w:jc w:val="both"/>
        <w:rPr>
          <w:sz w:val="24"/>
          <w:szCs w:val="24"/>
          <w:lang w:val="it-IT"/>
        </w:rPr>
      </w:pPr>
    </w:p>
    <w:p w14:paraId="080A3DB9" w14:textId="5903CFDE" w:rsidR="0004405F" w:rsidRPr="00295595" w:rsidRDefault="0004405F" w:rsidP="0004405F">
      <w:pPr>
        <w:pStyle w:val="Authornameandaffiliation"/>
        <w:ind w:left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M. Tarantino</w:t>
      </w:r>
    </w:p>
    <w:p w14:paraId="0BEE9324" w14:textId="77777777" w:rsidR="0004405F" w:rsidRPr="0019517F" w:rsidRDefault="0004405F" w:rsidP="0004405F">
      <w:pPr>
        <w:pStyle w:val="Authornameandaffiliation"/>
        <w:ind w:left="0"/>
        <w:jc w:val="both"/>
        <w:rPr>
          <w:sz w:val="24"/>
          <w:szCs w:val="24"/>
          <w:lang w:val="it-IT"/>
        </w:rPr>
      </w:pPr>
      <w:r w:rsidRPr="0019517F">
        <w:rPr>
          <w:sz w:val="24"/>
          <w:szCs w:val="24"/>
          <w:lang w:val="it-IT"/>
        </w:rPr>
        <w:t>ENEA</w:t>
      </w:r>
    </w:p>
    <w:p w14:paraId="5A8F70A4" w14:textId="77777777" w:rsidR="0004405F" w:rsidRPr="0019517F" w:rsidRDefault="0004405F" w:rsidP="0004405F">
      <w:pPr>
        <w:pStyle w:val="Authornameandaffiliation"/>
        <w:ind w:left="0"/>
        <w:jc w:val="both"/>
        <w:rPr>
          <w:sz w:val="24"/>
          <w:szCs w:val="24"/>
          <w:lang w:val="it-IT"/>
        </w:rPr>
      </w:pPr>
      <w:r w:rsidRPr="0019517F">
        <w:rPr>
          <w:sz w:val="24"/>
          <w:szCs w:val="24"/>
          <w:lang w:val="it-IT"/>
        </w:rPr>
        <w:t>Brasimone, Italy</w:t>
      </w:r>
    </w:p>
    <w:p w14:paraId="4BE135FE" w14:textId="2E011321" w:rsidR="0004405F" w:rsidRPr="0004405F" w:rsidRDefault="0004405F" w:rsidP="0004405F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04405F">
        <w:rPr>
          <w:sz w:val="24"/>
          <w:szCs w:val="24"/>
          <w:lang w:val="en-GB"/>
        </w:rPr>
        <w:t xml:space="preserve">Email: </w:t>
      </w:r>
      <w:r w:rsidRPr="0004405F">
        <w:rPr>
          <w:sz w:val="24"/>
          <w:szCs w:val="24"/>
          <w:lang w:val="en-GB"/>
        </w:rPr>
        <w:t>mariano.tarantino</w:t>
      </w:r>
      <w:r w:rsidRPr="0004405F">
        <w:rPr>
          <w:sz w:val="24"/>
          <w:szCs w:val="24"/>
          <w:lang w:val="en-GB"/>
        </w:rPr>
        <w:t>@enea.it</w:t>
      </w:r>
    </w:p>
    <w:p w14:paraId="739A7869" w14:textId="77777777" w:rsidR="0004405F" w:rsidRPr="0004405F" w:rsidRDefault="0004405F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05BCD9AD" w14:textId="4026C1AB" w:rsidR="00604C59" w:rsidRPr="0004405F" w:rsidRDefault="00222A45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04405F">
        <w:rPr>
          <w:sz w:val="24"/>
          <w:szCs w:val="24"/>
          <w:lang w:val="en-GB"/>
        </w:rPr>
        <w:t>M</w:t>
      </w:r>
      <w:r w:rsidR="00604C59" w:rsidRPr="0004405F">
        <w:rPr>
          <w:sz w:val="24"/>
          <w:szCs w:val="24"/>
          <w:lang w:val="en-GB"/>
        </w:rPr>
        <w:t xml:space="preserve">. </w:t>
      </w:r>
      <w:r w:rsidRPr="0004405F">
        <w:rPr>
          <w:sz w:val="24"/>
          <w:szCs w:val="24"/>
          <w:lang w:val="en-GB"/>
        </w:rPr>
        <w:t>UTILI</w:t>
      </w:r>
    </w:p>
    <w:p w14:paraId="38F776AC" w14:textId="28FAC24F" w:rsidR="00604C59" w:rsidRPr="0019517F" w:rsidRDefault="00222A45" w:rsidP="00073700">
      <w:pPr>
        <w:pStyle w:val="Authornameandaffiliation"/>
        <w:ind w:left="0"/>
        <w:jc w:val="both"/>
        <w:rPr>
          <w:sz w:val="24"/>
          <w:szCs w:val="24"/>
          <w:lang w:val="it-IT"/>
        </w:rPr>
      </w:pPr>
      <w:r w:rsidRPr="0019517F">
        <w:rPr>
          <w:sz w:val="24"/>
          <w:szCs w:val="24"/>
          <w:lang w:val="it-IT"/>
        </w:rPr>
        <w:t>ENEA</w:t>
      </w:r>
    </w:p>
    <w:p w14:paraId="08908080" w14:textId="706FFCF8" w:rsidR="00604C59" w:rsidRPr="0019517F" w:rsidRDefault="00222A45" w:rsidP="00073700">
      <w:pPr>
        <w:pStyle w:val="Authornameandaffiliation"/>
        <w:ind w:left="0"/>
        <w:jc w:val="both"/>
        <w:rPr>
          <w:sz w:val="24"/>
          <w:szCs w:val="24"/>
          <w:lang w:val="it-IT"/>
        </w:rPr>
      </w:pPr>
      <w:r w:rsidRPr="0019517F">
        <w:rPr>
          <w:sz w:val="24"/>
          <w:szCs w:val="24"/>
          <w:lang w:val="it-IT"/>
        </w:rPr>
        <w:t>Brasimone</w:t>
      </w:r>
      <w:r w:rsidR="00604C59" w:rsidRPr="0019517F">
        <w:rPr>
          <w:sz w:val="24"/>
          <w:szCs w:val="24"/>
          <w:lang w:val="it-IT"/>
        </w:rPr>
        <w:t xml:space="preserve">, </w:t>
      </w:r>
      <w:r w:rsidRPr="0019517F">
        <w:rPr>
          <w:sz w:val="24"/>
          <w:szCs w:val="24"/>
          <w:lang w:val="it-IT"/>
        </w:rPr>
        <w:t>Italy</w:t>
      </w:r>
    </w:p>
    <w:p w14:paraId="1348A4D7" w14:textId="2B4D8E42" w:rsidR="002A3DC4" w:rsidRPr="00295595" w:rsidRDefault="002A3DC4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295595">
        <w:rPr>
          <w:sz w:val="24"/>
          <w:szCs w:val="24"/>
          <w:lang w:val="en-GB"/>
        </w:rPr>
        <w:t>Email: marco.utili@enea.it</w:t>
      </w:r>
    </w:p>
    <w:p w14:paraId="338D162C" w14:textId="77777777" w:rsidR="00CD7ABF" w:rsidRPr="00295595" w:rsidRDefault="00CD7ABF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44315859" w14:textId="0EE823C1" w:rsidR="00173D3E" w:rsidRDefault="002C094B" w:rsidP="0060039F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2C094B">
        <w:rPr>
          <w:rFonts w:eastAsiaTheme="minorHAnsi"/>
          <w:sz w:val="24"/>
          <w:szCs w:val="24"/>
          <w:lang w:eastAsia="ar-SA"/>
        </w:rPr>
        <w:t>The main goal of power plants is to take a fuel like uranium, and transform it into electricity</w:t>
      </w:r>
      <w:r w:rsidR="00262A3E">
        <w:rPr>
          <w:rFonts w:eastAsiaTheme="minorHAnsi"/>
          <w:sz w:val="24"/>
          <w:szCs w:val="24"/>
          <w:lang w:eastAsia="ar-SA"/>
        </w:rPr>
        <w:t>, t</w:t>
      </w:r>
      <w:r w:rsidRPr="002C094B">
        <w:rPr>
          <w:rFonts w:eastAsiaTheme="minorHAnsi"/>
          <w:sz w:val="24"/>
          <w:szCs w:val="24"/>
          <w:lang w:eastAsia="ar-SA"/>
        </w:rPr>
        <w:t>his makes power plants an energy conversion technology, and they are the largest energy conversion technologies by far.</w:t>
      </w:r>
      <w:r w:rsidR="00262A3E">
        <w:rPr>
          <w:rFonts w:eastAsiaTheme="minorHAnsi"/>
          <w:sz w:val="24"/>
          <w:szCs w:val="24"/>
          <w:lang w:eastAsia="ar-SA"/>
        </w:rPr>
        <w:t xml:space="preserve"> </w:t>
      </w:r>
      <w:r w:rsidR="00D93992" w:rsidRPr="00D93992">
        <w:rPr>
          <w:rFonts w:eastAsiaTheme="minorHAnsi"/>
          <w:sz w:val="24"/>
          <w:szCs w:val="24"/>
          <w:lang w:eastAsia="ar-SA"/>
        </w:rPr>
        <w:t>According to the IAEA [</w:t>
      </w:r>
      <w:r w:rsidR="000B11F2">
        <w:rPr>
          <w:rFonts w:eastAsiaTheme="minorHAnsi"/>
          <w:sz w:val="24"/>
          <w:szCs w:val="24"/>
          <w:lang w:eastAsia="ar-SA"/>
        </w:rPr>
        <w:t>1</w:t>
      </w:r>
      <w:r w:rsidR="00D93992" w:rsidRPr="00D93992">
        <w:rPr>
          <w:rFonts w:eastAsiaTheme="minorHAnsi"/>
          <w:sz w:val="24"/>
          <w:szCs w:val="24"/>
          <w:lang w:eastAsia="ar-SA"/>
        </w:rPr>
        <w:t>], the number of nuclear power plants in operation</w:t>
      </w:r>
      <w:r w:rsidR="00D93992">
        <w:rPr>
          <w:rFonts w:eastAsiaTheme="minorHAnsi"/>
          <w:sz w:val="24"/>
          <w:szCs w:val="24"/>
          <w:lang w:eastAsia="ar-SA"/>
        </w:rPr>
        <w:t xml:space="preserve"> </w:t>
      </w:r>
      <w:r w:rsidR="00D93992" w:rsidRPr="00D93992">
        <w:rPr>
          <w:rFonts w:eastAsiaTheme="minorHAnsi"/>
          <w:sz w:val="24"/>
          <w:szCs w:val="24"/>
          <w:lang w:eastAsia="ar-SA"/>
        </w:rPr>
        <w:t>worldwide at the end of December 31</w:t>
      </w:r>
      <w:r w:rsidR="00D93992" w:rsidRPr="00D93992">
        <w:rPr>
          <w:rFonts w:eastAsiaTheme="minorHAnsi"/>
          <w:sz w:val="24"/>
          <w:szCs w:val="24"/>
          <w:vertAlign w:val="superscript"/>
          <w:lang w:eastAsia="ar-SA"/>
        </w:rPr>
        <w:t>st</w:t>
      </w:r>
      <w:r w:rsidR="00D93992" w:rsidRPr="00D93992">
        <w:rPr>
          <w:rFonts w:eastAsiaTheme="minorHAnsi"/>
          <w:sz w:val="24"/>
          <w:szCs w:val="24"/>
          <w:lang w:eastAsia="ar-SA"/>
        </w:rPr>
        <w:t>, 2019 was 443 with a net electrical output of</w:t>
      </w:r>
      <w:r w:rsidR="00D93992">
        <w:rPr>
          <w:rFonts w:eastAsiaTheme="minorHAnsi"/>
          <w:sz w:val="24"/>
          <w:szCs w:val="24"/>
          <w:lang w:eastAsia="ar-SA"/>
        </w:rPr>
        <w:t xml:space="preserve"> </w:t>
      </w:r>
      <w:r w:rsidR="00D93992" w:rsidRPr="00D93992">
        <w:rPr>
          <w:rFonts w:eastAsiaTheme="minorHAnsi"/>
          <w:sz w:val="24"/>
          <w:szCs w:val="24"/>
          <w:lang w:eastAsia="ar-SA"/>
        </w:rPr>
        <w:t xml:space="preserve">392 </w:t>
      </w:r>
      <w:proofErr w:type="spellStart"/>
      <w:r w:rsidR="00D93992" w:rsidRPr="00D93992">
        <w:rPr>
          <w:rFonts w:eastAsiaTheme="minorHAnsi"/>
          <w:sz w:val="24"/>
          <w:szCs w:val="24"/>
          <w:lang w:eastAsia="ar-SA"/>
        </w:rPr>
        <w:t>GW</w:t>
      </w:r>
      <w:r w:rsidR="00D93992" w:rsidRPr="00173D3E">
        <w:rPr>
          <w:rFonts w:eastAsiaTheme="minorHAnsi"/>
          <w:sz w:val="24"/>
          <w:szCs w:val="24"/>
          <w:vertAlign w:val="subscript"/>
          <w:lang w:eastAsia="ar-SA"/>
        </w:rPr>
        <w:t>e</w:t>
      </w:r>
      <w:proofErr w:type="spellEnd"/>
      <w:r w:rsidR="00D93992" w:rsidRPr="00D93992">
        <w:rPr>
          <w:rFonts w:eastAsiaTheme="minorHAnsi"/>
          <w:sz w:val="24"/>
          <w:szCs w:val="24"/>
          <w:lang w:eastAsia="ar-SA"/>
        </w:rPr>
        <w:t xml:space="preserve">, </w:t>
      </w:r>
      <w:r w:rsidR="00173D3E">
        <w:rPr>
          <w:rFonts w:eastAsiaTheme="minorHAnsi"/>
          <w:sz w:val="24"/>
          <w:szCs w:val="24"/>
          <w:lang w:eastAsia="ar-SA"/>
        </w:rPr>
        <w:fldChar w:fldCharType="begin"/>
      </w:r>
      <w:r w:rsidR="00173D3E">
        <w:rPr>
          <w:rFonts w:eastAsiaTheme="minorHAnsi"/>
          <w:sz w:val="24"/>
          <w:szCs w:val="24"/>
          <w:lang w:eastAsia="ar-SA"/>
        </w:rPr>
        <w:instrText xml:space="preserve"> REF _Ref97719905 \h  \* MERGEFORMAT </w:instrText>
      </w:r>
      <w:r w:rsidR="00173D3E">
        <w:rPr>
          <w:rFonts w:eastAsiaTheme="minorHAnsi"/>
          <w:sz w:val="24"/>
          <w:szCs w:val="24"/>
          <w:lang w:eastAsia="ar-SA"/>
        </w:rPr>
      </w:r>
      <w:r w:rsidR="00173D3E">
        <w:rPr>
          <w:rFonts w:eastAsiaTheme="minorHAnsi"/>
          <w:sz w:val="24"/>
          <w:szCs w:val="24"/>
          <w:lang w:eastAsia="ar-SA"/>
        </w:rPr>
        <w:fldChar w:fldCharType="separate"/>
      </w:r>
      <w:r w:rsidR="006E5248" w:rsidRPr="006E5248">
        <w:rPr>
          <w:rFonts w:eastAsiaTheme="minorHAnsi"/>
          <w:sz w:val="24"/>
          <w:szCs w:val="24"/>
          <w:lang w:eastAsia="ar-SA"/>
        </w:rPr>
        <w:t>Figure 1</w:t>
      </w:r>
      <w:r w:rsidR="00173D3E">
        <w:rPr>
          <w:rFonts w:eastAsiaTheme="minorHAnsi"/>
          <w:sz w:val="24"/>
          <w:szCs w:val="24"/>
          <w:lang w:eastAsia="ar-SA"/>
        </w:rPr>
        <w:fldChar w:fldCharType="end"/>
      </w:r>
      <w:r w:rsidR="00173D3E">
        <w:rPr>
          <w:rFonts w:eastAsiaTheme="minorHAnsi"/>
          <w:sz w:val="24"/>
          <w:szCs w:val="24"/>
          <w:lang w:eastAsia="ar-SA"/>
        </w:rPr>
        <w:t xml:space="preserve">, in front of a total installed power for electricity generation of approximatively 2.8 </w:t>
      </w:r>
      <w:proofErr w:type="spellStart"/>
      <w:r w:rsidR="00173D3E">
        <w:rPr>
          <w:rFonts w:eastAsiaTheme="minorHAnsi"/>
          <w:sz w:val="24"/>
          <w:szCs w:val="24"/>
          <w:lang w:eastAsia="ar-SA"/>
        </w:rPr>
        <w:t>TW</w:t>
      </w:r>
      <w:r w:rsidR="00173D3E" w:rsidRPr="00173D3E">
        <w:rPr>
          <w:rFonts w:eastAsiaTheme="minorHAnsi"/>
          <w:sz w:val="24"/>
          <w:szCs w:val="24"/>
          <w:vertAlign w:val="subscript"/>
          <w:lang w:eastAsia="ar-SA"/>
        </w:rPr>
        <w:t>e</w:t>
      </w:r>
      <w:proofErr w:type="spellEnd"/>
      <w:r w:rsidR="00D93992" w:rsidRPr="00D93992">
        <w:rPr>
          <w:rFonts w:eastAsiaTheme="minorHAnsi"/>
          <w:sz w:val="24"/>
          <w:szCs w:val="24"/>
          <w:lang w:eastAsia="ar-SA"/>
        </w:rPr>
        <w:t xml:space="preserve">. </w:t>
      </w:r>
      <w:r w:rsidR="00173D3E">
        <w:rPr>
          <w:rFonts w:eastAsiaTheme="minorHAnsi"/>
          <w:sz w:val="24"/>
          <w:szCs w:val="24"/>
          <w:lang w:eastAsia="ar-SA"/>
        </w:rPr>
        <w:t>T</w:t>
      </w:r>
      <w:r w:rsidR="00173D3E" w:rsidRPr="00173D3E">
        <w:rPr>
          <w:rFonts w:eastAsiaTheme="minorHAnsi"/>
          <w:sz w:val="24"/>
          <w:szCs w:val="24"/>
          <w:lang w:eastAsia="ar-SA"/>
        </w:rPr>
        <w:t xml:space="preserve">he annual electricity consumption will grow up till the end of this century with the rate of at least 1.5% and by the end of century will reach </w:t>
      </w:r>
      <w:r w:rsidR="00173D3E">
        <w:rPr>
          <w:rFonts w:eastAsiaTheme="minorHAnsi"/>
          <w:sz w:val="24"/>
          <w:szCs w:val="24"/>
          <w:lang w:eastAsia="ar-SA"/>
        </w:rPr>
        <w:t xml:space="preserve">about </w:t>
      </w:r>
      <w:r w:rsidR="00173D3E" w:rsidRPr="00173D3E">
        <w:rPr>
          <w:rFonts w:eastAsiaTheme="minorHAnsi"/>
          <w:sz w:val="24"/>
          <w:szCs w:val="24"/>
          <w:lang w:eastAsia="ar-SA"/>
        </w:rPr>
        <w:t xml:space="preserve">9.1 TW. </w:t>
      </w:r>
    </w:p>
    <w:p w14:paraId="26CFE047" w14:textId="09DAA570" w:rsidR="00D93992" w:rsidRDefault="00D93992" w:rsidP="00D93992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D93992">
        <w:rPr>
          <w:rFonts w:eastAsiaTheme="minorHAnsi"/>
          <w:noProof/>
          <w:sz w:val="24"/>
          <w:szCs w:val="24"/>
          <w:lang w:val="it-IT" w:eastAsia="it-IT"/>
        </w:rPr>
        <w:drawing>
          <wp:inline distT="0" distB="0" distL="0" distR="0" wp14:anchorId="24097AF4" wp14:editId="44CD1FE2">
            <wp:extent cx="5732145" cy="1938020"/>
            <wp:effectExtent l="0" t="0" r="1905" b="5080"/>
            <wp:docPr id="1" name="Immagine 1" descr="Immagine che contiene cielo, line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cielo, linea&#10;&#10;Descrizione generat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D00A3" w14:textId="534EBB12" w:rsidR="00D93992" w:rsidRDefault="00D93992" w:rsidP="00D93992">
      <w:pPr>
        <w:pStyle w:val="Didascalia"/>
        <w:rPr>
          <w:rFonts w:eastAsiaTheme="minorHAnsi"/>
          <w:sz w:val="24"/>
          <w:szCs w:val="24"/>
          <w:lang w:eastAsia="ar-SA"/>
        </w:rPr>
      </w:pPr>
      <w:bookmarkStart w:id="0" w:name="_Ref97719905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E5248">
        <w:rPr>
          <w:noProof/>
        </w:rPr>
        <w:t>1</w:t>
      </w:r>
      <w:r>
        <w:fldChar w:fldCharType="end"/>
      </w:r>
      <w:bookmarkEnd w:id="0"/>
      <w:r>
        <w:t xml:space="preserve"> - </w:t>
      </w:r>
      <w:r w:rsidRPr="00D93992">
        <w:t>Net electrical power, 1990 to 2019.</w:t>
      </w:r>
    </w:p>
    <w:p w14:paraId="19B6851A" w14:textId="396D4A77" w:rsidR="00DE19DC" w:rsidRDefault="0060039F" w:rsidP="00DE19DC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D93992">
        <w:rPr>
          <w:rFonts w:eastAsiaTheme="minorHAnsi"/>
          <w:sz w:val="24"/>
          <w:szCs w:val="24"/>
          <w:lang w:eastAsia="ar-SA"/>
        </w:rPr>
        <w:t>Globally, the number of nuclear power plants has increased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D93992">
        <w:rPr>
          <w:rFonts w:eastAsiaTheme="minorHAnsi"/>
          <w:sz w:val="24"/>
          <w:szCs w:val="24"/>
          <w:lang w:eastAsia="ar-SA"/>
        </w:rPr>
        <w:t xml:space="preserve">by 6.5% compared to 1990, </w:t>
      </w:r>
      <w:r w:rsidR="00BB3DBA">
        <w:rPr>
          <w:rFonts w:eastAsiaTheme="minorHAnsi"/>
          <w:sz w:val="24"/>
          <w:szCs w:val="24"/>
          <w:lang w:eastAsia="ar-SA"/>
        </w:rPr>
        <w:fldChar w:fldCharType="begin"/>
      </w:r>
      <w:r w:rsidR="00BB3DBA">
        <w:rPr>
          <w:rFonts w:eastAsiaTheme="minorHAnsi"/>
          <w:sz w:val="24"/>
          <w:szCs w:val="24"/>
          <w:lang w:eastAsia="ar-SA"/>
        </w:rPr>
        <w:instrText xml:space="preserve"> REF _Ref97922172 \h </w:instrText>
      </w:r>
      <w:r w:rsidR="00BB3DBA">
        <w:rPr>
          <w:rFonts w:eastAsiaTheme="minorHAnsi"/>
          <w:sz w:val="24"/>
          <w:szCs w:val="24"/>
          <w:lang w:eastAsia="ar-SA"/>
        </w:rPr>
      </w:r>
      <w:r w:rsidR="00BB3DBA">
        <w:rPr>
          <w:rFonts w:eastAsiaTheme="minorHAnsi"/>
          <w:sz w:val="24"/>
          <w:szCs w:val="24"/>
          <w:lang w:eastAsia="ar-SA"/>
        </w:rPr>
        <w:fldChar w:fldCharType="separate"/>
      </w:r>
      <w:r w:rsidR="00BB3DBA">
        <w:t xml:space="preserve">Figure </w:t>
      </w:r>
      <w:r w:rsidR="00BB3DBA">
        <w:rPr>
          <w:noProof/>
        </w:rPr>
        <w:t>2</w:t>
      </w:r>
      <w:r w:rsidR="00BB3DBA">
        <w:rPr>
          <w:rFonts w:eastAsiaTheme="minorHAnsi"/>
          <w:sz w:val="24"/>
          <w:szCs w:val="24"/>
          <w:lang w:eastAsia="ar-SA"/>
        </w:rPr>
        <w:fldChar w:fldCharType="end"/>
      </w:r>
      <w:r w:rsidRPr="00D93992">
        <w:rPr>
          <w:rFonts w:eastAsiaTheme="minorHAnsi"/>
          <w:sz w:val="24"/>
          <w:szCs w:val="24"/>
          <w:lang w:eastAsia="ar-SA"/>
        </w:rPr>
        <w:t>. The trend in Western Europe is downwards,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D93992">
        <w:rPr>
          <w:rFonts w:eastAsiaTheme="minorHAnsi"/>
          <w:sz w:val="24"/>
          <w:szCs w:val="24"/>
          <w:lang w:eastAsia="ar-SA"/>
        </w:rPr>
        <w:t>mainly due to Germany’s decision to shut down its nuclear power plants (NPPs) by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D93992">
        <w:rPr>
          <w:rFonts w:eastAsiaTheme="minorHAnsi"/>
          <w:sz w:val="24"/>
          <w:szCs w:val="24"/>
          <w:lang w:eastAsia="ar-SA"/>
        </w:rPr>
        <w:t>2022. On the other hand, China has greatly expanded the construction of nuclear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D93992">
        <w:rPr>
          <w:rFonts w:eastAsiaTheme="minorHAnsi"/>
          <w:sz w:val="24"/>
          <w:szCs w:val="24"/>
          <w:lang w:eastAsia="ar-SA"/>
        </w:rPr>
        <w:t>power plants since 1995, increasing from 3 installed NPPs to 48 in 2019. In 2020,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D93992">
        <w:rPr>
          <w:rFonts w:eastAsiaTheme="minorHAnsi"/>
          <w:sz w:val="24"/>
          <w:szCs w:val="24"/>
          <w:lang w:eastAsia="ar-SA"/>
        </w:rPr>
        <w:t xml:space="preserve">these supplied 2553 </w:t>
      </w:r>
      <w:proofErr w:type="spellStart"/>
      <w:r w:rsidRPr="00D93992">
        <w:rPr>
          <w:rFonts w:eastAsiaTheme="minorHAnsi"/>
          <w:sz w:val="24"/>
          <w:szCs w:val="24"/>
          <w:lang w:eastAsia="ar-SA"/>
        </w:rPr>
        <w:t>TWh</w:t>
      </w:r>
      <w:proofErr w:type="spellEnd"/>
      <w:r w:rsidRPr="00D93992">
        <w:rPr>
          <w:rFonts w:eastAsiaTheme="minorHAnsi"/>
          <w:sz w:val="24"/>
          <w:szCs w:val="24"/>
          <w:lang w:eastAsia="ar-SA"/>
        </w:rPr>
        <w:t>, about 10% of the world’s electricity.</w:t>
      </w:r>
      <w:r w:rsidR="00DE19DC">
        <w:rPr>
          <w:rFonts w:eastAsiaTheme="minorHAnsi"/>
          <w:sz w:val="24"/>
          <w:szCs w:val="24"/>
          <w:lang w:eastAsia="ar-SA"/>
        </w:rPr>
        <w:t xml:space="preserve"> </w:t>
      </w:r>
      <w:r w:rsidR="00DE19DC" w:rsidRPr="00DE19DC">
        <w:rPr>
          <w:rFonts w:eastAsiaTheme="minorHAnsi"/>
          <w:sz w:val="24"/>
          <w:szCs w:val="24"/>
          <w:lang w:eastAsia="ar-SA"/>
        </w:rPr>
        <w:t>Several countries with existing nuclear power programmes are planning or building</w:t>
      </w:r>
      <w:r w:rsidR="00DE19DC">
        <w:rPr>
          <w:rFonts w:eastAsiaTheme="minorHAnsi"/>
          <w:sz w:val="24"/>
          <w:szCs w:val="24"/>
          <w:lang w:eastAsia="ar-SA"/>
        </w:rPr>
        <w:t xml:space="preserve"> </w:t>
      </w:r>
      <w:r w:rsidR="00DE19DC" w:rsidRPr="00DE19DC">
        <w:rPr>
          <w:rFonts w:eastAsiaTheme="minorHAnsi"/>
          <w:sz w:val="24"/>
          <w:szCs w:val="24"/>
          <w:lang w:eastAsia="ar-SA"/>
        </w:rPr>
        <w:t xml:space="preserve">new nuclear power </w:t>
      </w:r>
      <w:r w:rsidR="00DE19DC" w:rsidRPr="00DE19DC">
        <w:rPr>
          <w:rFonts w:eastAsiaTheme="minorHAnsi"/>
          <w:sz w:val="24"/>
          <w:szCs w:val="24"/>
          <w:lang w:eastAsia="ar-SA"/>
        </w:rPr>
        <w:lastRenderedPageBreak/>
        <w:t>reactors or extending their operating lives. In addition,</w:t>
      </w:r>
      <w:r w:rsidR="00DE19DC">
        <w:rPr>
          <w:rFonts w:eastAsiaTheme="minorHAnsi"/>
          <w:sz w:val="24"/>
          <w:szCs w:val="24"/>
          <w:lang w:eastAsia="ar-SA"/>
        </w:rPr>
        <w:t xml:space="preserve"> </w:t>
      </w:r>
      <w:r w:rsidR="00DE19DC" w:rsidRPr="00DE19DC">
        <w:rPr>
          <w:rFonts w:eastAsiaTheme="minorHAnsi"/>
          <w:sz w:val="24"/>
          <w:szCs w:val="24"/>
          <w:lang w:eastAsia="ar-SA"/>
        </w:rPr>
        <w:t>about 30 countries, from advanced economies to developing countries, are planning</w:t>
      </w:r>
      <w:r w:rsidR="00DE19DC">
        <w:rPr>
          <w:rFonts w:eastAsiaTheme="minorHAnsi"/>
          <w:sz w:val="24"/>
          <w:szCs w:val="24"/>
          <w:lang w:eastAsia="ar-SA"/>
        </w:rPr>
        <w:t xml:space="preserve"> </w:t>
      </w:r>
      <w:r w:rsidR="00DE19DC" w:rsidRPr="00DE19DC">
        <w:rPr>
          <w:rFonts w:eastAsiaTheme="minorHAnsi"/>
          <w:sz w:val="24"/>
          <w:szCs w:val="24"/>
          <w:lang w:eastAsia="ar-SA"/>
        </w:rPr>
        <w:t>or starting nuclear power programmes. For the period 2021-2027, the construction</w:t>
      </w:r>
      <w:r w:rsidR="00DE19DC">
        <w:rPr>
          <w:rFonts w:eastAsiaTheme="minorHAnsi"/>
          <w:sz w:val="24"/>
          <w:szCs w:val="24"/>
          <w:lang w:eastAsia="ar-SA"/>
        </w:rPr>
        <w:t xml:space="preserve"> </w:t>
      </w:r>
      <w:r w:rsidR="00DE19DC" w:rsidRPr="00DE19DC">
        <w:rPr>
          <w:rFonts w:eastAsiaTheme="minorHAnsi"/>
          <w:sz w:val="24"/>
          <w:szCs w:val="24"/>
          <w:lang w:eastAsia="ar-SA"/>
        </w:rPr>
        <w:t xml:space="preserve">of 51 NPPs is planned or already underway. </w:t>
      </w:r>
      <w:r w:rsidR="00DE19DC">
        <w:rPr>
          <w:rFonts w:eastAsiaTheme="minorHAnsi"/>
          <w:sz w:val="24"/>
          <w:szCs w:val="24"/>
          <w:lang w:eastAsia="ar-SA"/>
        </w:rPr>
        <w:t xml:space="preserve">Finally, </w:t>
      </w:r>
      <w:r w:rsidR="00DE19DC" w:rsidRPr="00DE19DC">
        <w:rPr>
          <w:rFonts w:eastAsiaTheme="minorHAnsi"/>
          <w:sz w:val="24"/>
          <w:szCs w:val="24"/>
          <w:lang w:eastAsia="ar-SA"/>
        </w:rPr>
        <w:t>76.5% of the planned NPPs will be built in Asia; of these, 46.2% will be in China</w:t>
      </w:r>
      <w:r w:rsidR="00DE19DC">
        <w:rPr>
          <w:rFonts w:eastAsiaTheme="minorHAnsi"/>
          <w:sz w:val="24"/>
          <w:szCs w:val="24"/>
          <w:lang w:eastAsia="ar-SA"/>
        </w:rPr>
        <w:t xml:space="preserve"> </w:t>
      </w:r>
      <w:r w:rsidR="00DE19DC" w:rsidRPr="00DE19DC">
        <w:rPr>
          <w:rFonts w:eastAsiaTheme="minorHAnsi"/>
          <w:sz w:val="24"/>
          <w:szCs w:val="24"/>
          <w:lang w:eastAsia="ar-SA"/>
        </w:rPr>
        <w:t>and 17.9% in India.</w:t>
      </w:r>
    </w:p>
    <w:p w14:paraId="697F8946" w14:textId="009A45F7" w:rsidR="00C87489" w:rsidRPr="00DE19DC" w:rsidRDefault="00B726F7" w:rsidP="00DE19DC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In</w:t>
      </w:r>
      <w:r w:rsidR="00C87489" w:rsidRPr="0060039F">
        <w:rPr>
          <w:rFonts w:eastAsiaTheme="minorHAnsi"/>
          <w:sz w:val="24"/>
          <w:szCs w:val="24"/>
          <w:lang w:eastAsia="ar-SA"/>
        </w:rPr>
        <w:t xml:space="preserve"> IAEA </w:t>
      </w:r>
      <w:r w:rsidR="00C87489">
        <w:rPr>
          <w:rFonts w:eastAsiaTheme="minorHAnsi"/>
          <w:sz w:val="24"/>
          <w:szCs w:val="24"/>
          <w:lang w:eastAsia="ar-SA"/>
        </w:rPr>
        <w:t>“</w:t>
      </w:r>
      <w:r w:rsidR="00C87489" w:rsidRPr="0060039F">
        <w:rPr>
          <w:rFonts w:eastAsiaTheme="minorHAnsi"/>
          <w:sz w:val="24"/>
          <w:szCs w:val="24"/>
          <w:lang w:eastAsia="ar-SA"/>
        </w:rPr>
        <w:t>high</w:t>
      </w:r>
      <w:r w:rsidR="00C87489">
        <w:rPr>
          <w:rFonts w:eastAsiaTheme="minorHAnsi"/>
          <w:sz w:val="24"/>
          <w:szCs w:val="24"/>
          <w:lang w:eastAsia="ar-SA"/>
        </w:rPr>
        <w:t>”</w:t>
      </w:r>
      <w:r w:rsidR="00C87489" w:rsidRPr="0060039F">
        <w:rPr>
          <w:rFonts w:eastAsiaTheme="minorHAnsi"/>
          <w:sz w:val="24"/>
          <w:szCs w:val="24"/>
          <w:lang w:eastAsia="ar-SA"/>
        </w:rPr>
        <w:t xml:space="preserve"> scenario, current nuclear power generation capacity is projected to double by 2050. This is based both on extending the life of existing plants and on about 550 </w:t>
      </w:r>
      <w:r w:rsidR="00BB3DBA">
        <w:rPr>
          <w:rFonts w:eastAsiaTheme="minorHAnsi"/>
          <w:sz w:val="24"/>
          <w:szCs w:val="24"/>
          <w:lang w:eastAsia="ar-SA"/>
        </w:rPr>
        <w:t xml:space="preserve">GW </w:t>
      </w:r>
      <w:r w:rsidR="00C87489" w:rsidRPr="0060039F">
        <w:rPr>
          <w:rFonts w:eastAsiaTheme="minorHAnsi"/>
          <w:sz w:val="24"/>
          <w:szCs w:val="24"/>
          <w:lang w:eastAsia="ar-SA"/>
        </w:rPr>
        <w:t xml:space="preserve">of new reactors. Under the </w:t>
      </w:r>
      <w:r w:rsidR="00C87489">
        <w:rPr>
          <w:rFonts w:eastAsiaTheme="minorHAnsi"/>
          <w:sz w:val="24"/>
          <w:szCs w:val="24"/>
          <w:lang w:eastAsia="ar-SA"/>
        </w:rPr>
        <w:t>“</w:t>
      </w:r>
      <w:r w:rsidR="00C87489" w:rsidRPr="0060039F">
        <w:rPr>
          <w:rFonts w:eastAsiaTheme="minorHAnsi"/>
          <w:sz w:val="24"/>
          <w:szCs w:val="24"/>
          <w:lang w:eastAsia="ar-SA"/>
        </w:rPr>
        <w:t>low</w:t>
      </w:r>
      <w:r w:rsidR="00C87489">
        <w:rPr>
          <w:rFonts w:eastAsiaTheme="minorHAnsi"/>
          <w:sz w:val="24"/>
          <w:szCs w:val="24"/>
          <w:lang w:eastAsia="ar-SA"/>
        </w:rPr>
        <w:t>”</w:t>
      </w:r>
      <w:r w:rsidR="00C87489" w:rsidRPr="0060039F">
        <w:rPr>
          <w:rFonts w:eastAsiaTheme="minorHAnsi"/>
          <w:sz w:val="24"/>
          <w:szCs w:val="24"/>
          <w:lang w:eastAsia="ar-SA"/>
        </w:rPr>
        <w:t xml:space="preserve"> scenario, on the other hand, unwillingness to embrace nuclear power could result in almost no change in capacity by 2050</w:t>
      </w:r>
      <w:r w:rsidR="00C87489">
        <w:rPr>
          <w:rFonts w:eastAsiaTheme="minorHAnsi"/>
          <w:sz w:val="24"/>
          <w:szCs w:val="24"/>
          <w:lang w:eastAsia="ar-SA"/>
        </w:rPr>
        <w:t xml:space="preserve"> [</w:t>
      </w:r>
      <w:r>
        <w:rPr>
          <w:rFonts w:eastAsiaTheme="minorHAnsi"/>
          <w:sz w:val="24"/>
          <w:szCs w:val="24"/>
          <w:lang w:eastAsia="ar-SA"/>
        </w:rPr>
        <w:t>2</w:t>
      </w:r>
      <w:r w:rsidR="00C87489">
        <w:rPr>
          <w:rFonts w:eastAsiaTheme="minorHAnsi"/>
          <w:sz w:val="24"/>
          <w:szCs w:val="24"/>
          <w:lang w:eastAsia="ar-SA"/>
        </w:rPr>
        <w:t>]</w:t>
      </w:r>
      <w:r w:rsidR="00C87489" w:rsidRPr="0060039F">
        <w:rPr>
          <w:rFonts w:eastAsiaTheme="minorHAnsi"/>
          <w:sz w:val="24"/>
          <w:szCs w:val="24"/>
          <w:lang w:eastAsia="ar-SA"/>
        </w:rPr>
        <w:t>.</w:t>
      </w:r>
    </w:p>
    <w:p w14:paraId="2D413EBE" w14:textId="1C7E0199" w:rsidR="00D93992" w:rsidRDefault="0060039F" w:rsidP="00DE19DC">
      <w:pPr>
        <w:overflowPunct/>
        <w:autoSpaceDE/>
        <w:autoSpaceDN/>
        <w:adjustRightInd/>
        <w:spacing w:before="280" w:after="280"/>
        <w:jc w:val="center"/>
        <w:textAlignment w:val="auto"/>
        <w:rPr>
          <w:rFonts w:eastAsiaTheme="minorHAnsi"/>
          <w:sz w:val="24"/>
          <w:szCs w:val="24"/>
          <w:lang w:eastAsia="ar-SA"/>
        </w:rPr>
      </w:pPr>
      <w:r w:rsidRPr="0060039F">
        <w:rPr>
          <w:rFonts w:eastAsiaTheme="minorHAnsi"/>
          <w:noProof/>
          <w:sz w:val="24"/>
          <w:szCs w:val="24"/>
          <w:lang w:val="it-IT" w:eastAsia="it-IT"/>
        </w:rPr>
        <w:drawing>
          <wp:inline distT="0" distB="0" distL="0" distR="0" wp14:anchorId="29100D7F" wp14:editId="5C6AF17A">
            <wp:extent cx="4530436" cy="1841384"/>
            <wp:effectExtent l="0" t="0" r="381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6856" cy="184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D7DFD" w14:textId="7E228875" w:rsidR="00DE19DC" w:rsidRDefault="00DE19DC" w:rsidP="00DE19DC">
      <w:pPr>
        <w:pStyle w:val="Didascalia"/>
        <w:rPr>
          <w:rFonts w:eastAsiaTheme="minorHAnsi"/>
          <w:sz w:val="24"/>
          <w:szCs w:val="24"/>
          <w:lang w:eastAsia="ar-SA"/>
        </w:rPr>
      </w:pPr>
      <w:bookmarkStart w:id="1" w:name="_Ref9792217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6E5248">
        <w:rPr>
          <w:noProof/>
        </w:rPr>
        <w:t>2</w:t>
      </w:r>
      <w:r>
        <w:fldChar w:fldCharType="end"/>
      </w:r>
      <w:bookmarkEnd w:id="1"/>
      <w:r>
        <w:t xml:space="preserve"> - </w:t>
      </w:r>
      <w:r w:rsidRPr="00DE19DC">
        <w:t>Operational reactors, 1990 to 2019.</w:t>
      </w:r>
    </w:p>
    <w:p w14:paraId="0CF56F25" w14:textId="3C448120" w:rsidR="00D93992" w:rsidRPr="00DE19DC" w:rsidRDefault="00C87489" w:rsidP="00C87489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val="en-US" w:eastAsia="ar-SA"/>
        </w:rPr>
      </w:pPr>
      <w:r>
        <w:rPr>
          <w:rFonts w:eastAsiaTheme="minorHAnsi"/>
          <w:sz w:val="24"/>
          <w:szCs w:val="24"/>
          <w:lang w:val="en-US" w:eastAsia="ar-SA"/>
        </w:rPr>
        <w:t>In its World Energy Outlook, the IEA considers different scenarios [</w:t>
      </w:r>
      <w:r w:rsidR="00B726F7">
        <w:rPr>
          <w:rFonts w:eastAsiaTheme="minorHAnsi"/>
          <w:sz w:val="24"/>
          <w:szCs w:val="24"/>
          <w:lang w:val="en-US" w:eastAsia="ar-SA"/>
        </w:rPr>
        <w:t>3</w:t>
      </w:r>
      <w:r>
        <w:rPr>
          <w:rFonts w:eastAsiaTheme="minorHAnsi"/>
          <w:sz w:val="24"/>
          <w:szCs w:val="24"/>
          <w:lang w:val="en-US" w:eastAsia="ar-SA"/>
        </w:rPr>
        <w:t xml:space="preserve">]. </w:t>
      </w:r>
      <w:r w:rsidRPr="00C87489">
        <w:rPr>
          <w:rFonts w:eastAsiaTheme="minorHAnsi"/>
          <w:sz w:val="24"/>
          <w:szCs w:val="24"/>
          <w:lang w:val="en-US" w:eastAsia="ar-SA"/>
        </w:rPr>
        <w:t>In the 2020 edition, Stated Policies Scenario forecasts an 18%</w:t>
      </w:r>
      <w:r>
        <w:rPr>
          <w:rFonts w:eastAsiaTheme="minorHAnsi"/>
          <w:sz w:val="24"/>
          <w:szCs w:val="24"/>
          <w:lang w:val="en-US" w:eastAsia="ar-SA"/>
        </w:rPr>
        <w:t xml:space="preserve"> </w:t>
      </w:r>
      <w:r w:rsidRPr="00C87489">
        <w:rPr>
          <w:rFonts w:eastAsiaTheme="minorHAnsi"/>
          <w:sz w:val="24"/>
          <w:szCs w:val="24"/>
          <w:lang w:val="en-US" w:eastAsia="ar-SA"/>
        </w:rPr>
        <w:t xml:space="preserve">growth in installed nuclear capacity (with about 480 </w:t>
      </w:r>
      <w:proofErr w:type="spellStart"/>
      <w:r w:rsidRPr="00C87489">
        <w:rPr>
          <w:rFonts w:eastAsiaTheme="minorHAnsi"/>
          <w:sz w:val="24"/>
          <w:szCs w:val="24"/>
          <w:lang w:val="en-US" w:eastAsia="ar-SA"/>
        </w:rPr>
        <w:t>GWe</w:t>
      </w:r>
      <w:proofErr w:type="spellEnd"/>
      <w:r w:rsidRPr="00C87489">
        <w:rPr>
          <w:rFonts w:eastAsiaTheme="minorHAnsi"/>
          <w:sz w:val="24"/>
          <w:szCs w:val="24"/>
          <w:lang w:val="en-US" w:eastAsia="ar-SA"/>
        </w:rPr>
        <w:t xml:space="preserve"> of installed capacity) for</w:t>
      </w:r>
      <w:r>
        <w:rPr>
          <w:rFonts w:eastAsiaTheme="minorHAnsi"/>
          <w:sz w:val="24"/>
          <w:szCs w:val="24"/>
          <w:lang w:val="en-US" w:eastAsia="ar-SA"/>
        </w:rPr>
        <w:t xml:space="preserve"> </w:t>
      </w:r>
      <w:r w:rsidRPr="00C87489">
        <w:rPr>
          <w:rFonts w:eastAsiaTheme="minorHAnsi"/>
          <w:sz w:val="24"/>
          <w:szCs w:val="24"/>
          <w:lang w:val="en-US" w:eastAsia="ar-SA"/>
        </w:rPr>
        <w:t>the period 2019-2040. The scenario estimates total generation capacity at 13418</w:t>
      </w:r>
      <w:r>
        <w:rPr>
          <w:rFonts w:eastAsiaTheme="minorHAnsi"/>
          <w:sz w:val="24"/>
          <w:szCs w:val="24"/>
          <w:lang w:val="en-US" w:eastAsia="ar-SA"/>
        </w:rPr>
        <w:t xml:space="preserve"> </w:t>
      </w:r>
      <w:proofErr w:type="spellStart"/>
      <w:r w:rsidRPr="00C87489">
        <w:rPr>
          <w:rFonts w:eastAsiaTheme="minorHAnsi"/>
          <w:sz w:val="24"/>
          <w:szCs w:val="24"/>
          <w:lang w:val="en-US" w:eastAsia="ar-SA"/>
        </w:rPr>
        <w:t>GW</w:t>
      </w:r>
      <w:r w:rsidRPr="00C87489">
        <w:rPr>
          <w:rFonts w:eastAsiaTheme="minorHAnsi"/>
          <w:sz w:val="24"/>
          <w:szCs w:val="24"/>
          <w:vertAlign w:val="subscript"/>
          <w:lang w:val="en-US" w:eastAsia="ar-SA"/>
        </w:rPr>
        <w:t>e</w:t>
      </w:r>
      <w:proofErr w:type="spellEnd"/>
      <w:r w:rsidRPr="00C87489">
        <w:rPr>
          <w:rFonts w:eastAsiaTheme="minorHAnsi"/>
          <w:sz w:val="24"/>
          <w:szCs w:val="24"/>
          <w:lang w:val="en-US" w:eastAsia="ar-SA"/>
        </w:rPr>
        <w:t xml:space="preserve"> by 2040, with most of the growth concentrated in Asia, particularly India</w:t>
      </w:r>
      <w:r>
        <w:rPr>
          <w:rFonts w:eastAsiaTheme="minorHAnsi"/>
          <w:sz w:val="24"/>
          <w:szCs w:val="24"/>
          <w:lang w:val="en-US" w:eastAsia="ar-SA"/>
        </w:rPr>
        <w:t xml:space="preserve"> </w:t>
      </w:r>
      <w:r w:rsidRPr="00C87489">
        <w:rPr>
          <w:rFonts w:eastAsiaTheme="minorHAnsi"/>
          <w:sz w:val="24"/>
          <w:szCs w:val="24"/>
          <w:lang w:val="en-US" w:eastAsia="ar-SA"/>
        </w:rPr>
        <w:t>and China. In this scenario, the share of nuclear power in global electricity generation</w:t>
      </w:r>
      <w:r>
        <w:rPr>
          <w:rFonts w:eastAsiaTheme="minorHAnsi"/>
          <w:sz w:val="24"/>
          <w:szCs w:val="24"/>
          <w:lang w:val="en-US" w:eastAsia="ar-SA"/>
        </w:rPr>
        <w:t xml:space="preserve"> </w:t>
      </w:r>
      <w:r w:rsidRPr="00C87489">
        <w:rPr>
          <w:rFonts w:eastAsiaTheme="minorHAnsi"/>
          <w:sz w:val="24"/>
          <w:szCs w:val="24"/>
          <w:lang w:val="en-US" w:eastAsia="ar-SA"/>
        </w:rPr>
        <w:t>is about 8.5% in 2040, but this limited role of nuclear power would lead to</w:t>
      </w:r>
      <w:r>
        <w:rPr>
          <w:rFonts w:eastAsiaTheme="minorHAnsi"/>
          <w:sz w:val="24"/>
          <w:szCs w:val="24"/>
          <w:lang w:val="en-US" w:eastAsia="ar-SA"/>
        </w:rPr>
        <w:t xml:space="preserve"> </w:t>
      </w:r>
      <w:r w:rsidRPr="00C87489">
        <w:rPr>
          <w:rFonts w:eastAsiaTheme="minorHAnsi"/>
          <w:sz w:val="24"/>
          <w:szCs w:val="24"/>
          <w:lang w:val="en-US" w:eastAsia="ar-SA"/>
        </w:rPr>
        <w:t>an increase in global carbon dioxide emissions in 2040. Other scenarios, such as</w:t>
      </w:r>
      <w:r>
        <w:rPr>
          <w:rFonts w:eastAsiaTheme="minorHAnsi"/>
          <w:sz w:val="24"/>
          <w:szCs w:val="24"/>
          <w:lang w:val="en-US" w:eastAsia="ar-SA"/>
        </w:rPr>
        <w:t xml:space="preserve"> </w:t>
      </w:r>
      <w:r w:rsidRPr="00C87489">
        <w:rPr>
          <w:rFonts w:eastAsiaTheme="minorHAnsi"/>
          <w:sz w:val="24"/>
          <w:szCs w:val="24"/>
          <w:lang w:val="en-US" w:eastAsia="ar-SA"/>
        </w:rPr>
        <w:t>the 450 scenario (which aims to keep CO2 concentrations at a level of 450 ppm to</w:t>
      </w:r>
      <w:r>
        <w:rPr>
          <w:rFonts w:eastAsiaTheme="minorHAnsi"/>
          <w:sz w:val="24"/>
          <w:szCs w:val="24"/>
          <w:lang w:val="en-US" w:eastAsia="ar-SA"/>
        </w:rPr>
        <w:t xml:space="preserve"> </w:t>
      </w:r>
      <w:r w:rsidRPr="00C87489">
        <w:rPr>
          <w:rFonts w:eastAsiaTheme="minorHAnsi"/>
          <w:sz w:val="24"/>
          <w:szCs w:val="24"/>
          <w:lang w:val="en-US" w:eastAsia="ar-SA"/>
        </w:rPr>
        <w:t xml:space="preserve">have a 50% probability of keeping the temperature rise below 2°C), are </w:t>
      </w:r>
      <w:r>
        <w:rPr>
          <w:rFonts w:eastAsiaTheme="minorHAnsi"/>
          <w:sz w:val="24"/>
          <w:szCs w:val="24"/>
          <w:lang w:val="en-US" w:eastAsia="ar-SA"/>
        </w:rPr>
        <w:t xml:space="preserve">considered </w:t>
      </w:r>
      <w:r w:rsidRPr="00C87489">
        <w:rPr>
          <w:rFonts w:eastAsiaTheme="minorHAnsi"/>
          <w:sz w:val="24"/>
          <w:szCs w:val="24"/>
          <w:lang w:val="en-US" w:eastAsia="ar-SA"/>
        </w:rPr>
        <w:t>as transition scenarios. Among these, the Sustainable Development Scenario, which</w:t>
      </w:r>
      <w:r>
        <w:rPr>
          <w:rFonts w:eastAsiaTheme="minorHAnsi"/>
          <w:sz w:val="24"/>
          <w:szCs w:val="24"/>
          <w:lang w:val="en-US" w:eastAsia="ar-SA"/>
        </w:rPr>
        <w:t xml:space="preserve"> </w:t>
      </w:r>
      <w:r w:rsidRPr="00C87489">
        <w:rPr>
          <w:rFonts w:eastAsiaTheme="minorHAnsi"/>
          <w:sz w:val="24"/>
          <w:szCs w:val="24"/>
          <w:lang w:val="en-US" w:eastAsia="ar-SA"/>
        </w:rPr>
        <w:t>aims to “measures needed to simultaneously deliver energy access, clean air and</w:t>
      </w:r>
      <w:r>
        <w:rPr>
          <w:rFonts w:eastAsiaTheme="minorHAnsi"/>
          <w:sz w:val="24"/>
          <w:szCs w:val="24"/>
          <w:lang w:val="en-US" w:eastAsia="ar-SA"/>
        </w:rPr>
        <w:t xml:space="preserve"> </w:t>
      </w:r>
      <w:r w:rsidRPr="00C87489">
        <w:rPr>
          <w:rFonts w:eastAsiaTheme="minorHAnsi"/>
          <w:sz w:val="24"/>
          <w:szCs w:val="24"/>
          <w:lang w:val="en-US" w:eastAsia="ar-SA"/>
        </w:rPr>
        <w:t xml:space="preserve">climate goals”, foresees an increase in installed nuclear power capacity to 599 </w:t>
      </w:r>
      <w:proofErr w:type="spellStart"/>
      <w:r w:rsidRPr="00C87489">
        <w:rPr>
          <w:rFonts w:eastAsiaTheme="minorHAnsi"/>
          <w:sz w:val="24"/>
          <w:szCs w:val="24"/>
          <w:lang w:val="en-US" w:eastAsia="ar-SA"/>
        </w:rPr>
        <w:t>GWe</w:t>
      </w:r>
      <w:proofErr w:type="spellEnd"/>
      <w:r>
        <w:rPr>
          <w:rFonts w:eastAsiaTheme="minorHAnsi"/>
          <w:sz w:val="24"/>
          <w:szCs w:val="24"/>
          <w:lang w:val="en-US" w:eastAsia="ar-SA"/>
        </w:rPr>
        <w:t xml:space="preserve"> </w:t>
      </w:r>
      <w:r w:rsidRPr="00C87489">
        <w:rPr>
          <w:rFonts w:eastAsiaTheme="minorHAnsi"/>
          <w:sz w:val="24"/>
          <w:szCs w:val="24"/>
          <w:lang w:val="en-US" w:eastAsia="ar-SA"/>
        </w:rPr>
        <w:t>by 2040.</w:t>
      </w:r>
    </w:p>
    <w:p w14:paraId="66E2FA21" w14:textId="1E64D1E6" w:rsidR="00B7680D" w:rsidRDefault="00C87489" w:rsidP="00C87489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The</w:t>
      </w:r>
      <w:r w:rsidRPr="00C87489">
        <w:rPr>
          <w:rFonts w:eastAsiaTheme="minorHAnsi"/>
          <w:sz w:val="24"/>
          <w:szCs w:val="24"/>
          <w:lang w:eastAsia="ar-SA"/>
        </w:rPr>
        <w:t xml:space="preserve"> Red Book [</w:t>
      </w:r>
      <w:r w:rsidR="00B726F7">
        <w:rPr>
          <w:rFonts w:eastAsiaTheme="minorHAnsi"/>
          <w:sz w:val="24"/>
          <w:szCs w:val="24"/>
          <w:lang w:eastAsia="ar-SA"/>
        </w:rPr>
        <w:t>4</w:t>
      </w:r>
      <w:r w:rsidRPr="00C87489">
        <w:rPr>
          <w:rFonts w:eastAsiaTheme="minorHAnsi"/>
          <w:sz w:val="24"/>
          <w:szCs w:val="24"/>
          <w:lang w:eastAsia="ar-SA"/>
        </w:rPr>
        <w:t>], produced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C87489">
        <w:rPr>
          <w:rFonts w:eastAsiaTheme="minorHAnsi"/>
          <w:sz w:val="24"/>
          <w:szCs w:val="24"/>
          <w:lang w:eastAsia="ar-SA"/>
        </w:rPr>
        <w:t>jointly by the Nuclear Energy Agency (NEA) and the International Atomic Energy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C87489">
        <w:rPr>
          <w:rFonts w:eastAsiaTheme="minorHAnsi"/>
          <w:sz w:val="24"/>
          <w:szCs w:val="24"/>
          <w:lang w:eastAsia="ar-SA"/>
        </w:rPr>
        <w:t>Agency (IAEA), contains analysis and information from 45 producing and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C87489">
        <w:rPr>
          <w:rFonts w:eastAsiaTheme="minorHAnsi"/>
          <w:sz w:val="24"/>
          <w:szCs w:val="24"/>
          <w:lang w:eastAsia="ar-SA"/>
        </w:rPr>
        <w:t>consuming countries to address resource, demand and supply issues. The stocks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C87489">
        <w:rPr>
          <w:rFonts w:eastAsiaTheme="minorHAnsi"/>
          <w:sz w:val="24"/>
          <w:szCs w:val="24"/>
          <w:lang w:eastAsia="ar-SA"/>
        </w:rPr>
        <w:t>published in this book should be interpreted as stocks at a particular point in time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C87489">
        <w:rPr>
          <w:rFonts w:eastAsiaTheme="minorHAnsi"/>
          <w:sz w:val="24"/>
          <w:szCs w:val="24"/>
          <w:lang w:eastAsia="ar-SA"/>
        </w:rPr>
        <w:t>and not as an indication of “ultimate” available resources. Uranium resources are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C87489">
        <w:rPr>
          <w:rFonts w:eastAsiaTheme="minorHAnsi"/>
          <w:sz w:val="24"/>
          <w:szCs w:val="24"/>
          <w:lang w:eastAsia="ar-SA"/>
        </w:rPr>
        <w:t>divided into two categories: primary resources, which are the uranium resources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C87489">
        <w:rPr>
          <w:rFonts w:eastAsiaTheme="minorHAnsi"/>
          <w:sz w:val="24"/>
          <w:szCs w:val="24"/>
          <w:lang w:eastAsia="ar-SA"/>
        </w:rPr>
        <w:t>themselves, and secondary resources, which consist of stocks and materials that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C87489">
        <w:rPr>
          <w:rFonts w:eastAsiaTheme="minorHAnsi"/>
          <w:sz w:val="24"/>
          <w:szCs w:val="24"/>
          <w:lang w:eastAsia="ar-SA"/>
        </w:rPr>
        <w:t>can be extracted from spent fuel. Primary resources are divided into conventional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C87489">
        <w:rPr>
          <w:rFonts w:eastAsiaTheme="minorHAnsi"/>
          <w:sz w:val="24"/>
          <w:szCs w:val="24"/>
          <w:lang w:eastAsia="ar-SA"/>
        </w:rPr>
        <w:t>resources, which correspond to active uranium-producing deposits, and unconventional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C87489">
        <w:rPr>
          <w:rFonts w:eastAsiaTheme="minorHAnsi"/>
          <w:sz w:val="24"/>
          <w:szCs w:val="24"/>
          <w:lang w:eastAsia="ar-SA"/>
        </w:rPr>
        <w:t>resources, which may consist of uranium of very low grade or of products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C87489">
        <w:rPr>
          <w:rFonts w:eastAsiaTheme="minorHAnsi"/>
          <w:sz w:val="24"/>
          <w:szCs w:val="24"/>
          <w:lang w:eastAsia="ar-SA"/>
        </w:rPr>
        <w:t>from which uranium can be recovered only as a by-product of secondary importance.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C87489">
        <w:rPr>
          <w:rFonts w:eastAsiaTheme="minorHAnsi"/>
          <w:sz w:val="24"/>
          <w:szCs w:val="24"/>
          <w:lang w:eastAsia="ar-SA"/>
        </w:rPr>
        <w:t>Primary resources are subdivided into reasonably assured resources (RAR),</w:t>
      </w:r>
      <w:r w:rsidR="00B7680D">
        <w:rPr>
          <w:rFonts w:eastAsiaTheme="minorHAnsi"/>
          <w:sz w:val="24"/>
          <w:szCs w:val="24"/>
          <w:lang w:eastAsia="ar-SA"/>
        </w:rPr>
        <w:t xml:space="preserve"> </w:t>
      </w:r>
      <w:r w:rsidRPr="00C87489">
        <w:rPr>
          <w:rFonts w:eastAsiaTheme="minorHAnsi"/>
          <w:sz w:val="24"/>
          <w:szCs w:val="24"/>
          <w:lang w:eastAsia="ar-SA"/>
        </w:rPr>
        <w:t>which are the identified uranium resources, and inferred resource (IR), which are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C87489">
        <w:rPr>
          <w:rFonts w:eastAsiaTheme="minorHAnsi"/>
          <w:sz w:val="24"/>
          <w:szCs w:val="24"/>
          <w:lang w:eastAsia="ar-SA"/>
        </w:rPr>
        <w:t xml:space="preserve">only estimated and present a major challenge in estimating total resources. </w:t>
      </w:r>
      <w:r>
        <w:rPr>
          <w:rFonts w:eastAsiaTheme="minorHAnsi"/>
          <w:sz w:val="24"/>
          <w:szCs w:val="24"/>
          <w:lang w:eastAsia="ar-SA"/>
        </w:rPr>
        <w:t xml:space="preserve">The </w:t>
      </w:r>
      <w:r w:rsidRPr="00C87489">
        <w:rPr>
          <w:rFonts w:eastAsiaTheme="minorHAnsi"/>
          <w:sz w:val="24"/>
          <w:szCs w:val="24"/>
          <w:lang w:eastAsia="ar-SA"/>
        </w:rPr>
        <w:t xml:space="preserve">total primary resources, i.e. the sum of RAR and </w:t>
      </w:r>
      <w:r w:rsidRPr="00C87489">
        <w:rPr>
          <w:rFonts w:eastAsiaTheme="minorHAnsi"/>
          <w:sz w:val="24"/>
          <w:szCs w:val="24"/>
          <w:lang w:eastAsia="ar-SA"/>
        </w:rPr>
        <w:lastRenderedPageBreak/>
        <w:t>IR,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C87489">
        <w:rPr>
          <w:rFonts w:eastAsiaTheme="minorHAnsi"/>
          <w:sz w:val="24"/>
          <w:szCs w:val="24"/>
          <w:lang w:eastAsia="ar-SA"/>
        </w:rPr>
        <w:t>amounted to 8070.4 Mt in 2019, an increase of 1% over 2019. The total consumption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C87489">
        <w:rPr>
          <w:rFonts w:eastAsiaTheme="minorHAnsi"/>
          <w:sz w:val="24"/>
          <w:szCs w:val="24"/>
          <w:lang w:eastAsia="ar-SA"/>
        </w:rPr>
        <w:t xml:space="preserve">of uranium in 2019 was 59200 t. </w:t>
      </w:r>
    </w:p>
    <w:p w14:paraId="77E5410B" w14:textId="3AD081C2" w:rsidR="007B16D8" w:rsidRDefault="009A3CC5" w:rsidP="007B16D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9A3CC5">
        <w:rPr>
          <w:rFonts w:eastAsiaTheme="minorHAnsi"/>
          <w:sz w:val="24"/>
          <w:szCs w:val="24"/>
          <w:lang w:eastAsia="ar-SA"/>
        </w:rPr>
        <w:t>Generation IV reactors are being developed under the Generation IV International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CC5">
        <w:rPr>
          <w:rFonts w:eastAsiaTheme="minorHAnsi"/>
          <w:sz w:val="24"/>
          <w:szCs w:val="24"/>
          <w:lang w:eastAsia="ar-SA"/>
        </w:rPr>
        <w:t>Forum (GIF) project, founded in 2001, “as a cooperative international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CC5">
        <w:rPr>
          <w:rFonts w:eastAsiaTheme="minorHAnsi"/>
          <w:sz w:val="24"/>
          <w:szCs w:val="24"/>
          <w:lang w:eastAsia="ar-SA"/>
        </w:rPr>
        <w:t>endeavour seeking to develop the research necessary to test the feasibility and performance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CC5">
        <w:rPr>
          <w:rFonts w:eastAsiaTheme="minorHAnsi"/>
          <w:sz w:val="24"/>
          <w:szCs w:val="24"/>
          <w:lang w:eastAsia="ar-SA"/>
        </w:rPr>
        <w:t>of fourth generation nuclear systems, and to make them available for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CC5">
        <w:rPr>
          <w:rFonts w:eastAsiaTheme="minorHAnsi"/>
          <w:sz w:val="24"/>
          <w:szCs w:val="24"/>
          <w:lang w:eastAsia="ar-SA"/>
        </w:rPr>
        <w:t>industrial deployment by 2030”</w:t>
      </w:r>
      <w:r>
        <w:rPr>
          <w:rFonts w:eastAsiaTheme="minorHAnsi"/>
          <w:sz w:val="24"/>
          <w:szCs w:val="24"/>
          <w:lang w:eastAsia="ar-SA"/>
        </w:rPr>
        <w:t xml:space="preserve">. </w:t>
      </w:r>
      <w:r w:rsidRPr="009A3CC5">
        <w:rPr>
          <w:rFonts w:eastAsiaTheme="minorHAnsi"/>
          <w:sz w:val="24"/>
          <w:szCs w:val="24"/>
          <w:lang w:eastAsia="ar-SA"/>
        </w:rPr>
        <w:t>The GIF selected six reactor technologies for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CC5">
        <w:rPr>
          <w:rFonts w:eastAsiaTheme="minorHAnsi"/>
          <w:sz w:val="24"/>
          <w:szCs w:val="24"/>
          <w:lang w:eastAsia="ar-SA"/>
        </w:rPr>
        <w:t>further research and development activities: the gas-cooled fast reactor (GFR), the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CC5">
        <w:rPr>
          <w:rFonts w:eastAsiaTheme="minorHAnsi"/>
          <w:sz w:val="24"/>
          <w:szCs w:val="24"/>
          <w:lang w:eastAsia="ar-SA"/>
        </w:rPr>
        <w:t>lead-cooled fast reactor (LFR), the molten salt reactor (MSR), the sodium-cooled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CC5">
        <w:rPr>
          <w:rFonts w:eastAsiaTheme="minorHAnsi"/>
          <w:sz w:val="24"/>
          <w:szCs w:val="24"/>
          <w:lang w:eastAsia="ar-SA"/>
        </w:rPr>
        <w:t>fast reactor (SFR), the supercritical water-cooled reactor (SCWR) and the very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Pr="009A3CC5">
        <w:rPr>
          <w:rFonts w:eastAsiaTheme="minorHAnsi"/>
          <w:sz w:val="24"/>
          <w:szCs w:val="24"/>
          <w:lang w:eastAsia="ar-SA"/>
        </w:rPr>
        <w:t>high-temperature reactor (VHTR).</w:t>
      </w:r>
      <w:r>
        <w:rPr>
          <w:rFonts w:eastAsiaTheme="minorHAnsi"/>
          <w:sz w:val="24"/>
          <w:szCs w:val="24"/>
          <w:lang w:eastAsia="ar-SA"/>
        </w:rPr>
        <w:t xml:space="preserve"> </w:t>
      </w:r>
      <w:r w:rsidR="007B16D8">
        <w:rPr>
          <w:rFonts w:eastAsiaTheme="minorHAnsi"/>
          <w:sz w:val="24"/>
          <w:szCs w:val="24"/>
          <w:lang w:eastAsia="ar-SA"/>
        </w:rPr>
        <w:t>T</w:t>
      </w:r>
      <w:r w:rsidR="007B16D8" w:rsidRPr="007B16D8">
        <w:rPr>
          <w:rFonts w:eastAsiaTheme="minorHAnsi"/>
          <w:sz w:val="24"/>
          <w:szCs w:val="24"/>
          <w:lang w:eastAsia="ar-SA"/>
        </w:rPr>
        <w:t>he fast neutron reactors of the IV generation are able to fully reprocessing</w:t>
      </w:r>
      <w:r w:rsidR="007B16D8">
        <w:rPr>
          <w:rFonts w:eastAsiaTheme="minorHAnsi"/>
          <w:sz w:val="24"/>
          <w:szCs w:val="24"/>
          <w:lang w:eastAsia="ar-SA"/>
        </w:rPr>
        <w:t xml:space="preserve"> the fuel,</w:t>
      </w:r>
      <w:r w:rsidR="007B16D8" w:rsidRPr="007B16D8">
        <w:rPr>
          <w:rFonts w:eastAsiaTheme="minorHAnsi"/>
          <w:sz w:val="24"/>
          <w:szCs w:val="24"/>
          <w:lang w:eastAsia="ar-SA"/>
        </w:rPr>
        <w:t xml:space="preserve"> as they are capable of multi-recycling</w:t>
      </w:r>
      <w:r w:rsidR="007B16D8">
        <w:rPr>
          <w:rFonts w:eastAsiaTheme="minorHAnsi"/>
          <w:sz w:val="24"/>
          <w:szCs w:val="24"/>
          <w:lang w:eastAsia="ar-SA"/>
        </w:rPr>
        <w:t xml:space="preserve"> </w:t>
      </w:r>
      <w:r w:rsidR="007B16D8" w:rsidRPr="007B16D8">
        <w:rPr>
          <w:rFonts w:eastAsiaTheme="minorHAnsi"/>
          <w:sz w:val="24"/>
          <w:szCs w:val="24"/>
          <w:lang w:eastAsia="ar-SA"/>
        </w:rPr>
        <w:t>plutonium (without limitation linked to an evolution of isotopic composition) and</w:t>
      </w:r>
      <w:r w:rsidR="007B16D8">
        <w:rPr>
          <w:rFonts w:eastAsiaTheme="minorHAnsi"/>
          <w:sz w:val="24"/>
          <w:szCs w:val="24"/>
          <w:lang w:eastAsia="ar-SA"/>
        </w:rPr>
        <w:t xml:space="preserve"> </w:t>
      </w:r>
      <w:r w:rsidR="007B16D8" w:rsidRPr="007B16D8">
        <w:rPr>
          <w:rFonts w:eastAsiaTheme="minorHAnsi"/>
          <w:sz w:val="24"/>
          <w:szCs w:val="24"/>
          <w:lang w:eastAsia="ar-SA"/>
        </w:rPr>
        <w:t>to value all uranium resources (including depleted and reprocessing uranium).</w:t>
      </w:r>
      <w:r w:rsidR="007B16D8">
        <w:rPr>
          <w:rFonts w:eastAsiaTheme="minorHAnsi"/>
          <w:sz w:val="24"/>
          <w:szCs w:val="24"/>
          <w:lang w:eastAsia="ar-SA"/>
        </w:rPr>
        <w:t xml:space="preserve"> </w:t>
      </w:r>
    </w:p>
    <w:p w14:paraId="049DA5C8" w14:textId="470B0D85" w:rsidR="002C094B" w:rsidRDefault="007B16D8" w:rsidP="007B16D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G-IV Nuclear Reactor will represent a suitable energy production system in the middle period, however taking into account the </w:t>
      </w:r>
      <w:r w:rsidR="002A5E64">
        <w:rPr>
          <w:rFonts w:eastAsiaTheme="minorHAnsi"/>
          <w:sz w:val="24"/>
          <w:szCs w:val="24"/>
          <w:lang w:eastAsia="ar-SA"/>
        </w:rPr>
        <w:t>huge request of energy in the word a parallel solution able to satisfy the actual trend in long period</w:t>
      </w:r>
      <w:r w:rsidR="00262A3E">
        <w:rPr>
          <w:rFonts w:eastAsiaTheme="minorHAnsi"/>
          <w:sz w:val="24"/>
          <w:szCs w:val="24"/>
          <w:lang w:eastAsia="ar-SA"/>
        </w:rPr>
        <w:t xml:space="preserve"> with the possibility to </w:t>
      </w:r>
      <w:r w:rsidR="00262A3E" w:rsidRPr="00262A3E">
        <w:rPr>
          <w:rFonts w:eastAsiaTheme="minorHAnsi"/>
          <w:sz w:val="24"/>
          <w:szCs w:val="24"/>
          <w:lang w:eastAsia="ar-SA"/>
        </w:rPr>
        <w:t>create less radioacti</w:t>
      </w:r>
      <w:r w:rsidR="00262A3E">
        <w:rPr>
          <w:rFonts w:eastAsiaTheme="minorHAnsi"/>
          <w:sz w:val="24"/>
          <w:szCs w:val="24"/>
          <w:lang w:eastAsia="ar-SA"/>
        </w:rPr>
        <w:t>ve material than fission and</w:t>
      </w:r>
      <w:r w:rsidR="00262A3E" w:rsidRPr="00262A3E">
        <w:rPr>
          <w:rFonts w:eastAsiaTheme="minorHAnsi"/>
          <w:sz w:val="24"/>
          <w:szCs w:val="24"/>
          <w:lang w:eastAsia="ar-SA"/>
        </w:rPr>
        <w:t xml:space="preserve"> a nearly unlimited fuel supply</w:t>
      </w:r>
      <w:r w:rsidR="00262A3E">
        <w:rPr>
          <w:rFonts w:eastAsiaTheme="minorHAnsi"/>
          <w:sz w:val="24"/>
          <w:szCs w:val="24"/>
          <w:lang w:eastAsia="ar-SA"/>
        </w:rPr>
        <w:t xml:space="preserve"> has to be developed. In </w:t>
      </w:r>
      <w:r w:rsidR="002A5E64">
        <w:rPr>
          <w:rFonts w:eastAsiaTheme="minorHAnsi"/>
          <w:sz w:val="24"/>
          <w:szCs w:val="24"/>
          <w:lang w:eastAsia="ar-SA"/>
        </w:rPr>
        <w:t>Fusion reactor, since Fusion'</w:t>
      </w:r>
      <w:r w:rsidR="002A5E64" w:rsidRPr="002A5E64">
        <w:rPr>
          <w:rFonts w:eastAsiaTheme="minorHAnsi"/>
          <w:sz w:val="24"/>
          <w:szCs w:val="24"/>
          <w:lang w:eastAsia="ar-SA"/>
        </w:rPr>
        <w:t>s fuel is abundant, namely, light atoms such as the isotopes of hydrogen, and essentially limitless</w:t>
      </w:r>
      <w:r w:rsidR="00262A3E">
        <w:rPr>
          <w:rFonts w:eastAsiaTheme="minorHAnsi"/>
          <w:sz w:val="24"/>
          <w:szCs w:val="24"/>
          <w:lang w:eastAsia="ar-SA"/>
        </w:rPr>
        <w:t xml:space="preserve"> are one of the possible solution</w:t>
      </w:r>
      <w:r w:rsidR="002A5E64" w:rsidRPr="002A5E64">
        <w:rPr>
          <w:rFonts w:eastAsiaTheme="minorHAnsi"/>
          <w:sz w:val="24"/>
          <w:szCs w:val="24"/>
          <w:lang w:eastAsia="ar-SA"/>
        </w:rPr>
        <w:t>.</w:t>
      </w:r>
      <w:r w:rsidR="004E71F7" w:rsidRPr="004E71F7">
        <w:t xml:space="preserve"> </w:t>
      </w:r>
      <w:r w:rsidR="00262A3E">
        <w:t>Fusion has the potential to provide the kind of baseload energy needed to provide electricity to our cities and our industries, h</w:t>
      </w:r>
      <w:r w:rsidR="004E71F7" w:rsidRPr="004E71F7">
        <w:rPr>
          <w:rFonts w:eastAsiaTheme="minorHAnsi"/>
          <w:sz w:val="24"/>
          <w:szCs w:val="24"/>
          <w:lang w:eastAsia="ar-SA"/>
        </w:rPr>
        <w:t xml:space="preserve">owever, a number of open technical </w:t>
      </w:r>
      <w:r w:rsidR="004E71F7">
        <w:rPr>
          <w:rFonts w:eastAsiaTheme="minorHAnsi"/>
          <w:sz w:val="24"/>
          <w:szCs w:val="24"/>
          <w:lang w:eastAsia="ar-SA"/>
        </w:rPr>
        <w:t xml:space="preserve">issues have yet to be </w:t>
      </w:r>
      <w:r w:rsidR="004E71F7" w:rsidRPr="004E71F7">
        <w:rPr>
          <w:rFonts w:eastAsiaTheme="minorHAnsi"/>
          <w:sz w:val="24"/>
          <w:szCs w:val="24"/>
          <w:lang w:eastAsia="ar-SA"/>
        </w:rPr>
        <w:t>solved to demonstrate the feasibility of exploiting the nuclear fusion reaction to produce electricity</w:t>
      </w:r>
      <w:r w:rsidR="004E71F7">
        <w:rPr>
          <w:rFonts w:eastAsiaTheme="minorHAnsi"/>
          <w:sz w:val="24"/>
          <w:szCs w:val="24"/>
          <w:lang w:eastAsia="ar-SA"/>
        </w:rPr>
        <w:t xml:space="preserve">. In order to save time and use the competence and </w:t>
      </w:r>
      <w:r w:rsidR="004E71F7" w:rsidRPr="004E71F7">
        <w:rPr>
          <w:rFonts w:eastAsiaTheme="minorHAnsi"/>
          <w:sz w:val="24"/>
          <w:szCs w:val="24"/>
          <w:lang w:eastAsia="ar-SA"/>
        </w:rPr>
        <w:t>knowledge</w:t>
      </w:r>
      <w:r w:rsidR="004E71F7">
        <w:rPr>
          <w:rFonts w:eastAsiaTheme="minorHAnsi"/>
          <w:sz w:val="24"/>
          <w:szCs w:val="24"/>
          <w:lang w:eastAsia="ar-SA"/>
        </w:rPr>
        <w:t xml:space="preserve"> developed in the frame of fission reactors a dedicated R&amp;D program has to be established. </w:t>
      </w:r>
      <w:r w:rsidR="004E71F7" w:rsidRPr="004E71F7">
        <w:rPr>
          <w:rFonts w:eastAsiaTheme="minorHAnsi"/>
          <w:sz w:val="24"/>
          <w:szCs w:val="24"/>
          <w:lang w:eastAsia="ar-SA"/>
        </w:rPr>
        <w:t xml:space="preserve">The </w:t>
      </w:r>
      <w:r w:rsidR="002C094B">
        <w:rPr>
          <w:rFonts w:eastAsiaTheme="minorHAnsi"/>
          <w:sz w:val="24"/>
          <w:szCs w:val="24"/>
          <w:lang w:eastAsia="ar-SA"/>
        </w:rPr>
        <w:t>main area identified related cross cutting R&amp;D research are:</w:t>
      </w:r>
    </w:p>
    <w:p w14:paraId="5C37943D" w14:textId="74264D57" w:rsidR="002C094B" w:rsidRDefault="002C094B" w:rsidP="002C094B">
      <w:pPr>
        <w:pStyle w:val="Paragrafoelenco"/>
        <w:numPr>
          <w:ilvl w:val="0"/>
          <w:numId w:val="35"/>
        </w:num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Development of structural material able to operate under extreme neutron flux and environments (liquid metals or pressurised gas);</w:t>
      </w:r>
    </w:p>
    <w:p w14:paraId="15A19D90" w14:textId="50B4BAAB" w:rsidR="002C094B" w:rsidRDefault="002C094B" w:rsidP="002C094B">
      <w:pPr>
        <w:pStyle w:val="Paragrafoelenco"/>
        <w:numPr>
          <w:ilvl w:val="0"/>
          <w:numId w:val="35"/>
        </w:num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Development of mitigation system able to protect the materials;</w:t>
      </w:r>
    </w:p>
    <w:p w14:paraId="406A0B83" w14:textId="1E244806" w:rsidR="002C094B" w:rsidRDefault="002C094B" w:rsidP="002C094B">
      <w:pPr>
        <w:pStyle w:val="Paragrafoelenco"/>
        <w:numPr>
          <w:ilvl w:val="0"/>
          <w:numId w:val="35"/>
        </w:num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System able to operate with liquids metals and high pressure gas;</w:t>
      </w:r>
    </w:p>
    <w:p w14:paraId="70EBC61C" w14:textId="4C416868" w:rsidR="002C094B" w:rsidRDefault="002C094B" w:rsidP="002C094B">
      <w:pPr>
        <w:pStyle w:val="Paragrafoelenco"/>
        <w:numPr>
          <w:ilvl w:val="0"/>
          <w:numId w:val="35"/>
        </w:num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Waste management system;</w:t>
      </w:r>
    </w:p>
    <w:p w14:paraId="044F3933" w14:textId="27022CCE" w:rsidR="002C094B" w:rsidRDefault="002C094B" w:rsidP="002C094B">
      <w:pPr>
        <w:pStyle w:val="Paragrafoelenco"/>
        <w:numPr>
          <w:ilvl w:val="0"/>
          <w:numId w:val="35"/>
        </w:num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proofErr w:type="spellStart"/>
      <w:r>
        <w:rPr>
          <w:rFonts w:eastAsiaTheme="minorHAnsi"/>
          <w:sz w:val="24"/>
          <w:szCs w:val="24"/>
          <w:lang w:eastAsia="ar-SA"/>
        </w:rPr>
        <w:t>Detritiation</w:t>
      </w:r>
      <w:proofErr w:type="spellEnd"/>
      <w:r>
        <w:rPr>
          <w:rFonts w:eastAsiaTheme="minorHAnsi"/>
          <w:sz w:val="24"/>
          <w:szCs w:val="24"/>
          <w:lang w:eastAsia="ar-SA"/>
        </w:rPr>
        <w:t xml:space="preserve"> technologies;</w:t>
      </w:r>
    </w:p>
    <w:p w14:paraId="197D99B4" w14:textId="3AC2EAFC" w:rsidR="002C094B" w:rsidRDefault="002C094B" w:rsidP="002C094B">
      <w:pPr>
        <w:pStyle w:val="Paragrafoelenco"/>
        <w:numPr>
          <w:ilvl w:val="0"/>
          <w:numId w:val="35"/>
        </w:num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Diagnostic and instrumentations;</w:t>
      </w:r>
    </w:p>
    <w:p w14:paraId="62BDA993" w14:textId="0EADC9E3" w:rsidR="002C094B" w:rsidRDefault="002C094B" w:rsidP="002C094B">
      <w:pPr>
        <w:pStyle w:val="Paragrafoelenco"/>
        <w:numPr>
          <w:ilvl w:val="0"/>
          <w:numId w:val="35"/>
        </w:num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Modelling and simulations;</w:t>
      </w:r>
    </w:p>
    <w:p w14:paraId="3C26CF39" w14:textId="52479F3F" w:rsidR="002C094B" w:rsidRDefault="002C094B" w:rsidP="002C094B">
      <w:pPr>
        <w:pStyle w:val="Paragrafoelenco"/>
        <w:numPr>
          <w:ilvl w:val="0"/>
          <w:numId w:val="35"/>
        </w:num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Safety analysis;</w:t>
      </w:r>
    </w:p>
    <w:p w14:paraId="20B503C3" w14:textId="3A8016A8" w:rsidR="002C094B" w:rsidRDefault="002C094B" w:rsidP="002C094B">
      <w:pPr>
        <w:pStyle w:val="Paragrafoelenco"/>
        <w:numPr>
          <w:ilvl w:val="0"/>
          <w:numId w:val="35"/>
        </w:num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Manufacturing and supply chain;</w:t>
      </w:r>
    </w:p>
    <w:p w14:paraId="08853BBC" w14:textId="765AAB58" w:rsidR="002C094B" w:rsidRPr="002C094B" w:rsidRDefault="002C094B" w:rsidP="002C094B">
      <w:pPr>
        <w:pStyle w:val="Paragrafoelenco"/>
        <w:numPr>
          <w:ilvl w:val="0"/>
          <w:numId w:val="35"/>
        </w:num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>Operational and maintenance</w:t>
      </w:r>
      <w:r w:rsidR="005413B7">
        <w:rPr>
          <w:rFonts w:eastAsiaTheme="minorHAnsi"/>
          <w:sz w:val="24"/>
          <w:szCs w:val="24"/>
          <w:lang w:eastAsia="ar-SA"/>
        </w:rPr>
        <w:t>.</w:t>
      </w:r>
    </w:p>
    <w:p w14:paraId="4836C02C" w14:textId="604AACF2" w:rsidR="005413B7" w:rsidRDefault="002C094B" w:rsidP="007B16D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ar-SA"/>
        </w:rPr>
        <w:t xml:space="preserve">The </w:t>
      </w:r>
      <w:r w:rsidR="005413B7">
        <w:rPr>
          <w:rFonts w:eastAsiaTheme="minorHAnsi"/>
          <w:sz w:val="24"/>
          <w:szCs w:val="24"/>
          <w:lang w:eastAsia="ar-SA"/>
        </w:rPr>
        <w:t>transfer of the competence developed in fission application and the identification of common issue between the two program</w:t>
      </w:r>
      <w:r w:rsidR="003C6860">
        <w:rPr>
          <w:rFonts w:eastAsiaTheme="minorHAnsi"/>
          <w:sz w:val="24"/>
          <w:szCs w:val="24"/>
          <w:lang w:eastAsia="ar-SA"/>
        </w:rPr>
        <w:t>s</w:t>
      </w:r>
      <w:r w:rsidR="005413B7">
        <w:rPr>
          <w:rFonts w:eastAsiaTheme="minorHAnsi"/>
          <w:sz w:val="24"/>
          <w:szCs w:val="24"/>
          <w:lang w:eastAsia="ar-SA"/>
        </w:rPr>
        <w:t xml:space="preserve"> will allow t</w:t>
      </w:r>
      <w:r w:rsidR="003C6860">
        <w:rPr>
          <w:rFonts w:eastAsiaTheme="minorHAnsi"/>
          <w:sz w:val="24"/>
          <w:szCs w:val="24"/>
          <w:lang w:eastAsia="ar-SA"/>
        </w:rPr>
        <w:t>o</w:t>
      </w:r>
      <w:r w:rsidR="005413B7">
        <w:rPr>
          <w:rFonts w:eastAsiaTheme="minorHAnsi"/>
          <w:sz w:val="24"/>
          <w:szCs w:val="24"/>
          <w:lang w:eastAsia="ar-SA"/>
        </w:rPr>
        <w:t xml:space="preserve"> progress faster </w:t>
      </w:r>
      <w:r w:rsidR="003C6860">
        <w:rPr>
          <w:rFonts w:eastAsiaTheme="minorHAnsi"/>
          <w:sz w:val="24"/>
          <w:szCs w:val="24"/>
          <w:lang w:eastAsia="ar-SA"/>
        </w:rPr>
        <w:t xml:space="preserve">in fusion research </w:t>
      </w:r>
      <w:r w:rsidR="005413B7">
        <w:rPr>
          <w:rFonts w:eastAsiaTheme="minorHAnsi"/>
          <w:sz w:val="24"/>
          <w:szCs w:val="24"/>
          <w:lang w:eastAsia="ar-SA"/>
        </w:rPr>
        <w:t xml:space="preserve">than in the past. A first </w:t>
      </w:r>
      <w:r w:rsidR="00090A93">
        <w:rPr>
          <w:rFonts w:eastAsiaTheme="minorHAnsi"/>
          <w:sz w:val="24"/>
          <w:szCs w:val="24"/>
          <w:lang w:eastAsia="ar-SA"/>
        </w:rPr>
        <w:t>database related common experimental facilit</w:t>
      </w:r>
      <w:r w:rsidR="003C6860">
        <w:rPr>
          <w:rFonts w:eastAsiaTheme="minorHAnsi"/>
          <w:sz w:val="24"/>
          <w:szCs w:val="24"/>
          <w:lang w:eastAsia="ar-SA"/>
        </w:rPr>
        <w:t>ies</w:t>
      </w:r>
      <w:r w:rsidR="00090A93">
        <w:rPr>
          <w:rFonts w:eastAsiaTheme="minorHAnsi"/>
          <w:sz w:val="24"/>
          <w:szCs w:val="24"/>
          <w:lang w:eastAsia="ar-SA"/>
        </w:rPr>
        <w:t xml:space="preserve"> for material characterisation, component and system qualification has to be defined.</w:t>
      </w:r>
    </w:p>
    <w:p w14:paraId="2D816F6B" w14:textId="77777777" w:rsidR="002C094B" w:rsidRDefault="002C094B" w:rsidP="007B16D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</w:p>
    <w:p w14:paraId="15EBF032" w14:textId="77777777" w:rsidR="002C094B" w:rsidRDefault="002C094B" w:rsidP="007B16D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</w:p>
    <w:p w14:paraId="197201E0" w14:textId="5315762C" w:rsidR="00604C59" w:rsidRPr="00DF3A79" w:rsidRDefault="00604C59" w:rsidP="00046928">
      <w:pPr>
        <w:pStyle w:val="Otherunnumberedheadings"/>
        <w:spacing w:before="280" w:beforeAutospacing="0" w:after="280" w:afterAutospacing="0"/>
        <w:rPr>
          <w:rFonts w:ascii="Times New Roman" w:hAnsi="Times New Roman"/>
          <w:sz w:val="24"/>
          <w:szCs w:val="24"/>
        </w:rPr>
      </w:pPr>
      <w:r w:rsidRPr="00DF3A79">
        <w:rPr>
          <w:rFonts w:ascii="Times New Roman" w:hAnsi="Times New Roman"/>
          <w:sz w:val="24"/>
          <w:szCs w:val="24"/>
        </w:rPr>
        <w:t>References</w:t>
      </w:r>
    </w:p>
    <w:p w14:paraId="03B868F1" w14:textId="564C25CF" w:rsidR="000B11F2" w:rsidRDefault="000B11F2" w:rsidP="000B11F2">
      <w:pPr>
        <w:pStyle w:val="Referencelist"/>
        <w:ind w:left="567" w:hanging="567"/>
        <w:rPr>
          <w:sz w:val="22"/>
          <w:szCs w:val="22"/>
        </w:rPr>
      </w:pPr>
      <w:r w:rsidRPr="000B11F2">
        <w:rPr>
          <w:sz w:val="22"/>
          <w:szCs w:val="22"/>
        </w:rPr>
        <w:lastRenderedPageBreak/>
        <w:t xml:space="preserve">IAEA. </w:t>
      </w:r>
      <w:r w:rsidRPr="006E1191">
        <w:rPr>
          <w:i/>
          <w:iCs/>
          <w:sz w:val="22"/>
          <w:szCs w:val="22"/>
        </w:rPr>
        <w:t>Reference Data Series no. 2 - Nuclear Power Reactors in the World</w:t>
      </w:r>
      <w:r w:rsidRPr="000B11F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B11F2">
        <w:rPr>
          <w:sz w:val="22"/>
          <w:szCs w:val="22"/>
        </w:rPr>
        <w:t>IAEA, 2020.</w:t>
      </w:r>
    </w:p>
    <w:p w14:paraId="60D8BCBC" w14:textId="303F7D3E" w:rsidR="00B726F7" w:rsidRDefault="00B726F7" w:rsidP="00B726F7">
      <w:pPr>
        <w:pStyle w:val="Referencelist"/>
        <w:ind w:left="567" w:hanging="567"/>
        <w:rPr>
          <w:sz w:val="22"/>
          <w:szCs w:val="22"/>
        </w:rPr>
      </w:pPr>
      <w:r w:rsidRPr="000B11F2">
        <w:rPr>
          <w:sz w:val="22"/>
          <w:szCs w:val="22"/>
        </w:rPr>
        <w:t xml:space="preserve">IAEA. </w:t>
      </w:r>
      <w:r w:rsidRPr="006E1191">
        <w:rPr>
          <w:i/>
          <w:iCs/>
          <w:sz w:val="22"/>
          <w:szCs w:val="22"/>
        </w:rPr>
        <w:t>Nuclear Energy for a Net Zero World</w:t>
      </w:r>
      <w:r w:rsidRPr="000B11F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B11F2">
        <w:rPr>
          <w:sz w:val="22"/>
          <w:szCs w:val="22"/>
        </w:rPr>
        <w:t>IAEA, 202</w:t>
      </w:r>
      <w:r>
        <w:rPr>
          <w:sz w:val="22"/>
          <w:szCs w:val="22"/>
        </w:rPr>
        <w:t>1</w:t>
      </w:r>
      <w:r w:rsidRPr="000B11F2">
        <w:rPr>
          <w:sz w:val="22"/>
          <w:szCs w:val="22"/>
        </w:rPr>
        <w:t>.</w:t>
      </w:r>
    </w:p>
    <w:p w14:paraId="1DD54EF6" w14:textId="77777777" w:rsidR="00B726F7" w:rsidRDefault="00B726F7" w:rsidP="00B726F7">
      <w:pPr>
        <w:pStyle w:val="Referencelist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IEA. </w:t>
      </w:r>
      <w:r w:rsidRPr="006E1191">
        <w:rPr>
          <w:i/>
          <w:iCs/>
          <w:sz w:val="22"/>
          <w:szCs w:val="22"/>
        </w:rPr>
        <w:t>World Energy Outlook 2020</w:t>
      </w:r>
      <w:r>
        <w:rPr>
          <w:sz w:val="22"/>
          <w:szCs w:val="22"/>
        </w:rPr>
        <w:t>. IEA, 2020.</w:t>
      </w:r>
    </w:p>
    <w:p w14:paraId="0EEFF8B0" w14:textId="7B69B56E" w:rsidR="00B726F7" w:rsidRDefault="00B726F7" w:rsidP="00B726F7">
      <w:pPr>
        <w:pStyle w:val="Referencelist"/>
        <w:ind w:left="567" w:hanging="567"/>
        <w:rPr>
          <w:sz w:val="22"/>
          <w:szCs w:val="22"/>
        </w:rPr>
      </w:pPr>
      <w:r w:rsidRPr="00B726F7">
        <w:rPr>
          <w:sz w:val="22"/>
          <w:szCs w:val="22"/>
        </w:rPr>
        <w:t xml:space="preserve">Nuclear Energy Agency and the International Atomic Energy Agency. </w:t>
      </w:r>
      <w:r w:rsidRPr="006E1191">
        <w:rPr>
          <w:i/>
          <w:iCs/>
          <w:sz w:val="22"/>
          <w:szCs w:val="22"/>
        </w:rPr>
        <w:t>Uranium 2020: Resources, Production and Demand</w:t>
      </w:r>
      <w:r w:rsidRPr="00B726F7">
        <w:rPr>
          <w:sz w:val="22"/>
          <w:szCs w:val="22"/>
        </w:rPr>
        <w:t>. Nuclear Energy Agency,</w:t>
      </w:r>
      <w:r>
        <w:rPr>
          <w:sz w:val="22"/>
          <w:szCs w:val="22"/>
        </w:rPr>
        <w:t xml:space="preserve"> </w:t>
      </w:r>
      <w:r w:rsidRPr="00B726F7">
        <w:rPr>
          <w:sz w:val="22"/>
          <w:szCs w:val="22"/>
        </w:rPr>
        <w:t>the Organisation for Economic Co-operation, and Development, 2020.</w:t>
      </w:r>
    </w:p>
    <w:p w14:paraId="21622B42" w14:textId="2BD9B39B" w:rsidR="00B726F7" w:rsidRDefault="00507A89" w:rsidP="00B726F7">
      <w:pPr>
        <w:pStyle w:val="Referencelist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BAE, K., and KIM, M. H., </w:t>
      </w:r>
      <w:r w:rsidRPr="006E1191">
        <w:rPr>
          <w:i/>
          <w:iCs/>
          <w:sz w:val="22"/>
          <w:szCs w:val="22"/>
        </w:rPr>
        <w:t>Core Design for Heterogeneous Thorium Fuel Assemblies for PWR (I)-Nuclear Design and Fuel Cycle Economy</w:t>
      </w:r>
      <w:r>
        <w:rPr>
          <w:sz w:val="22"/>
          <w:szCs w:val="22"/>
        </w:rPr>
        <w:t xml:space="preserve">, </w:t>
      </w:r>
      <w:r w:rsidRPr="00507A89">
        <w:rPr>
          <w:sz w:val="22"/>
          <w:szCs w:val="22"/>
        </w:rPr>
        <w:t xml:space="preserve">Nuclear Engineering and Technology </w:t>
      </w:r>
      <w:r w:rsidRPr="00507A89">
        <w:rPr>
          <w:b/>
          <w:bCs/>
          <w:sz w:val="22"/>
          <w:szCs w:val="22"/>
        </w:rPr>
        <w:t>37</w:t>
      </w:r>
      <w:r>
        <w:rPr>
          <w:sz w:val="22"/>
          <w:szCs w:val="22"/>
        </w:rPr>
        <w:t xml:space="preserve"> (2005) 91-100.</w:t>
      </w:r>
    </w:p>
    <w:p w14:paraId="59CC062B" w14:textId="77777777" w:rsidR="003C6860" w:rsidRDefault="003C6860" w:rsidP="0004405F">
      <w:pPr>
        <w:pStyle w:val="Referencelist"/>
        <w:numPr>
          <w:ilvl w:val="0"/>
          <w:numId w:val="0"/>
        </w:numPr>
        <w:ind w:left="567"/>
        <w:rPr>
          <w:sz w:val="22"/>
          <w:szCs w:val="22"/>
        </w:rPr>
      </w:pPr>
      <w:bookmarkStart w:id="2" w:name="_GoBack"/>
      <w:bookmarkEnd w:id="2"/>
    </w:p>
    <w:p w14:paraId="0AD13BCB" w14:textId="14D18101" w:rsidR="000622B9" w:rsidRPr="006E1191" w:rsidRDefault="000622B9" w:rsidP="0008251F">
      <w:pPr>
        <w:pStyle w:val="Referencelist"/>
        <w:numPr>
          <w:ilvl w:val="0"/>
          <w:numId w:val="0"/>
        </w:numPr>
        <w:rPr>
          <w:sz w:val="22"/>
          <w:szCs w:val="22"/>
        </w:rPr>
      </w:pPr>
    </w:p>
    <w:sectPr w:rsidR="000622B9" w:rsidRPr="006E1191" w:rsidSect="0026525A"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3CC07" w14:textId="77777777" w:rsidR="002B671F" w:rsidRDefault="002B671F">
      <w:r>
        <w:separator/>
      </w:r>
    </w:p>
  </w:endnote>
  <w:endnote w:type="continuationSeparator" w:id="0">
    <w:p w14:paraId="2686A3D4" w14:textId="77777777" w:rsidR="002B671F" w:rsidRDefault="002B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CF06" w14:textId="77777777" w:rsidR="004C24C2" w:rsidRDefault="004C24C2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00521DA" w14:textId="77777777" w:rsidR="004C24C2" w:rsidRDefault="004C24C2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0B193" w14:textId="6E1AF563" w:rsidR="004C24C2" w:rsidRPr="00C95D35" w:rsidRDefault="004C24C2" w:rsidP="00C95D3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4C24C2" w14:paraId="55EDCE14" w14:textId="77777777">
      <w:trPr>
        <w:cantSplit/>
      </w:trPr>
      <w:tc>
        <w:tcPr>
          <w:tcW w:w="4644" w:type="dxa"/>
        </w:tcPr>
        <w:p w14:paraId="4046DEF9" w14:textId="77777777" w:rsidR="004C24C2" w:rsidRDefault="004C24C2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77777777" w:rsidR="004C24C2" w:rsidRDefault="004C24C2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4" w:name="DOC_bkmClassification2"/>
      <w:tc>
        <w:tcPr>
          <w:tcW w:w="5670" w:type="dxa"/>
          <w:tcMar>
            <w:right w:w="249" w:type="dxa"/>
          </w:tcMar>
        </w:tcPr>
        <w:p w14:paraId="5BEF3012" w14:textId="77777777" w:rsidR="004C24C2" w:rsidRDefault="004C24C2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4"/>
        <w:p w14:paraId="02140AC5" w14:textId="77777777" w:rsidR="004C24C2" w:rsidRDefault="004C24C2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5" w:name="DOC_bkmFileName"/>
  <w:p w14:paraId="1F07BD0C" w14:textId="77777777" w:rsidR="004C24C2" w:rsidRDefault="004C24C2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>
      <w:rPr>
        <w:noProof/>
        <w:sz w:val="16"/>
      </w:rPr>
      <w:t>Example paper.docx</w:t>
    </w:r>
    <w:r>
      <w:rPr>
        <w:sz w:val="16"/>
      </w:rPr>
      <w:fldChar w:fldCharType="end"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580E4" w14:textId="77777777" w:rsidR="002B671F" w:rsidRDefault="002B671F">
      <w:r>
        <w:t>___________________________________________________________________________</w:t>
      </w:r>
    </w:p>
  </w:footnote>
  <w:footnote w:type="continuationSeparator" w:id="0">
    <w:p w14:paraId="14EC2175" w14:textId="77777777" w:rsidR="002B671F" w:rsidRDefault="002B671F">
      <w:r>
        <w:t>___________________________________________________________________________</w:t>
      </w:r>
    </w:p>
  </w:footnote>
  <w:footnote w:type="continuationNotice" w:id="1">
    <w:p w14:paraId="519073EB" w14:textId="77777777" w:rsidR="002B671F" w:rsidRDefault="002B671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4C24C2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4C24C2" w:rsidRDefault="004C24C2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4C24C2" w:rsidRDefault="004C24C2">
          <w:pPr>
            <w:spacing w:after="20"/>
          </w:pPr>
        </w:p>
      </w:tc>
      <w:bookmarkStart w:id="3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77777777" w:rsidR="004C24C2" w:rsidRDefault="004C24C2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3"/>
        <w:p w14:paraId="618A6006" w14:textId="77777777" w:rsidR="004C24C2" w:rsidRDefault="004C24C2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4C24C2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4C24C2" w:rsidRDefault="004C24C2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4C24C2" w:rsidRDefault="004C24C2">
          <w:pPr>
            <w:pStyle w:val="Titolo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4C24C2" w:rsidRDefault="004C24C2">
          <w:pPr>
            <w:pStyle w:val="Titolo9"/>
            <w:spacing w:before="0" w:after="10"/>
          </w:pPr>
        </w:p>
      </w:tc>
    </w:tr>
  </w:tbl>
  <w:p w14:paraId="2C88053A" w14:textId="77777777" w:rsidR="004C24C2" w:rsidRDefault="004C24C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 w15:restartNumberingAfterBreak="0">
    <w:nsid w:val="047D6151"/>
    <w:multiLevelType w:val="hybridMultilevel"/>
    <w:tmpl w:val="32DEB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4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0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Titolo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Titolo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3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2"/>
  </w:num>
  <w:num w:numId="5">
    <w:abstractNumId w:val="12"/>
  </w:num>
  <w:num w:numId="6">
    <w:abstractNumId w:val="7"/>
  </w:num>
  <w:num w:numId="7">
    <w:abstractNumId w:val="10"/>
  </w:num>
  <w:num w:numId="8">
    <w:abstractNumId w:val="13"/>
  </w:num>
  <w:num w:numId="9">
    <w:abstractNumId w:val="3"/>
  </w:num>
  <w:num w:numId="10">
    <w:abstractNumId w:val="12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Titolo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Titolo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12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Titolo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Titolo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2"/>
  </w:num>
  <w:num w:numId="16">
    <w:abstractNumId w:val="12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  <w:num w:numId="21">
    <w:abstractNumId w:val="12"/>
  </w:num>
  <w:num w:numId="22">
    <w:abstractNumId w:val="5"/>
  </w:num>
  <w:num w:numId="23">
    <w:abstractNumId w:val="2"/>
  </w:num>
  <w:num w:numId="24">
    <w:abstractNumId w:val="11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8"/>
  </w:num>
  <w:num w:numId="31">
    <w:abstractNumId w:val="8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MTCyNDExtTQ1NzNW0lEKTi0uzszPAykwqgUA27xl+CwAAAA="/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11C41"/>
    <w:rsid w:val="000137F6"/>
    <w:rsid w:val="000229AB"/>
    <w:rsid w:val="0002569A"/>
    <w:rsid w:val="000300A7"/>
    <w:rsid w:val="00037321"/>
    <w:rsid w:val="0004405F"/>
    <w:rsid w:val="00046928"/>
    <w:rsid w:val="000552F9"/>
    <w:rsid w:val="000622B9"/>
    <w:rsid w:val="000646BA"/>
    <w:rsid w:val="000665C8"/>
    <w:rsid w:val="0007032E"/>
    <w:rsid w:val="00073700"/>
    <w:rsid w:val="0008251F"/>
    <w:rsid w:val="00083E9C"/>
    <w:rsid w:val="00090A93"/>
    <w:rsid w:val="000A0299"/>
    <w:rsid w:val="000A2B47"/>
    <w:rsid w:val="000B11F2"/>
    <w:rsid w:val="000C6874"/>
    <w:rsid w:val="000F7E94"/>
    <w:rsid w:val="00107F61"/>
    <w:rsid w:val="001119D6"/>
    <w:rsid w:val="0012117D"/>
    <w:rsid w:val="00126389"/>
    <w:rsid w:val="001308F2"/>
    <w:rsid w:val="001313E8"/>
    <w:rsid w:val="0015216E"/>
    <w:rsid w:val="0016289B"/>
    <w:rsid w:val="00163417"/>
    <w:rsid w:val="00173D3E"/>
    <w:rsid w:val="0018111C"/>
    <w:rsid w:val="0019014D"/>
    <w:rsid w:val="0019517F"/>
    <w:rsid w:val="001C58F5"/>
    <w:rsid w:val="001D5CEE"/>
    <w:rsid w:val="001F49FB"/>
    <w:rsid w:val="002071D9"/>
    <w:rsid w:val="002130B4"/>
    <w:rsid w:val="00222A45"/>
    <w:rsid w:val="00235900"/>
    <w:rsid w:val="00240D61"/>
    <w:rsid w:val="00256822"/>
    <w:rsid w:val="00262A3E"/>
    <w:rsid w:val="0026525A"/>
    <w:rsid w:val="00265CBF"/>
    <w:rsid w:val="00274790"/>
    <w:rsid w:val="00285755"/>
    <w:rsid w:val="00295595"/>
    <w:rsid w:val="002A1F9C"/>
    <w:rsid w:val="002A3DC4"/>
    <w:rsid w:val="002A5E64"/>
    <w:rsid w:val="002B2888"/>
    <w:rsid w:val="002B29C2"/>
    <w:rsid w:val="002B671F"/>
    <w:rsid w:val="002C094B"/>
    <w:rsid w:val="002C2803"/>
    <w:rsid w:val="002C4208"/>
    <w:rsid w:val="002C4A66"/>
    <w:rsid w:val="002D495B"/>
    <w:rsid w:val="00300052"/>
    <w:rsid w:val="00306628"/>
    <w:rsid w:val="00311531"/>
    <w:rsid w:val="00313363"/>
    <w:rsid w:val="00325678"/>
    <w:rsid w:val="00333AB7"/>
    <w:rsid w:val="00335FE4"/>
    <w:rsid w:val="00352DE1"/>
    <w:rsid w:val="00354BB7"/>
    <w:rsid w:val="0036063F"/>
    <w:rsid w:val="00367CB1"/>
    <w:rsid w:val="003728E6"/>
    <w:rsid w:val="003760DD"/>
    <w:rsid w:val="00382257"/>
    <w:rsid w:val="00382A63"/>
    <w:rsid w:val="00391FBF"/>
    <w:rsid w:val="003B5E0E"/>
    <w:rsid w:val="003C6860"/>
    <w:rsid w:val="003D255A"/>
    <w:rsid w:val="003F1C42"/>
    <w:rsid w:val="00416949"/>
    <w:rsid w:val="00434009"/>
    <w:rsid w:val="004370D8"/>
    <w:rsid w:val="0043752A"/>
    <w:rsid w:val="00442157"/>
    <w:rsid w:val="00446113"/>
    <w:rsid w:val="00472C43"/>
    <w:rsid w:val="00477B19"/>
    <w:rsid w:val="00487BE4"/>
    <w:rsid w:val="004910D8"/>
    <w:rsid w:val="004B0A35"/>
    <w:rsid w:val="004C24C2"/>
    <w:rsid w:val="004D1801"/>
    <w:rsid w:val="004E569D"/>
    <w:rsid w:val="004E71F7"/>
    <w:rsid w:val="00507A89"/>
    <w:rsid w:val="0052042B"/>
    <w:rsid w:val="005254DE"/>
    <w:rsid w:val="00531141"/>
    <w:rsid w:val="00537496"/>
    <w:rsid w:val="005413B7"/>
    <w:rsid w:val="00544ED3"/>
    <w:rsid w:val="005456B0"/>
    <w:rsid w:val="00547F26"/>
    <w:rsid w:val="00555BA4"/>
    <w:rsid w:val="0056381D"/>
    <w:rsid w:val="0057131A"/>
    <w:rsid w:val="0058477B"/>
    <w:rsid w:val="0058654F"/>
    <w:rsid w:val="00596ACA"/>
    <w:rsid w:val="005A009A"/>
    <w:rsid w:val="005A1DDA"/>
    <w:rsid w:val="005B7E6B"/>
    <w:rsid w:val="005C5D2D"/>
    <w:rsid w:val="005D48F3"/>
    <w:rsid w:val="005E39BC"/>
    <w:rsid w:val="005F00A0"/>
    <w:rsid w:val="005F4AF8"/>
    <w:rsid w:val="006000B2"/>
    <w:rsid w:val="0060039F"/>
    <w:rsid w:val="00604C59"/>
    <w:rsid w:val="00612CB0"/>
    <w:rsid w:val="00647F33"/>
    <w:rsid w:val="00650AF2"/>
    <w:rsid w:val="00654B09"/>
    <w:rsid w:val="00654BFF"/>
    <w:rsid w:val="00662532"/>
    <w:rsid w:val="00675240"/>
    <w:rsid w:val="0068266C"/>
    <w:rsid w:val="00684298"/>
    <w:rsid w:val="006B2274"/>
    <w:rsid w:val="006E1191"/>
    <w:rsid w:val="006E1E57"/>
    <w:rsid w:val="006E37FD"/>
    <w:rsid w:val="006E5248"/>
    <w:rsid w:val="006F3D2F"/>
    <w:rsid w:val="007113E8"/>
    <w:rsid w:val="00717C6F"/>
    <w:rsid w:val="007445DA"/>
    <w:rsid w:val="00751DC8"/>
    <w:rsid w:val="00762CC1"/>
    <w:rsid w:val="00765630"/>
    <w:rsid w:val="00790E9A"/>
    <w:rsid w:val="007A7A93"/>
    <w:rsid w:val="007B16D8"/>
    <w:rsid w:val="007B4FD1"/>
    <w:rsid w:val="007B57CF"/>
    <w:rsid w:val="007D0519"/>
    <w:rsid w:val="007E05B7"/>
    <w:rsid w:val="007F7C5C"/>
    <w:rsid w:val="00800B84"/>
    <w:rsid w:val="00802381"/>
    <w:rsid w:val="00815F3A"/>
    <w:rsid w:val="00826072"/>
    <w:rsid w:val="008270D0"/>
    <w:rsid w:val="00827B38"/>
    <w:rsid w:val="0085046A"/>
    <w:rsid w:val="008601BE"/>
    <w:rsid w:val="00883848"/>
    <w:rsid w:val="00884B2C"/>
    <w:rsid w:val="00887C1D"/>
    <w:rsid w:val="00897ED5"/>
    <w:rsid w:val="008A22E7"/>
    <w:rsid w:val="008B6BB9"/>
    <w:rsid w:val="008C3C89"/>
    <w:rsid w:val="008D14F5"/>
    <w:rsid w:val="008F4C98"/>
    <w:rsid w:val="00911543"/>
    <w:rsid w:val="00922E73"/>
    <w:rsid w:val="00935566"/>
    <w:rsid w:val="009519C9"/>
    <w:rsid w:val="009A3CC5"/>
    <w:rsid w:val="009C428A"/>
    <w:rsid w:val="009D0B86"/>
    <w:rsid w:val="009D21F0"/>
    <w:rsid w:val="009D394D"/>
    <w:rsid w:val="009E0D5B"/>
    <w:rsid w:val="009E1558"/>
    <w:rsid w:val="009F3683"/>
    <w:rsid w:val="00A1495E"/>
    <w:rsid w:val="00A22D0A"/>
    <w:rsid w:val="00A27524"/>
    <w:rsid w:val="00A27B3B"/>
    <w:rsid w:val="00A42898"/>
    <w:rsid w:val="00A54AB1"/>
    <w:rsid w:val="00A61821"/>
    <w:rsid w:val="00A62479"/>
    <w:rsid w:val="00A964E3"/>
    <w:rsid w:val="00A9768F"/>
    <w:rsid w:val="00AA6A78"/>
    <w:rsid w:val="00AB6ACE"/>
    <w:rsid w:val="00AC5A3A"/>
    <w:rsid w:val="00AD3A32"/>
    <w:rsid w:val="00AD41C9"/>
    <w:rsid w:val="00AD6BB4"/>
    <w:rsid w:val="00AE0AE2"/>
    <w:rsid w:val="00AE3283"/>
    <w:rsid w:val="00AE6705"/>
    <w:rsid w:val="00B07B27"/>
    <w:rsid w:val="00B1443F"/>
    <w:rsid w:val="00B35D99"/>
    <w:rsid w:val="00B54CDF"/>
    <w:rsid w:val="00B6420A"/>
    <w:rsid w:val="00B726F7"/>
    <w:rsid w:val="00B7680D"/>
    <w:rsid w:val="00B808D8"/>
    <w:rsid w:val="00B82FA5"/>
    <w:rsid w:val="00B90025"/>
    <w:rsid w:val="00B97511"/>
    <w:rsid w:val="00BB3DBA"/>
    <w:rsid w:val="00BC0D33"/>
    <w:rsid w:val="00BD1400"/>
    <w:rsid w:val="00BD196C"/>
    <w:rsid w:val="00BD605C"/>
    <w:rsid w:val="00BE2A76"/>
    <w:rsid w:val="00C06783"/>
    <w:rsid w:val="00C520EE"/>
    <w:rsid w:val="00C54A96"/>
    <w:rsid w:val="00C65405"/>
    <w:rsid w:val="00C65E60"/>
    <w:rsid w:val="00C81532"/>
    <w:rsid w:val="00C87489"/>
    <w:rsid w:val="00C95D35"/>
    <w:rsid w:val="00CB0288"/>
    <w:rsid w:val="00CC2382"/>
    <w:rsid w:val="00CD7ABF"/>
    <w:rsid w:val="00CE37DE"/>
    <w:rsid w:val="00CE5A52"/>
    <w:rsid w:val="00CF7AF3"/>
    <w:rsid w:val="00D26ADA"/>
    <w:rsid w:val="00D35A78"/>
    <w:rsid w:val="00D540F3"/>
    <w:rsid w:val="00D555A1"/>
    <w:rsid w:val="00D60C0A"/>
    <w:rsid w:val="00D64DC2"/>
    <w:rsid w:val="00D93992"/>
    <w:rsid w:val="00D93BBB"/>
    <w:rsid w:val="00DA46CA"/>
    <w:rsid w:val="00DA497D"/>
    <w:rsid w:val="00DB002C"/>
    <w:rsid w:val="00DC1C67"/>
    <w:rsid w:val="00DC2268"/>
    <w:rsid w:val="00DD436C"/>
    <w:rsid w:val="00DD66FA"/>
    <w:rsid w:val="00DE024B"/>
    <w:rsid w:val="00DE19DC"/>
    <w:rsid w:val="00DE5C99"/>
    <w:rsid w:val="00DE7061"/>
    <w:rsid w:val="00DE729A"/>
    <w:rsid w:val="00DE79CB"/>
    <w:rsid w:val="00DF21EB"/>
    <w:rsid w:val="00DF3A79"/>
    <w:rsid w:val="00DF69EA"/>
    <w:rsid w:val="00DF72D9"/>
    <w:rsid w:val="00E20E70"/>
    <w:rsid w:val="00E25B68"/>
    <w:rsid w:val="00E45A9E"/>
    <w:rsid w:val="00E84003"/>
    <w:rsid w:val="00EB48F4"/>
    <w:rsid w:val="00EC10FC"/>
    <w:rsid w:val="00EE0041"/>
    <w:rsid w:val="00EE29B9"/>
    <w:rsid w:val="00EE302C"/>
    <w:rsid w:val="00EE30B2"/>
    <w:rsid w:val="00EF5DCA"/>
    <w:rsid w:val="00F004EE"/>
    <w:rsid w:val="00F03A87"/>
    <w:rsid w:val="00F041CD"/>
    <w:rsid w:val="00F24B40"/>
    <w:rsid w:val="00F26143"/>
    <w:rsid w:val="00F42E23"/>
    <w:rsid w:val="00F45EEE"/>
    <w:rsid w:val="00F51E9C"/>
    <w:rsid w:val="00F523CA"/>
    <w:rsid w:val="00F5541B"/>
    <w:rsid w:val="00F56BA1"/>
    <w:rsid w:val="00F60749"/>
    <w:rsid w:val="00F66253"/>
    <w:rsid w:val="00F70F80"/>
    <w:rsid w:val="00F74A9D"/>
    <w:rsid w:val="00F81411"/>
    <w:rsid w:val="00F951F1"/>
    <w:rsid w:val="00F9590C"/>
    <w:rsid w:val="00FB4093"/>
    <w:rsid w:val="00FC79A2"/>
    <w:rsid w:val="00FF0B34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A9FC1"/>
  <w15:docId w15:val="{F6E9C11F-88D7-49D1-AF60-904869DC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1">
    <w:lsdException w:name="Normal" w:locked="0"/>
    <w:lsdException w:name="heading 1" w:locked="0" w:uiPriority="0" w:qFormat="1"/>
    <w:lsdException w:name="heading 2" w:locked="0" w:uiPriority="0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locked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nhideWhenUsed="1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Titolo1">
    <w:name w:val="heading 1"/>
    <w:aliases w:val="Paper title"/>
    <w:next w:val="Sottotitolo"/>
    <w:link w:val="Titolo1Carattere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Titolo2">
    <w:name w:val="heading 2"/>
    <w:aliases w:val="1st level paper heading"/>
    <w:next w:val="Corpotesto"/>
    <w:link w:val="Titolo2Carattere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Titolo3">
    <w:name w:val="heading 3"/>
    <w:aliases w:val="2nd level paper heading"/>
    <w:next w:val="Corpotesto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Titolo4">
    <w:name w:val="heading 4"/>
    <w:aliases w:val="3rd level paper heading"/>
    <w:basedOn w:val="Normale"/>
    <w:next w:val="Corpotesto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Titolo5">
    <w:name w:val="heading 5"/>
    <w:basedOn w:val="Normale"/>
    <w:next w:val="Normale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Titolo7">
    <w:name w:val="heading 7"/>
    <w:basedOn w:val="Normale"/>
    <w:next w:val="Normale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Titolo8">
    <w:name w:val="heading 8"/>
    <w:basedOn w:val="Normale"/>
    <w:next w:val="Normale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Titolo9">
    <w:name w:val="heading 9"/>
    <w:basedOn w:val="Normale"/>
    <w:next w:val="Normale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Rientrocorpodeltesto">
    <w:name w:val="Body Text Indent"/>
    <w:basedOn w:val="Corpotesto"/>
    <w:uiPriority w:val="49"/>
    <w:locked/>
    <w:pPr>
      <w:ind w:left="1134" w:hanging="675"/>
    </w:pPr>
  </w:style>
  <w:style w:type="paragraph" w:customStyle="1" w:styleId="BodyTextMultiline">
    <w:name w:val="Body Text Multiline"/>
    <w:basedOn w:val="Corpotesto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Didascalia">
    <w:name w:val="caption"/>
    <w:aliases w:val="Tabelle,Figure_caption Carattere,Table_caption Carattere,Figure_caption Carattere Carattere Carattere Carattere,Table_caption,Название объекта Знак,0 - Didascalia,Didascalia Figure"/>
    <w:next w:val="Normale"/>
    <w:link w:val="DidascaliaCarattere"/>
    <w:uiPriority w:val="35"/>
    <w:qFormat/>
    <w:pPr>
      <w:spacing w:after="85"/>
    </w:pPr>
    <w:rPr>
      <w:bCs/>
      <w:sz w:val="18"/>
      <w:lang w:val="en-US" w:eastAsia="en-US"/>
    </w:rPr>
  </w:style>
  <w:style w:type="paragraph" w:styleId="Pidipagina">
    <w:name w:val="footer"/>
    <w:basedOn w:val="Normale"/>
    <w:link w:val="PidipaginaCarattere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Testonotaapidipagina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Intestazione">
    <w:name w:val="header"/>
    <w:next w:val="Corpotesto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Corpotesto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Corpotesto"/>
    <w:uiPriority w:val="5"/>
    <w:qFormat/>
    <w:locked/>
    <w:rsid w:val="00717C6F"/>
    <w:pPr>
      <w:numPr>
        <w:numId w:val="22"/>
      </w:numPr>
    </w:pPr>
  </w:style>
  <w:style w:type="paragraph" w:styleId="Titolo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e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e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e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e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e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e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Rimandonotaapidipagina">
    <w:name w:val="footnote reference"/>
    <w:basedOn w:val="Carpredefinitoparagrafo"/>
    <w:semiHidden/>
    <w:locked/>
    <w:rPr>
      <w:vertAlign w:val="superscript"/>
    </w:rPr>
  </w:style>
  <w:style w:type="paragraph" w:styleId="Sottotitolo">
    <w:name w:val="Subtitle"/>
    <w:next w:val="Corpotesto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Corpotesto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Pidipagina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e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Carpredefinitoparagrafo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647F33"/>
    <w:rPr>
      <w:lang w:eastAsia="en-US"/>
    </w:rPr>
  </w:style>
  <w:style w:type="character" w:customStyle="1" w:styleId="AuthornameandaffiliationChar">
    <w:name w:val="Author name and affiliation Char"/>
    <w:basedOn w:val="CorpotestoCarattere"/>
    <w:link w:val="Authornameandaffiliation"/>
    <w:uiPriority w:val="49"/>
    <w:rsid w:val="00647F33"/>
    <w:rPr>
      <w:lang w:val="en-US" w:eastAsia="en-US"/>
    </w:rPr>
  </w:style>
  <w:style w:type="table" w:styleId="Grigliatabella">
    <w:name w:val="Table Grid"/>
    <w:basedOn w:val="Tabellanormale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Corpotesto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Corpotesto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CorpotestoCarattere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Corpotesto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CorpotestoCarattere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CorpotestoCarattere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Corpotesto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CorpotestoCarattere"/>
    <w:link w:val="Tabletext"/>
    <w:uiPriority w:val="49"/>
    <w:rsid w:val="00883848"/>
    <w:rPr>
      <w:lang w:eastAsia="en-US"/>
    </w:rPr>
  </w:style>
  <w:style w:type="character" w:customStyle="1" w:styleId="Titolo1Carattere">
    <w:name w:val="Titolo 1 Carattere"/>
    <w:aliases w:val="Paper title Carattere"/>
    <w:basedOn w:val="Carpredefinitoparagrafo"/>
    <w:link w:val="Titolo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Titolo2Carattere">
    <w:name w:val="Titolo 2 Carattere"/>
    <w:aliases w:val="1st level paper heading Carattere"/>
    <w:basedOn w:val="Carpredefinitoparagrafo"/>
    <w:link w:val="Titolo2"/>
    <w:rsid w:val="00011C41"/>
    <w:rPr>
      <w:caps/>
      <w:lang w:eastAsia="en-US"/>
    </w:rPr>
  </w:style>
  <w:style w:type="character" w:styleId="Collegamentoipertestuale">
    <w:name w:val="Hyperlink"/>
    <w:basedOn w:val="Carpredefinitoparagrafo"/>
    <w:uiPriority w:val="49"/>
    <w:unhideWhenUsed/>
    <w:locked/>
    <w:rsid w:val="002130B4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49"/>
    <w:semiHidden/>
    <w:unhideWhenUsed/>
    <w:locked/>
    <w:rsid w:val="00AA6A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49"/>
    <w:semiHidden/>
    <w:unhideWhenUsed/>
    <w:locked/>
    <w:rsid w:val="00AA6A7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49"/>
    <w:semiHidden/>
    <w:rsid w:val="00AA6A7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49"/>
    <w:semiHidden/>
    <w:unhideWhenUsed/>
    <w:locked/>
    <w:rsid w:val="00AA6A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49"/>
    <w:semiHidden/>
    <w:rsid w:val="00AA6A78"/>
    <w:rPr>
      <w:b/>
      <w:bCs/>
      <w:lang w:eastAsia="en-US"/>
    </w:rPr>
  </w:style>
  <w:style w:type="character" w:customStyle="1" w:styleId="DidascaliaCarattere">
    <w:name w:val="Didascalia Carattere"/>
    <w:aliases w:val="Tabelle Carattere,Figure_caption Carattere Carattere,Table_caption Carattere Carattere,Figure_caption Carattere Carattere Carattere Carattere Carattere,Table_caption Carattere1,Название объекта Знак Carattere"/>
    <w:basedOn w:val="Carpredefinitoparagrafo"/>
    <w:link w:val="Didascalia"/>
    <w:uiPriority w:val="35"/>
    <w:rsid w:val="00DB002C"/>
    <w:rPr>
      <w:bCs/>
      <w:sz w:val="18"/>
      <w:lang w:val="en-US" w:eastAsia="en-US"/>
    </w:rPr>
  </w:style>
  <w:style w:type="paragraph" w:styleId="Paragrafoelenco">
    <w:name w:val="List Paragraph"/>
    <w:basedOn w:val="Normale"/>
    <w:uiPriority w:val="49"/>
    <w:locked/>
    <w:rsid w:val="002C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04DD3E36ADA4B92EE7D9E39D8DAF8" ma:contentTypeVersion="2" ma:contentTypeDescription="Create a new document." ma:contentTypeScope="" ma:versionID="a4648eff60659d46ad5efc00a5bb5677">
  <xsd:schema xmlns:xsd="http://www.w3.org/2001/XMLSchema" xmlns:xs="http://www.w3.org/2001/XMLSchema" xmlns:p="http://schemas.microsoft.com/office/2006/metadata/properties" xmlns:ns2="5fab57e6-9ee8-46b6-b53f-50dcb88dcbfd" targetNamespace="http://schemas.microsoft.com/office/2006/metadata/properties" ma:root="true" ma:fieldsID="fb214c4c02a937ba04f4bca321e30c18" ns2:_="">
    <xsd:import namespace="5fab57e6-9ee8-46b6-b53f-50dcb88dcb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b57e6-9ee8-46b6-b53f-50dcb88dcb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60472CCC-200B-45DB-BAFA-1F39767D8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D096D-FB69-4394-B957-B7A660035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24336-44D2-4810-8AC5-ABFCEAFBE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b57e6-9ee8-46b6-b53f-50dcb88dc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457A31-FA0C-412A-B994-F760DA5D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163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Extended Abtract</vt:lpstr>
      <vt:lpstr>Extended Abtract</vt:lpstr>
      <vt:lpstr>Cross-cutting issues in fusion and fission materials development</vt:lpstr>
      <vt:lpstr>Extended Abtract</vt:lpstr>
    </vt:vector>
  </TitlesOfParts>
  <Company>IAEA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Abtract</dc:title>
  <dc:creator>Chirayu.Batra@iaea.org</dc:creator>
  <cp:lastModifiedBy>marco.utili</cp:lastModifiedBy>
  <cp:revision>7</cp:revision>
  <cp:lastPrinted>2015-12-01T10:27:00Z</cp:lastPrinted>
  <dcterms:created xsi:type="dcterms:W3CDTF">2022-03-21T10:32:00Z</dcterms:created>
  <dcterms:modified xsi:type="dcterms:W3CDTF">2022-03-22T08:19:00Z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0x010100A3104DD3E36ADA4B92EE7D9E39D8DAF8</vt:lpwstr>
  </property>
</Properties>
</file>