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935C" w14:textId="3B22B80D" w:rsidR="00604C59" w:rsidRDefault="00E934AC" w:rsidP="00073700">
      <w:pPr>
        <w:pStyle w:val="Authornameandaffiliation"/>
        <w:ind w:left="0"/>
        <w:jc w:val="both"/>
        <w:rPr>
          <w:b/>
          <w:bCs/>
          <w:caps/>
          <w:noProof/>
          <w:sz w:val="24"/>
          <w:szCs w:val="24"/>
          <w:lang w:val="en-GB"/>
        </w:rPr>
      </w:pPr>
      <w:r>
        <w:rPr>
          <w:b/>
          <w:bCs/>
          <w:caps/>
          <w:noProof/>
          <w:sz w:val="24"/>
          <w:szCs w:val="24"/>
          <w:lang w:val="en-GB"/>
        </w:rPr>
        <w:t xml:space="preserve">Extraction and seperation of </w:t>
      </w:r>
      <w:r w:rsidR="003B6FBA" w:rsidRPr="003B6FBA">
        <w:rPr>
          <w:b/>
          <w:bCs/>
          <w:caps/>
          <w:noProof/>
          <w:sz w:val="24"/>
          <w:szCs w:val="24"/>
          <w:lang w:val="en-GB"/>
        </w:rPr>
        <w:t xml:space="preserve">TRITIUM, THE </w:t>
      </w:r>
      <w:r>
        <w:rPr>
          <w:b/>
          <w:bCs/>
          <w:caps/>
          <w:noProof/>
          <w:sz w:val="24"/>
          <w:szCs w:val="24"/>
          <w:lang w:val="en-GB"/>
        </w:rPr>
        <w:t xml:space="preserve">NucleAR FUSION FUEL and the </w:t>
      </w:r>
      <w:r w:rsidR="003B6FBA" w:rsidRPr="003B6FBA">
        <w:rPr>
          <w:b/>
          <w:bCs/>
          <w:caps/>
          <w:noProof/>
          <w:sz w:val="24"/>
          <w:szCs w:val="24"/>
          <w:lang w:val="en-GB"/>
        </w:rPr>
        <w:t xml:space="preserve">BY-PRODUCT OF FISSION </w:t>
      </w:r>
    </w:p>
    <w:p w14:paraId="15DC4F59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5D9436CF" w:rsidR="00604C59" w:rsidRDefault="003B6FBA" w:rsidP="00073700">
      <w:pPr>
        <w:pStyle w:val="Authornameandaffiliation"/>
        <w:ind w:left="0"/>
        <w:jc w:val="both"/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lang w:val="en-GB"/>
        </w:rPr>
        <w:t>E. PAJUSTE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G. VAIVARS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I. REINHOLDS</w:t>
      </w:r>
      <w:r w:rsidR="001D0824" w:rsidRPr="001D0824">
        <w:rPr>
          <w:sz w:val="24"/>
          <w:szCs w:val="24"/>
          <w:vertAlign w:val="superscript"/>
          <w:lang w:val="en-GB"/>
        </w:rPr>
        <w:t>2</w:t>
      </w:r>
      <w:r w:rsidR="001D0824">
        <w:rPr>
          <w:sz w:val="24"/>
          <w:szCs w:val="24"/>
          <w:lang w:val="en-GB"/>
        </w:rPr>
        <w:t>, A. LESCINSKIS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A. S.</w:t>
      </w:r>
      <w:r w:rsidR="001115B6">
        <w:rPr>
          <w:sz w:val="24"/>
          <w:szCs w:val="24"/>
          <w:lang w:val="en-GB"/>
        </w:rPr>
        <w:t xml:space="preserve"> </w:t>
      </w:r>
      <w:r w:rsidR="001D0824">
        <w:rPr>
          <w:sz w:val="24"/>
          <w:szCs w:val="24"/>
          <w:lang w:val="en-GB"/>
        </w:rPr>
        <w:t>TEIMANE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A.</w:t>
      </w:r>
      <w:r w:rsidR="001115B6">
        <w:rPr>
          <w:sz w:val="24"/>
          <w:szCs w:val="24"/>
          <w:lang w:val="en-GB"/>
        </w:rPr>
        <w:t> </w:t>
      </w:r>
      <w:r w:rsidR="001D0824">
        <w:rPr>
          <w:sz w:val="24"/>
          <w:szCs w:val="24"/>
          <w:lang w:val="en-GB"/>
        </w:rPr>
        <w:t>KIZILOVS</w:t>
      </w:r>
      <w:r w:rsidR="001D0824" w:rsidRPr="001D0824">
        <w:rPr>
          <w:sz w:val="24"/>
          <w:szCs w:val="24"/>
          <w:vertAlign w:val="superscript"/>
          <w:lang w:val="en-GB"/>
        </w:rPr>
        <w:t>2</w:t>
      </w:r>
      <w:r w:rsidR="001D0824">
        <w:rPr>
          <w:sz w:val="24"/>
          <w:szCs w:val="24"/>
          <w:lang w:val="en-GB"/>
        </w:rPr>
        <w:t>, R.J.</w:t>
      </w:r>
      <w:r w:rsidR="00E934AC">
        <w:rPr>
          <w:sz w:val="24"/>
          <w:szCs w:val="24"/>
          <w:lang w:val="en-GB"/>
        </w:rPr>
        <w:t xml:space="preserve"> </w:t>
      </w:r>
      <w:r w:rsidR="001D0824">
        <w:rPr>
          <w:sz w:val="24"/>
          <w:szCs w:val="24"/>
          <w:lang w:val="en-GB"/>
        </w:rPr>
        <w:t>ZABOLOCKIS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</w:p>
    <w:p w14:paraId="11472E41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37D297" w14:textId="29744366" w:rsidR="00604C59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1D0824">
        <w:rPr>
          <w:sz w:val="24"/>
          <w:szCs w:val="24"/>
          <w:vertAlign w:val="superscript"/>
          <w:lang w:val="en-GB"/>
        </w:rPr>
        <w:t>1</w:t>
      </w:r>
      <w:r w:rsidR="003B6FBA">
        <w:rPr>
          <w:sz w:val="24"/>
          <w:szCs w:val="24"/>
          <w:lang w:val="en-GB"/>
        </w:rPr>
        <w:t>University of Latvia</w:t>
      </w:r>
      <w:r>
        <w:rPr>
          <w:sz w:val="24"/>
          <w:szCs w:val="24"/>
          <w:lang w:val="en-GB"/>
        </w:rPr>
        <w:t xml:space="preserve">, </w:t>
      </w:r>
      <w:r w:rsidR="003B6FBA">
        <w:rPr>
          <w:sz w:val="24"/>
          <w:szCs w:val="24"/>
          <w:lang w:val="en-GB"/>
        </w:rPr>
        <w:t>Riga, Latvia</w:t>
      </w:r>
    </w:p>
    <w:p w14:paraId="6C4A5F71" w14:textId="271E6C5A" w:rsidR="001D0824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1D0824"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>Ltd Baltic Scientific Instruments, Riga, Latvia</w:t>
      </w:r>
    </w:p>
    <w:p w14:paraId="552F90A9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796F553" w14:textId="195D63E4" w:rsidR="00604C59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CD7ABF">
        <w:rPr>
          <w:sz w:val="24"/>
          <w:szCs w:val="24"/>
        </w:rPr>
        <w:t>Email contact of corresponding author</w:t>
      </w:r>
      <w:r>
        <w:rPr>
          <w:sz w:val="24"/>
          <w:szCs w:val="24"/>
        </w:rPr>
        <w:t>:</w:t>
      </w:r>
      <w:r w:rsidR="00604C59" w:rsidRPr="00073700">
        <w:rPr>
          <w:sz w:val="24"/>
          <w:szCs w:val="24"/>
          <w:lang w:val="en-GB"/>
        </w:rPr>
        <w:t xml:space="preserve"> </w:t>
      </w:r>
      <w:r w:rsidR="003B6FBA">
        <w:rPr>
          <w:sz w:val="24"/>
          <w:szCs w:val="24"/>
          <w:lang w:val="en-GB"/>
        </w:rPr>
        <w:t>elina.pajuste@lu.lv</w:t>
      </w:r>
    </w:p>
    <w:p w14:paraId="654E3E67" w14:textId="58B6B8C8" w:rsidR="00604C59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AD5140D" w14:textId="4B5054A2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</w:rPr>
        <w:t xml:space="preserve">, </w:t>
      </w:r>
      <w:r w:rsidR="00E934AC">
        <w:rPr>
          <w:bCs/>
          <w:color w:val="000000" w:themeColor="text1"/>
        </w:rPr>
        <w:t>Tritium</w:t>
      </w:r>
      <w:r>
        <w:rPr>
          <w:bCs/>
          <w:color w:val="000000" w:themeColor="text1"/>
        </w:rPr>
        <w:t>,</w:t>
      </w:r>
      <w:r w:rsidRPr="00C62009">
        <w:rPr>
          <w:bCs/>
          <w:color w:val="000000" w:themeColor="text1"/>
        </w:rPr>
        <w:t xml:space="preserve"> denoted as </w:t>
      </w:r>
      <w:r w:rsidRPr="00C62009">
        <w:rPr>
          <w:bCs/>
          <w:color w:val="000000" w:themeColor="text1"/>
          <w:vertAlign w:val="superscript"/>
        </w:rPr>
        <w:t>3</w:t>
      </w:r>
      <w:r w:rsidRPr="00C62009">
        <w:rPr>
          <w:bCs/>
          <w:color w:val="000000" w:themeColor="text1"/>
        </w:rPr>
        <w:t>H or T</w:t>
      </w:r>
      <w:r w:rsidR="00E934AC" w:rsidRPr="00E934AC">
        <w:rPr>
          <w:bCs/>
          <w:color w:val="000000" w:themeColor="text1"/>
        </w:rPr>
        <w:t xml:space="preserve"> </w:t>
      </w:r>
      <w:r w:rsidR="00E934AC">
        <w:rPr>
          <w:bCs/>
          <w:color w:val="000000" w:themeColor="text1"/>
        </w:rPr>
        <w:t>is a</w:t>
      </w:r>
      <w:r w:rsidR="00E934AC" w:rsidRPr="00C62009">
        <w:rPr>
          <w:bCs/>
          <w:color w:val="000000" w:themeColor="text1"/>
        </w:rPr>
        <w:t xml:space="preserve"> beta-emitting radioactive isotope of </w:t>
      </w:r>
      <w:proofErr w:type="spellStart"/>
      <w:r w:rsidR="00E934AC" w:rsidRPr="00C62009">
        <w:rPr>
          <w:bCs/>
          <w:color w:val="000000" w:themeColor="text1"/>
        </w:rPr>
        <w:t>hydrogen</w:t>
      </w:r>
      <w:r w:rsidRPr="00C62009">
        <w:rPr>
          <w:bCs/>
          <w:color w:val="000000" w:themeColor="text1"/>
        </w:rPr>
        <w:t>produced</w:t>
      </w:r>
      <w:proofErr w:type="spellEnd"/>
      <w:r w:rsidRPr="00C62009">
        <w:rPr>
          <w:bCs/>
          <w:color w:val="000000" w:themeColor="text1"/>
        </w:rPr>
        <w:t xml:space="preserve"> in </w:t>
      </w:r>
      <w:r w:rsidRPr="001115B6">
        <w:rPr>
          <w:bCs/>
          <w:color w:val="000000" w:themeColor="text1"/>
          <w:sz w:val="24"/>
          <w:szCs w:val="24"/>
        </w:rPr>
        <w:t xml:space="preserve">very small quantities in the atmosphere as a result of cosmic radiation induced nuclear transmutations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&lt;EndNote&gt;&lt;Cite&gt;&lt;Author&gt;Ojovan&lt;/Author&gt;&lt;Year&gt;2019&lt;/Year&gt;&lt;RecNum&gt;598&lt;/RecNum&gt;&lt;DisplayText&gt;[1]&lt;/DisplayText&gt;&lt;record&gt;&lt;rec-number&gt;598&lt;/rec-number&gt;&lt;foreign-keys&gt;&lt;key app="EN" db-id="vpd22xzxfrerz3ew5zexd9wpffxwetf5wdpe" timestamp="1622288586"&gt;598&lt;/key&gt;&lt;/foreign-keys&gt;&lt;ref-type name="Book Section"&gt;5&lt;/ref-type&gt;&lt;contributors&gt;&lt;authors&gt;&lt;author&gt;Ojovan, Michael I.&lt;/author&gt;&lt;author&gt;Lee, William E.&lt;/author&gt;&lt;author&gt;Kalmykov, Stepan N.&lt;/author&gt;&lt;/authors&gt;&lt;secondary-authors&gt;&lt;author&gt;Ojovan, Michael I.&lt;/author&gt;&lt;author&gt;Lee, William E.&lt;/author&gt;&lt;author&gt;Kalmykov, Stepan N.&lt;/author&gt;&lt;/secondary-authors&gt;&lt;/contributors&gt;&lt;titles&gt;&lt;title&gt;Chapter 11 - Short-Lived Waste Radionuclides&lt;/title&gt;&lt;secondary-title&gt;An Introduction to Nuclear Waste Immobilisation (Third Edition)&lt;/secondary-title&gt;&lt;/titles&gt;&lt;pages&gt;145-154&lt;/pages&gt;&lt;keywords&gt;&lt;keyword&gt;Short-lived waste&lt;/keyword&gt;&lt;keyword&gt;tritium cobalt-60&lt;/keyword&gt;&lt;keyword&gt;strontium-90&lt;/keyword&gt;&lt;keyword&gt;caesium-137&lt;/keyword&gt;&lt;/keywords&gt;&lt;dates&gt;&lt;year&gt;2019&lt;/year&gt;&lt;pub-dates&gt;&lt;date&gt;2019/01/01/&lt;/date&gt;&lt;/pub-dates&gt;&lt;/dates&gt;&lt;publisher&gt;Elsevier&lt;/publisher&gt;&lt;isbn&gt;978-0-08-102702-8&lt;/isbn&gt;&lt;urls&gt;&lt;related-urls&gt;&lt;url&gt;http://www.sciencedirect.com/science/article/pii/B978008102702800011X&lt;/url&gt;&lt;/related-urls&gt;&lt;/urls&gt;&lt;electronic-resource-num&gt;https://doi.org/10.1016/B978-0-08-102702-8.00011-X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[1]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="003937C8">
        <w:rPr>
          <w:bCs/>
          <w:color w:val="000000" w:themeColor="text1"/>
          <w:sz w:val="24"/>
          <w:szCs w:val="24"/>
        </w:rPr>
        <w:t xml:space="preserve"> Tritium is  </w:t>
      </w:r>
      <w:proofErr w:type="spellStart"/>
      <w:r w:rsidR="003937C8">
        <w:rPr>
          <w:bCs/>
          <w:color w:val="000000" w:themeColor="text1"/>
          <w:sz w:val="24"/>
          <w:szCs w:val="24"/>
        </w:rPr>
        <w:t>proimarly</w:t>
      </w:r>
      <w:proofErr w:type="spellEnd"/>
      <w:r w:rsidR="003937C8">
        <w:rPr>
          <w:bCs/>
          <w:color w:val="000000" w:themeColor="text1"/>
          <w:sz w:val="24"/>
          <w:szCs w:val="24"/>
        </w:rPr>
        <w:t xml:space="preserve"> produced by ternary fission in </w:t>
      </w:r>
      <w:r w:rsidRPr="001115B6">
        <w:rPr>
          <w:bCs/>
          <w:color w:val="000000" w:themeColor="text1"/>
          <w:sz w:val="24"/>
          <w:szCs w:val="24"/>
        </w:rPr>
        <w:t>nuclear weapon tests and nuclear power reactors</w:t>
      </w:r>
      <w:r w:rsidR="00E934AC">
        <w:rPr>
          <w:bCs/>
          <w:color w:val="000000" w:themeColor="text1"/>
          <w:sz w:val="24"/>
          <w:szCs w:val="24"/>
        </w:rPr>
        <w:t xml:space="preserve"> (yield ranged between</w:t>
      </w:r>
      <w:r w:rsidRPr="001115B6">
        <w:rPr>
          <w:bCs/>
          <w:color w:val="000000" w:themeColor="text1"/>
          <w:sz w:val="24"/>
          <w:szCs w:val="24"/>
        </w:rPr>
        <w:t xml:space="preserve"> 0.01–0.02</w:t>
      </w:r>
      <w:r w:rsidR="0070708E" w:rsidRPr="001115B6">
        <w:rPr>
          <w:bCs/>
          <w:color w:val="000000" w:themeColor="text1"/>
          <w:sz w:val="24"/>
          <w:szCs w:val="24"/>
        </w:rPr>
        <w:t>%</w:t>
      </w:r>
      <w:r w:rsidR="0070708E">
        <w:rPr>
          <w:bCs/>
          <w:color w:val="000000" w:themeColor="text1"/>
          <w:sz w:val="24"/>
          <w:szCs w:val="24"/>
        </w:rPr>
        <w:t xml:space="preserve">) </w:t>
      </w:r>
      <w:r w:rsidR="003937C8">
        <w:rPr>
          <w:bCs/>
          <w:color w:val="000000" w:themeColor="text1"/>
          <w:sz w:val="24"/>
          <w:szCs w:val="24"/>
        </w:rPr>
        <w:t>by neutron activation   reactions  with boron  in</w:t>
      </w:r>
      <w:r w:rsidR="0070708E">
        <w:rPr>
          <w:bCs/>
          <w:color w:val="000000" w:themeColor="text1"/>
          <w:sz w:val="24"/>
          <w:szCs w:val="24"/>
        </w:rPr>
        <w:t xml:space="preserve"> water </w:t>
      </w:r>
      <w:r w:rsidR="003937C8">
        <w:rPr>
          <w:bCs/>
          <w:color w:val="000000" w:themeColor="text1"/>
          <w:sz w:val="24"/>
          <w:szCs w:val="24"/>
        </w:rPr>
        <w:t xml:space="preserve">and </w:t>
      </w:r>
      <w:r w:rsidRPr="001115B6">
        <w:rPr>
          <w:bCs/>
          <w:color w:val="000000" w:themeColor="text1"/>
          <w:sz w:val="24"/>
          <w:szCs w:val="24"/>
        </w:rPr>
        <w:t xml:space="preserve"> control rods: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2"/>
      </w:tblGrid>
      <w:tr w:rsidR="001115B6" w:rsidRPr="001115B6" w14:paraId="1CD4ADD7" w14:textId="401B9442" w:rsidTr="001115B6">
        <w:tc>
          <w:tcPr>
            <w:tcW w:w="8075" w:type="dxa"/>
          </w:tcPr>
          <w:p w14:paraId="14625E9F" w14:textId="77777777" w:rsidR="001115B6" w:rsidRPr="001115B6" w:rsidRDefault="001115B6" w:rsidP="004A7635">
            <w:pPr>
              <w:tabs>
                <w:tab w:val="left" w:pos="596"/>
              </w:tabs>
              <w:spacing w:before="28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B+n→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</w:t>
            </w:r>
          </w:p>
        </w:tc>
        <w:tc>
          <w:tcPr>
            <w:tcW w:w="942" w:type="dxa"/>
          </w:tcPr>
          <w:p w14:paraId="7D13809D" w14:textId="103F5EBF" w:rsidR="001115B6" w:rsidRPr="001115B6" w:rsidRDefault="001115B6" w:rsidP="004A7635">
            <w:pPr>
              <w:tabs>
                <w:tab w:val="left" w:pos="596"/>
              </w:tabs>
              <w:spacing w:before="2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</w:rPr>
              <w:t>(1)</w:t>
            </w:r>
          </w:p>
        </w:tc>
      </w:tr>
    </w:tbl>
    <w:p w14:paraId="7C4053FC" w14:textId="46354B8D" w:rsidR="001115B6" w:rsidRDefault="0070708E" w:rsidP="00C60F91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L</w:t>
      </w:r>
      <w:r w:rsidR="001115B6" w:rsidRPr="001115B6">
        <w:rPr>
          <w:bCs/>
          <w:color w:val="000000" w:themeColor="text1"/>
          <w:sz w:val="24"/>
          <w:szCs w:val="24"/>
        </w:rPr>
        <w:t>arge commercial nuclear power reactor</w:t>
      </w:r>
      <w:r>
        <w:rPr>
          <w:bCs/>
          <w:color w:val="000000" w:themeColor="text1"/>
          <w:sz w:val="24"/>
          <w:szCs w:val="24"/>
        </w:rPr>
        <w:t>s</w:t>
      </w:r>
      <w:r w:rsidR="001115B6" w:rsidRPr="001115B6">
        <w:rPr>
          <w:bCs/>
          <w:color w:val="000000" w:themeColor="text1"/>
          <w:sz w:val="24"/>
          <w:szCs w:val="24"/>
        </w:rPr>
        <w:t xml:space="preserve"> produce about ~2 g of </w:t>
      </w:r>
      <w:r>
        <w:rPr>
          <w:bCs/>
          <w:color w:val="000000" w:themeColor="text1"/>
          <w:sz w:val="24"/>
          <w:szCs w:val="24"/>
        </w:rPr>
        <w:t>T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bCs/>
          <w:color w:val="000000" w:themeColor="text1"/>
          <w:sz w:val="24"/>
          <w:szCs w:val="24"/>
        </w:rPr>
        <w:t xml:space="preserve">per year generally incorporated in the nuclear fuel and cladding  </w:t>
      </w:r>
      <w:r w:rsidR="003937C8">
        <w:rPr>
          <w:bCs/>
          <w:color w:val="000000" w:themeColor="text1"/>
          <w:sz w:val="24"/>
          <w:szCs w:val="24"/>
        </w:rPr>
        <w:t>leading to the permeation of T</w:t>
      </w:r>
      <w:r w:rsidR="001115B6" w:rsidRPr="001115B6">
        <w:rPr>
          <w:bCs/>
          <w:color w:val="000000" w:themeColor="text1"/>
          <w:sz w:val="24"/>
          <w:szCs w:val="24"/>
        </w:rPr>
        <w:t xml:space="preserve"> in the spent fuel, construction materials and coolant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&lt;EndNote&gt;&lt;Cite&gt;&lt;Author&gt;Zhang&lt;/Author&gt;&lt;Year&gt;2018&lt;/Year&gt;&lt;RecNum&gt;599&lt;/RecNum&gt;&lt;DisplayText&gt;[2]&lt;/DisplayText&gt;&lt;record&gt;&lt;rec-number&gt;599&lt;/rec-number&gt;&lt;foreign-keys&gt;&lt;key app="EN" db-id="vpd22xzxfrerz3ew5zexd9wpffxwetf5wdpe" timestamp="1622288586"&gt;599&lt;/key&gt;&lt;/foreign-keys&gt;&lt;ref-type name="Journal Article"&gt;17&lt;/ref-type&gt;&lt;contributors&gt;&lt;authors&gt;&lt;author&gt;Zhang, Qiaoe&lt;/author&gt;&lt;author&gt;Liu, Ting&lt;/author&gt;&lt;author&gt;Yang, Lili&lt;/author&gt;&lt;author&gt;Meng, De&lt;/author&gt;&lt;author&gt;Song, Dahu&lt;/author&gt;&lt;/authors&gt;&lt;/contributors&gt;&lt;titles&gt;&lt;title&gt;Monitoring and management of tritium from the nuclear power plant effluent&lt;/title&gt;&lt;secondary-title&gt;IOP Conference Series: Earth and Environmental Science&lt;/secondary-title&gt;&lt;/titles&gt;&lt;periodical&gt;&lt;full-title&gt;IOP Conference Series: Earth and Environmental Science&lt;/full-title&gt;&lt;/periodical&gt;&lt;pages&gt;042057&lt;/pages&gt;&lt;volume&gt;108&lt;/volume&gt;&lt;dates&gt;&lt;year&gt;2018&lt;/year&gt;&lt;pub-dates&gt;&lt;date&gt;2018/01&lt;/date&gt;&lt;/pub-dates&gt;&lt;/dates&gt;&lt;publisher&gt;IOP Publishing&lt;/publisher&gt;&lt;isbn&gt;1755-1307&amp;#xD;1755-1315&lt;/isbn&gt;&lt;urls&gt;&lt;related-urls&gt;&lt;url&gt;http://dx.doi.org/10.1088/1755-1315/108/4/042057&lt;/url&gt;&lt;/related-urls&gt;&lt;/urls&gt;&lt;electronic-resource-num&gt;10.1088/1755-1315/108/4/042057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[2]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="001115B6" w:rsidRPr="001115B6">
        <w:rPr>
          <w:bCs/>
          <w:color w:val="000000" w:themeColor="text1"/>
          <w:sz w:val="24"/>
          <w:szCs w:val="24"/>
        </w:rPr>
        <w:t xml:space="preserve">. </w:t>
      </w:r>
      <w:r w:rsidR="00260A10">
        <w:rPr>
          <w:bCs/>
          <w:color w:val="000000" w:themeColor="text1"/>
          <w:sz w:val="24"/>
          <w:szCs w:val="24"/>
        </w:rPr>
        <w:t xml:space="preserve">In CANDU type fission reactors tritium is generated through the reaction of fission neutrons with the heavy water moderator and coolant </w:t>
      </w:r>
      <w:r w:rsidR="00260A10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&lt;EndNote&gt;&lt;Cite&gt;&lt;Author&gt;Pearson&lt;/Author&gt;&lt;Year&gt;2018&lt;/Year&gt;&lt;RecNum&gt;840&lt;/RecNum&gt;&lt;DisplayText&gt;[3]&lt;/DisplayText&gt;&lt;record&gt;&lt;rec-number&gt;840&lt;/rec-number&gt;&lt;foreign-keys&gt;&lt;key app="EN" db-id="vpd22xzxfrerz3ew5zexd9wpffxwetf5wdpe" timestamp="1622288587"&gt;840&lt;/key&gt;&lt;/foreign-keys&gt;&lt;ref-type name="Journal Article"&gt;17&lt;/ref-type&gt;&lt;contributors&gt;&lt;authors&gt;&lt;author&gt;Pearson, Richard J.&lt;/author&gt;&lt;author&gt;Antoniazzi, Armando B.&lt;/author&gt;&lt;author&gt;Nuttall, William J.&lt;/author&gt;&lt;/authors&gt;&lt;/contributors&gt;&lt;titles&gt;&lt;title&gt;Tritium supply and use: a key issue for the development of nuclear fusion energy&lt;/title&gt;&lt;secondary-title&gt;Fusion Engineering and Design&lt;/secondary-title&gt;&lt;/titles&gt;&lt;periodical&gt;&lt;full-title&gt;Fusion Engineering and Design&lt;/full-title&gt;&lt;/periodical&gt;&lt;pages&gt;1140-1148&lt;/pages&gt;&lt;volume&gt;136&lt;/volume&gt;&lt;keywords&gt;&lt;keyword&gt;Tritium&lt;/keyword&gt;&lt;keyword&gt;CANDU&lt;/keyword&gt;&lt;keyword&gt;ITER&lt;/keyword&gt;&lt;keyword&gt;DEMO&lt;/keyword&gt;&lt;keyword&gt;Compact fusion&lt;/keyword&gt;&lt;keyword&gt;DD start-up&lt;/keyword&gt;&lt;/keywords&gt;&lt;dates&gt;&lt;year&gt;2018&lt;/year&gt;&lt;pub-dates&gt;&lt;date&gt;2018/11/01/&lt;/date&gt;&lt;/pub-dates&gt;&lt;/dates&gt;&lt;isbn&gt;0920-3796&lt;/isbn&gt;&lt;urls&gt;&lt;related-urls&gt;&lt;url&gt;https://www.sciencedirect.com/science/article/pii/S092037961830379X&lt;/url&gt;&lt;/related-urls&gt;&lt;/urls&gt;&lt;electronic-resource-num&gt;https://doi.org/10.1016/j.fusengdes.2018.04.090&lt;/electronic-resource-num&gt;&lt;/record&gt;&lt;/Cite&gt;&lt;/EndNote&gt;</w:instrText>
      </w:r>
      <w:r w:rsidR="00260A10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[3]</w:t>
      </w:r>
      <w:r w:rsidR="00260A10">
        <w:rPr>
          <w:bCs/>
          <w:color w:val="000000" w:themeColor="text1"/>
          <w:sz w:val="24"/>
          <w:szCs w:val="24"/>
        </w:rPr>
        <w:fldChar w:fldCharType="end"/>
      </w:r>
      <w:r w:rsidR="00260A10">
        <w:rPr>
          <w:bCs/>
          <w:color w:val="000000" w:themeColor="text1"/>
          <w:sz w:val="24"/>
          <w:szCs w:val="24"/>
        </w:rPr>
        <w:t xml:space="preserve">. </w:t>
      </w:r>
      <w:r w:rsidR="001115B6" w:rsidRPr="001115B6">
        <w:rPr>
          <w:bCs/>
          <w:color w:val="000000" w:themeColor="text1"/>
          <w:sz w:val="24"/>
          <w:szCs w:val="24"/>
        </w:rPr>
        <w:t>In nuclear fusion process</w:t>
      </w:r>
      <w:r>
        <w:rPr>
          <w:bCs/>
          <w:color w:val="000000" w:themeColor="text1"/>
          <w:sz w:val="24"/>
          <w:szCs w:val="24"/>
        </w:rPr>
        <w:t>es</w:t>
      </w:r>
      <w:r w:rsidR="001115B6" w:rsidRPr="001115B6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as alternative to </w:t>
      </w:r>
      <w:r w:rsidR="001115B6" w:rsidRPr="001115B6">
        <w:rPr>
          <w:bCs/>
          <w:color w:val="000000" w:themeColor="text1"/>
          <w:sz w:val="24"/>
          <w:szCs w:val="24"/>
        </w:rPr>
        <w:t>alternative</w:t>
      </w:r>
      <w:r>
        <w:rPr>
          <w:bCs/>
          <w:color w:val="000000" w:themeColor="text1"/>
          <w:sz w:val="24"/>
          <w:szCs w:val="24"/>
        </w:rPr>
        <w:t xml:space="preserve"> to conventional sources, T</w:t>
      </w:r>
      <w:r w:rsidR="001115B6" w:rsidRPr="001115B6">
        <w:rPr>
          <w:bCs/>
          <w:color w:val="000000" w:themeColor="text1"/>
          <w:sz w:val="24"/>
          <w:szCs w:val="24"/>
        </w:rPr>
        <w:t>, safer and more effective approach of nuclear energy harnessing, it is used as a nuclear fuel and is being produced on site from lithium according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2"/>
      </w:tblGrid>
      <w:tr w:rsidR="001115B6" w:rsidRPr="001115B6" w14:paraId="2F23985E" w14:textId="77777777" w:rsidTr="008803FE">
        <w:tc>
          <w:tcPr>
            <w:tcW w:w="8075" w:type="dxa"/>
          </w:tcPr>
          <w:p w14:paraId="6895EE2B" w14:textId="67623AC0" w:rsidR="001115B6" w:rsidRPr="001115B6" w:rsidRDefault="001115B6" w:rsidP="001115B6">
            <w:pPr>
              <w:tabs>
                <w:tab w:val="left" w:pos="596"/>
              </w:tabs>
              <w:spacing w:before="280"/>
              <w:ind w:right="28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1115B6">
              <w:rPr>
                <w:bCs/>
                <w:color w:val="000000" w:themeColor="text1"/>
                <w:sz w:val="24"/>
                <w:szCs w:val="24"/>
              </w:rPr>
              <w:t>Li+ n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→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</w:t>
            </w:r>
          </w:p>
        </w:tc>
        <w:tc>
          <w:tcPr>
            <w:tcW w:w="942" w:type="dxa"/>
          </w:tcPr>
          <w:p w14:paraId="5ADEC475" w14:textId="4E4FD319" w:rsidR="001115B6" w:rsidRPr="001115B6" w:rsidRDefault="001115B6" w:rsidP="008803FE">
            <w:pPr>
              <w:tabs>
                <w:tab w:val="left" w:pos="596"/>
              </w:tabs>
              <w:spacing w:before="2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1115B6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251487C" w14:textId="77777777" w:rsidR="00260A10" w:rsidRDefault="00260A10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Tritium that has been produced in the fission reactors as a by-product, therefore, could be extracted and used as a fuel in the nuclear fission reactors.  </w:t>
      </w:r>
    </w:p>
    <w:p w14:paraId="7DD05F71" w14:textId="58693711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It must be pointed out that </w:t>
      </w:r>
      <w:r w:rsidR="00360CAB">
        <w:rPr>
          <w:bCs/>
          <w:color w:val="000000" w:themeColor="text1"/>
          <w:sz w:val="24"/>
          <w:szCs w:val="24"/>
        </w:rPr>
        <w:t xml:space="preserve">T </w:t>
      </w:r>
      <w:r w:rsidRPr="001115B6">
        <w:rPr>
          <w:bCs/>
          <w:color w:val="000000" w:themeColor="text1"/>
          <w:sz w:val="24"/>
          <w:szCs w:val="24"/>
        </w:rPr>
        <w:t xml:space="preserve">has also commercial </w:t>
      </w:r>
      <w:r w:rsidR="00360CAB">
        <w:rPr>
          <w:bCs/>
          <w:color w:val="000000" w:themeColor="text1"/>
          <w:sz w:val="24"/>
          <w:szCs w:val="24"/>
        </w:rPr>
        <w:t>applications in</w:t>
      </w:r>
      <w:r w:rsidRPr="001115B6">
        <w:rPr>
          <w:bCs/>
          <w:color w:val="000000" w:themeColor="text1"/>
          <w:sz w:val="24"/>
          <w:szCs w:val="24"/>
        </w:rPr>
        <w:t xml:space="preserve"> industrial thickness gauges, luminous paints, watch dials, radioactive tracers for chemical, biological and environmental studies.  </w:t>
      </w:r>
    </w:p>
    <w:p w14:paraId="3DEA7686" w14:textId="5B5D0C68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There is a constant risk of </w:t>
      </w:r>
      <w:r w:rsidR="00360CAB">
        <w:rPr>
          <w:bCs/>
          <w:color w:val="000000" w:themeColor="text1"/>
          <w:sz w:val="24"/>
          <w:szCs w:val="24"/>
        </w:rPr>
        <w:t>T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="00360CAB">
        <w:rPr>
          <w:bCs/>
          <w:color w:val="000000" w:themeColor="text1"/>
          <w:sz w:val="24"/>
          <w:szCs w:val="24"/>
        </w:rPr>
        <w:t>release</w:t>
      </w:r>
      <w:r w:rsidRPr="001115B6">
        <w:rPr>
          <w:bCs/>
          <w:color w:val="000000" w:themeColor="text1"/>
          <w:sz w:val="24"/>
          <w:szCs w:val="24"/>
        </w:rPr>
        <w:t xml:space="preserve"> into </w:t>
      </w:r>
      <w:r w:rsidR="00360CAB">
        <w:rPr>
          <w:bCs/>
          <w:color w:val="000000" w:themeColor="text1"/>
          <w:sz w:val="24"/>
          <w:szCs w:val="24"/>
        </w:rPr>
        <w:t xml:space="preserve">the </w:t>
      </w:r>
      <w:r w:rsidRPr="001115B6">
        <w:rPr>
          <w:bCs/>
          <w:color w:val="000000" w:themeColor="text1"/>
          <w:sz w:val="24"/>
          <w:szCs w:val="24"/>
        </w:rPr>
        <w:t xml:space="preserve">environment from the nuclear facilities such as pressurized water reactors, irradiated fuel and recycling plants and </w:t>
      </w:r>
      <w:r w:rsidR="00360CAB">
        <w:rPr>
          <w:bCs/>
          <w:color w:val="000000" w:themeColor="text1"/>
          <w:sz w:val="24"/>
          <w:szCs w:val="24"/>
        </w:rPr>
        <w:t xml:space="preserve">based on T </w:t>
      </w:r>
      <w:r w:rsidRPr="001115B6">
        <w:rPr>
          <w:bCs/>
          <w:color w:val="000000" w:themeColor="text1"/>
          <w:sz w:val="24"/>
          <w:szCs w:val="24"/>
        </w:rPr>
        <w:t xml:space="preserve">production </w:t>
      </w:r>
      <w:r w:rsidR="00360CAB">
        <w:rPr>
          <w:bCs/>
          <w:color w:val="000000" w:themeColor="text1"/>
          <w:sz w:val="24"/>
          <w:szCs w:val="24"/>
        </w:rPr>
        <w:t xml:space="preserve">during waste dispose, small  incidents or nuclear accidents such as </w:t>
      </w:r>
      <w:proofErr w:type="spellStart"/>
      <w:r w:rsidR="00360CAB">
        <w:rPr>
          <w:bCs/>
          <w:color w:val="000000" w:themeColor="text1"/>
          <w:sz w:val="24"/>
          <w:szCs w:val="24"/>
        </w:rPr>
        <w:t>as</w:t>
      </w:r>
      <w:proofErr w:type="spellEnd"/>
      <w:r w:rsidR="00360CAB">
        <w:rPr>
          <w:bCs/>
          <w:color w:val="000000" w:themeColor="text1"/>
          <w:sz w:val="24"/>
          <w:szCs w:val="24"/>
        </w:rPr>
        <w:t xml:space="preserve"> the case of </w:t>
      </w:r>
      <w:r w:rsidRPr="001115B6">
        <w:rPr>
          <w:bCs/>
          <w:color w:val="000000" w:themeColor="text1"/>
          <w:sz w:val="24"/>
          <w:szCs w:val="24"/>
        </w:rPr>
        <w:t xml:space="preserve">Fukushima Daiichi </w:t>
      </w:r>
      <w:r w:rsidR="00360CAB">
        <w:rPr>
          <w:bCs/>
          <w:color w:val="000000" w:themeColor="text1"/>
          <w:sz w:val="24"/>
          <w:szCs w:val="24"/>
        </w:rPr>
        <w:t xml:space="preserve">that </w:t>
      </w:r>
      <w:r w:rsidRPr="001115B6">
        <w:rPr>
          <w:bCs/>
          <w:color w:val="000000" w:themeColor="text1"/>
          <w:sz w:val="24"/>
          <w:szCs w:val="24"/>
        </w:rPr>
        <w:t>caused significant</w:t>
      </w:r>
      <w:r w:rsidR="00360CAB">
        <w:rPr>
          <w:bCs/>
          <w:color w:val="000000" w:themeColor="text1"/>
          <w:sz w:val="24"/>
          <w:szCs w:val="24"/>
        </w:rPr>
        <w:t xml:space="preserve"> emi</w:t>
      </w:r>
      <w:r w:rsidR="00B51F36">
        <w:rPr>
          <w:bCs/>
          <w:color w:val="000000" w:themeColor="text1"/>
          <w:sz w:val="24"/>
          <w:szCs w:val="24"/>
        </w:rPr>
        <w:t>ss</w:t>
      </w:r>
      <w:r w:rsidR="00360CAB">
        <w:rPr>
          <w:bCs/>
          <w:color w:val="000000" w:themeColor="text1"/>
          <w:sz w:val="24"/>
          <w:szCs w:val="24"/>
        </w:rPr>
        <w:t xml:space="preserve">ion of T </w:t>
      </w:r>
      <w:r w:rsidRPr="001115B6">
        <w:rPr>
          <w:bCs/>
          <w:color w:val="000000" w:themeColor="text1"/>
          <w:sz w:val="24"/>
          <w:szCs w:val="24"/>
        </w:rPr>
        <w:t xml:space="preserve"> into the environment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&lt;EndNote&gt;&lt;Cite&gt;&lt;Author&gt;Querfeld&lt;/Author&gt;&lt;Year&gt;2019&lt;/Year&gt;&lt;RecNum&gt;600&lt;/RecNum&gt;&lt;DisplayText&gt;[4]&lt;/DisplayText&gt;&lt;record&gt;&lt;rec-number&gt;600&lt;/rec-number&gt;&lt;foreign-keys&gt;&lt;key app="EN" db-id="vpd22xzxfrerz3ew5zexd9wpffxwetf5wdpe" timestamp="1622288586"&gt;600&lt;/key&gt;&lt;/foreign-keys&gt;&lt;ref-type name="Journal Article"&gt;17&lt;/ref-type&gt;&lt;contributors&gt;&lt;authors&gt;&lt;author&gt;Querfeld, Rebecca&lt;/author&gt;&lt;author&gt;Pasi, Anna-Elina&lt;/author&gt;&lt;author&gt;Shozugawa, Katsumi&lt;/author&gt;&lt;author&gt;Vockenhuber, Christof&lt;/author&gt;&lt;author&gt;Synal, Hans-Arno&lt;/author&gt;&lt;author&gt;Steier, Peter&lt;/author&gt;&lt;author&gt;Steinhauser, Georg&lt;/author&gt;&lt;/authors&gt;&lt;/contributors&gt;&lt;titles&gt;&lt;title&gt;Radionuclides in surface waters around the damaged Fukushima Daiichi NPP one month after the accident: Evidence of significant tritium release into the environment&lt;/title&gt;&lt;secondary-title&gt;Science of The Total Environment&lt;/secondary-title&gt;&lt;/titles&gt;&lt;periodical&gt;&lt;full-title&gt;Science of The Total Environment&lt;/full-title&gt;&lt;/periodical&gt;&lt;pages&gt;451-456&lt;/pages&gt;&lt;volume&gt;689&lt;/volume&gt;&lt;keywords&gt;&lt;keyword&gt;Fukushima nuclear accident&lt;/keyword&gt;&lt;keyword&gt;Surface water&lt;/keyword&gt;&lt;keyword&gt;Radiocesium&lt;/keyword&gt;&lt;keyword&gt;Radiostrontium&lt;/keyword&gt;&lt;keyword&gt;Radioiodine&lt;/keyword&gt;&lt;keyword&gt;H&lt;/keyword&gt;&lt;/keywords&gt;&lt;dates&gt;&lt;year&gt;2019&lt;/year&gt;&lt;pub-dates&gt;&lt;date&gt;2019/11/01/&lt;/date&gt;&lt;/pub-dates&gt;&lt;/dates&gt;&lt;isbn&gt;0048-9697&lt;/isbn&gt;&lt;urls&gt;&lt;related-urls&gt;&lt;url&gt;http://www.sciencedirect.com/science/article/pii/S0048969719329353&lt;/url&gt;&lt;/related-urls&gt;&lt;/urls&gt;&lt;electronic-resource-num&gt;https://doi.org/10.1016/j.scitotenv.2019.06.362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[4]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 It must be also emphasized that </w:t>
      </w:r>
      <w:r w:rsidR="00360CAB">
        <w:rPr>
          <w:bCs/>
          <w:color w:val="000000" w:themeColor="text1"/>
          <w:sz w:val="24"/>
          <w:szCs w:val="24"/>
        </w:rPr>
        <w:t xml:space="preserve">T 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>can replace normal hydrogen</w:t>
      </w:r>
      <w:r w:rsidR="00360CAB">
        <w:rPr>
          <w:bCs/>
          <w:color w:val="000000" w:themeColor="text1"/>
          <w:sz w:val="24"/>
          <w:szCs w:val="24"/>
        </w:rPr>
        <w:t xml:space="preserve"> (protium)</w:t>
      </w:r>
      <w:r w:rsidRPr="001115B6">
        <w:rPr>
          <w:bCs/>
          <w:color w:val="000000" w:themeColor="text1"/>
          <w:sz w:val="24"/>
          <w:szCs w:val="24"/>
        </w:rPr>
        <w:t xml:space="preserve"> in chemical compounds essential for life, and is very mobile within the physical and biological environment</w:t>
      </w:r>
      <w:r w:rsidR="00360CAB">
        <w:rPr>
          <w:bCs/>
          <w:color w:val="000000" w:themeColor="text1"/>
          <w:sz w:val="24"/>
          <w:szCs w:val="24"/>
        </w:rPr>
        <w:t>s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&lt;EndNote&gt;&lt;Cite&gt;&lt;Year&gt;2014&lt;/Year&gt;&lt;RecNum&gt;612&lt;/RecNum&gt;&lt;DisplayText&gt;[5]&lt;/DisplayText&gt;&lt;record&gt;&lt;rec-number&gt;612&lt;/rec-number&gt;&lt;foreign-keys&gt;&lt;key app="EN" db-id="vpd22xzxfrerz3ew5zexd9wpffxwetf5wdpe" timestamp="1622288586"&gt;612&lt;/key&gt;&lt;/foreign-keys&gt;&lt;ref-type name="Book"&gt;6&lt;/ref-type&gt;&lt;contributors&gt;&lt;/contributors&gt;&lt;titles&gt;&lt;title&gt;Transfer of Tritium in the Environment after Accidental Releases from Nuclear Facilities&lt;/title&gt;&lt;alt-title&gt;Book&lt;/alt-title&gt;&lt;/titles&gt;&lt;dates&gt;&lt;year&gt;2014&lt;/year&gt;&lt;/dates&gt;&lt;pub-location&gt;Vienna&lt;/pub-location&gt;&lt;publisher&gt;INTERNATIONAL ATOMIC ENERGY AGENCY&lt;/publisher&gt;&lt;urls&gt;&lt;related-urls&gt;&lt;url&gt;https://www.iaea.org/publications/10617/transfer-of-tritium-in-the-environment-after-accidental-releases-from-nuclear-facilities&lt;/url&gt;&lt;/related-urls&gt;&lt;/urls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[5]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</w:t>
      </w:r>
    </w:p>
    <w:p w14:paraId="66D1D1E9" w14:textId="77777777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>Tritium separation is crucial in following applications:</w:t>
      </w:r>
    </w:p>
    <w:p w14:paraId="1A6ED2AE" w14:textId="6028BE8A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Extraction of T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air in case of industrial contamination in case of containment fails resulting 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emissions (nuclear industry, production plants, research institutions);</w:t>
      </w:r>
    </w:p>
    <w:p w14:paraId="28951A6E" w14:textId="3514AECC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extraction from cooling water of nuclear fission and fusion reactors in order to decrease amount and class of radioactive waste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260A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&lt;EndNote&gt;&lt;Cite&gt;&lt;Year&gt;2009&lt;/Year&gt;&lt;RecNum&gt;617&lt;/RecNum&gt;&lt;DisplayText&gt;[6]&lt;/DisplayText&gt;&lt;record&gt;&lt;rec-number&gt;617&lt;/rec-number&gt;&lt;foreign-keys&gt;&lt;key app="EN" db-id="vpd22xzxfrerz3ew5zexd9wpffxwetf5wdpe" timestamp="1622288586"&gt;617&lt;/key&gt;&lt;/foreign-keys&gt;&lt;ref-type name="Book"&gt;6&lt;/ref-type&gt;&lt;contributors&gt;&lt;/contributors&gt;&lt;titles&gt;&lt;title&gt;Classification of Radioactive Waste&lt;/title&gt;&lt;alt-title&gt;Book&lt;/alt-title&gt;&lt;/titles&gt;&lt;dates&gt;&lt;year&gt;2009&lt;/year&gt;&lt;/dates&gt;&lt;pub-location&gt;Vienna&lt;/pub-location&gt;&lt;publisher&gt;INTERNATIONAL ATOMIC ENERGY AGENCY&lt;/publisher&gt;&lt;urls&gt;&lt;related-urls&gt;&lt;url&gt;https://www.iaea.org/publications/8154/classification-of-radioactive-waste&lt;/url&gt;&lt;/related-urls&gt;&lt;/urls&gt;&lt;/record&gt;&lt;/Cite&gt;&lt;/EndNote&gt;</w:instrTex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260A1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[6]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B23B0CB" w14:textId="397E258C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recover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purification for its further use in fusion devices or industrial applications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mentioned above; </w:t>
      </w:r>
    </w:p>
    <w:p w14:paraId="23425CDA" w14:textId="5C9BF1D1" w:rsidR="001115B6" w:rsidRPr="001115B6" w:rsidRDefault="001115B6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decrease of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60CAB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contamination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360CAB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natural water sources in case of accidental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®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tritium water leakages;</w:t>
      </w:r>
    </w:p>
    <w:p w14:paraId="076DFC3B" w14:textId="6598D622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Existing methods for </w:t>
      </w:r>
      <w:r w:rsidR="00360CAB">
        <w:rPr>
          <w:bCs/>
          <w:color w:val="000000" w:themeColor="text1"/>
          <w:sz w:val="24"/>
          <w:szCs w:val="24"/>
        </w:rPr>
        <w:t>T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separation are mostly either time and energy consuming or expensive. New separation methods with larger separation factors, reduced number of stages and energy consumption are needed. Moreover, a mobile, remote controlled device capable to operate in harsh environments could be of great importance in case of nuclear/radiation accidents. </w:t>
      </w:r>
    </w:p>
    <w:p w14:paraId="2F368DB7" w14:textId="121F5293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An alternative approach for hydrogen separation is proposed by Hidalgo et al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&lt;EndNote&gt;&lt;Cite&gt;&lt;Author&gt;Lozada-Hidalgo&lt;/Author&gt;&lt;Year&gt;2017&lt;/Year&gt;&lt;RecNum&gt;610&lt;/RecNum&gt;&lt;DisplayText&gt;[7]&lt;/DisplayText&gt;&lt;record&gt;&lt;rec-number&gt;610&lt;/rec-number&gt;&lt;foreign-keys&gt;&lt;key app="EN" db-id="vpd22xzxfrerz3ew5zexd9wpffxwetf5wdpe" timestamp="1622288586"&gt;610&lt;/key&gt;&lt;/foreign-keys&gt;&lt;ref-type name="Journal Article"&gt;17&lt;/ref-type&gt;&lt;contributors&gt;&lt;authors&gt;&lt;author&gt;Lozada-Hidalgo, M.&lt;/author&gt;&lt;author&gt;Zhang, S.&lt;/author&gt;&lt;author&gt;Hu, S.&lt;/author&gt;&lt;author&gt;Esfandiar, A.&lt;/author&gt;&lt;author&gt;Grigorieva, I. V.&lt;/author&gt;&lt;author&gt;Geim, A. K.&lt;/author&gt;&lt;/authors&gt;&lt;/contributors&gt;&lt;titles&gt;&lt;title&gt;Scalable and efficient separation of hydrogen isotopes using graphene-based electrochemical pumping&lt;/title&gt;&lt;secondary-title&gt;Nature Communications&lt;/secondary-title&gt;&lt;/titles&gt;&lt;periodical&gt;&lt;full-title&gt;Nature Communications&lt;/full-title&gt;&lt;/periodical&gt;&lt;pages&gt;15215&lt;/pages&gt;&lt;volume&gt;8&lt;/volume&gt;&lt;number&gt;1&lt;/number&gt;&lt;dates&gt;&lt;year&gt;2017&lt;/year&gt;&lt;pub-dates&gt;&lt;date&gt;2017/05/09&lt;/date&gt;&lt;/pub-dates&gt;&lt;/dates&gt;&lt;isbn&gt;2041-1723&lt;/isbn&gt;&lt;urls&gt;&lt;related-urls&gt;&lt;url&gt;https://doi.org/10.1038/ncomms15215&lt;/url&gt;&lt;/related-urls&gt;&lt;/urls&gt;&lt;electronic-resource-num&gt;10.1038/ncomms15215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[7]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Method is based on </w:t>
      </w:r>
      <w:r w:rsidRPr="001115B6">
        <w:rPr>
          <w:iCs/>
          <w:color w:val="000000" w:themeColor="text1"/>
          <w:sz w:val="24"/>
          <w:szCs w:val="24"/>
        </w:rPr>
        <w:t xml:space="preserve">technique using graphene based – electrochemical pumping. Electrochemical pumping applies fuel cell principle – the membrane-electrode assembly consists of two catalytic electrodes deposited on a proton conducting membrane. Hydrogen gas or water is split on one side to the proton and electron, which </w:t>
      </w:r>
      <w:r w:rsidR="00360CAB">
        <w:rPr>
          <w:iCs/>
          <w:color w:val="000000" w:themeColor="text1"/>
          <w:sz w:val="24"/>
          <w:szCs w:val="24"/>
        </w:rPr>
        <w:t>re</w:t>
      </w:r>
      <w:r w:rsidRPr="001115B6">
        <w:rPr>
          <w:iCs/>
          <w:color w:val="000000" w:themeColor="text1"/>
          <w:sz w:val="24"/>
          <w:szCs w:val="24"/>
        </w:rPr>
        <w:t xml:space="preserve">combines on the other side of </w:t>
      </w:r>
      <w:r w:rsidR="00360CAB">
        <w:rPr>
          <w:iCs/>
          <w:color w:val="000000" w:themeColor="text1"/>
          <w:sz w:val="24"/>
          <w:szCs w:val="24"/>
        </w:rPr>
        <w:t xml:space="preserve">the </w:t>
      </w:r>
      <w:r w:rsidRPr="001115B6">
        <w:rPr>
          <w:iCs/>
          <w:color w:val="000000" w:themeColor="text1"/>
          <w:sz w:val="24"/>
          <w:szCs w:val="24"/>
        </w:rPr>
        <w:t xml:space="preserve">membrane. </w:t>
      </w:r>
      <w:r w:rsidRPr="001115B6">
        <w:rPr>
          <w:bCs/>
          <w:color w:val="000000" w:themeColor="text1"/>
          <w:sz w:val="24"/>
          <w:szCs w:val="24"/>
        </w:rPr>
        <w:t>NAFION</w:t>
      </w:r>
      <w:r w:rsidR="00360CAB" w:rsidRPr="00BC2DB0">
        <w:rPr>
          <w:bCs/>
          <w:color w:val="000000" w:themeColor="text1"/>
          <w:sz w:val="24"/>
          <w:szCs w:val="24"/>
          <w:vertAlign w:val="superscript"/>
        </w:rPr>
        <w:t>®</w:t>
      </w:r>
      <w:r w:rsidRPr="001115B6">
        <w:rPr>
          <w:bCs/>
          <w:color w:val="000000" w:themeColor="text1"/>
          <w:sz w:val="24"/>
          <w:szCs w:val="24"/>
        </w:rPr>
        <w:t xml:space="preserve"> (sulfonated </w:t>
      </w:r>
      <w:proofErr w:type="gramStart"/>
      <w:r w:rsidRPr="001115B6">
        <w:rPr>
          <w:bCs/>
          <w:color w:val="000000" w:themeColor="text1"/>
          <w:sz w:val="24"/>
          <w:szCs w:val="24"/>
        </w:rPr>
        <w:t>tetrafluoroethylene based</w:t>
      </w:r>
      <w:proofErr w:type="gramEnd"/>
      <w:r w:rsidRPr="001115B6">
        <w:rPr>
          <w:bCs/>
          <w:color w:val="000000" w:themeColor="text1"/>
          <w:sz w:val="24"/>
          <w:szCs w:val="24"/>
        </w:rPr>
        <w:t xml:space="preserve"> copolymer) </w:t>
      </w:r>
      <w:r w:rsidR="00360CAB">
        <w:rPr>
          <w:bCs/>
          <w:color w:val="000000" w:themeColor="text1"/>
          <w:sz w:val="24"/>
          <w:szCs w:val="24"/>
        </w:rPr>
        <w:t>is used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="00360CAB">
        <w:rPr>
          <w:bCs/>
          <w:color w:val="000000" w:themeColor="text1"/>
          <w:sz w:val="24"/>
          <w:szCs w:val="24"/>
        </w:rPr>
        <w:t>as the proton exchange membrane coated with g</w:t>
      </w:r>
      <w:r w:rsidR="00360CAB" w:rsidRPr="001115B6">
        <w:rPr>
          <w:bCs/>
          <w:color w:val="000000" w:themeColor="text1"/>
          <w:sz w:val="24"/>
          <w:szCs w:val="24"/>
        </w:rPr>
        <w:t xml:space="preserve">raphene </w:t>
      </w:r>
      <w:r w:rsidR="00360CAB">
        <w:rPr>
          <w:bCs/>
          <w:color w:val="000000" w:themeColor="text1"/>
          <w:sz w:val="24"/>
          <w:szCs w:val="24"/>
        </w:rPr>
        <w:t>layer</w:t>
      </w:r>
      <w:r w:rsidRPr="001115B6">
        <w:rPr>
          <w:bCs/>
          <w:color w:val="000000" w:themeColor="text1"/>
          <w:sz w:val="24"/>
          <w:szCs w:val="24"/>
        </w:rPr>
        <w:t xml:space="preserve">. Authors suggest that proposed technique could reach </w:t>
      </w:r>
      <w:r w:rsidR="009556FD">
        <w:rPr>
          <w:bCs/>
          <w:color w:val="000000" w:themeColor="text1"/>
          <w:sz w:val="24"/>
          <w:szCs w:val="24"/>
        </w:rPr>
        <w:t xml:space="preserve">the </w:t>
      </w:r>
      <w:r w:rsidRPr="001115B6">
        <w:rPr>
          <w:bCs/>
          <w:color w:val="000000" w:themeColor="text1"/>
          <w:sz w:val="24"/>
          <w:szCs w:val="24"/>
        </w:rPr>
        <w:t xml:space="preserve">separation factor ~30 for protium-tritium separation that is significant improvement compared to the existing methods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&lt;EndNote&gt;&lt;Cite&gt;&lt;Author&gt;Lozada-Hidalgo&lt;/Author&gt;&lt;Year&gt;2017&lt;/Year&gt;&lt;RecNum&gt;610&lt;/RecNum&gt;&lt;DisplayText&gt;[7]&lt;/DisplayText&gt;&lt;record&gt;&lt;rec-number&gt;610&lt;/rec-number&gt;&lt;foreign-keys&gt;&lt;key app="EN" db-id="vpd22xzxfrerz3ew5zexd9wpffxwetf5wdpe" timestamp="1622288586"&gt;610&lt;/key&gt;&lt;/foreign-keys&gt;&lt;ref-type name="Journal Article"&gt;17&lt;/ref-type&gt;&lt;contributors&gt;&lt;authors&gt;&lt;author&gt;Lozada-Hidalgo, M.&lt;/author&gt;&lt;author&gt;Zhang, S.&lt;/author&gt;&lt;author&gt;Hu, S.&lt;/author&gt;&lt;author&gt;Esfandiar, A.&lt;/author&gt;&lt;author&gt;Grigorieva, I. V.&lt;/author&gt;&lt;author&gt;Geim, A. K.&lt;/author&gt;&lt;/authors&gt;&lt;/contributors&gt;&lt;titles&gt;&lt;title&gt;Scalable and efficient separation of hydrogen isotopes using graphene-based electrochemical pumping&lt;/title&gt;&lt;secondary-title&gt;Nature Communications&lt;/secondary-title&gt;&lt;/titles&gt;&lt;periodical&gt;&lt;full-title&gt;Nature Communications&lt;/full-title&gt;&lt;/periodical&gt;&lt;pages&gt;15215&lt;/pages&gt;&lt;volume&gt;8&lt;/volume&gt;&lt;number&gt;1&lt;/number&gt;&lt;dates&gt;&lt;year&gt;2017&lt;/year&gt;&lt;pub-dates&gt;&lt;date&gt;2017/05/09&lt;/date&gt;&lt;/pub-dates&gt;&lt;/dates&gt;&lt;isbn&gt;2041-1723&lt;/isbn&gt;&lt;urls&gt;&lt;related-urls&gt;&lt;url&gt;https://doi.org/10.1038/ncomms15215&lt;/url&gt;&lt;/related-urls&gt;&lt;/urls&gt;&lt;electronic-resource-num&gt;10.1038/ncomms15215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[7]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It has been </w:t>
      </w:r>
      <w:r w:rsidR="009556FD">
        <w:rPr>
          <w:bCs/>
          <w:color w:val="000000" w:themeColor="text1"/>
          <w:sz w:val="24"/>
          <w:szCs w:val="24"/>
        </w:rPr>
        <w:t>reported</w:t>
      </w:r>
      <w:r w:rsidR="009556FD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in the previous studies that </w:t>
      </w:r>
      <w:r w:rsidR="009556FD">
        <w:rPr>
          <w:bCs/>
          <w:color w:val="000000" w:themeColor="text1"/>
          <w:sz w:val="24"/>
          <w:szCs w:val="24"/>
        </w:rPr>
        <w:t xml:space="preserve">graphene </w:t>
      </w:r>
      <w:r w:rsidRPr="001115B6">
        <w:rPr>
          <w:bCs/>
          <w:color w:val="000000" w:themeColor="text1"/>
          <w:sz w:val="24"/>
          <w:szCs w:val="24"/>
        </w:rPr>
        <w:t>monolayers of graphene can be</w:t>
      </w:r>
      <w:r w:rsidR="009556FD">
        <w:rPr>
          <w:bCs/>
          <w:color w:val="000000" w:themeColor="text1"/>
          <w:sz w:val="24"/>
          <w:szCs w:val="24"/>
        </w:rPr>
        <w:t xml:space="preserve"> also \</w:t>
      </w:r>
      <w:r w:rsidRPr="001115B6">
        <w:rPr>
          <w:bCs/>
          <w:color w:val="000000" w:themeColor="text1"/>
          <w:sz w:val="24"/>
          <w:szCs w:val="24"/>
        </w:rPr>
        <w:t xml:space="preserve"> used </w:t>
      </w:r>
      <w:r w:rsidR="009556FD">
        <w:rPr>
          <w:bCs/>
          <w:color w:val="000000" w:themeColor="text1"/>
          <w:sz w:val="24"/>
          <w:szCs w:val="24"/>
        </w:rPr>
        <w:t xml:space="preserve">for the </w:t>
      </w:r>
      <w:r w:rsidR="009556FD" w:rsidRPr="001115B6">
        <w:rPr>
          <w:bCs/>
          <w:color w:val="000000" w:themeColor="text1"/>
          <w:sz w:val="24"/>
          <w:szCs w:val="24"/>
        </w:rPr>
        <w:t>separat</w:t>
      </w:r>
      <w:r w:rsidR="009556FD">
        <w:rPr>
          <w:bCs/>
          <w:color w:val="000000" w:themeColor="text1"/>
          <w:sz w:val="24"/>
          <w:szCs w:val="24"/>
        </w:rPr>
        <w:t>ion of</w:t>
      </w:r>
      <w:r w:rsidR="009556FD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hydrogen isotopes. </w:t>
      </w:r>
      <w:r w:rsidR="009556FD">
        <w:rPr>
          <w:bCs/>
          <w:color w:val="000000" w:themeColor="text1"/>
          <w:sz w:val="24"/>
          <w:szCs w:val="24"/>
        </w:rPr>
        <w:t xml:space="preserve">It was determined during these studies </w:t>
      </w:r>
      <w:r w:rsidRPr="001115B6">
        <w:rPr>
          <w:bCs/>
          <w:color w:val="000000" w:themeColor="text1"/>
          <w:sz w:val="24"/>
          <w:szCs w:val="24"/>
        </w:rPr>
        <w:t xml:space="preserve">that deuterons </w:t>
      </w:r>
      <w:r w:rsidR="009556FD">
        <w:rPr>
          <w:bCs/>
          <w:color w:val="000000" w:themeColor="text1"/>
          <w:sz w:val="24"/>
          <w:szCs w:val="24"/>
        </w:rPr>
        <w:t xml:space="preserve">may </w:t>
      </w:r>
      <w:r w:rsidRPr="001115B6">
        <w:rPr>
          <w:bCs/>
          <w:color w:val="000000" w:themeColor="text1"/>
          <w:sz w:val="24"/>
          <w:szCs w:val="24"/>
        </w:rPr>
        <w:t xml:space="preserve">permeate through two-dimensional graphene crystals much slower </w:t>
      </w:r>
      <w:r w:rsidR="009556FD">
        <w:rPr>
          <w:bCs/>
          <w:color w:val="000000" w:themeColor="text1"/>
          <w:sz w:val="24"/>
          <w:szCs w:val="24"/>
        </w:rPr>
        <w:t xml:space="preserve">compared to that of </w:t>
      </w:r>
      <w:r w:rsidRPr="001115B6">
        <w:rPr>
          <w:bCs/>
          <w:color w:val="000000" w:themeColor="text1"/>
          <w:sz w:val="24"/>
          <w:szCs w:val="24"/>
        </w:rPr>
        <w:t xml:space="preserve">an </w:t>
      </w:r>
      <w:proofErr w:type="gramStart"/>
      <w:r w:rsidRPr="001115B6">
        <w:rPr>
          <w:bCs/>
          <w:color w:val="000000" w:themeColor="text1"/>
          <w:sz w:val="24"/>
          <w:szCs w:val="24"/>
        </w:rPr>
        <w:t>protons</w:t>
      </w:r>
      <w:proofErr w:type="gramEnd"/>
      <w:r w:rsidRPr="001115B6">
        <w:rPr>
          <w:bCs/>
          <w:color w:val="000000" w:themeColor="text1"/>
          <w:sz w:val="24"/>
          <w:szCs w:val="24"/>
        </w:rPr>
        <w:t xml:space="preserve">, resulting in a separation factor of ≈10 at room temperature. The isotope effect is assumed to be attributed to a difference of ≈60 milli–electron volts between zero-point energies of incident protons and deuterons, which translates into the equivalent difference in the activation barriers posed by two-dimensional crystals. Graphene membrane serves simultaneously as a semi-transparent hydron barrier and a drain electrode for proton and deuteron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="00260A10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&lt;EndNote&gt;&lt;Cite&gt;&lt;Author&gt;Lozada-Hidalgo&lt;/Author&gt;&lt;Year&gt;2016&lt;/Year&gt;&lt;RecNum&gt;578&lt;/RecNum&gt;&lt;DisplayText&gt;[8]&lt;/DisplayText&gt;&lt;record&gt;&lt;rec-number&gt;578&lt;/rec-number&gt;&lt;foreign-keys&gt;&lt;key app="EN" db-id="vpd22xzxfrerz3ew5zexd9wpffxwetf5wdpe" timestamp="1622288586"&gt;578&lt;/key&gt;&lt;/foreign-keys&gt;&lt;ref-type name="Journal Article"&gt;17&lt;/ref-type&gt;&lt;contributors&gt;&lt;authors&gt;&lt;author&gt;Lozada-Hidalgo, M.&lt;/author&gt;&lt;author&gt;Hu, S.&lt;/author&gt;&lt;author&gt;Marshall, O.&lt;/author&gt;&lt;author&gt;Mishchenko, A.&lt;/author&gt;&lt;author&gt;Grigorenko, A. N.&lt;/author&gt;&lt;author&gt;Dryfe, R. A. W.&lt;/author&gt;&lt;author&gt;Radha, B.&lt;/author&gt;&lt;author&gt;Grigorieva, I. V.&lt;/author&gt;&lt;author&gt;Geim, A. K.&lt;/author&gt;&lt;/authors&gt;&lt;/contributors&gt;&lt;titles&gt;&lt;title&gt;Sieving hydrogen isotopes through two-dimensional crystals&lt;/title&gt;&lt;secondary-title&gt;Science&lt;/secondary-title&gt;&lt;/titles&gt;&lt;periodical&gt;&lt;full-title&gt;Science&lt;/full-title&gt;&lt;/periodical&gt;&lt;pages&gt;68&lt;/pages&gt;&lt;volume&gt;351&lt;/volume&gt;&lt;number&gt;6268&lt;/number&gt;&lt;dates&gt;&lt;year&gt;2016&lt;/year&gt;&lt;/dates&gt;&lt;urls&gt;&lt;related-urls&gt;&lt;url&gt;http://science.sciencemag.org/content/351/6268/68.abstract&lt;/url&gt;&lt;/related-urls&gt;&lt;/urls&gt;&lt;electronic-resource-num&gt;10.1126/science.aac9726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="00260A10">
        <w:rPr>
          <w:bCs/>
          <w:noProof/>
          <w:color w:val="000000" w:themeColor="text1"/>
          <w:sz w:val="24"/>
          <w:szCs w:val="24"/>
        </w:rPr>
        <w:t>[8]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Currently, there is no experimental data on application for tritium. </w:t>
      </w:r>
    </w:p>
    <w:p w14:paraId="5AE78337" w14:textId="260C3C45" w:rsidR="001115B6" w:rsidRPr="001115B6" w:rsidRDefault="009556FD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present </w:t>
      </w:r>
      <w:proofErr w:type="gramStart"/>
      <w:r>
        <w:rPr>
          <w:bCs/>
          <w:color w:val="000000" w:themeColor="text1"/>
          <w:sz w:val="24"/>
          <w:szCs w:val="24"/>
        </w:rPr>
        <w:t>st</w:t>
      </w:r>
      <w:r w:rsidR="006A48A4">
        <w:rPr>
          <w:bCs/>
          <w:color w:val="000000" w:themeColor="text1"/>
          <w:sz w:val="24"/>
          <w:szCs w:val="24"/>
        </w:rPr>
        <w:t>u</w:t>
      </w:r>
      <w:r>
        <w:rPr>
          <w:bCs/>
          <w:color w:val="000000" w:themeColor="text1"/>
          <w:sz w:val="24"/>
          <w:szCs w:val="24"/>
        </w:rPr>
        <w:t>dy</w:t>
      </w:r>
      <w:bookmarkStart w:id="0" w:name="_GoBack"/>
      <w:bookmarkEnd w:id="0"/>
      <w:r>
        <w:rPr>
          <w:bCs/>
          <w:color w:val="000000" w:themeColor="text1"/>
          <w:sz w:val="24"/>
          <w:szCs w:val="24"/>
        </w:rPr>
        <w:t xml:space="preserve">  reports</w:t>
      </w:r>
      <w:proofErr w:type="gramEnd"/>
      <w:r>
        <w:rPr>
          <w:bCs/>
          <w:color w:val="000000" w:themeColor="text1"/>
          <w:sz w:val="24"/>
          <w:szCs w:val="24"/>
        </w:rPr>
        <w:t xml:space="preserve"> of the development of </w:t>
      </w:r>
      <w:r w:rsidR="001115B6" w:rsidRPr="001115B6">
        <w:rPr>
          <w:bCs/>
          <w:color w:val="000000" w:themeColor="text1"/>
          <w:sz w:val="24"/>
          <w:szCs w:val="24"/>
        </w:rPr>
        <w:t xml:space="preserve"> a set-up for separation </w:t>
      </w:r>
      <w:r>
        <w:rPr>
          <w:bCs/>
          <w:color w:val="000000" w:themeColor="text1"/>
          <w:sz w:val="24"/>
          <w:szCs w:val="24"/>
        </w:rPr>
        <w:t xml:space="preserve">of tritium </w:t>
      </w:r>
      <w:r w:rsidR="001115B6" w:rsidRPr="001115B6">
        <w:rPr>
          <w:bCs/>
          <w:color w:val="000000" w:themeColor="text1"/>
          <w:sz w:val="24"/>
          <w:szCs w:val="24"/>
        </w:rPr>
        <w:t xml:space="preserve">both from water and gas based on the concept described above. </w:t>
      </w:r>
      <w:r w:rsidRPr="001115B6">
        <w:rPr>
          <w:bCs/>
          <w:color w:val="000000" w:themeColor="text1"/>
          <w:sz w:val="24"/>
          <w:szCs w:val="24"/>
        </w:rPr>
        <w:t>Additionally</w:t>
      </w:r>
      <w:r w:rsidR="001115B6" w:rsidRPr="001115B6">
        <w:rPr>
          <w:bCs/>
          <w:color w:val="000000" w:themeColor="text1"/>
          <w:sz w:val="24"/>
          <w:szCs w:val="24"/>
        </w:rPr>
        <w:t xml:space="preserve">, special attention </w:t>
      </w:r>
      <w:r>
        <w:rPr>
          <w:bCs/>
          <w:color w:val="000000" w:themeColor="text1"/>
          <w:sz w:val="24"/>
          <w:szCs w:val="24"/>
        </w:rPr>
        <w:t xml:space="preserve">is dedicated to evaluation of the </w:t>
      </w:r>
      <w:r w:rsidR="001115B6" w:rsidRPr="001115B6">
        <w:rPr>
          <w:bCs/>
          <w:color w:val="000000" w:themeColor="text1"/>
          <w:sz w:val="24"/>
          <w:szCs w:val="24"/>
        </w:rPr>
        <w:t>radiation stability of the</w:t>
      </w:r>
      <w:r>
        <w:rPr>
          <w:bCs/>
          <w:color w:val="000000" w:themeColor="text1"/>
          <w:sz w:val="24"/>
          <w:szCs w:val="24"/>
        </w:rPr>
        <w:t xml:space="preserve"> developed</w:t>
      </w:r>
      <w:r w:rsidR="001115B6" w:rsidRPr="001115B6">
        <w:rPr>
          <w:bCs/>
          <w:color w:val="000000" w:themeColor="text1"/>
          <w:sz w:val="24"/>
          <w:szCs w:val="24"/>
        </w:rPr>
        <w:t xml:space="preserve"> system, thus choice of radiation stabile materials and test under potential exposure conditions</w:t>
      </w:r>
      <w:r>
        <w:rPr>
          <w:bCs/>
          <w:color w:val="000000" w:themeColor="text1"/>
          <w:sz w:val="24"/>
          <w:szCs w:val="24"/>
        </w:rPr>
        <w:t xml:space="preserve"> is discussed in this study.</w:t>
      </w:r>
    </w:p>
    <w:p w14:paraId="7EA1B7BC" w14:textId="3E70F184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sz w:val="24"/>
          <w:szCs w:val="24"/>
        </w:rPr>
      </w:pPr>
      <w:r w:rsidRPr="001115B6">
        <w:rPr>
          <w:sz w:val="24"/>
          <w:szCs w:val="24"/>
        </w:rPr>
        <w:t>Proposed alternative is expected to be more cost effective and more durable</w:t>
      </w:r>
      <w:r w:rsidR="009556FD">
        <w:rPr>
          <w:sz w:val="24"/>
          <w:szCs w:val="24"/>
        </w:rPr>
        <w:t xml:space="preserve"> for the application in </w:t>
      </w:r>
      <w:r w:rsidRPr="001115B6">
        <w:rPr>
          <w:sz w:val="24"/>
          <w:szCs w:val="24"/>
        </w:rPr>
        <w:t xml:space="preserve">harsh environments. Moreover, proposed device can be </w:t>
      </w:r>
      <w:r w:rsidRPr="001115B6">
        <w:rPr>
          <w:b/>
          <w:sz w:val="24"/>
          <w:szCs w:val="24"/>
        </w:rPr>
        <w:t>automatized and used remotely</w:t>
      </w:r>
      <w:r w:rsidRPr="001115B6">
        <w:rPr>
          <w:sz w:val="24"/>
          <w:szCs w:val="24"/>
        </w:rPr>
        <w:t xml:space="preserve"> that must be emphasized of special importance in radiation environments.  </w:t>
      </w:r>
    </w:p>
    <w:p w14:paraId="1D129093" w14:textId="1E333CD9" w:rsidR="001115B6" w:rsidRPr="001115B6" w:rsidRDefault="001115B6" w:rsidP="001115B6">
      <w:pPr>
        <w:spacing w:before="280"/>
        <w:jc w:val="center"/>
        <w:rPr>
          <w:b/>
          <w:sz w:val="24"/>
          <w:szCs w:val="24"/>
        </w:rPr>
      </w:pPr>
      <w:r w:rsidRPr="001115B6">
        <w:rPr>
          <w:b/>
          <w:sz w:val="24"/>
          <w:szCs w:val="24"/>
        </w:rPr>
        <w:t>REFERNCES</w:t>
      </w:r>
    </w:p>
    <w:p w14:paraId="16C10448" w14:textId="77777777" w:rsidR="00260A10" w:rsidRPr="00260A10" w:rsidRDefault="001115B6" w:rsidP="00260A10">
      <w:pPr>
        <w:pStyle w:val="EndNoteBibliography"/>
        <w:spacing w:after="0"/>
      </w:pPr>
      <w:r w:rsidRPr="001115B6">
        <w:rPr>
          <w:rFonts w:ascii="Times New Roman" w:hAnsi="Times New Roman" w:cs="Times New Roman"/>
          <w:sz w:val="24"/>
          <w:szCs w:val="24"/>
        </w:rPr>
        <w:fldChar w:fldCharType="begin"/>
      </w:r>
      <w:r w:rsidRPr="001115B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115B6">
        <w:rPr>
          <w:rFonts w:ascii="Times New Roman" w:hAnsi="Times New Roman" w:cs="Times New Roman"/>
          <w:sz w:val="24"/>
          <w:szCs w:val="24"/>
        </w:rPr>
        <w:fldChar w:fldCharType="separate"/>
      </w:r>
      <w:r w:rsidR="00260A10" w:rsidRPr="00260A10">
        <w:t>[1] M.I. Ojovan, W.E. Lee, S.N. Kalmykov, Chapter 11 - Short-Lived Waste Radionuclides, in: M.I. Ojovan, W.E. Lee, S.N. Kalmykov (Eds.) An Introduction to Nuclear Waste Immobilisation (Third Edition), Elsevier, 2019, pp. 145-154.</w:t>
      </w:r>
    </w:p>
    <w:p w14:paraId="63344EB4" w14:textId="77777777" w:rsidR="00260A10" w:rsidRPr="00260A10" w:rsidRDefault="00260A10" w:rsidP="00260A10">
      <w:pPr>
        <w:pStyle w:val="EndNoteBibliography"/>
        <w:spacing w:after="0"/>
      </w:pPr>
      <w:r w:rsidRPr="00260A10">
        <w:t>[2] Q. Zhang, T. Liu, L. Yang, D. Meng, D. Song, Monitoring and management of tritium from the nuclear power plant effluent, IOP Conference Series: Earth and Environmental Science, 108 (2018) 042057.</w:t>
      </w:r>
    </w:p>
    <w:p w14:paraId="0ED0FC4A" w14:textId="77777777" w:rsidR="00260A10" w:rsidRPr="00260A10" w:rsidRDefault="00260A10" w:rsidP="00260A10">
      <w:pPr>
        <w:pStyle w:val="EndNoteBibliography"/>
        <w:spacing w:after="0"/>
      </w:pPr>
      <w:r w:rsidRPr="00260A10">
        <w:t>[3] R.J. Pearson, A.B. Antoniazzi, W.J. Nuttall, Tritium supply and use: a key issue for the development of nuclear fusion energy, Fusion Engineering and Design, 136 (2018) 1140-1148.</w:t>
      </w:r>
    </w:p>
    <w:p w14:paraId="232C1F78" w14:textId="77777777" w:rsidR="00260A10" w:rsidRPr="00260A10" w:rsidRDefault="00260A10" w:rsidP="00260A10">
      <w:pPr>
        <w:pStyle w:val="EndNoteBibliography"/>
        <w:spacing w:after="0"/>
      </w:pPr>
      <w:r w:rsidRPr="00260A10">
        <w:t>[4] R. Querfeld, A.-E. Pasi, K. Shozugawa, C. Vockenhuber, H.-A. Synal, P. Steier, G. Steinhauser, Radionuclides in surface waters around the damaged Fukushima Daiichi NPP one month after the accident: Evidence of significant tritium release into the environment, Science of The Total Environment, 689 (2019) 451-456.</w:t>
      </w:r>
    </w:p>
    <w:p w14:paraId="6D58A81B" w14:textId="77777777" w:rsidR="00260A10" w:rsidRPr="00260A10" w:rsidRDefault="00260A10" w:rsidP="00260A10">
      <w:pPr>
        <w:pStyle w:val="EndNoteBibliography"/>
        <w:spacing w:after="0"/>
      </w:pPr>
      <w:r w:rsidRPr="00260A10">
        <w:t>[5] Transfer of Tritium in the Environment after Accidental Releases from Nuclear Facilities, INTERNATIONAL ATOMIC ENERGY AGENCY, Vienna, 2014.</w:t>
      </w:r>
    </w:p>
    <w:p w14:paraId="1F3D2251" w14:textId="77777777" w:rsidR="00260A10" w:rsidRPr="00260A10" w:rsidRDefault="00260A10" w:rsidP="00260A10">
      <w:pPr>
        <w:pStyle w:val="EndNoteBibliography"/>
        <w:spacing w:after="0"/>
      </w:pPr>
      <w:r w:rsidRPr="00260A10">
        <w:t>[6] Classification of Radioactive Waste, INTERNATIONAL ATOMIC ENERGY AGENCY, Vienna, 2009.</w:t>
      </w:r>
    </w:p>
    <w:p w14:paraId="2C51CC43" w14:textId="77777777" w:rsidR="00260A10" w:rsidRPr="00260A10" w:rsidRDefault="00260A10" w:rsidP="00260A10">
      <w:pPr>
        <w:pStyle w:val="EndNoteBibliography"/>
        <w:spacing w:after="0"/>
      </w:pPr>
      <w:r w:rsidRPr="00260A10">
        <w:t>[7] M. Lozada-Hidalgo, S. Zhang, S. Hu, A. Esfandiar, I.V. Grigorieva, A.K. Geim, Scalable and efficient separation of hydrogen isotopes using graphene-based electrochemical pumping, Nature Communications, 8 (2017) 15215.</w:t>
      </w:r>
    </w:p>
    <w:p w14:paraId="7EBBF4F1" w14:textId="77777777" w:rsidR="00260A10" w:rsidRPr="00260A10" w:rsidRDefault="00260A10" w:rsidP="00260A10">
      <w:pPr>
        <w:pStyle w:val="EndNoteBibliography"/>
      </w:pPr>
      <w:r w:rsidRPr="00260A10">
        <w:t>[8] M. Lozada-Hidalgo, S. Hu, O. Marshall, A. Mishchenko, A.N. Grigorenko, R.A.W. Dryfe, B. Radha, I.V. Grigorieva, A.K. Geim, Sieving hydrogen isotopes through two-dimensional crystals, Science, 351 (2016) 68.</w:t>
      </w:r>
    </w:p>
    <w:p w14:paraId="348F3034" w14:textId="3C7C1199" w:rsidR="00434009" w:rsidRPr="001115B6" w:rsidRDefault="001115B6" w:rsidP="001115B6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1115B6">
        <w:rPr>
          <w:sz w:val="24"/>
          <w:szCs w:val="24"/>
        </w:rPr>
        <w:fldChar w:fldCharType="end"/>
      </w:r>
    </w:p>
    <w:p w14:paraId="254B4264" w14:textId="1D382F50" w:rsidR="00434009" w:rsidRPr="001115B6" w:rsidRDefault="00434009" w:rsidP="00434009">
      <w:pPr>
        <w:pStyle w:val="Referencelist"/>
        <w:numPr>
          <w:ilvl w:val="0"/>
          <w:numId w:val="0"/>
        </w:numPr>
        <w:ind w:left="720" w:hanging="360"/>
        <w:rPr>
          <w:rFonts w:eastAsiaTheme="minorHAnsi"/>
          <w:sz w:val="24"/>
          <w:szCs w:val="24"/>
          <w:lang w:eastAsia="ar-SA"/>
        </w:rPr>
      </w:pPr>
    </w:p>
    <w:sectPr w:rsidR="00434009" w:rsidRPr="001115B6" w:rsidSect="0026525A"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95E2" w14:textId="77777777" w:rsidR="00A7428D" w:rsidRDefault="00A7428D">
      <w:r>
        <w:separator/>
      </w:r>
    </w:p>
  </w:endnote>
  <w:endnote w:type="continuationSeparator" w:id="0">
    <w:p w14:paraId="49B67F35" w14:textId="77777777" w:rsidR="00A7428D" w:rsidRDefault="00A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97F1" w14:textId="77777777" w:rsidR="00A7428D" w:rsidRDefault="00A7428D">
      <w:r>
        <w:t>___________________________________________________________________________</w:t>
      </w:r>
    </w:p>
  </w:footnote>
  <w:footnote w:type="continuationSeparator" w:id="0">
    <w:p w14:paraId="1FC933FE" w14:textId="77777777" w:rsidR="00A7428D" w:rsidRDefault="00A7428D">
      <w:r>
        <w:t>___________________________________________________________________________</w:t>
      </w:r>
    </w:p>
  </w:footnote>
  <w:footnote w:type="continuationNotice" w:id="1">
    <w:p w14:paraId="15F80DB6" w14:textId="77777777" w:rsidR="00A7428D" w:rsidRDefault="00A74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31A3"/>
    <w:multiLevelType w:val="hybridMultilevel"/>
    <w:tmpl w:val="08A4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2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2"/>
  </w:num>
  <w:num w:numId="22">
    <w:abstractNumId w:val="4"/>
  </w:num>
  <w:num w:numId="23">
    <w:abstractNumId w:val="1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sion Engineering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22xzxfrerz3ew5zexd9wpffxwetf5wdpe&quot;&gt;My EndNote Library&lt;record-ids&gt;&lt;item&gt;578&lt;/item&gt;&lt;item&gt;598&lt;/item&gt;&lt;item&gt;599&lt;/item&gt;&lt;item&gt;600&lt;/item&gt;&lt;item&gt;610&lt;/item&gt;&lt;item&gt;612&lt;/item&gt;&lt;item&gt;617&lt;/item&gt;&lt;item&gt;840&lt;/item&gt;&lt;/record-ids&gt;&lt;/item&gt;&lt;/Libraries&gt;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73700"/>
    <w:rsid w:val="000A0299"/>
    <w:rsid w:val="000C6874"/>
    <w:rsid w:val="000F7E94"/>
    <w:rsid w:val="00107F61"/>
    <w:rsid w:val="001115B6"/>
    <w:rsid w:val="001119D6"/>
    <w:rsid w:val="0012117D"/>
    <w:rsid w:val="00126389"/>
    <w:rsid w:val="001308F2"/>
    <w:rsid w:val="001313E8"/>
    <w:rsid w:val="0019014D"/>
    <w:rsid w:val="001B4837"/>
    <w:rsid w:val="001C58F5"/>
    <w:rsid w:val="001D0824"/>
    <w:rsid w:val="001D5CEE"/>
    <w:rsid w:val="001F49FB"/>
    <w:rsid w:val="002071D9"/>
    <w:rsid w:val="00235900"/>
    <w:rsid w:val="00256822"/>
    <w:rsid w:val="00260A10"/>
    <w:rsid w:val="0026525A"/>
    <w:rsid w:val="00265CBF"/>
    <w:rsid w:val="00274790"/>
    <w:rsid w:val="00285755"/>
    <w:rsid w:val="002A1F9C"/>
    <w:rsid w:val="002A60A6"/>
    <w:rsid w:val="002B29C2"/>
    <w:rsid w:val="002C4208"/>
    <w:rsid w:val="00306628"/>
    <w:rsid w:val="00352DE1"/>
    <w:rsid w:val="00360CAB"/>
    <w:rsid w:val="003728E6"/>
    <w:rsid w:val="003760DD"/>
    <w:rsid w:val="003937C8"/>
    <w:rsid w:val="003B5E0E"/>
    <w:rsid w:val="003B6FBA"/>
    <w:rsid w:val="003D255A"/>
    <w:rsid w:val="00416949"/>
    <w:rsid w:val="00434009"/>
    <w:rsid w:val="004370D8"/>
    <w:rsid w:val="00446113"/>
    <w:rsid w:val="00472C43"/>
    <w:rsid w:val="00477B19"/>
    <w:rsid w:val="004910D8"/>
    <w:rsid w:val="004D36A7"/>
    <w:rsid w:val="00537496"/>
    <w:rsid w:val="00544ED3"/>
    <w:rsid w:val="00547F26"/>
    <w:rsid w:val="0057131A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84298"/>
    <w:rsid w:val="006A48A4"/>
    <w:rsid w:val="006B2274"/>
    <w:rsid w:val="0070708E"/>
    <w:rsid w:val="007113E8"/>
    <w:rsid w:val="00717C6F"/>
    <w:rsid w:val="007445DA"/>
    <w:rsid w:val="00765630"/>
    <w:rsid w:val="00790E9A"/>
    <w:rsid w:val="007B4FD1"/>
    <w:rsid w:val="007B57CF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6C0"/>
    <w:rsid w:val="009519C9"/>
    <w:rsid w:val="009556FD"/>
    <w:rsid w:val="009D0B86"/>
    <w:rsid w:val="009D21F0"/>
    <w:rsid w:val="009E0D5B"/>
    <w:rsid w:val="009E1558"/>
    <w:rsid w:val="00A42898"/>
    <w:rsid w:val="00A7428D"/>
    <w:rsid w:val="00A964E3"/>
    <w:rsid w:val="00AB6ACE"/>
    <w:rsid w:val="00AC2346"/>
    <w:rsid w:val="00AC5A3A"/>
    <w:rsid w:val="00AD6BB4"/>
    <w:rsid w:val="00AE0AE2"/>
    <w:rsid w:val="00AE6705"/>
    <w:rsid w:val="00B1443F"/>
    <w:rsid w:val="00B51F36"/>
    <w:rsid w:val="00B54CDF"/>
    <w:rsid w:val="00B808D8"/>
    <w:rsid w:val="00B82FA5"/>
    <w:rsid w:val="00B90025"/>
    <w:rsid w:val="00BC0D33"/>
    <w:rsid w:val="00BC2DB0"/>
    <w:rsid w:val="00BD1400"/>
    <w:rsid w:val="00BD196C"/>
    <w:rsid w:val="00BD605C"/>
    <w:rsid w:val="00BE2A76"/>
    <w:rsid w:val="00C520EE"/>
    <w:rsid w:val="00C60F91"/>
    <w:rsid w:val="00C65E60"/>
    <w:rsid w:val="00C95D35"/>
    <w:rsid w:val="00CB0288"/>
    <w:rsid w:val="00CD7ABF"/>
    <w:rsid w:val="00CE5A52"/>
    <w:rsid w:val="00CF7AF3"/>
    <w:rsid w:val="00D26ADA"/>
    <w:rsid w:val="00D35A78"/>
    <w:rsid w:val="00D555A1"/>
    <w:rsid w:val="00D64DC2"/>
    <w:rsid w:val="00DA46CA"/>
    <w:rsid w:val="00DE5C99"/>
    <w:rsid w:val="00DE7061"/>
    <w:rsid w:val="00DF21EB"/>
    <w:rsid w:val="00DF3A79"/>
    <w:rsid w:val="00E20E70"/>
    <w:rsid w:val="00E25B68"/>
    <w:rsid w:val="00E84003"/>
    <w:rsid w:val="00E87088"/>
    <w:rsid w:val="00E934AC"/>
    <w:rsid w:val="00EC10FC"/>
    <w:rsid w:val="00EE0041"/>
    <w:rsid w:val="00EE29B9"/>
    <w:rsid w:val="00EE30B2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5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uiPriority w:val="49"/>
    <w:rsid w:val="001115B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paragraph" w:styleId="ListParagraph">
    <w:name w:val="List Paragraph"/>
    <w:aliases w:val="H&amp;P List Paragraph,2,Strip,Saraksta rindkopa1,Normal bullet 2,Bullet list,Colorful List - Accent 11,Colorful List - Accent 12,Saraksta rindkopa,List Paragraph1,List1,Akapit z listą BS"/>
    <w:basedOn w:val="Normal"/>
    <w:link w:val="ListParagraphChar"/>
    <w:uiPriority w:val="34"/>
    <w:qFormat/>
    <w:locked/>
    <w:rsid w:val="001115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GB" w:bidi="en-GB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Colorful List - Accent 11 Char,Colorful List - Accent 12 Char,Saraksta rindkopa Char,List Paragraph1 Char,List1 Char"/>
    <w:link w:val="ListParagraph"/>
    <w:uiPriority w:val="34"/>
    <w:qFormat/>
    <w:locked/>
    <w:rsid w:val="001115B6"/>
    <w:rPr>
      <w:rFonts w:asciiTheme="minorHAnsi" w:eastAsiaTheme="minorHAnsi" w:hAnsiTheme="minorHAnsi" w:cstheme="minorBidi"/>
      <w:sz w:val="22"/>
      <w:szCs w:val="22"/>
      <w:lang w:bidi="en-GB"/>
    </w:rPr>
  </w:style>
  <w:style w:type="paragraph" w:customStyle="1" w:styleId="EndNoteBibliography">
    <w:name w:val="EndNote Bibliography"/>
    <w:basedOn w:val="Normal"/>
    <w:link w:val="EndNoteBibliographyChar"/>
    <w:rsid w:val="001115B6"/>
    <w:pPr>
      <w:overflowPunct/>
      <w:autoSpaceDE/>
      <w:autoSpaceDN/>
      <w:adjustRightInd/>
      <w:spacing w:after="160"/>
      <w:textAlignment w:val="auto"/>
    </w:pPr>
    <w:rPr>
      <w:rFonts w:ascii="Calibri" w:eastAsiaTheme="minorHAnsi" w:hAnsi="Calibri" w:cs="Calibri"/>
      <w:noProof/>
      <w:szCs w:val="22"/>
      <w:lang w:eastAsia="en-GB" w:bidi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115B6"/>
    <w:rPr>
      <w:rFonts w:ascii="Calibri" w:eastAsiaTheme="minorHAnsi" w:hAnsi="Calibri" w:cs="Calibri"/>
      <w:noProof/>
      <w:sz w:val="22"/>
      <w:szCs w:val="22"/>
      <w:lang w:bidi="en-GB"/>
    </w:rPr>
  </w:style>
  <w:style w:type="paragraph" w:customStyle="1" w:styleId="EndNoteBibliographyTitle">
    <w:name w:val="EndNote Bibliography Title"/>
    <w:basedOn w:val="Normal"/>
    <w:link w:val="EndNoteBibliographyTitleChar"/>
    <w:rsid w:val="001115B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1115B6"/>
    <w:rPr>
      <w:rFonts w:ascii="Calibri" w:eastAsiaTheme="minorHAnsi" w:hAnsi="Calibri" w:cs="Calibri"/>
      <w:noProof/>
      <w:sz w:val="22"/>
      <w:szCs w:val="22"/>
      <w:lang w:val="en-US" w:eastAsia="en-US" w:bidi="en-GB"/>
    </w:rPr>
  </w:style>
  <w:style w:type="paragraph" w:styleId="Revision">
    <w:name w:val="Revision"/>
    <w:hidden/>
    <w:uiPriority w:val="99"/>
    <w:semiHidden/>
    <w:rsid w:val="00E934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58F81-DA9E-45DC-AFFD-9FD15AE0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114</TotalTime>
  <Pages>3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Elīna Pajuste</cp:lastModifiedBy>
  <cp:revision>5</cp:revision>
  <cp:lastPrinted>2015-12-01T10:27:00Z</cp:lastPrinted>
  <dcterms:created xsi:type="dcterms:W3CDTF">2022-04-29T08:50:00Z</dcterms:created>
  <dcterms:modified xsi:type="dcterms:W3CDTF">2022-04-29T10:45:00Z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