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A902" w14:textId="27C73A32" w:rsidR="00604C59" w:rsidRPr="00073700" w:rsidRDefault="00222A45" w:rsidP="00073700">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222A45">
        <w:rPr>
          <w:rFonts w:ascii="Times New Roman" w:hAnsi="Times New Roman"/>
          <w:bCs/>
          <w:noProof/>
          <w:szCs w:val="24"/>
          <w:lang w:val="en-GB"/>
        </w:rPr>
        <w:t xml:space="preserve">Cross-cutting issues in fusion and fission </w:t>
      </w:r>
      <w:r w:rsidR="000622B9">
        <w:rPr>
          <w:rFonts w:ascii="Times New Roman" w:hAnsi="Times New Roman"/>
          <w:bCs/>
          <w:noProof/>
          <w:szCs w:val="24"/>
          <w:lang w:val="en-GB"/>
        </w:rPr>
        <w:t xml:space="preserve">Tritium management </w:t>
      </w:r>
    </w:p>
    <w:p w14:paraId="7E238A00" w14:textId="680A1687" w:rsidR="00555BA4" w:rsidRDefault="00555BA4" w:rsidP="00073700">
      <w:pPr>
        <w:pStyle w:val="Authornameandaffiliation"/>
        <w:ind w:left="0"/>
        <w:jc w:val="both"/>
        <w:rPr>
          <w:sz w:val="24"/>
          <w:szCs w:val="24"/>
          <w:lang w:val="en-GB"/>
        </w:rPr>
      </w:pPr>
    </w:p>
    <w:p w14:paraId="660F1B59" w14:textId="77777777" w:rsidR="006130CD" w:rsidRPr="00073700" w:rsidRDefault="006130CD" w:rsidP="00073700">
      <w:pPr>
        <w:pStyle w:val="Authornameandaffiliation"/>
        <w:ind w:left="0"/>
        <w:jc w:val="both"/>
        <w:rPr>
          <w:sz w:val="24"/>
          <w:szCs w:val="24"/>
          <w:lang w:val="en-GB"/>
        </w:rPr>
      </w:pPr>
    </w:p>
    <w:p w14:paraId="511E05AA" w14:textId="3793E39D" w:rsidR="0019517F" w:rsidRPr="00295595" w:rsidRDefault="001341C2" w:rsidP="00073700">
      <w:pPr>
        <w:pStyle w:val="Authornameandaffiliation"/>
        <w:ind w:left="0"/>
        <w:jc w:val="both"/>
        <w:rPr>
          <w:color w:val="FF0000"/>
          <w:sz w:val="24"/>
          <w:szCs w:val="24"/>
          <w:lang w:val="it-IT"/>
        </w:rPr>
      </w:pPr>
      <w:r>
        <w:rPr>
          <w:color w:val="FF0000"/>
          <w:sz w:val="24"/>
          <w:szCs w:val="24"/>
          <w:lang w:val="it-IT"/>
        </w:rPr>
        <w:t xml:space="preserve">M. Utili, </w:t>
      </w:r>
      <w:r w:rsidR="00295595" w:rsidRPr="00295595">
        <w:rPr>
          <w:color w:val="FF0000"/>
          <w:sz w:val="24"/>
          <w:szCs w:val="24"/>
          <w:lang w:val="it-IT"/>
        </w:rPr>
        <w:t xml:space="preserve">C. Alberghi, L. Candido, </w:t>
      </w:r>
      <w:r>
        <w:rPr>
          <w:color w:val="FF0000"/>
          <w:sz w:val="24"/>
          <w:szCs w:val="24"/>
          <w:lang w:val="it-IT"/>
        </w:rPr>
        <w:t>D. Diamanti, F. Papa</w:t>
      </w:r>
      <w:r w:rsidR="003A3249">
        <w:rPr>
          <w:color w:val="FF0000"/>
          <w:sz w:val="24"/>
          <w:szCs w:val="24"/>
          <w:lang w:val="it-IT"/>
        </w:rPr>
        <w:t>, A. Venturini</w:t>
      </w:r>
    </w:p>
    <w:p w14:paraId="291B30A2" w14:textId="77777777" w:rsidR="00555BA4" w:rsidRPr="00295595" w:rsidRDefault="00555BA4" w:rsidP="00073700">
      <w:pPr>
        <w:pStyle w:val="Authornameandaffiliation"/>
        <w:ind w:left="0"/>
        <w:jc w:val="both"/>
        <w:rPr>
          <w:sz w:val="24"/>
          <w:szCs w:val="24"/>
          <w:lang w:val="it-IT"/>
        </w:rPr>
      </w:pPr>
    </w:p>
    <w:p w14:paraId="2139E7DB" w14:textId="77777777" w:rsidR="005D30BB" w:rsidRPr="00BA6CC3" w:rsidRDefault="005D30BB" w:rsidP="005D30BB">
      <w:pPr>
        <w:pStyle w:val="Authornameandaffiliation"/>
        <w:ind w:left="0"/>
        <w:jc w:val="both"/>
        <w:rPr>
          <w:sz w:val="24"/>
          <w:szCs w:val="24"/>
          <w:lang w:val="it-IT"/>
        </w:rPr>
      </w:pPr>
      <w:bookmarkStart w:id="0" w:name="OLE_LINK13"/>
      <w:bookmarkStart w:id="1" w:name="OLE_LINK14"/>
    </w:p>
    <w:p w14:paraId="458078CD" w14:textId="77777777" w:rsidR="005D30BB" w:rsidRPr="003A3249" w:rsidRDefault="005D30BB" w:rsidP="005D30BB">
      <w:pPr>
        <w:pStyle w:val="Authornameandaffiliation"/>
        <w:ind w:left="0"/>
        <w:jc w:val="both"/>
        <w:rPr>
          <w:sz w:val="24"/>
          <w:szCs w:val="24"/>
          <w:lang w:val="it-IT"/>
        </w:rPr>
      </w:pPr>
      <w:bookmarkStart w:id="2" w:name="OLE_LINK15"/>
      <w:bookmarkStart w:id="3" w:name="OLE_LINK16"/>
      <w:r w:rsidRPr="003A3249">
        <w:rPr>
          <w:sz w:val="24"/>
          <w:szCs w:val="24"/>
          <w:lang w:val="it-IT"/>
        </w:rPr>
        <w:t xml:space="preserve">M. </w:t>
      </w:r>
      <w:r>
        <w:rPr>
          <w:sz w:val="24"/>
          <w:szCs w:val="24"/>
          <w:lang w:val="it-IT"/>
        </w:rPr>
        <w:t>Utili</w:t>
      </w:r>
    </w:p>
    <w:p w14:paraId="6CA72BCF" w14:textId="77777777" w:rsidR="005D30BB" w:rsidRPr="003A3249" w:rsidRDefault="005D30BB" w:rsidP="005D30BB">
      <w:pPr>
        <w:pStyle w:val="Authornameandaffiliation"/>
        <w:ind w:left="0"/>
        <w:jc w:val="both"/>
        <w:rPr>
          <w:sz w:val="24"/>
          <w:szCs w:val="24"/>
          <w:lang w:val="it-IT"/>
        </w:rPr>
      </w:pPr>
      <w:r w:rsidRPr="003A3249">
        <w:rPr>
          <w:sz w:val="24"/>
          <w:szCs w:val="24"/>
          <w:lang w:val="it-IT"/>
        </w:rPr>
        <w:t>ENEA</w:t>
      </w:r>
    </w:p>
    <w:p w14:paraId="64488E25" w14:textId="77777777" w:rsidR="005D30BB" w:rsidRPr="003A3249" w:rsidRDefault="005D30BB" w:rsidP="005D30BB">
      <w:pPr>
        <w:pStyle w:val="Authornameandaffiliation"/>
        <w:ind w:left="0"/>
        <w:jc w:val="both"/>
        <w:rPr>
          <w:sz w:val="24"/>
          <w:szCs w:val="24"/>
          <w:lang w:val="it-IT"/>
        </w:rPr>
      </w:pPr>
      <w:r w:rsidRPr="003A3249">
        <w:rPr>
          <w:sz w:val="24"/>
          <w:szCs w:val="24"/>
          <w:lang w:val="it-IT"/>
        </w:rPr>
        <w:t>Brasimone, Italy</w:t>
      </w:r>
    </w:p>
    <w:p w14:paraId="4E821BA6" w14:textId="77777777" w:rsidR="005D30BB" w:rsidRPr="003A3249" w:rsidRDefault="005D30BB" w:rsidP="005D30BB">
      <w:pPr>
        <w:pStyle w:val="Authornameandaffiliation"/>
        <w:ind w:left="0"/>
        <w:jc w:val="both"/>
        <w:rPr>
          <w:sz w:val="24"/>
          <w:szCs w:val="24"/>
          <w:lang w:val="it-IT"/>
        </w:rPr>
      </w:pPr>
      <w:r w:rsidRPr="003A3249">
        <w:rPr>
          <w:sz w:val="24"/>
          <w:szCs w:val="24"/>
          <w:lang w:val="it-IT"/>
        </w:rPr>
        <w:t>Email: marco.utili@enea.it</w:t>
      </w:r>
    </w:p>
    <w:bookmarkEnd w:id="2"/>
    <w:bookmarkEnd w:id="3"/>
    <w:p w14:paraId="22E0B2D9" w14:textId="77777777" w:rsidR="005D30BB" w:rsidRDefault="005D30BB" w:rsidP="00247C3A">
      <w:pPr>
        <w:pStyle w:val="Authornameandaffiliation"/>
        <w:ind w:left="0"/>
        <w:jc w:val="both"/>
        <w:rPr>
          <w:sz w:val="24"/>
          <w:szCs w:val="24"/>
          <w:lang w:val="it-IT"/>
        </w:rPr>
      </w:pPr>
    </w:p>
    <w:p w14:paraId="5AD7A1A6" w14:textId="0FF0C5CB" w:rsidR="00247C3A" w:rsidRDefault="00247C3A" w:rsidP="00247C3A">
      <w:pPr>
        <w:pStyle w:val="Authornameandaffiliation"/>
        <w:ind w:left="0"/>
        <w:jc w:val="both"/>
        <w:rPr>
          <w:sz w:val="24"/>
          <w:szCs w:val="24"/>
          <w:lang w:val="it-IT"/>
        </w:rPr>
      </w:pPr>
      <w:r>
        <w:rPr>
          <w:sz w:val="24"/>
          <w:szCs w:val="24"/>
          <w:lang w:val="it-IT"/>
        </w:rPr>
        <w:t>C. Alberghi</w:t>
      </w:r>
    </w:p>
    <w:p w14:paraId="1D614F33" w14:textId="5F6FE300" w:rsidR="00247C3A" w:rsidRDefault="00247C3A" w:rsidP="00247C3A">
      <w:pPr>
        <w:pStyle w:val="Authornameandaffiliation"/>
        <w:ind w:left="0"/>
        <w:jc w:val="both"/>
        <w:rPr>
          <w:sz w:val="24"/>
          <w:szCs w:val="24"/>
          <w:lang w:val="it-IT"/>
        </w:rPr>
      </w:pPr>
      <w:r>
        <w:rPr>
          <w:sz w:val="24"/>
          <w:szCs w:val="24"/>
          <w:lang w:val="it-IT"/>
        </w:rPr>
        <w:t xml:space="preserve">Politecnico </w:t>
      </w:r>
      <w:r w:rsidR="00CB4ABC">
        <w:rPr>
          <w:sz w:val="24"/>
          <w:szCs w:val="24"/>
          <w:lang w:val="it-IT"/>
        </w:rPr>
        <w:t xml:space="preserve">di </w:t>
      </w:r>
      <w:r>
        <w:rPr>
          <w:sz w:val="24"/>
          <w:szCs w:val="24"/>
          <w:lang w:val="it-IT"/>
        </w:rPr>
        <w:t>Torino</w:t>
      </w:r>
    </w:p>
    <w:p w14:paraId="39280E9A" w14:textId="77777777" w:rsidR="00247C3A" w:rsidRDefault="00247C3A" w:rsidP="00247C3A">
      <w:pPr>
        <w:pStyle w:val="Authornameandaffiliation"/>
        <w:ind w:left="0"/>
        <w:jc w:val="both"/>
        <w:rPr>
          <w:sz w:val="24"/>
          <w:szCs w:val="24"/>
          <w:lang w:val="it-IT"/>
        </w:rPr>
      </w:pPr>
      <w:r>
        <w:rPr>
          <w:sz w:val="24"/>
          <w:szCs w:val="24"/>
          <w:lang w:val="it-IT"/>
        </w:rPr>
        <w:t>Torino, Italy</w:t>
      </w:r>
    </w:p>
    <w:p w14:paraId="50C4F0D4" w14:textId="69DDEA5A" w:rsidR="00247C3A" w:rsidRDefault="00247C3A" w:rsidP="00247C3A">
      <w:pPr>
        <w:pStyle w:val="Authornameandaffiliation"/>
        <w:ind w:left="0"/>
        <w:jc w:val="both"/>
        <w:rPr>
          <w:sz w:val="24"/>
          <w:szCs w:val="24"/>
          <w:lang w:val="it-IT"/>
        </w:rPr>
      </w:pPr>
      <w:r>
        <w:rPr>
          <w:sz w:val="24"/>
          <w:szCs w:val="24"/>
          <w:lang w:val="it-IT"/>
        </w:rPr>
        <w:t xml:space="preserve">Email: </w:t>
      </w:r>
      <w:r w:rsidRPr="00247C3A">
        <w:rPr>
          <w:sz w:val="24"/>
          <w:szCs w:val="24"/>
          <w:lang w:val="it-IT"/>
        </w:rPr>
        <w:t>ciro.alberghi@polito.it</w:t>
      </w:r>
    </w:p>
    <w:p w14:paraId="65F09D83" w14:textId="77777777" w:rsidR="00247C3A" w:rsidRDefault="00247C3A" w:rsidP="00073700">
      <w:pPr>
        <w:pStyle w:val="Authornameandaffiliation"/>
        <w:ind w:left="0"/>
        <w:jc w:val="both"/>
        <w:rPr>
          <w:sz w:val="24"/>
          <w:szCs w:val="24"/>
          <w:lang w:val="it-IT"/>
        </w:rPr>
      </w:pPr>
    </w:p>
    <w:p w14:paraId="7FD3457B" w14:textId="14D2616F" w:rsidR="00247C3A" w:rsidRDefault="00247C3A" w:rsidP="00073700">
      <w:pPr>
        <w:pStyle w:val="Authornameandaffiliation"/>
        <w:ind w:left="0"/>
        <w:jc w:val="both"/>
        <w:rPr>
          <w:sz w:val="24"/>
          <w:szCs w:val="24"/>
          <w:lang w:val="it-IT"/>
        </w:rPr>
      </w:pPr>
      <w:r>
        <w:rPr>
          <w:sz w:val="24"/>
          <w:szCs w:val="24"/>
          <w:lang w:val="it-IT"/>
        </w:rPr>
        <w:t>L. Candido</w:t>
      </w:r>
    </w:p>
    <w:p w14:paraId="71D1386F" w14:textId="62646631" w:rsidR="00247C3A" w:rsidRDefault="00247C3A" w:rsidP="00073700">
      <w:pPr>
        <w:pStyle w:val="Authornameandaffiliation"/>
        <w:ind w:left="0"/>
        <w:jc w:val="both"/>
        <w:rPr>
          <w:sz w:val="24"/>
          <w:szCs w:val="24"/>
          <w:lang w:val="it-IT"/>
        </w:rPr>
      </w:pPr>
      <w:r>
        <w:rPr>
          <w:sz w:val="24"/>
          <w:szCs w:val="24"/>
          <w:lang w:val="it-IT"/>
        </w:rPr>
        <w:t xml:space="preserve">Politecnico </w:t>
      </w:r>
      <w:r w:rsidR="00CB4ABC">
        <w:rPr>
          <w:sz w:val="24"/>
          <w:szCs w:val="24"/>
          <w:lang w:val="it-IT"/>
        </w:rPr>
        <w:t xml:space="preserve">di </w:t>
      </w:r>
      <w:r>
        <w:rPr>
          <w:sz w:val="24"/>
          <w:szCs w:val="24"/>
          <w:lang w:val="it-IT"/>
        </w:rPr>
        <w:t>Torino</w:t>
      </w:r>
    </w:p>
    <w:p w14:paraId="73D35E23" w14:textId="0A523C7A" w:rsidR="00247C3A" w:rsidRPr="007B582D" w:rsidRDefault="00247C3A" w:rsidP="00073700">
      <w:pPr>
        <w:pStyle w:val="Authornameandaffiliation"/>
        <w:ind w:left="0"/>
        <w:jc w:val="both"/>
        <w:rPr>
          <w:sz w:val="24"/>
          <w:szCs w:val="24"/>
          <w:lang w:val="en-GB"/>
        </w:rPr>
      </w:pPr>
      <w:r w:rsidRPr="007B582D">
        <w:rPr>
          <w:sz w:val="24"/>
          <w:szCs w:val="24"/>
          <w:lang w:val="en-GB"/>
        </w:rPr>
        <w:t>Torino, Italy</w:t>
      </w:r>
    </w:p>
    <w:p w14:paraId="45E68E0B" w14:textId="7AC2AF10" w:rsidR="00247C3A" w:rsidRPr="007B582D" w:rsidRDefault="00247C3A" w:rsidP="00073700">
      <w:pPr>
        <w:pStyle w:val="Authornameandaffiliation"/>
        <w:ind w:left="0"/>
        <w:jc w:val="both"/>
        <w:rPr>
          <w:sz w:val="24"/>
          <w:szCs w:val="24"/>
          <w:lang w:val="en-GB"/>
        </w:rPr>
      </w:pPr>
      <w:r w:rsidRPr="007B582D">
        <w:rPr>
          <w:sz w:val="24"/>
          <w:szCs w:val="24"/>
          <w:lang w:val="en-GB"/>
        </w:rPr>
        <w:t>Email: luigi.candido@polito.it</w:t>
      </w:r>
    </w:p>
    <w:bookmarkEnd w:id="0"/>
    <w:bookmarkEnd w:id="1"/>
    <w:p w14:paraId="207CEC0C" w14:textId="77777777" w:rsidR="00247C3A" w:rsidRPr="007B582D" w:rsidRDefault="00247C3A" w:rsidP="00073700">
      <w:pPr>
        <w:pStyle w:val="Authornameandaffiliation"/>
        <w:ind w:left="0"/>
        <w:jc w:val="both"/>
        <w:rPr>
          <w:sz w:val="24"/>
          <w:szCs w:val="24"/>
          <w:lang w:val="en-GB"/>
        </w:rPr>
      </w:pPr>
    </w:p>
    <w:p w14:paraId="0FAF7C7C" w14:textId="5B55620C" w:rsidR="00247C3A" w:rsidRPr="00295595" w:rsidRDefault="00247C3A" w:rsidP="00247C3A">
      <w:pPr>
        <w:pStyle w:val="Authornameandaffiliation"/>
        <w:ind w:left="0"/>
        <w:jc w:val="both"/>
        <w:rPr>
          <w:sz w:val="24"/>
          <w:szCs w:val="24"/>
          <w:lang w:val="it-IT"/>
        </w:rPr>
      </w:pPr>
      <w:r>
        <w:rPr>
          <w:sz w:val="24"/>
          <w:szCs w:val="24"/>
          <w:lang w:val="it-IT"/>
        </w:rPr>
        <w:t>D</w:t>
      </w:r>
      <w:r w:rsidRPr="00295595">
        <w:rPr>
          <w:sz w:val="24"/>
          <w:szCs w:val="24"/>
          <w:lang w:val="it-IT"/>
        </w:rPr>
        <w:t xml:space="preserve">. </w:t>
      </w:r>
      <w:r>
        <w:rPr>
          <w:sz w:val="24"/>
          <w:szCs w:val="24"/>
          <w:lang w:val="it-IT"/>
        </w:rPr>
        <w:t>Diamanti</w:t>
      </w:r>
    </w:p>
    <w:p w14:paraId="5A476109" w14:textId="77777777" w:rsidR="00247C3A" w:rsidRPr="0019517F" w:rsidRDefault="00247C3A" w:rsidP="00247C3A">
      <w:pPr>
        <w:pStyle w:val="Authornameandaffiliation"/>
        <w:ind w:left="0"/>
        <w:jc w:val="both"/>
        <w:rPr>
          <w:sz w:val="24"/>
          <w:szCs w:val="24"/>
          <w:lang w:val="it-IT"/>
        </w:rPr>
      </w:pPr>
      <w:r w:rsidRPr="0019517F">
        <w:rPr>
          <w:sz w:val="24"/>
          <w:szCs w:val="24"/>
          <w:lang w:val="it-IT"/>
        </w:rPr>
        <w:t>ENEA</w:t>
      </w:r>
    </w:p>
    <w:p w14:paraId="7F6274C0" w14:textId="77777777" w:rsidR="00247C3A" w:rsidRPr="0019517F" w:rsidRDefault="00247C3A" w:rsidP="00247C3A">
      <w:pPr>
        <w:pStyle w:val="Authornameandaffiliation"/>
        <w:ind w:left="0"/>
        <w:jc w:val="both"/>
        <w:rPr>
          <w:sz w:val="24"/>
          <w:szCs w:val="24"/>
          <w:lang w:val="it-IT"/>
        </w:rPr>
      </w:pPr>
      <w:r w:rsidRPr="0019517F">
        <w:rPr>
          <w:sz w:val="24"/>
          <w:szCs w:val="24"/>
          <w:lang w:val="it-IT"/>
        </w:rPr>
        <w:t>Brasimone, Italy</w:t>
      </w:r>
    </w:p>
    <w:p w14:paraId="7F25EBD2" w14:textId="05BE18C1" w:rsidR="00247C3A" w:rsidRPr="003A3249" w:rsidRDefault="00247C3A" w:rsidP="00247C3A">
      <w:pPr>
        <w:pStyle w:val="Authornameandaffiliation"/>
        <w:ind w:left="0"/>
        <w:jc w:val="both"/>
        <w:rPr>
          <w:sz w:val="24"/>
          <w:szCs w:val="24"/>
          <w:lang w:val="it-IT"/>
        </w:rPr>
      </w:pPr>
      <w:r w:rsidRPr="003A3249">
        <w:rPr>
          <w:sz w:val="24"/>
          <w:szCs w:val="24"/>
          <w:lang w:val="it-IT"/>
        </w:rPr>
        <w:t xml:space="preserve">Email: </w:t>
      </w:r>
      <w:r w:rsidR="007B582D">
        <w:rPr>
          <w:sz w:val="24"/>
          <w:szCs w:val="24"/>
          <w:lang w:val="it-IT"/>
        </w:rPr>
        <w:t>d</w:t>
      </w:r>
      <w:r w:rsidRPr="003A3249">
        <w:rPr>
          <w:sz w:val="24"/>
          <w:szCs w:val="24"/>
          <w:lang w:val="it-IT"/>
        </w:rPr>
        <w:t>ario.diamanti@enea.it</w:t>
      </w:r>
    </w:p>
    <w:p w14:paraId="3A0CE83B" w14:textId="35671CFC" w:rsidR="00247C3A" w:rsidRPr="003A3249" w:rsidRDefault="00247C3A" w:rsidP="00073700">
      <w:pPr>
        <w:pStyle w:val="Authornameandaffiliation"/>
        <w:ind w:left="0"/>
        <w:jc w:val="both"/>
        <w:rPr>
          <w:sz w:val="24"/>
          <w:szCs w:val="24"/>
          <w:lang w:val="it-IT"/>
        </w:rPr>
      </w:pPr>
    </w:p>
    <w:p w14:paraId="217A71B5" w14:textId="77777777" w:rsidR="00BA6CC3" w:rsidRPr="00BE6AF7" w:rsidRDefault="00BA6CC3" w:rsidP="00BA6CC3">
      <w:pPr>
        <w:pStyle w:val="Authornameandaffiliation"/>
        <w:ind w:left="0"/>
        <w:jc w:val="both"/>
        <w:rPr>
          <w:sz w:val="24"/>
          <w:szCs w:val="24"/>
          <w:lang w:val="it-IT"/>
        </w:rPr>
      </w:pPr>
      <w:bookmarkStart w:id="4" w:name="OLE_LINK17"/>
      <w:bookmarkStart w:id="5" w:name="OLE_LINK18"/>
      <w:r w:rsidRPr="00BE6AF7">
        <w:rPr>
          <w:sz w:val="24"/>
          <w:szCs w:val="24"/>
          <w:lang w:val="it-IT"/>
        </w:rPr>
        <w:t>F. Papa</w:t>
      </w:r>
    </w:p>
    <w:p w14:paraId="7168DF41" w14:textId="77777777" w:rsidR="00BA6CC3" w:rsidRPr="00BE6AF7" w:rsidRDefault="00BA6CC3" w:rsidP="00BA6CC3">
      <w:pPr>
        <w:pStyle w:val="Authornameandaffiliation"/>
        <w:ind w:left="0"/>
        <w:jc w:val="both"/>
        <w:rPr>
          <w:sz w:val="24"/>
          <w:szCs w:val="24"/>
          <w:lang w:val="it-IT"/>
        </w:rPr>
      </w:pPr>
      <w:proofErr w:type="spellStart"/>
      <w:r w:rsidRPr="00BE6AF7">
        <w:rPr>
          <w:sz w:val="24"/>
          <w:szCs w:val="24"/>
          <w:lang w:val="it-IT"/>
        </w:rPr>
        <w:t>UniSapienza</w:t>
      </w:r>
      <w:proofErr w:type="spellEnd"/>
    </w:p>
    <w:p w14:paraId="5F49AAC9" w14:textId="77777777" w:rsidR="00BA6CC3" w:rsidRPr="00BE6AF7" w:rsidRDefault="00BA6CC3" w:rsidP="00BA6CC3">
      <w:pPr>
        <w:pStyle w:val="Authornameandaffiliation"/>
        <w:ind w:left="0"/>
        <w:jc w:val="both"/>
        <w:rPr>
          <w:sz w:val="24"/>
          <w:szCs w:val="24"/>
          <w:lang w:val="it-IT"/>
        </w:rPr>
      </w:pPr>
      <w:r>
        <w:rPr>
          <w:sz w:val="24"/>
          <w:szCs w:val="24"/>
          <w:lang w:val="it-IT"/>
        </w:rPr>
        <w:t>Roma, Italy</w:t>
      </w:r>
    </w:p>
    <w:p w14:paraId="2829C9B2" w14:textId="77777777" w:rsidR="00BA6CC3" w:rsidRPr="00BA6CC3" w:rsidRDefault="00BA6CC3" w:rsidP="00BA6CC3">
      <w:pPr>
        <w:pStyle w:val="Authornameandaffiliation"/>
        <w:ind w:left="0"/>
        <w:jc w:val="both"/>
        <w:rPr>
          <w:sz w:val="24"/>
          <w:szCs w:val="24"/>
          <w:lang w:val="it-IT"/>
        </w:rPr>
      </w:pPr>
      <w:r w:rsidRPr="00BA6CC3">
        <w:rPr>
          <w:sz w:val="24"/>
          <w:szCs w:val="24"/>
          <w:lang w:val="it-IT"/>
        </w:rPr>
        <w:t xml:space="preserve">Email: </w:t>
      </w:r>
      <w:bookmarkStart w:id="6" w:name="_GoBack"/>
      <w:r w:rsidRPr="00BA6CC3">
        <w:rPr>
          <w:sz w:val="24"/>
          <w:szCs w:val="24"/>
          <w:lang w:val="it-IT"/>
        </w:rPr>
        <w:t>f.papa@uniroma1.it</w:t>
      </w:r>
    </w:p>
    <w:bookmarkEnd w:id="4"/>
    <w:bookmarkEnd w:id="5"/>
    <w:bookmarkEnd w:id="6"/>
    <w:p w14:paraId="5DAB8721" w14:textId="77777777" w:rsidR="003A3249" w:rsidRDefault="003A3249" w:rsidP="003A3249">
      <w:pPr>
        <w:pStyle w:val="Authornameandaffiliation"/>
        <w:ind w:left="0"/>
        <w:jc w:val="both"/>
        <w:rPr>
          <w:sz w:val="24"/>
          <w:szCs w:val="24"/>
          <w:lang w:val="it-IT"/>
        </w:rPr>
      </w:pPr>
    </w:p>
    <w:p w14:paraId="36E206C9" w14:textId="6EA49D12" w:rsidR="003A3249" w:rsidRPr="003A3249" w:rsidRDefault="003A3249" w:rsidP="003A3249">
      <w:pPr>
        <w:pStyle w:val="Authornameandaffiliation"/>
        <w:ind w:left="0"/>
        <w:jc w:val="both"/>
        <w:rPr>
          <w:sz w:val="24"/>
          <w:szCs w:val="24"/>
          <w:lang w:val="it-IT"/>
        </w:rPr>
      </w:pPr>
      <w:r>
        <w:rPr>
          <w:sz w:val="24"/>
          <w:szCs w:val="24"/>
          <w:lang w:val="it-IT"/>
        </w:rPr>
        <w:t>A</w:t>
      </w:r>
      <w:r w:rsidRPr="003A3249">
        <w:rPr>
          <w:sz w:val="24"/>
          <w:szCs w:val="24"/>
          <w:lang w:val="it-IT"/>
        </w:rPr>
        <w:t xml:space="preserve">. </w:t>
      </w:r>
      <w:r>
        <w:rPr>
          <w:sz w:val="24"/>
          <w:szCs w:val="24"/>
          <w:lang w:val="it-IT"/>
        </w:rPr>
        <w:t>Venturini</w:t>
      </w:r>
    </w:p>
    <w:p w14:paraId="182B0CB6" w14:textId="77777777" w:rsidR="003A3249" w:rsidRPr="003A3249" w:rsidRDefault="003A3249" w:rsidP="003A3249">
      <w:pPr>
        <w:pStyle w:val="Authornameandaffiliation"/>
        <w:ind w:left="0"/>
        <w:jc w:val="both"/>
        <w:rPr>
          <w:sz w:val="24"/>
          <w:szCs w:val="24"/>
          <w:lang w:val="it-IT"/>
        </w:rPr>
      </w:pPr>
      <w:r w:rsidRPr="003A3249">
        <w:rPr>
          <w:sz w:val="24"/>
          <w:szCs w:val="24"/>
          <w:lang w:val="it-IT"/>
        </w:rPr>
        <w:t>ENEA</w:t>
      </w:r>
    </w:p>
    <w:p w14:paraId="469364BA" w14:textId="77777777" w:rsidR="003A3249" w:rsidRPr="003A3249" w:rsidRDefault="003A3249" w:rsidP="003A3249">
      <w:pPr>
        <w:pStyle w:val="Authornameandaffiliation"/>
        <w:ind w:left="0"/>
        <w:jc w:val="both"/>
        <w:rPr>
          <w:sz w:val="24"/>
          <w:szCs w:val="24"/>
          <w:lang w:val="it-IT"/>
        </w:rPr>
      </w:pPr>
      <w:r w:rsidRPr="003A3249">
        <w:rPr>
          <w:sz w:val="24"/>
          <w:szCs w:val="24"/>
          <w:lang w:val="it-IT"/>
        </w:rPr>
        <w:t>Brasimone, Italy</w:t>
      </w:r>
    </w:p>
    <w:p w14:paraId="1F8C1FC5" w14:textId="4C7D1046" w:rsidR="003A3249" w:rsidRPr="007B582D" w:rsidRDefault="003A3249" w:rsidP="003A3249">
      <w:pPr>
        <w:pStyle w:val="Authornameandaffiliation"/>
        <w:ind w:left="0"/>
        <w:jc w:val="both"/>
        <w:rPr>
          <w:sz w:val="24"/>
          <w:szCs w:val="24"/>
          <w:lang w:val="it-IT"/>
        </w:rPr>
      </w:pPr>
      <w:r w:rsidRPr="007B582D">
        <w:rPr>
          <w:sz w:val="24"/>
          <w:szCs w:val="24"/>
          <w:lang w:val="it-IT"/>
        </w:rPr>
        <w:t>Email: alessandro.venturini@enea.it</w:t>
      </w:r>
    </w:p>
    <w:p w14:paraId="338D162C" w14:textId="77777777" w:rsidR="00CD7ABF" w:rsidRPr="007B582D" w:rsidRDefault="00CD7ABF" w:rsidP="00073700">
      <w:pPr>
        <w:pStyle w:val="Authornameandaffiliation"/>
        <w:ind w:left="0"/>
        <w:jc w:val="both"/>
        <w:rPr>
          <w:sz w:val="24"/>
          <w:szCs w:val="24"/>
          <w:lang w:val="it-IT"/>
        </w:rPr>
      </w:pPr>
    </w:p>
    <w:p w14:paraId="433D67B3" w14:textId="668A87D4" w:rsidR="0036601D" w:rsidRDefault="00016197" w:rsidP="0036601D">
      <w:pPr>
        <w:overflowPunct/>
        <w:autoSpaceDE/>
        <w:autoSpaceDN/>
        <w:adjustRightInd/>
        <w:spacing w:before="280" w:after="280"/>
        <w:jc w:val="both"/>
        <w:textAlignment w:val="auto"/>
        <w:rPr>
          <w:rFonts w:eastAsiaTheme="minorHAnsi"/>
          <w:sz w:val="24"/>
          <w:szCs w:val="24"/>
          <w:lang w:eastAsia="ar-SA"/>
        </w:rPr>
      </w:pPr>
      <w:r w:rsidRPr="00016197">
        <w:rPr>
          <w:rFonts w:eastAsiaTheme="minorHAnsi"/>
          <w:sz w:val="24"/>
          <w:szCs w:val="24"/>
          <w:lang w:eastAsia="ar-SA"/>
        </w:rPr>
        <w:t>Nuclear fusion and fission Generation IV</w:t>
      </w:r>
      <w:r w:rsidR="00293492">
        <w:rPr>
          <w:rFonts w:eastAsiaTheme="minorHAnsi"/>
          <w:sz w:val="24"/>
          <w:szCs w:val="24"/>
          <w:lang w:eastAsia="ar-SA"/>
        </w:rPr>
        <w:t xml:space="preserve"> (GIF:</w:t>
      </w:r>
      <w:r w:rsidR="00293492" w:rsidRPr="00293492">
        <w:t xml:space="preserve"> </w:t>
      </w:r>
      <w:r w:rsidR="00293492" w:rsidRPr="00293492">
        <w:rPr>
          <w:rFonts w:eastAsiaTheme="minorHAnsi"/>
          <w:sz w:val="24"/>
          <w:szCs w:val="24"/>
          <w:lang w:eastAsia="ar-SA"/>
        </w:rPr>
        <w:t>Generation IV International Forum</w:t>
      </w:r>
      <w:r w:rsidR="00293492">
        <w:rPr>
          <w:rFonts w:eastAsiaTheme="minorHAnsi"/>
          <w:sz w:val="24"/>
          <w:szCs w:val="24"/>
          <w:lang w:eastAsia="ar-SA"/>
        </w:rPr>
        <w:t>)</w:t>
      </w:r>
      <w:r w:rsidRPr="00016197">
        <w:rPr>
          <w:rFonts w:eastAsiaTheme="minorHAnsi"/>
          <w:sz w:val="24"/>
          <w:szCs w:val="24"/>
          <w:lang w:eastAsia="ar-SA"/>
        </w:rPr>
        <w:t xml:space="preserve"> reactors can be part of the global energy mix needed to meet sustainability goals and address climate change </w:t>
      </w:r>
      <w:r w:rsidR="008701ED">
        <w:rPr>
          <w:rFonts w:eastAsiaTheme="minorHAnsi"/>
          <w:sz w:val="24"/>
          <w:szCs w:val="24"/>
          <w:lang w:eastAsia="ar-SA"/>
        </w:rPr>
        <w:fldChar w:fldCharType="begin"/>
      </w:r>
      <w:r w:rsidR="008701ED">
        <w:rPr>
          <w:rFonts w:eastAsiaTheme="minorHAnsi"/>
          <w:sz w:val="24"/>
          <w:szCs w:val="24"/>
          <w:lang w:eastAsia="ar-SA"/>
        </w:rPr>
        <w:instrText xml:space="preserve"> REF _Ref97890987 \r \h </w:instrText>
      </w:r>
      <w:r w:rsidR="008701ED">
        <w:rPr>
          <w:rFonts w:eastAsiaTheme="minorHAnsi"/>
          <w:sz w:val="24"/>
          <w:szCs w:val="24"/>
          <w:lang w:eastAsia="ar-SA"/>
        </w:rPr>
      </w:r>
      <w:r w:rsidR="008701ED">
        <w:rPr>
          <w:rFonts w:eastAsiaTheme="minorHAnsi"/>
          <w:sz w:val="24"/>
          <w:szCs w:val="24"/>
          <w:lang w:eastAsia="ar-SA"/>
        </w:rPr>
        <w:fldChar w:fldCharType="separate"/>
      </w:r>
      <w:r w:rsidR="008701ED">
        <w:rPr>
          <w:rFonts w:eastAsiaTheme="minorHAnsi"/>
          <w:sz w:val="24"/>
          <w:szCs w:val="24"/>
          <w:lang w:eastAsia="ar-SA"/>
        </w:rPr>
        <w:t>[1]</w:t>
      </w:r>
      <w:r w:rsidR="008701ED">
        <w:rPr>
          <w:rFonts w:eastAsiaTheme="minorHAnsi"/>
          <w:sz w:val="24"/>
          <w:szCs w:val="24"/>
          <w:lang w:eastAsia="ar-SA"/>
        </w:rPr>
        <w:fldChar w:fldCharType="end"/>
      </w:r>
      <w:r w:rsidRPr="00016197">
        <w:rPr>
          <w:rFonts w:eastAsiaTheme="minorHAnsi"/>
          <w:sz w:val="24"/>
          <w:szCs w:val="24"/>
          <w:lang w:eastAsia="ar-SA"/>
        </w:rPr>
        <w:t xml:space="preserve">. One of the most ambitious goals of fusion energy is to ensure fuel self-sufficiency of future D-T fusion power plants. Tritium consumption for a 2000 MWth fusion power reactor is 112 kg per full power year, higher than the </w:t>
      </w:r>
      <w:r w:rsidR="00DA59EF">
        <w:rPr>
          <w:rFonts w:eastAsiaTheme="minorHAnsi"/>
          <w:sz w:val="24"/>
          <w:szCs w:val="24"/>
          <w:lang w:eastAsia="ar-SA"/>
        </w:rPr>
        <w:t>current</w:t>
      </w:r>
      <w:r w:rsidR="00DA59EF" w:rsidRPr="00016197">
        <w:rPr>
          <w:rFonts w:eastAsiaTheme="minorHAnsi"/>
          <w:sz w:val="24"/>
          <w:szCs w:val="24"/>
          <w:lang w:eastAsia="ar-SA"/>
        </w:rPr>
        <w:t xml:space="preserve"> </w:t>
      </w:r>
      <w:r w:rsidRPr="00016197">
        <w:rPr>
          <w:rFonts w:eastAsiaTheme="minorHAnsi"/>
          <w:sz w:val="24"/>
          <w:szCs w:val="24"/>
          <w:lang w:eastAsia="ar-SA"/>
        </w:rPr>
        <w:t xml:space="preserve">global availability estimated at 20-30 kg </w:t>
      </w:r>
      <w:r w:rsidR="008701ED">
        <w:rPr>
          <w:rFonts w:eastAsiaTheme="minorHAnsi"/>
          <w:sz w:val="24"/>
          <w:szCs w:val="24"/>
          <w:lang w:eastAsia="ar-SA"/>
        </w:rPr>
        <w:fldChar w:fldCharType="begin"/>
      </w:r>
      <w:r w:rsidR="008701ED">
        <w:rPr>
          <w:rFonts w:eastAsiaTheme="minorHAnsi"/>
          <w:sz w:val="24"/>
          <w:szCs w:val="24"/>
          <w:lang w:eastAsia="ar-SA"/>
        </w:rPr>
        <w:instrText xml:space="preserve"> REF _Ref97890992 \r \h </w:instrText>
      </w:r>
      <w:r w:rsidR="008701ED">
        <w:rPr>
          <w:rFonts w:eastAsiaTheme="minorHAnsi"/>
          <w:sz w:val="24"/>
          <w:szCs w:val="24"/>
          <w:lang w:eastAsia="ar-SA"/>
        </w:rPr>
      </w:r>
      <w:r w:rsidR="008701ED">
        <w:rPr>
          <w:rFonts w:eastAsiaTheme="minorHAnsi"/>
          <w:sz w:val="24"/>
          <w:szCs w:val="24"/>
          <w:lang w:eastAsia="ar-SA"/>
        </w:rPr>
        <w:fldChar w:fldCharType="separate"/>
      </w:r>
      <w:r w:rsidR="008701ED">
        <w:rPr>
          <w:rFonts w:eastAsiaTheme="minorHAnsi"/>
          <w:sz w:val="24"/>
          <w:szCs w:val="24"/>
          <w:lang w:eastAsia="ar-SA"/>
        </w:rPr>
        <w:t>[2]</w:t>
      </w:r>
      <w:r w:rsidR="008701ED">
        <w:rPr>
          <w:rFonts w:eastAsiaTheme="minorHAnsi"/>
          <w:sz w:val="24"/>
          <w:szCs w:val="24"/>
          <w:lang w:eastAsia="ar-SA"/>
        </w:rPr>
        <w:fldChar w:fldCharType="end"/>
      </w:r>
      <w:r w:rsidRPr="00016197">
        <w:rPr>
          <w:rFonts w:eastAsiaTheme="minorHAnsi"/>
          <w:sz w:val="24"/>
          <w:szCs w:val="24"/>
          <w:lang w:eastAsia="ar-SA"/>
        </w:rPr>
        <w:t xml:space="preserve">. It is clear, therefore, that efficient characterization of the processes and engineering solutions to manage and control tritium transfer and release is a critical factor in the success of fusion electricity deployment. </w:t>
      </w:r>
      <w:r w:rsidR="0036601D">
        <w:rPr>
          <w:rFonts w:eastAsiaTheme="minorHAnsi"/>
          <w:sz w:val="24"/>
          <w:szCs w:val="24"/>
          <w:lang w:eastAsia="ar-SA"/>
        </w:rPr>
        <w:t>As far as the supply of tritium to D-T fusion power plants is concerned, on</w:t>
      </w:r>
      <w:r w:rsidR="0036601D" w:rsidRPr="004D3858">
        <w:rPr>
          <w:rFonts w:eastAsiaTheme="minorHAnsi"/>
          <w:sz w:val="24"/>
          <w:szCs w:val="24"/>
          <w:lang w:eastAsia="ar-SA"/>
        </w:rPr>
        <w:t>e solution is to produce tritium</w:t>
      </w:r>
      <w:r w:rsidR="0036601D">
        <w:rPr>
          <w:rFonts w:eastAsiaTheme="minorHAnsi"/>
          <w:sz w:val="24"/>
          <w:szCs w:val="24"/>
          <w:lang w:eastAsia="ar-SA"/>
        </w:rPr>
        <w:t xml:space="preserve"> </w:t>
      </w:r>
      <w:r w:rsidR="0036601D" w:rsidRPr="004D3858">
        <w:rPr>
          <w:rFonts w:eastAsiaTheme="minorHAnsi"/>
          <w:sz w:val="24"/>
          <w:szCs w:val="24"/>
          <w:lang w:eastAsia="ar-SA"/>
        </w:rPr>
        <w:t xml:space="preserve">in the </w:t>
      </w:r>
      <w:r w:rsidR="00DA59EF">
        <w:rPr>
          <w:rFonts w:eastAsiaTheme="minorHAnsi"/>
          <w:sz w:val="24"/>
          <w:szCs w:val="24"/>
          <w:lang w:eastAsia="ar-SA"/>
        </w:rPr>
        <w:t>blanket</w:t>
      </w:r>
      <w:r w:rsidR="00DA59EF" w:rsidRPr="004D3858">
        <w:rPr>
          <w:rFonts w:eastAsiaTheme="minorHAnsi"/>
          <w:sz w:val="24"/>
          <w:szCs w:val="24"/>
          <w:lang w:eastAsia="ar-SA"/>
        </w:rPr>
        <w:t xml:space="preserve"> </w:t>
      </w:r>
      <w:r w:rsidR="0036601D" w:rsidRPr="004D3858">
        <w:rPr>
          <w:rFonts w:eastAsiaTheme="minorHAnsi"/>
          <w:sz w:val="24"/>
          <w:szCs w:val="24"/>
          <w:lang w:eastAsia="ar-SA"/>
        </w:rPr>
        <w:t>surrounding the area of the D-T fusion reactions. Tritium can be</w:t>
      </w:r>
      <w:r w:rsidR="0036601D">
        <w:rPr>
          <w:rFonts w:eastAsiaTheme="minorHAnsi"/>
          <w:sz w:val="24"/>
          <w:szCs w:val="24"/>
          <w:lang w:eastAsia="ar-SA"/>
        </w:rPr>
        <w:t xml:space="preserve"> </w:t>
      </w:r>
      <w:r w:rsidR="0036601D" w:rsidRPr="004D3858">
        <w:rPr>
          <w:rFonts w:eastAsiaTheme="minorHAnsi"/>
          <w:sz w:val="24"/>
          <w:szCs w:val="24"/>
          <w:lang w:eastAsia="ar-SA"/>
        </w:rPr>
        <w:t>produced with the help of lithium after these nuclear reactions:</w:t>
      </w:r>
    </w:p>
    <w:tbl>
      <w:tblPr>
        <w:tblW w:w="8953" w:type="dxa"/>
        <w:tblLayout w:type="fixed"/>
        <w:tblLook w:val="04A0" w:firstRow="1" w:lastRow="0" w:firstColumn="1" w:lastColumn="0" w:noHBand="0" w:noVBand="1"/>
      </w:tblPr>
      <w:tblGrid>
        <w:gridCol w:w="7835"/>
        <w:gridCol w:w="1118"/>
      </w:tblGrid>
      <w:tr w:rsidR="0036601D" w:rsidRPr="00650AF2" w14:paraId="22D0B720" w14:textId="77777777" w:rsidTr="00870AC8">
        <w:trPr>
          <w:trHeight w:val="425"/>
        </w:trPr>
        <w:tc>
          <w:tcPr>
            <w:tcW w:w="7835" w:type="dxa"/>
            <w:shd w:val="clear" w:color="auto" w:fill="auto"/>
            <w:vAlign w:val="center"/>
          </w:tcPr>
          <w:p w14:paraId="25C0238F" w14:textId="3069473F" w:rsidR="0036601D" w:rsidRPr="004D3858" w:rsidRDefault="00B541AE" w:rsidP="00DA59EF">
            <w:pPr>
              <w:jc w:val="both"/>
              <w:rPr>
                <w:rFonts w:eastAsiaTheme="minorEastAsia"/>
                <w:sz w:val="24"/>
                <w:szCs w:val="24"/>
                <w:lang w:val="en-US"/>
              </w:rPr>
            </w:pPr>
            <m:oMathPara>
              <m:oMath>
                <m:sPre>
                  <m:sPrePr>
                    <m:ctrlPr>
                      <w:rPr>
                        <w:rFonts w:ascii="Cambria Math" w:eastAsia="Calibri" w:hAnsi="Cambria Math"/>
                        <w:sz w:val="24"/>
                        <w:szCs w:val="24"/>
                        <w:lang w:val="en-US"/>
                      </w:rPr>
                    </m:ctrlPr>
                  </m:sPrePr>
                  <m:sub/>
                  <m:sup>
                    <m:r>
                      <m:rPr>
                        <m:sty m:val="p"/>
                      </m:rPr>
                      <w:rPr>
                        <w:rFonts w:ascii="Cambria Math" w:eastAsia="Calibri" w:hAnsi="Cambria Math"/>
                        <w:sz w:val="24"/>
                        <w:szCs w:val="24"/>
                        <w:lang w:val="en-US"/>
                      </w:rPr>
                      <m:t>6</m:t>
                    </m:r>
                  </m:sup>
                  <m:e>
                    <m:r>
                      <m:rPr>
                        <m:sty m:val="p"/>
                      </m:rPr>
                      <w:rPr>
                        <w:rFonts w:ascii="Cambria Math" w:eastAsia="Calibri" w:hAnsi="Cambria Math"/>
                        <w:sz w:val="24"/>
                        <w:szCs w:val="24"/>
                        <w:lang w:val="en-US"/>
                      </w:rPr>
                      <m:t>Li</m:t>
                    </m:r>
                  </m:e>
                </m:sPre>
                <m:r>
                  <m:rPr>
                    <m:sty m:val="p"/>
                  </m:rPr>
                  <w:rPr>
                    <w:rFonts w:ascii="Cambria Math" w:eastAsia="Calibri" w:hAnsi="Cambria Math"/>
                    <w:sz w:val="24"/>
                    <w:szCs w:val="24"/>
                    <w:lang w:val="en-US"/>
                  </w:rPr>
                  <m:t>+n</m:t>
                </m:r>
                <m:d>
                  <m:dPr>
                    <m:ctrlPr>
                      <w:rPr>
                        <w:rFonts w:ascii="Cambria Math" w:eastAsia="Calibri" w:hAnsi="Cambria Math"/>
                        <w:sz w:val="24"/>
                        <w:szCs w:val="24"/>
                        <w:lang w:val="en-US"/>
                      </w:rPr>
                    </m:ctrlPr>
                  </m:dPr>
                  <m:e>
                    <m:r>
                      <m:rPr>
                        <m:sty m:val="p"/>
                      </m:rPr>
                      <w:rPr>
                        <w:rFonts w:ascii="Cambria Math" w:eastAsia="Calibri" w:hAnsi="Cambria Math"/>
                        <w:sz w:val="24"/>
                        <w:szCs w:val="24"/>
                        <w:lang w:val="en-US"/>
                      </w:rPr>
                      <m:t>slow</m:t>
                    </m:r>
                  </m:e>
                </m:d>
                <m:r>
                  <m:rPr>
                    <m:sty m:val="p"/>
                  </m:rPr>
                  <w:rPr>
                    <w:rFonts w:ascii="Cambria Math" w:eastAsia="Calibri" w:hAnsi="Cambria Math"/>
                    <w:sz w:val="24"/>
                    <w:szCs w:val="24"/>
                    <w:lang w:val="en-US"/>
                  </w:rPr>
                  <m:t>→</m:t>
                </m:r>
                <m:sPre>
                  <m:sPrePr>
                    <m:ctrlPr>
                      <w:rPr>
                        <w:rFonts w:ascii="Cambria Math" w:eastAsia="Calibri" w:hAnsi="Cambria Math"/>
                        <w:sz w:val="24"/>
                        <w:szCs w:val="24"/>
                        <w:lang w:val="en-US"/>
                      </w:rPr>
                    </m:ctrlPr>
                  </m:sPrePr>
                  <m:sub/>
                  <m:sup>
                    <m:r>
                      <m:rPr>
                        <m:sty m:val="p"/>
                      </m:rPr>
                      <w:rPr>
                        <w:rFonts w:ascii="Cambria Math" w:eastAsia="Calibri" w:hAnsi="Cambria Math"/>
                        <w:sz w:val="24"/>
                        <w:szCs w:val="24"/>
                        <w:lang w:val="en-US"/>
                      </w:rPr>
                      <m:t>4</m:t>
                    </m:r>
                  </m:sup>
                  <m:e>
                    <m:r>
                      <m:rPr>
                        <m:sty m:val="p"/>
                      </m:rPr>
                      <w:rPr>
                        <w:rFonts w:ascii="Cambria Math" w:eastAsia="Calibri" w:hAnsi="Cambria Math"/>
                        <w:sz w:val="24"/>
                        <w:szCs w:val="24"/>
                        <w:lang w:val="en-US"/>
                      </w:rPr>
                      <m:t>He</m:t>
                    </m:r>
                  </m:e>
                </m:sPre>
                <m:r>
                  <m:rPr>
                    <m:sty m:val="p"/>
                  </m:rPr>
                  <w:rPr>
                    <w:rFonts w:ascii="Cambria Math" w:eastAsia="Calibri" w:hAnsi="Cambria Math"/>
                    <w:sz w:val="24"/>
                    <w:szCs w:val="24"/>
                    <w:lang w:val="en-US"/>
                  </w:rPr>
                  <m:t>+T+4.9 MeV</m:t>
                </m:r>
              </m:oMath>
            </m:oMathPara>
          </w:p>
        </w:tc>
        <w:tc>
          <w:tcPr>
            <w:tcW w:w="1118" w:type="dxa"/>
            <w:shd w:val="clear" w:color="auto" w:fill="auto"/>
            <w:vAlign w:val="center"/>
          </w:tcPr>
          <w:p w14:paraId="5720DD25" w14:textId="77777777" w:rsidR="0036601D" w:rsidRPr="00650AF2" w:rsidRDefault="0036601D" w:rsidP="00870AC8">
            <w:pPr>
              <w:pStyle w:val="Didascalia"/>
              <w:spacing w:after="0"/>
              <w:ind w:left="-112"/>
              <w:jc w:val="right"/>
              <w:rPr>
                <w:sz w:val="24"/>
                <w:szCs w:val="24"/>
              </w:rPr>
            </w:pPr>
            <w:r w:rsidRPr="00650AF2">
              <w:rPr>
                <w:rFonts w:cstheme="minorHAnsi"/>
                <w:color w:val="000000" w:themeColor="text1"/>
                <w:sz w:val="24"/>
                <w:szCs w:val="24"/>
              </w:rPr>
              <w:t>(</w:t>
            </w:r>
            <w:r w:rsidRPr="00650AF2">
              <w:rPr>
                <w:rFonts w:cstheme="minorHAnsi"/>
                <w:b/>
                <w:bCs w:val="0"/>
                <w:i/>
                <w:iCs/>
                <w:color w:val="000000" w:themeColor="text1"/>
                <w:sz w:val="24"/>
                <w:szCs w:val="24"/>
              </w:rPr>
              <w:fldChar w:fldCharType="begin"/>
            </w:r>
            <w:r w:rsidRPr="00650AF2">
              <w:rPr>
                <w:rFonts w:cstheme="minorHAnsi"/>
                <w:color w:val="000000" w:themeColor="text1"/>
                <w:sz w:val="24"/>
                <w:szCs w:val="24"/>
              </w:rPr>
              <w:instrText xml:space="preserve"> SEQ Equation \* ARABIC </w:instrText>
            </w:r>
            <w:r w:rsidRPr="00650AF2">
              <w:rPr>
                <w:rFonts w:cstheme="minorHAnsi"/>
                <w:b/>
                <w:bCs w:val="0"/>
                <w:i/>
                <w:iCs/>
                <w:color w:val="000000" w:themeColor="text1"/>
                <w:sz w:val="24"/>
                <w:szCs w:val="24"/>
              </w:rPr>
              <w:fldChar w:fldCharType="separate"/>
            </w:r>
            <w:r>
              <w:rPr>
                <w:rFonts w:cstheme="minorHAnsi"/>
                <w:noProof/>
                <w:color w:val="000000" w:themeColor="text1"/>
                <w:sz w:val="24"/>
                <w:szCs w:val="24"/>
              </w:rPr>
              <w:t>1</w:t>
            </w:r>
            <w:r w:rsidRPr="00650AF2">
              <w:rPr>
                <w:rFonts w:cstheme="minorHAnsi"/>
                <w:b/>
                <w:bCs w:val="0"/>
                <w:i/>
                <w:iCs/>
                <w:color w:val="000000" w:themeColor="text1"/>
                <w:sz w:val="24"/>
                <w:szCs w:val="24"/>
              </w:rPr>
              <w:fldChar w:fldCharType="end"/>
            </w:r>
            <w:r w:rsidRPr="00650AF2">
              <w:rPr>
                <w:rFonts w:cstheme="minorHAnsi"/>
                <w:color w:val="000000" w:themeColor="text1"/>
                <w:sz w:val="24"/>
                <w:szCs w:val="24"/>
              </w:rPr>
              <w:t>)</w:t>
            </w:r>
          </w:p>
        </w:tc>
      </w:tr>
      <w:tr w:rsidR="0036601D" w:rsidRPr="00650AF2" w14:paraId="16EDDAF0" w14:textId="77777777" w:rsidTr="00870AC8">
        <w:trPr>
          <w:trHeight w:val="425"/>
        </w:trPr>
        <w:tc>
          <w:tcPr>
            <w:tcW w:w="7835" w:type="dxa"/>
            <w:shd w:val="clear" w:color="auto" w:fill="auto"/>
            <w:vAlign w:val="center"/>
          </w:tcPr>
          <w:p w14:paraId="3C0E0291" w14:textId="3454A1CB" w:rsidR="0036601D" w:rsidRPr="004D3858" w:rsidRDefault="00B541AE" w:rsidP="00DA59EF">
            <w:pPr>
              <w:jc w:val="both"/>
              <w:rPr>
                <w:rFonts w:eastAsia="Calibri"/>
                <w:sz w:val="24"/>
                <w:szCs w:val="24"/>
                <w:lang w:val="en-US"/>
              </w:rPr>
            </w:pPr>
            <m:oMathPara>
              <m:oMath>
                <m:sPre>
                  <m:sPrePr>
                    <m:ctrlPr>
                      <w:rPr>
                        <w:rFonts w:ascii="Cambria Math" w:eastAsia="Calibri" w:hAnsi="Cambria Math"/>
                        <w:sz w:val="24"/>
                        <w:szCs w:val="24"/>
                        <w:lang w:val="en-US"/>
                      </w:rPr>
                    </m:ctrlPr>
                  </m:sPrePr>
                  <m:sub/>
                  <m:sup>
                    <m:r>
                      <m:rPr>
                        <m:sty m:val="p"/>
                      </m:rPr>
                      <w:rPr>
                        <w:rFonts w:ascii="Cambria Math" w:eastAsia="Calibri" w:hAnsi="Cambria Math"/>
                        <w:sz w:val="24"/>
                        <w:szCs w:val="24"/>
                        <w:lang w:val="en-US"/>
                      </w:rPr>
                      <m:t>7</m:t>
                    </m:r>
                  </m:sup>
                  <m:e>
                    <m:r>
                      <m:rPr>
                        <m:sty m:val="p"/>
                      </m:rPr>
                      <w:rPr>
                        <w:rFonts w:ascii="Cambria Math" w:eastAsia="Calibri" w:hAnsi="Cambria Math"/>
                        <w:sz w:val="24"/>
                        <w:szCs w:val="24"/>
                        <w:lang w:val="en-US"/>
                      </w:rPr>
                      <m:t>Li</m:t>
                    </m:r>
                  </m:e>
                </m:sPre>
                <m:r>
                  <m:rPr>
                    <m:sty m:val="p"/>
                  </m:rPr>
                  <w:rPr>
                    <w:rFonts w:ascii="Cambria Math" w:eastAsia="Calibri" w:hAnsi="Cambria Math"/>
                    <w:sz w:val="24"/>
                    <w:szCs w:val="24"/>
                    <w:lang w:val="en-US"/>
                  </w:rPr>
                  <m:t>+n</m:t>
                </m:r>
                <m:d>
                  <m:dPr>
                    <m:ctrlPr>
                      <w:rPr>
                        <w:rFonts w:ascii="Cambria Math" w:eastAsia="Calibri" w:hAnsi="Cambria Math"/>
                        <w:sz w:val="24"/>
                        <w:szCs w:val="24"/>
                        <w:lang w:val="en-US"/>
                      </w:rPr>
                    </m:ctrlPr>
                  </m:dPr>
                  <m:e>
                    <m:r>
                      <m:rPr>
                        <m:sty m:val="p"/>
                      </m:rPr>
                      <w:rPr>
                        <w:rFonts w:ascii="Cambria Math" w:eastAsia="Calibri" w:hAnsi="Cambria Math"/>
                        <w:sz w:val="24"/>
                        <w:szCs w:val="24"/>
                        <w:lang w:val="en-US"/>
                      </w:rPr>
                      <m:t>fast</m:t>
                    </m:r>
                  </m:e>
                </m:d>
                <m:r>
                  <m:rPr>
                    <m:sty m:val="p"/>
                  </m:rPr>
                  <w:rPr>
                    <w:rFonts w:ascii="Cambria Math" w:eastAsia="Calibri" w:hAnsi="Cambria Math"/>
                    <w:sz w:val="24"/>
                    <w:szCs w:val="24"/>
                    <w:lang w:val="en-US"/>
                  </w:rPr>
                  <m:t>→</m:t>
                </m:r>
                <m:sPre>
                  <m:sPrePr>
                    <m:ctrlPr>
                      <w:rPr>
                        <w:rFonts w:ascii="Cambria Math" w:eastAsia="Calibri" w:hAnsi="Cambria Math"/>
                        <w:sz w:val="24"/>
                        <w:szCs w:val="24"/>
                        <w:lang w:val="en-US"/>
                      </w:rPr>
                    </m:ctrlPr>
                  </m:sPrePr>
                  <m:sub/>
                  <m:sup>
                    <m:r>
                      <m:rPr>
                        <m:sty m:val="p"/>
                      </m:rPr>
                      <w:rPr>
                        <w:rFonts w:ascii="Cambria Math" w:eastAsia="Calibri" w:hAnsi="Cambria Math"/>
                        <w:sz w:val="24"/>
                        <w:szCs w:val="24"/>
                        <w:lang w:val="en-US"/>
                      </w:rPr>
                      <m:t>4</m:t>
                    </m:r>
                  </m:sup>
                  <m:e>
                    <m:r>
                      <m:rPr>
                        <m:sty m:val="p"/>
                      </m:rPr>
                      <w:rPr>
                        <w:rFonts w:ascii="Cambria Math" w:eastAsia="Calibri" w:hAnsi="Cambria Math"/>
                        <w:sz w:val="24"/>
                        <w:szCs w:val="24"/>
                        <w:lang w:val="en-US"/>
                      </w:rPr>
                      <m:t>He</m:t>
                    </m:r>
                  </m:e>
                </m:sPre>
                <m:r>
                  <m:rPr>
                    <m:sty m:val="p"/>
                  </m:rPr>
                  <w:rPr>
                    <w:rFonts w:ascii="Cambria Math" w:eastAsia="Calibri" w:hAnsi="Cambria Math"/>
                    <w:sz w:val="24"/>
                    <w:szCs w:val="24"/>
                    <w:lang w:val="en-US"/>
                  </w:rPr>
                  <m:t>+T+n-2.5 MeV</m:t>
                </m:r>
              </m:oMath>
            </m:oMathPara>
          </w:p>
        </w:tc>
        <w:tc>
          <w:tcPr>
            <w:tcW w:w="1118" w:type="dxa"/>
            <w:shd w:val="clear" w:color="auto" w:fill="auto"/>
            <w:vAlign w:val="center"/>
          </w:tcPr>
          <w:p w14:paraId="00855A82" w14:textId="77777777" w:rsidR="0036601D" w:rsidRPr="00650AF2" w:rsidRDefault="0036601D" w:rsidP="00870AC8">
            <w:pPr>
              <w:pStyle w:val="Didascalia"/>
              <w:spacing w:after="0"/>
              <w:ind w:left="-112"/>
              <w:jc w:val="right"/>
              <w:rPr>
                <w:rFonts w:cstheme="minorHAnsi"/>
                <w:color w:val="000000" w:themeColor="text1"/>
                <w:sz w:val="24"/>
                <w:szCs w:val="24"/>
              </w:rPr>
            </w:pPr>
            <w:r w:rsidRPr="00650AF2">
              <w:rPr>
                <w:rFonts w:cstheme="minorHAnsi"/>
                <w:color w:val="000000" w:themeColor="text1"/>
                <w:sz w:val="24"/>
                <w:szCs w:val="24"/>
              </w:rPr>
              <w:t>(</w:t>
            </w:r>
            <w:r w:rsidRPr="00650AF2">
              <w:rPr>
                <w:rFonts w:cstheme="minorHAnsi"/>
                <w:b/>
                <w:bCs w:val="0"/>
                <w:i/>
                <w:iCs/>
                <w:color w:val="000000" w:themeColor="text1"/>
                <w:sz w:val="24"/>
                <w:szCs w:val="24"/>
              </w:rPr>
              <w:fldChar w:fldCharType="begin"/>
            </w:r>
            <w:r w:rsidRPr="00650AF2">
              <w:rPr>
                <w:rFonts w:cstheme="minorHAnsi"/>
                <w:color w:val="000000" w:themeColor="text1"/>
                <w:sz w:val="24"/>
                <w:szCs w:val="24"/>
              </w:rPr>
              <w:instrText xml:space="preserve"> SEQ Equation \* ARABIC </w:instrText>
            </w:r>
            <w:r w:rsidRPr="00650AF2">
              <w:rPr>
                <w:rFonts w:cstheme="minorHAnsi"/>
                <w:b/>
                <w:bCs w:val="0"/>
                <w:i/>
                <w:iCs/>
                <w:color w:val="000000" w:themeColor="text1"/>
                <w:sz w:val="24"/>
                <w:szCs w:val="24"/>
              </w:rPr>
              <w:fldChar w:fldCharType="separate"/>
            </w:r>
            <w:r>
              <w:rPr>
                <w:rFonts w:cstheme="minorHAnsi"/>
                <w:noProof/>
                <w:color w:val="000000" w:themeColor="text1"/>
                <w:sz w:val="24"/>
                <w:szCs w:val="24"/>
              </w:rPr>
              <w:t>2</w:t>
            </w:r>
            <w:r w:rsidRPr="00650AF2">
              <w:rPr>
                <w:rFonts w:cstheme="minorHAnsi"/>
                <w:b/>
                <w:bCs w:val="0"/>
                <w:i/>
                <w:iCs/>
                <w:color w:val="000000" w:themeColor="text1"/>
                <w:sz w:val="24"/>
                <w:szCs w:val="24"/>
              </w:rPr>
              <w:fldChar w:fldCharType="end"/>
            </w:r>
            <w:r w:rsidRPr="00650AF2">
              <w:rPr>
                <w:rFonts w:cstheme="minorHAnsi"/>
                <w:color w:val="000000" w:themeColor="text1"/>
                <w:sz w:val="24"/>
                <w:szCs w:val="24"/>
              </w:rPr>
              <w:t>)</w:t>
            </w:r>
          </w:p>
        </w:tc>
      </w:tr>
    </w:tbl>
    <w:p w14:paraId="3DF4D506" w14:textId="4EF7EF40" w:rsidR="0036601D" w:rsidRDefault="00693B78" w:rsidP="0036601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w:t>
      </w:r>
      <w:r w:rsidR="0036601D" w:rsidRPr="004D3858">
        <w:rPr>
          <w:rFonts w:eastAsiaTheme="minorHAnsi"/>
          <w:sz w:val="24"/>
          <w:szCs w:val="24"/>
          <w:lang w:eastAsia="ar-SA"/>
        </w:rPr>
        <w:t>he eutectic LiPb alloy (15.7 at. % Li) with the function of tritium breeder, tritium carrier and neutron multiplier is used in several test</w:t>
      </w:r>
      <w:r w:rsidR="0036601D">
        <w:rPr>
          <w:rFonts w:eastAsiaTheme="minorHAnsi"/>
          <w:sz w:val="24"/>
          <w:szCs w:val="24"/>
          <w:lang w:eastAsia="ar-SA"/>
        </w:rPr>
        <w:t xml:space="preserve"> </w:t>
      </w:r>
      <w:r w:rsidR="0036601D" w:rsidRPr="004D3858">
        <w:rPr>
          <w:rFonts w:eastAsiaTheme="minorHAnsi"/>
          <w:sz w:val="24"/>
          <w:szCs w:val="24"/>
          <w:lang w:eastAsia="ar-SA"/>
        </w:rPr>
        <w:t>blanket modules of ITER</w:t>
      </w:r>
      <w:r w:rsidR="0036601D">
        <w:rPr>
          <w:rFonts w:eastAsiaTheme="minorHAnsi"/>
          <w:sz w:val="24"/>
          <w:szCs w:val="24"/>
          <w:lang w:eastAsia="ar-SA"/>
        </w:rPr>
        <w:t>, such as the Water-Cooled Lithium-Lead (WCLL) Test Blanket Module (TBM),</w:t>
      </w:r>
      <w:r w:rsidR="0036601D" w:rsidRPr="004D3858">
        <w:rPr>
          <w:rFonts w:eastAsiaTheme="minorHAnsi"/>
          <w:sz w:val="24"/>
          <w:szCs w:val="24"/>
          <w:lang w:eastAsia="ar-SA"/>
        </w:rPr>
        <w:t xml:space="preserve"> as well as in different concepts of </w:t>
      </w:r>
      <w:r w:rsidR="0036601D">
        <w:rPr>
          <w:rFonts w:eastAsiaTheme="minorHAnsi"/>
          <w:sz w:val="24"/>
          <w:szCs w:val="24"/>
          <w:lang w:eastAsia="ar-SA"/>
        </w:rPr>
        <w:t>B</w:t>
      </w:r>
      <w:r w:rsidR="0036601D" w:rsidRPr="004D3858">
        <w:rPr>
          <w:rFonts w:eastAsiaTheme="minorHAnsi"/>
          <w:sz w:val="24"/>
          <w:szCs w:val="24"/>
          <w:lang w:eastAsia="ar-SA"/>
        </w:rPr>
        <w:t xml:space="preserve">reeding </w:t>
      </w:r>
      <w:r w:rsidR="0036601D">
        <w:rPr>
          <w:rFonts w:eastAsiaTheme="minorHAnsi"/>
          <w:sz w:val="24"/>
          <w:szCs w:val="24"/>
          <w:lang w:eastAsia="ar-SA"/>
        </w:rPr>
        <w:t>B</w:t>
      </w:r>
      <w:r w:rsidR="0036601D" w:rsidRPr="004D3858">
        <w:rPr>
          <w:rFonts w:eastAsiaTheme="minorHAnsi"/>
          <w:sz w:val="24"/>
          <w:szCs w:val="24"/>
          <w:lang w:eastAsia="ar-SA"/>
        </w:rPr>
        <w:t xml:space="preserve">lankets </w:t>
      </w:r>
      <w:r w:rsidR="0036601D">
        <w:rPr>
          <w:rFonts w:eastAsiaTheme="minorHAnsi"/>
          <w:sz w:val="24"/>
          <w:szCs w:val="24"/>
          <w:lang w:eastAsia="ar-SA"/>
        </w:rPr>
        <w:t xml:space="preserve">(BB) </w:t>
      </w:r>
      <w:r w:rsidR="0036601D" w:rsidRPr="004D3858">
        <w:rPr>
          <w:rFonts w:eastAsiaTheme="minorHAnsi"/>
          <w:sz w:val="24"/>
          <w:szCs w:val="24"/>
          <w:lang w:eastAsia="ar-SA"/>
        </w:rPr>
        <w:t>of</w:t>
      </w:r>
      <w:r w:rsidR="0036601D">
        <w:rPr>
          <w:rFonts w:eastAsiaTheme="minorHAnsi"/>
          <w:sz w:val="24"/>
          <w:szCs w:val="24"/>
          <w:lang w:eastAsia="ar-SA"/>
        </w:rPr>
        <w:t xml:space="preserve"> </w:t>
      </w:r>
      <w:r w:rsidR="0036601D" w:rsidRPr="004D3858">
        <w:rPr>
          <w:rFonts w:eastAsiaTheme="minorHAnsi"/>
          <w:sz w:val="24"/>
          <w:szCs w:val="24"/>
          <w:lang w:eastAsia="ar-SA"/>
        </w:rPr>
        <w:t>the European DEMO</w:t>
      </w:r>
      <w:r w:rsidR="0036601D">
        <w:rPr>
          <w:rFonts w:eastAsiaTheme="minorHAnsi"/>
          <w:sz w:val="24"/>
          <w:szCs w:val="24"/>
          <w:lang w:eastAsia="ar-SA"/>
        </w:rPr>
        <w:t>, for instance the WCLL-BB</w:t>
      </w:r>
      <w:r w:rsidR="0036601D" w:rsidRPr="004D3858">
        <w:rPr>
          <w:rFonts w:eastAsiaTheme="minorHAnsi"/>
          <w:sz w:val="24"/>
          <w:szCs w:val="24"/>
          <w:lang w:eastAsia="ar-SA"/>
        </w:rPr>
        <w:t>. The LiPb alloy is enriched to 90% with</w:t>
      </w:r>
      <w:r w:rsidR="00DA59EF" w:rsidRPr="00D2441B">
        <w:rPr>
          <w:rFonts w:eastAsiaTheme="minorEastAsia"/>
          <w:sz w:val="24"/>
          <w:szCs w:val="24"/>
          <w:vertAlign w:val="superscript"/>
          <w:lang w:eastAsia="ar-SA"/>
        </w:rPr>
        <w:t>6</w:t>
      </w:r>
      <w:r w:rsidR="00DA59EF">
        <w:rPr>
          <w:rFonts w:eastAsiaTheme="minorEastAsia"/>
          <w:sz w:val="24"/>
          <w:szCs w:val="24"/>
          <w:lang w:eastAsia="ar-SA"/>
        </w:rPr>
        <w:t>Li</w:t>
      </w:r>
      <w:r w:rsidR="0036601D" w:rsidRPr="004D3858">
        <w:rPr>
          <w:rFonts w:eastAsiaTheme="minorHAnsi"/>
          <w:sz w:val="24"/>
          <w:szCs w:val="24"/>
          <w:lang w:eastAsia="ar-SA"/>
        </w:rPr>
        <w:t>.</w:t>
      </w:r>
      <w:r w:rsidR="0036601D">
        <w:rPr>
          <w:rFonts w:eastAsiaTheme="minorHAnsi"/>
          <w:sz w:val="24"/>
          <w:szCs w:val="24"/>
          <w:lang w:eastAsia="ar-SA"/>
        </w:rPr>
        <w:t xml:space="preserve"> The Helium-Cooled Pebble Bed (HCPB) use</w:t>
      </w:r>
      <w:r w:rsidR="00DA59EF">
        <w:rPr>
          <w:rFonts w:eastAsiaTheme="minorHAnsi"/>
          <w:sz w:val="24"/>
          <w:szCs w:val="24"/>
          <w:lang w:eastAsia="ar-SA"/>
        </w:rPr>
        <w:t>s</w:t>
      </w:r>
      <w:r w:rsidR="0036601D">
        <w:rPr>
          <w:rFonts w:eastAsiaTheme="minorHAnsi"/>
          <w:sz w:val="24"/>
          <w:szCs w:val="24"/>
          <w:lang w:eastAsia="ar-SA"/>
        </w:rPr>
        <w:t xml:space="preserve"> a</w:t>
      </w:r>
      <w:r w:rsidR="0036601D" w:rsidRPr="00595400">
        <w:rPr>
          <w:rFonts w:eastAsiaTheme="minorHAnsi"/>
          <w:sz w:val="24"/>
          <w:szCs w:val="24"/>
          <w:lang w:eastAsia="ar-SA"/>
        </w:rPr>
        <w:t xml:space="preserve"> lithium-containing ceramic breeder</w:t>
      </w:r>
      <w:r w:rsidR="0036601D">
        <w:rPr>
          <w:rFonts w:eastAsiaTheme="minorHAnsi"/>
          <w:sz w:val="24"/>
          <w:szCs w:val="24"/>
          <w:lang w:eastAsia="ar-SA"/>
        </w:rPr>
        <w:t xml:space="preserve"> </w:t>
      </w:r>
      <w:r w:rsidR="0036601D" w:rsidRPr="00595400">
        <w:rPr>
          <w:rFonts w:eastAsiaTheme="minorHAnsi"/>
          <w:sz w:val="24"/>
          <w:szCs w:val="24"/>
          <w:lang w:eastAsia="ar-SA"/>
        </w:rPr>
        <w:t>compound, lithium orthosilicate Li</w:t>
      </w:r>
      <w:r w:rsidR="0036601D" w:rsidRPr="00595400">
        <w:rPr>
          <w:rFonts w:eastAsiaTheme="minorHAnsi"/>
          <w:sz w:val="24"/>
          <w:szCs w:val="24"/>
          <w:vertAlign w:val="subscript"/>
          <w:lang w:eastAsia="ar-SA"/>
        </w:rPr>
        <w:t>4</w:t>
      </w:r>
      <w:r w:rsidR="0036601D" w:rsidRPr="00595400">
        <w:rPr>
          <w:rFonts w:eastAsiaTheme="minorHAnsi"/>
          <w:sz w:val="24"/>
          <w:szCs w:val="24"/>
          <w:lang w:eastAsia="ar-SA"/>
        </w:rPr>
        <w:t>SiO</w:t>
      </w:r>
      <w:r w:rsidR="0036601D" w:rsidRPr="00595400">
        <w:rPr>
          <w:rFonts w:eastAsiaTheme="minorHAnsi"/>
          <w:sz w:val="24"/>
          <w:szCs w:val="24"/>
          <w:vertAlign w:val="subscript"/>
          <w:lang w:eastAsia="ar-SA"/>
        </w:rPr>
        <w:t>4</w:t>
      </w:r>
      <w:r w:rsidR="0036601D" w:rsidRPr="00595400">
        <w:rPr>
          <w:rFonts w:eastAsiaTheme="minorHAnsi"/>
          <w:sz w:val="24"/>
          <w:szCs w:val="24"/>
          <w:lang w:eastAsia="ar-SA"/>
        </w:rPr>
        <w:t xml:space="preserve"> </w:t>
      </w:r>
      <w:r w:rsidR="00DA59EF">
        <w:rPr>
          <w:rFonts w:eastAsiaTheme="minorHAnsi"/>
          <w:sz w:val="24"/>
          <w:szCs w:val="24"/>
          <w:lang w:eastAsia="ar-SA"/>
        </w:rPr>
        <w:t>or</w:t>
      </w:r>
      <w:r w:rsidR="0036601D" w:rsidRPr="00595400">
        <w:rPr>
          <w:rFonts w:eastAsiaTheme="minorHAnsi"/>
          <w:sz w:val="24"/>
          <w:szCs w:val="24"/>
          <w:lang w:eastAsia="ar-SA"/>
        </w:rPr>
        <w:t xml:space="preserve"> lithium </w:t>
      </w:r>
      <w:proofErr w:type="spellStart"/>
      <w:r w:rsidR="00DA59EF">
        <w:rPr>
          <w:rFonts w:eastAsiaTheme="minorHAnsi"/>
          <w:sz w:val="24"/>
          <w:szCs w:val="24"/>
          <w:lang w:eastAsia="ar-SA"/>
        </w:rPr>
        <w:t>metatitanate</w:t>
      </w:r>
      <w:proofErr w:type="spellEnd"/>
      <w:r w:rsidR="0036601D" w:rsidRPr="00595400">
        <w:rPr>
          <w:rFonts w:eastAsiaTheme="minorHAnsi"/>
          <w:sz w:val="24"/>
          <w:szCs w:val="24"/>
          <w:lang w:eastAsia="ar-SA"/>
        </w:rPr>
        <w:t xml:space="preserve"> Li</w:t>
      </w:r>
      <w:r w:rsidR="0036601D" w:rsidRPr="00595400">
        <w:rPr>
          <w:rFonts w:eastAsiaTheme="minorHAnsi"/>
          <w:sz w:val="24"/>
          <w:szCs w:val="24"/>
          <w:vertAlign w:val="subscript"/>
          <w:lang w:eastAsia="ar-SA"/>
        </w:rPr>
        <w:t>2</w:t>
      </w:r>
      <w:r w:rsidR="0036601D" w:rsidRPr="00595400">
        <w:rPr>
          <w:rFonts w:eastAsiaTheme="minorHAnsi"/>
          <w:sz w:val="24"/>
          <w:szCs w:val="24"/>
          <w:lang w:eastAsia="ar-SA"/>
        </w:rPr>
        <w:t>TiO</w:t>
      </w:r>
      <w:r w:rsidR="0036601D" w:rsidRPr="00595400">
        <w:rPr>
          <w:rFonts w:eastAsiaTheme="minorHAnsi"/>
          <w:sz w:val="24"/>
          <w:szCs w:val="24"/>
          <w:vertAlign w:val="subscript"/>
          <w:lang w:eastAsia="ar-SA"/>
        </w:rPr>
        <w:t>3</w:t>
      </w:r>
      <w:r w:rsidR="0036601D" w:rsidRPr="00595400">
        <w:rPr>
          <w:rFonts w:eastAsiaTheme="minorHAnsi"/>
          <w:sz w:val="24"/>
          <w:szCs w:val="24"/>
          <w:lang w:eastAsia="ar-SA"/>
        </w:rPr>
        <w:t xml:space="preserve">, </w:t>
      </w:r>
      <w:r w:rsidR="0036601D">
        <w:rPr>
          <w:rFonts w:eastAsiaTheme="minorHAnsi"/>
          <w:sz w:val="24"/>
          <w:szCs w:val="24"/>
          <w:lang w:eastAsia="ar-SA"/>
        </w:rPr>
        <w:t xml:space="preserve">which </w:t>
      </w:r>
      <w:r w:rsidR="00DA59EF">
        <w:rPr>
          <w:rFonts w:eastAsiaTheme="minorHAnsi"/>
          <w:sz w:val="24"/>
          <w:szCs w:val="24"/>
          <w:lang w:eastAsia="ar-SA"/>
        </w:rPr>
        <w:t>fulfils</w:t>
      </w:r>
      <w:r w:rsidR="0036601D" w:rsidRPr="00595400">
        <w:rPr>
          <w:rFonts w:eastAsiaTheme="minorHAnsi"/>
          <w:sz w:val="24"/>
          <w:szCs w:val="24"/>
          <w:lang w:eastAsia="ar-SA"/>
        </w:rPr>
        <w:t xml:space="preserve"> the tritium breeding function. An intermetallic beryllium alloy </w:t>
      </w:r>
      <w:r w:rsidR="00DA59EF">
        <w:rPr>
          <w:rFonts w:eastAsiaTheme="minorHAnsi"/>
          <w:sz w:val="24"/>
          <w:szCs w:val="24"/>
          <w:lang w:eastAsia="ar-SA"/>
        </w:rPr>
        <w:t xml:space="preserve">is used as </w:t>
      </w:r>
      <w:r w:rsidR="00CB4ABC">
        <w:rPr>
          <w:rFonts w:eastAsiaTheme="minorHAnsi"/>
          <w:sz w:val="24"/>
          <w:szCs w:val="24"/>
          <w:lang w:eastAsia="ar-SA"/>
        </w:rPr>
        <w:t xml:space="preserve">a </w:t>
      </w:r>
      <w:r w:rsidR="00DA59EF">
        <w:rPr>
          <w:rFonts w:eastAsiaTheme="minorHAnsi"/>
          <w:sz w:val="24"/>
          <w:szCs w:val="24"/>
          <w:lang w:eastAsia="ar-SA"/>
        </w:rPr>
        <w:t>neutron multiplier</w:t>
      </w:r>
      <w:r w:rsidR="0036601D" w:rsidRPr="00595400">
        <w:rPr>
          <w:rFonts w:eastAsiaTheme="minorHAnsi"/>
          <w:sz w:val="24"/>
          <w:szCs w:val="24"/>
          <w:lang w:eastAsia="ar-SA"/>
        </w:rPr>
        <w:t>.</w:t>
      </w:r>
    </w:p>
    <w:p w14:paraId="7F856CBA" w14:textId="52949D00" w:rsidR="0036601D" w:rsidRDefault="0036601D" w:rsidP="0036601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In the G</w:t>
      </w:r>
      <w:r w:rsidR="00693B78">
        <w:rPr>
          <w:rFonts w:eastAsiaTheme="minorHAnsi"/>
          <w:sz w:val="24"/>
          <w:szCs w:val="24"/>
          <w:lang w:eastAsia="ar-SA"/>
        </w:rPr>
        <w:t>-</w:t>
      </w:r>
      <w:r>
        <w:rPr>
          <w:rFonts w:eastAsiaTheme="minorHAnsi"/>
          <w:sz w:val="24"/>
          <w:szCs w:val="24"/>
          <w:lang w:eastAsia="ar-SA"/>
        </w:rPr>
        <w:t>IV reactors i</w:t>
      </w:r>
      <w:r w:rsidRPr="00016197">
        <w:rPr>
          <w:rFonts w:eastAsiaTheme="minorHAnsi"/>
          <w:sz w:val="24"/>
          <w:szCs w:val="24"/>
          <w:lang w:eastAsia="ar-SA"/>
        </w:rPr>
        <w:t>n general, tritium is produced in the core</w:t>
      </w:r>
      <w:r w:rsidR="00293492">
        <w:rPr>
          <w:rFonts w:eastAsiaTheme="minorHAnsi"/>
          <w:sz w:val="24"/>
          <w:szCs w:val="24"/>
          <w:lang w:eastAsia="ar-SA"/>
        </w:rPr>
        <w:t xml:space="preserve"> by ternary fissions and by </w:t>
      </w:r>
      <w:r w:rsidR="003000B8">
        <w:rPr>
          <w:rFonts w:eastAsiaTheme="minorHAnsi"/>
          <w:sz w:val="24"/>
          <w:szCs w:val="24"/>
          <w:lang w:eastAsia="ar-SA"/>
        </w:rPr>
        <w:t>nuclear</w:t>
      </w:r>
      <w:r w:rsidR="00293492">
        <w:rPr>
          <w:rFonts w:eastAsiaTheme="minorHAnsi"/>
          <w:sz w:val="24"/>
          <w:szCs w:val="24"/>
          <w:lang w:eastAsia="ar-SA"/>
        </w:rPr>
        <w:t xml:space="preserve"> transmutation of boron used in the control rods</w:t>
      </w:r>
      <w:r w:rsidRPr="00016197">
        <w:rPr>
          <w:rFonts w:eastAsiaTheme="minorHAnsi"/>
          <w:sz w:val="24"/>
          <w:szCs w:val="24"/>
          <w:lang w:eastAsia="ar-SA"/>
        </w:rPr>
        <w:t xml:space="preserve"> and can</w:t>
      </w:r>
      <w:r w:rsidR="003000B8">
        <w:rPr>
          <w:rFonts w:eastAsiaTheme="minorHAnsi"/>
          <w:sz w:val="24"/>
          <w:szCs w:val="24"/>
          <w:lang w:eastAsia="ar-SA"/>
        </w:rPr>
        <w:t xml:space="preserve"> then</w:t>
      </w:r>
      <w:r w:rsidRPr="00016197">
        <w:rPr>
          <w:rFonts w:eastAsiaTheme="minorHAnsi"/>
          <w:sz w:val="24"/>
          <w:szCs w:val="24"/>
          <w:lang w:eastAsia="ar-SA"/>
        </w:rPr>
        <w:t xml:space="preserve"> diffuse through fuel claddings and through structural materials. The mobility of tritium is particularly increased at higher temperatures.</w:t>
      </w:r>
      <w:r>
        <w:rPr>
          <w:rFonts w:eastAsiaTheme="minorHAnsi"/>
          <w:sz w:val="24"/>
          <w:szCs w:val="24"/>
          <w:lang w:eastAsia="ar-SA"/>
        </w:rPr>
        <w:t xml:space="preserve"> It is clear that the management of tritium in both fission and fusion reactors share common strategies and common engineering solutions. </w:t>
      </w:r>
    </w:p>
    <w:p w14:paraId="3A0207B5" w14:textId="2FFA6272" w:rsidR="0036601D" w:rsidRDefault="003000B8" w:rsidP="0036601D">
      <w:pPr>
        <w:overflowPunct/>
        <w:autoSpaceDE/>
        <w:autoSpaceDN/>
        <w:adjustRightInd/>
        <w:spacing w:before="280" w:after="280"/>
        <w:jc w:val="both"/>
        <w:textAlignment w:val="auto"/>
        <w:rPr>
          <w:sz w:val="24"/>
          <w:szCs w:val="24"/>
        </w:rPr>
      </w:pPr>
      <w:r>
        <w:rPr>
          <w:rFonts w:eastAsiaTheme="minorHAnsi"/>
          <w:sz w:val="24"/>
          <w:szCs w:val="24"/>
          <w:lang w:eastAsia="ar-SA"/>
        </w:rPr>
        <w:t xml:space="preserve">A common </w:t>
      </w:r>
      <w:r w:rsidR="0036601D">
        <w:rPr>
          <w:rFonts w:eastAsiaTheme="minorHAnsi"/>
          <w:sz w:val="24"/>
          <w:szCs w:val="24"/>
          <w:lang w:eastAsia="ar-SA"/>
        </w:rPr>
        <w:t>approach for the tritium management</w:t>
      </w:r>
      <w:r w:rsidR="0036601D">
        <w:rPr>
          <w:sz w:val="24"/>
          <w:szCs w:val="24"/>
        </w:rPr>
        <w:t xml:space="preserve"> for fission and fusion systems is to use a combination of these techniques:</w:t>
      </w:r>
    </w:p>
    <w:p w14:paraId="7A700378" w14:textId="7585BCE4" w:rsidR="0036601D" w:rsidRDefault="0036601D" w:rsidP="0036601D">
      <w:pPr>
        <w:pStyle w:val="Paragrafoelenco"/>
        <w:numPr>
          <w:ilvl w:val="0"/>
          <w:numId w:val="38"/>
        </w:numPr>
        <w:overflowPunct/>
        <w:autoSpaceDE/>
        <w:autoSpaceDN/>
        <w:adjustRightInd/>
        <w:spacing w:before="280" w:after="280"/>
        <w:jc w:val="both"/>
        <w:textAlignment w:val="auto"/>
        <w:rPr>
          <w:sz w:val="24"/>
          <w:szCs w:val="24"/>
        </w:rPr>
      </w:pPr>
      <w:r>
        <w:rPr>
          <w:sz w:val="24"/>
          <w:szCs w:val="24"/>
        </w:rPr>
        <w:t>Develop</w:t>
      </w:r>
      <w:r w:rsidR="003000B8">
        <w:rPr>
          <w:sz w:val="24"/>
          <w:szCs w:val="24"/>
        </w:rPr>
        <w:t>ing</w:t>
      </w:r>
      <w:r>
        <w:rPr>
          <w:sz w:val="24"/>
          <w:szCs w:val="24"/>
        </w:rPr>
        <w:t xml:space="preserve"> coating barrier</w:t>
      </w:r>
      <w:r w:rsidR="003000B8">
        <w:rPr>
          <w:sz w:val="24"/>
          <w:szCs w:val="24"/>
        </w:rPr>
        <w:t>s</w:t>
      </w:r>
      <w:r>
        <w:rPr>
          <w:sz w:val="24"/>
          <w:szCs w:val="24"/>
        </w:rPr>
        <w:t xml:space="preserve"> to</w:t>
      </w:r>
      <w:r w:rsidR="003000B8">
        <w:rPr>
          <w:sz w:val="24"/>
          <w:szCs w:val="24"/>
        </w:rPr>
        <w:t xml:space="preserve"> prevent</w:t>
      </w:r>
      <w:r>
        <w:rPr>
          <w:sz w:val="24"/>
          <w:szCs w:val="24"/>
        </w:rPr>
        <w:t xml:space="preserve"> the</w:t>
      </w:r>
      <w:r w:rsidR="003000B8">
        <w:rPr>
          <w:sz w:val="24"/>
          <w:szCs w:val="24"/>
        </w:rPr>
        <w:t xml:space="preserve"> tritium</w:t>
      </w:r>
      <w:r>
        <w:rPr>
          <w:sz w:val="24"/>
          <w:szCs w:val="24"/>
        </w:rPr>
        <w:t xml:space="preserve"> permeation</w:t>
      </w:r>
      <w:r w:rsidR="003000B8">
        <w:rPr>
          <w:sz w:val="24"/>
          <w:szCs w:val="24"/>
        </w:rPr>
        <w:t>;</w:t>
      </w:r>
    </w:p>
    <w:p w14:paraId="134C1BCA" w14:textId="339F7F10" w:rsidR="0036601D" w:rsidRDefault="0036601D" w:rsidP="0036601D">
      <w:pPr>
        <w:pStyle w:val="Paragrafoelenco"/>
        <w:numPr>
          <w:ilvl w:val="0"/>
          <w:numId w:val="38"/>
        </w:numPr>
        <w:overflowPunct/>
        <w:autoSpaceDE/>
        <w:autoSpaceDN/>
        <w:adjustRightInd/>
        <w:spacing w:before="280" w:after="280"/>
        <w:jc w:val="both"/>
        <w:textAlignment w:val="auto"/>
        <w:rPr>
          <w:sz w:val="24"/>
          <w:szCs w:val="24"/>
        </w:rPr>
      </w:pPr>
      <w:r>
        <w:rPr>
          <w:sz w:val="24"/>
          <w:szCs w:val="24"/>
        </w:rPr>
        <w:t>Remov</w:t>
      </w:r>
      <w:r w:rsidR="003000B8">
        <w:rPr>
          <w:sz w:val="24"/>
          <w:szCs w:val="24"/>
        </w:rPr>
        <w:t>ing</w:t>
      </w:r>
      <w:r>
        <w:rPr>
          <w:sz w:val="24"/>
          <w:szCs w:val="24"/>
        </w:rPr>
        <w:t xml:space="preserve"> tritium from the liquid metal or</w:t>
      </w:r>
      <w:r w:rsidR="003000B8">
        <w:rPr>
          <w:sz w:val="24"/>
          <w:szCs w:val="24"/>
        </w:rPr>
        <w:t xml:space="preserve"> the</w:t>
      </w:r>
      <w:r>
        <w:rPr>
          <w:sz w:val="24"/>
          <w:szCs w:val="24"/>
        </w:rPr>
        <w:t xml:space="preserve"> cover gas</w:t>
      </w:r>
      <w:r w:rsidR="003000B8">
        <w:rPr>
          <w:sz w:val="24"/>
          <w:szCs w:val="24"/>
        </w:rPr>
        <w:t>;</w:t>
      </w:r>
    </w:p>
    <w:p w14:paraId="5D346517" w14:textId="26AC7ADB" w:rsidR="0036601D" w:rsidRPr="0036601D" w:rsidRDefault="0036601D" w:rsidP="0036601D">
      <w:pPr>
        <w:pStyle w:val="Paragrafoelenco"/>
        <w:numPr>
          <w:ilvl w:val="0"/>
          <w:numId w:val="38"/>
        </w:numPr>
        <w:overflowPunct/>
        <w:autoSpaceDE/>
        <w:autoSpaceDN/>
        <w:adjustRightInd/>
        <w:spacing w:before="280" w:after="280"/>
        <w:jc w:val="both"/>
        <w:textAlignment w:val="auto"/>
        <w:rPr>
          <w:sz w:val="24"/>
          <w:szCs w:val="24"/>
        </w:rPr>
      </w:pPr>
      <w:r>
        <w:rPr>
          <w:sz w:val="24"/>
          <w:szCs w:val="24"/>
        </w:rPr>
        <w:t>Monitoring the tritium concentration in the reactor</w:t>
      </w:r>
      <w:r w:rsidR="003000B8">
        <w:rPr>
          <w:sz w:val="24"/>
          <w:szCs w:val="24"/>
        </w:rPr>
        <w:t>.</w:t>
      </w:r>
    </w:p>
    <w:p w14:paraId="03AB47F9" w14:textId="7B93ABD2" w:rsidR="0036601D" w:rsidRDefault="0036601D" w:rsidP="0036601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For instance, </w:t>
      </w:r>
      <w:r w:rsidRPr="00EC7F7D">
        <w:rPr>
          <w:rFonts w:eastAsiaTheme="minorHAnsi"/>
          <w:sz w:val="24"/>
          <w:szCs w:val="24"/>
          <w:lang w:eastAsia="ar-SA"/>
        </w:rPr>
        <w:t xml:space="preserve">High Temperature Gas Reactors (HTGRs), using helium as coolant, </w:t>
      </w:r>
      <w:r w:rsidR="003000B8" w:rsidRPr="00EC7F7D">
        <w:rPr>
          <w:rFonts w:eastAsiaTheme="minorHAnsi"/>
          <w:sz w:val="24"/>
          <w:szCs w:val="24"/>
          <w:lang w:eastAsia="ar-SA"/>
        </w:rPr>
        <w:t xml:space="preserve">in the past </w:t>
      </w:r>
      <w:r w:rsidRPr="00EC7F7D">
        <w:rPr>
          <w:rFonts w:eastAsiaTheme="minorHAnsi"/>
          <w:sz w:val="24"/>
          <w:szCs w:val="24"/>
          <w:lang w:eastAsia="ar-SA"/>
        </w:rPr>
        <w:t xml:space="preserve">used purification systems mainly to eliminate impurities causing the oxidation of the graphite moderator and the corrosion of the materials working at high temperature </w:t>
      </w:r>
      <w:r w:rsidR="008701ED">
        <w:rPr>
          <w:rFonts w:eastAsiaTheme="minorHAnsi"/>
          <w:sz w:val="24"/>
          <w:szCs w:val="24"/>
          <w:lang w:eastAsia="ar-SA"/>
        </w:rPr>
        <w:fldChar w:fldCharType="begin"/>
      </w:r>
      <w:r w:rsidR="008701ED">
        <w:rPr>
          <w:rFonts w:eastAsiaTheme="minorHAnsi"/>
          <w:sz w:val="24"/>
          <w:szCs w:val="24"/>
          <w:lang w:eastAsia="ar-SA"/>
        </w:rPr>
        <w:instrText xml:space="preserve"> REF _Ref97891072 \r \h </w:instrText>
      </w:r>
      <w:r w:rsidR="008701ED">
        <w:rPr>
          <w:rFonts w:eastAsiaTheme="minorHAnsi"/>
          <w:sz w:val="24"/>
          <w:szCs w:val="24"/>
          <w:lang w:eastAsia="ar-SA"/>
        </w:rPr>
      </w:r>
      <w:r w:rsidR="008701ED">
        <w:rPr>
          <w:rFonts w:eastAsiaTheme="minorHAnsi"/>
          <w:sz w:val="24"/>
          <w:szCs w:val="24"/>
          <w:lang w:eastAsia="ar-SA"/>
        </w:rPr>
        <w:fldChar w:fldCharType="separate"/>
      </w:r>
      <w:r w:rsidR="00FD72C5">
        <w:rPr>
          <w:rFonts w:eastAsiaTheme="minorHAnsi"/>
          <w:sz w:val="24"/>
          <w:szCs w:val="24"/>
          <w:lang w:eastAsia="ar-SA"/>
        </w:rPr>
        <w:t>[3]</w:t>
      </w:r>
      <w:r w:rsidR="008701ED">
        <w:rPr>
          <w:rFonts w:eastAsiaTheme="minorHAnsi"/>
          <w:sz w:val="24"/>
          <w:szCs w:val="24"/>
          <w:lang w:eastAsia="ar-SA"/>
        </w:rPr>
        <w:fldChar w:fldCharType="end"/>
      </w:r>
      <w:r w:rsidRPr="00EC7F7D">
        <w:rPr>
          <w:rFonts w:eastAsiaTheme="minorHAnsi"/>
          <w:sz w:val="24"/>
          <w:szCs w:val="24"/>
          <w:lang w:eastAsia="ar-SA"/>
        </w:rPr>
        <w:t>. These Coolant Purification Systems (CPSs) also include</w:t>
      </w:r>
      <w:r w:rsidR="003000B8">
        <w:rPr>
          <w:rFonts w:eastAsiaTheme="minorHAnsi"/>
          <w:sz w:val="24"/>
          <w:szCs w:val="24"/>
          <w:lang w:eastAsia="ar-SA"/>
        </w:rPr>
        <w:t>d</w:t>
      </w:r>
      <w:r w:rsidRPr="00EC7F7D">
        <w:rPr>
          <w:rFonts w:eastAsiaTheme="minorHAnsi"/>
          <w:sz w:val="24"/>
          <w:szCs w:val="24"/>
          <w:lang w:eastAsia="ar-SA"/>
        </w:rPr>
        <w:t xml:space="preserve"> devices to remove hydrogen isotopes.</w:t>
      </w:r>
      <w:r>
        <w:rPr>
          <w:rFonts w:eastAsiaTheme="minorHAnsi"/>
          <w:sz w:val="24"/>
          <w:szCs w:val="24"/>
          <w:lang w:eastAsia="ar-SA"/>
        </w:rPr>
        <w:t xml:space="preserve"> </w:t>
      </w:r>
      <w:r w:rsidRPr="00EC7F7D">
        <w:rPr>
          <w:rFonts w:eastAsiaTheme="minorHAnsi"/>
          <w:sz w:val="24"/>
          <w:szCs w:val="24"/>
          <w:lang w:eastAsia="ar-SA"/>
        </w:rPr>
        <w:t xml:space="preserve">Comparing </w:t>
      </w:r>
      <w:r w:rsidR="003000B8">
        <w:rPr>
          <w:rFonts w:eastAsiaTheme="minorHAnsi"/>
          <w:sz w:val="24"/>
          <w:szCs w:val="24"/>
          <w:lang w:eastAsia="ar-SA"/>
        </w:rPr>
        <w:t xml:space="preserve">the </w:t>
      </w:r>
      <w:r w:rsidRPr="00EC7F7D">
        <w:rPr>
          <w:rFonts w:eastAsiaTheme="minorHAnsi"/>
          <w:sz w:val="24"/>
          <w:szCs w:val="24"/>
          <w:lang w:eastAsia="ar-SA"/>
        </w:rPr>
        <w:t xml:space="preserve">CPSs of HTGRs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_Ref97890941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[4]</w:t>
      </w:r>
      <w:r w:rsidR="00FD72C5">
        <w:rPr>
          <w:rFonts w:eastAsiaTheme="minorHAnsi"/>
          <w:sz w:val="24"/>
          <w:szCs w:val="24"/>
          <w:lang w:eastAsia="ar-SA"/>
        </w:rPr>
        <w:fldChar w:fldCharType="end"/>
      </w:r>
      <w:r w:rsidRPr="00EC7F7D">
        <w:rPr>
          <w:rFonts w:eastAsiaTheme="minorHAnsi"/>
          <w:sz w:val="24"/>
          <w:szCs w:val="24"/>
          <w:lang w:eastAsia="ar-SA"/>
        </w:rPr>
        <w:t xml:space="preserve">, it is possible to note that, with the exception of </w:t>
      </w:r>
      <w:bookmarkStart w:id="7" w:name="OLE_LINK20"/>
      <w:bookmarkStart w:id="8" w:name="OLE_LINK21"/>
      <w:r w:rsidRPr="00EC7F7D">
        <w:rPr>
          <w:rFonts w:eastAsiaTheme="minorHAnsi"/>
          <w:sz w:val="24"/>
          <w:szCs w:val="24"/>
          <w:lang w:eastAsia="ar-SA"/>
        </w:rPr>
        <w:t xml:space="preserve">Fort St. </w:t>
      </w:r>
      <w:proofErr w:type="spellStart"/>
      <w:r w:rsidRPr="00EC7F7D">
        <w:rPr>
          <w:rFonts w:eastAsiaTheme="minorHAnsi"/>
          <w:sz w:val="24"/>
          <w:szCs w:val="24"/>
          <w:lang w:eastAsia="ar-SA"/>
        </w:rPr>
        <w:t>Vrain</w:t>
      </w:r>
      <w:proofErr w:type="spellEnd"/>
      <w:r w:rsidRPr="00EC7F7D">
        <w:rPr>
          <w:rFonts w:eastAsiaTheme="minorHAnsi"/>
          <w:sz w:val="24"/>
          <w:szCs w:val="24"/>
          <w:lang w:eastAsia="ar-SA"/>
        </w:rPr>
        <w:t xml:space="preserve"> </w:t>
      </w:r>
      <w:bookmarkEnd w:id="7"/>
      <w:bookmarkEnd w:id="8"/>
      <w:r w:rsidRPr="00EC7F7D">
        <w:rPr>
          <w:rFonts w:eastAsiaTheme="minorHAnsi"/>
          <w:sz w:val="24"/>
          <w:szCs w:val="24"/>
          <w:lang w:eastAsia="ar-SA"/>
        </w:rPr>
        <w:t>reactor, all the systems foresee the presence of an oxidizing bed to transform Q</w:t>
      </w:r>
      <w:r w:rsidRPr="00EC7F7D">
        <w:rPr>
          <w:rFonts w:eastAsiaTheme="minorHAnsi"/>
          <w:sz w:val="24"/>
          <w:szCs w:val="24"/>
          <w:vertAlign w:val="subscript"/>
          <w:lang w:eastAsia="ar-SA"/>
        </w:rPr>
        <w:t>2</w:t>
      </w:r>
      <w:r w:rsidRPr="00EC7F7D">
        <w:rPr>
          <w:rFonts w:eastAsiaTheme="minorHAnsi"/>
          <w:sz w:val="24"/>
          <w:szCs w:val="24"/>
          <w:lang w:eastAsia="ar-SA"/>
        </w:rPr>
        <w:t xml:space="preserve"> (Q = H, D, T) into Q</w:t>
      </w:r>
      <w:r w:rsidRPr="00EC7F7D">
        <w:rPr>
          <w:rFonts w:eastAsiaTheme="minorHAnsi"/>
          <w:sz w:val="24"/>
          <w:szCs w:val="24"/>
          <w:vertAlign w:val="subscript"/>
          <w:lang w:eastAsia="ar-SA"/>
        </w:rPr>
        <w:t>2</w:t>
      </w:r>
      <w:r w:rsidRPr="00EC7F7D">
        <w:rPr>
          <w:rFonts w:eastAsiaTheme="minorHAnsi"/>
          <w:sz w:val="24"/>
          <w:szCs w:val="24"/>
          <w:lang w:eastAsia="ar-SA"/>
        </w:rPr>
        <w:t xml:space="preserve">O. Apart from Dragon Reactor Experiment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_Ref97890878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[5]</w:t>
      </w:r>
      <w:r w:rsidR="00FD72C5">
        <w:rPr>
          <w:rFonts w:eastAsiaTheme="minorHAnsi"/>
          <w:sz w:val="24"/>
          <w:szCs w:val="24"/>
          <w:lang w:eastAsia="ar-SA"/>
        </w:rPr>
        <w:fldChar w:fldCharType="end"/>
      </w:r>
      <w:r w:rsidRPr="00EC7F7D">
        <w:rPr>
          <w:rFonts w:eastAsiaTheme="minorHAnsi"/>
          <w:sz w:val="24"/>
          <w:szCs w:val="24"/>
          <w:lang w:eastAsia="ar-SA"/>
        </w:rPr>
        <w:t>, in which a freezer heat exchanger removed Q</w:t>
      </w:r>
      <w:r w:rsidRPr="00EC7F7D">
        <w:rPr>
          <w:rFonts w:eastAsiaTheme="minorHAnsi"/>
          <w:sz w:val="24"/>
          <w:szCs w:val="24"/>
          <w:vertAlign w:val="subscript"/>
          <w:lang w:eastAsia="ar-SA"/>
        </w:rPr>
        <w:t>2</w:t>
      </w:r>
      <w:r w:rsidRPr="00EC7F7D">
        <w:rPr>
          <w:rFonts w:eastAsiaTheme="minorHAnsi"/>
          <w:sz w:val="24"/>
          <w:szCs w:val="24"/>
          <w:lang w:eastAsia="ar-SA"/>
        </w:rPr>
        <w:t xml:space="preserve">O, in the remaining purification systems, </w:t>
      </w:r>
      <w:r w:rsidR="00E4495A">
        <w:rPr>
          <w:rFonts w:eastAsiaTheme="minorHAnsi"/>
          <w:sz w:val="24"/>
          <w:szCs w:val="24"/>
          <w:lang w:eastAsia="ar-SA"/>
        </w:rPr>
        <w:t>a</w:t>
      </w:r>
      <w:r w:rsidR="00E4495A" w:rsidRPr="00EC7F7D">
        <w:rPr>
          <w:rFonts w:eastAsiaTheme="minorHAnsi"/>
          <w:sz w:val="24"/>
          <w:szCs w:val="24"/>
          <w:lang w:eastAsia="ar-SA"/>
        </w:rPr>
        <w:t xml:space="preserve"> </w:t>
      </w:r>
      <w:r w:rsidRPr="00EC7F7D">
        <w:rPr>
          <w:rFonts w:eastAsiaTheme="minorHAnsi"/>
          <w:sz w:val="24"/>
          <w:szCs w:val="24"/>
          <w:lang w:eastAsia="ar-SA"/>
        </w:rPr>
        <w:t>molecular sieve bed adsorb</w:t>
      </w:r>
      <w:r w:rsidR="00CB4ABC">
        <w:rPr>
          <w:rFonts w:eastAsiaTheme="minorHAnsi"/>
          <w:sz w:val="24"/>
          <w:szCs w:val="24"/>
          <w:lang w:eastAsia="ar-SA"/>
        </w:rPr>
        <w:t>s</w:t>
      </w:r>
      <w:r w:rsidRPr="00EC7F7D">
        <w:rPr>
          <w:rFonts w:eastAsiaTheme="minorHAnsi"/>
          <w:sz w:val="24"/>
          <w:szCs w:val="24"/>
          <w:lang w:eastAsia="ar-SA"/>
        </w:rPr>
        <w:t xml:space="preserve"> the water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_Ref97890941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[4]</w:t>
      </w:r>
      <w:r w:rsidR="00FD72C5">
        <w:rPr>
          <w:rFonts w:eastAsiaTheme="minorHAnsi"/>
          <w:sz w:val="24"/>
          <w:szCs w:val="24"/>
          <w:lang w:eastAsia="ar-SA"/>
        </w:rPr>
        <w:fldChar w:fldCharType="end"/>
      </w:r>
      <w:r w:rsidRPr="00EC7F7D">
        <w:rPr>
          <w:rFonts w:eastAsiaTheme="minorHAnsi"/>
          <w:sz w:val="24"/>
          <w:szCs w:val="24"/>
          <w:lang w:eastAsia="ar-SA"/>
        </w:rPr>
        <w:t>.</w:t>
      </w:r>
      <w:r>
        <w:rPr>
          <w:rFonts w:eastAsiaTheme="minorHAnsi"/>
          <w:sz w:val="24"/>
          <w:szCs w:val="24"/>
          <w:lang w:eastAsia="ar-SA"/>
        </w:rPr>
        <w:t xml:space="preserve"> </w:t>
      </w:r>
      <w:r w:rsidRPr="00EC7F7D">
        <w:rPr>
          <w:rFonts w:eastAsiaTheme="minorHAnsi"/>
          <w:sz w:val="24"/>
          <w:szCs w:val="24"/>
          <w:lang w:eastAsia="ar-SA"/>
        </w:rPr>
        <w:t xml:space="preserve">In addition to the molecular sieve beds, at very low temperature (83 K), also the cooled charcoal beds are effective to remove hydrogen isotopes from helium coolant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_Ref97890941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[4]</w:t>
      </w:r>
      <w:r w:rsidR="00FD72C5">
        <w:rPr>
          <w:rFonts w:eastAsiaTheme="minorHAnsi"/>
          <w:sz w:val="24"/>
          <w:szCs w:val="24"/>
          <w:lang w:eastAsia="ar-SA"/>
        </w:rPr>
        <w:fldChar w:fldCharType="end"/>
      </w:r>
      <w:r w:rsidRPr="00EC7F7D">
        <w:rPr>
          <w:rFonts w:eastAsiaTheme="minorHAnsi"/>
          <w:sz w:val="24"/>
          <w:szCs w:val="24"/>
          <w:lang w:eastAsia="ar-SA"/>
        </w:rPr>
        <w:t>; however, the molecular sieve beds seem simpler both from a constructive and operational point of view.</w:t>
      </w:r>
      <w:r>
        <w:rPr>
          <w:rFonts w:eastAsiaTheme="minorHAnsi"/>
          <w:sz w:val="24"/>
          <w:szCs w:val="24"/>
          <w:lang w:eastAsia="ar-SA"/>
        </w:rPr>
        <w:t xml:space="preserve"> </w:t>
      </w:r>
      <w:r w:rsidRPr="00EC7F7D">
        <w:rPr>
          <w:rFonts w:eastAsiaTheme="minorHAnsi"/>
          <w:sz w:val="24"/>
          <w:szCs w:val="24"/>
          <w:lang w:eastAsia="ar-SA"/>
        </w:rPr>
        <w:t>Metallic getters are able to react with specific gas species, such as hydrogen.</w:t>
      </w:r>
    </w:p>
    <w:p w14:paraId="747AC470" w14:textId="1BECE6FC" w:rsidR="006130CD" w:rsidRDefault="0036601D" w:rsidP="006130CD">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More in detail, in the Fusion Reactor t</w:t>
      </w:r>
      <w:r w:rsidR="006130CD" w:rsidRPr="006130CD">
        <w:rPr>
          <w:rFonts w:eastAsiaTheme="minorHAnsi"/>
          <w:sz w:val="24"/>
          <w:szCs w:val="24"/>
          <w:lang w:eastAsia="ar-SA"/>
        </w:rPr>
        <w:t xml:space="preserve">he fuel cycle is composed of five subsystems listed in </w:t>
      </w:r>
      <w:r w:rsidR="003A5CE0">
        <w:rPr>
          <w:rFonts w:eastAsiaTheme="minorHAnsi"/>
          <w:sz w:val="24"/>
          <w:szCs w:val="24"/>
          <w:lang w:eastAsia="ar-SA"/>
        </w:rPr>
        <w:fldChar w:fldCharType="begin"/>
      </w:r>
      <w:r w:rsidR="003A5CE0">
        <w:rPr>
          <w:rFonts w:eastAsiaTheme="minorHAnsi"/>
          <w:sz w:val="24"/>
          <w:szCs w:val="24"/>
          <w:lang w:eastAsia="ar-SA"/>
        </w:rPr>
        <w:instrText xml:space="preserve"> REF _Ref97818270 \h  \* MERGEFORMAT </w:instrText>
      </w:r>
      <w:r w:rsidR="003A5CE0">
        <w:rPr>
          <w:rFonts w:eastAsiaTheme="minorHAnsi"/>
          <w:sz w:val="24"/>
          <w:szCs w:val="24"/>
          <w:lang w:eastAsia="ar-SA"/>
        </w:rPr>
      </w:r>
      <w:r w:rsidR="003A5CE0">
        <w:rPr>
          <w:rFonts w:eastAsiaTheme="minorHAnsi"/>
          <w:sz w:val="24"/>
          <w:szCs w:val="24"/>
          <w:lang w:eastAsia="ar-SA"/>
        </w:rPr>
        <w:fldChar w:fldCharType="separate"/>
      </w:r>
      <w:r w:rsidR="003A5CE0" w:rsidRPr="003A5CE0">
        <w:rPr>
          <w:rFonts w:eastAsiaTheme="minorHAnsi"/>
          <w:sz w:val="24"/>
          <w:szCs w:val="24"/>
          <w:lang w:eastAsia="ar-SA"/>
        </w:rPr>
        <w:t>Table 1</w:t>
      </w:r>
      <w:r w:rsidR="003A5CE0">
        <w:rPr>
          <w:rFonts w:eastAsiaTheme="minorHAnsi"/>
          <w:sz w:val="24"/>
          <w:szCs w:val="24"/>
          <w:lang w:eastAsia="ar-SA"/>
        </w:rPr>
        <w:fldChar w:fldCharType="end"/>
      </w:r>
      <w:r w:rsidR="006130CD" w:rsidRPr="006130CD">
        <w:rPr>
          <w:rFonts w:eastAsiaTheme="minorHAnsi"/>
          <w:sz w:val="24"/>
          <w:szCs w:val="24"/>
          <w:lang w:eastAsia="ar-SA"/>
        </w:rPr>
        <w:t>, for which</w:t>
      </w:r>
      <w:r w:rsidR="006130CD">
        <w:rPr>
          <w:rFonts w:eastAsiaTheme="minorHAnsi"/>
          <w:sz w:val="24"/>
          <w:szCs w:val="24"/>
          <w:lang w:eastAsia="ar-SA"/>
        </w:rPr>
        <w:t xml:space="preserve"> </w:t>
      </w:r>
      <w:r w:rsidR="006130CD" w:rsidRPr="006130CD">
        <w:rPr>
          <w:rFonts w:eastAsiaTheme="minorHAnsi"/>
          <w:sz w:val="24"/>
          <w:szCs w:val="24"/>
          <w:lang w:eastAsia="ar-SA"/>
        </w:rPr>
        <w:t xml:space="preserve">a block diagram is reported in </w:t>
      </w:r>
      <w:r w:rsidR="003A5CE0">
        <w:rPr>
          <w:rFonts w:eastAsiaTheme="minorHAnsi"/>
          <w:sz w:val="24"/>
          <w:szCs w:val="24"/>
          <w:lang w:eastAsia="ar-SA"/>
        </w:rPr>
        <w:fldChar w:fldCharType="begin"/>
      </w:r>
      <w:r w:rsidR="003A5CE0">
        <w:rPr>
          <w:rFonts w:eastAsiaTheme="minorHAnsi"/>
          <w:sz w:val="24"/>
          <w:szCs w:val="24"/>
          <w:lang w:eastAsia="ar-SA"/>
        </w:rPr>
        <w:instrText xml:space="preserve"> REF _Ref97719905 \h  \* MERGEFORMAT </w:instrText>
      </w:r>
      <w:r w:rsidR="003A5CE0">
        <w:rPr>
          <w:rFonts w:eastAsiaTheme="minorHAnsi"/>
          <w:sz w:val="24"/>
          <w:szCs w:val="24"/>
          <w:lang w:eastAsia="ar-SA"/>
        </w:rPr>
      </w:r>
      <w:r w:rsidR="003A5CE0">
        <w:rPr>
          <w:rFonts w:eastAsiaTheme="minorHAnsi"/>
          <w:sz w:val="24"/>
          <w:szCs w:val="24"/>
          <w:lang w:eastAsia="ar-SA"/>
        </w:rPr>
        <w:fldChar w:fldCharType="separate"/>
      </w:r>
      <w:r w:rsidR="003A5CE0" w:rsidRPr="003A5CE0">
        <w:rPr>
          <w:rFonts w:eastAsiaTheme="minorHAnsi"/>
          <w:sz w:val="24"/>
          <w:szCs w:val="24"/>
          <w:lang w:eastAsia="ar-SA"/>
        </w:rPr>
        <w:t>Figure 1</w:t>
      </w:r>
      <w:r w:rsidR="003A5CE0">
        <w:rPr>
          <w:rFonts w:eastAsiaTheme="minorHAnsi"/>
          <w:sz w:val="24"/>
          <w:szCs w:val="24"/>
          <w:lang w:eastAsia="ar-SA"/>
        </w:rPr>
        <w:fldChar w:fldCharType="end"/>
      </w:r>
      <w:r w:rsidR="006130CD" w:rsidRPr="006130CD">
        <w:rPr>
          <w:rFonts w:eastAsiaTheme="minorHAnsi"/>
          <w:sz w:val="24"/>
          <w:szCs w:val="24"/>
          <w:lang w:eastAsia="ar-SA"/>
        </w:rPr>
        <w:t xml:space="preserve"> as a conceptual scheme. These subsystems</w:t>
      </w:r>
      <w:r w:rsidR="006130CD">
        <w:rPr>
          <w:rFonts w:eastAsiaTheme="minorHAnsi"/>
          <w:sz w:val="24"/>
          <w:szCs w:val="24"/>
          <w:lang w:eastAsia="ar-SA"/>
        </w:rPr>
        <w:t xml:space="preserve"> </w:t>
      </w:r>
      <w:r w:rsidR="006130CD" w:rsidRPr="006130CD">
        <w:rPr>
          <w:rFonts w:eastAsiaTheme="minorHAnsi"/>
          <w:sz w:val="24"/>
          <w:szCs w:val="24"/>
          <w:lang w:eastAsia="ar-SA"/>
        </w:rPr>
        <w:t>include several different components which perform different functions and</w:t>
      </w:r>
      <w:r w:rsidR="006130CD">
        <w:rPr>
          <w:rFonts w:eastAsiaTheme="minorHAnsi"/>
          <w:sz w:val="24"/>
          <w:szCs w:val="24"/>
          <w:lang w:eastAsia="ar-SA"/>
        </w:rPr>
        <w:t xml:space="preserve"> </w:t>
      </w:r>
      <w:r w:rsidR="006130CD" w:rsidRPr="006130CD">
        <w:rPr>
          <w:rFonts w:eastAsiaTheme="minorHAnsi"/>
          <w:sz w:val="24"/>
          <w:szCs w:val="24"/>
          <w:lang w:eastAsia="ar-SA"/>
        </w:rPr>
        <w:t>are defined by their own physical description. This scheme is general and works</w:t>
      </w:r>
      <w:r w:rsidR="006130CD">
        <w:rPr>
          <w:rFonts w:eastAsiaTheme="minorHAnsi"/>
          <w:sz w:val="24"/>
          <w:szCs w:val="24"/>
          <w:lang w:eastAsia="ar-SA"/>
        </w:rPr>
        <w:t xml:space="preserve"> </w:t>
      </w:r>
      <w:r w:rsidR="006130CD" w:rsidRPr="006130CD">
        <w:rPr>
          <w:rFonts w:eastAsiaTheme="minorHAnsi"/>
          <w:sz w:val="24"/>
          <w:szCs w:val="24"/>
          <w:lang w:eastAsia="ar-SA"/>
        </w:rPr>
        <w:t>also for a generic fusion power plant.</w:t>
      </w:r>
    </w:p>
    <w:p w14:paraId="233AC73E" w14:textId="3607F8A2" w:rsidR="006130CD" w:rsidRDefault="006130CD" w:rsidP="006130CD">
      <w:pPr>
        <w:pStyle w:val="Didascalia"/>
        <w:rPr>
          <w:rFonts w:eastAsiaTheme="minorHAnsi"/>
          <w:sz w:val="24"/>
          <w:szCs w:val="24"/>
          <w:lang w:eastAsia="ar-SA"/>
        </w:rPr>
      </w:pPr>
      <w:bookmarkStart w:id="9" w:name="_Ref97818270"/>
      <w:r>
        <w:t xml:space="preserve">Table </w:t>
      </w:r>
      <w:r>
        <w:fldChar w:fldCharType="begin"/>
      </w:r>
      <w:r>
        <w:instrText xml:space="preserve"> SEQ Table \* ARABIC </w:instrText>
      </w:r>
      <w:r>
        <w:fldChar w:fldCharType="separate"/>
      </w:r>
      <w:r>
        <w:rPr>
          <w:noProof/>
        </w:rPr>
        <w:t>1</w:t>
      </w:r>
      <w:r>
        <w:fldChar w:fldCharType="end"/>
      </w:r>
      <w:bookmarkEnd w:id="9"/>
      <w:r>
        <w:t xml:space="preserve"> - </w:t>
      </w:r>
      <w:r w:rsidRPr="006130CD">
        <w:t xml:space="preserve">Subsystems of tritium, </w:t>
      </w:r>
      <w:proofErr w:type="spellStart"/>
      <w:r w:rsidRPr="006130CD">
        <w:t>fuelling</w:t>
      </w:r>
      <w:proofErr w:type="spellEnd"/>
      <w:r w:rsidRPr="006130CD">
        <w:t xml:space="preserve"> and vacuum system of DEMO</w:t>
      </w:r>
    </w:p>
    <w:tbl>
      <w:tblPr>
        <w:tblStyle w:val="Grigliatabella"/>
        <w:tblW w:w="5000" w:type="pct"/>
        <w:tblLook w:val="04A0" w:firstRow="1" w:lastRow="0" w:firstColumn="1" w:lastColumn="0" w:noHBand="0" w:noVBand="1"/>
      </w:tblPr>
      <w:tblGrid>
        <w:gridCol w:w="3007"/>
        <w:gridCol w:w="3006"/>
        <w:gridCol w:w="3004"/>
      </w:tblGrid>
      <w:tr w:rsidR="00031CB1" w:rsidRPr="00031CB1" w14:paraId="57B20C6E" w14:textId="77777777" w:rsidTr="00031CB1">
        <w:tc>
          <w:tcPr>
            <w:tcW w:w="1667" w:type="pct"/>
          </w:tcPr>
          <w:p w14:paraId="38A6A7CD" w14:textId="17F533C9"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Position number</w:t>
            </w:r>
          </w:p>
        </w:tc>
        <w:tc>
          <w:tcPr>
            <w:tcW w:w="1667" w:type="pct"/>
          </w:tcPr>
          <w:p w14:paraId="6C8042A1" w14:textId="47E21933"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Name</w:t>
            </w:r>
          </w:p>
        </w:tc>
        <w:tc>
          <w:tcPr>
            <w:tcW w:w="1666" w:type="pct"/>
          </w:tcPr>
          <w:p w14:paraId="0F890E8E" w14:textId="76AC368B"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Classification ID</w:t>
            </w:r>
          </w:p>
        </w:tc>
      </w:tr>
      <w:tr w:rsidR="00031CB1" w:rsidRPr="00031CB1" w14:paraId="1C154F8A" w14:textId="77777777" w:rsidTr="00031CB1">
        <w:tc>
          <w:tcPr>
            <w:tcW w:w="1667" w:type="pct"/>
          </w:tcPr>
          <w:p w14:paraId="6493B219" w14:textId="1BBF027E"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1</w:t>
            </w:r>
          </w:p>
        </w:tc>
        <w:tc>
          <w:tcPr>
            <w:tcW w:w="1667" w:type="pct"/>
          </w:tcPr>
          <w:p w14:paraId="112456A1" w14:textId="1520E43F"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Direct Internal Recycling Loop</w:t>
            </w:r>
          </w:p>
        </w:tc>
        <w:tc>
          <w:tcPr>
            <w:tcW w:w="1666" w:type="pct"/>
          </w:tcPr>
          <w:p w14:paraId="3A1C2765" w14:textId="713B2BC9"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TFV.DIRL</w:t>
            </w:r>
          </w:p>
        </w:tc>
      </w:tr>
      <w:tr w:rsidR="00031CB1" w:rsidRPr="00031CB1" w14:paraId="1C127991" w14:textId="77777777" w:rsidTr="00031CB1">
        <w:tc>
          <w:tcPr>
            <w:tcW w:w="1667" w:type="pct"/>
          </w:tcPr>
          <w:p w14:paraId="7899276A" w14:textId="09CF6C1A"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2</w:t>
            </w:r>
          </w:p>
        </w:tc>
        <w:tc>
          <w:tcPr>
            <w:tcW w:w="1667" w:type="pct"/>
          </w:tcPr>
          <w:p w14:paraId="2689F5E3" w14:textId="4B6F6142"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Inner Tritium Plant Loop</w:t>
            </w:r>
          </w:p>
        </w:tc>
        <w:tc>
          <w:tcPr>
            <w:tcW w:w="1666" w:type="pct"/>
          </w:tcPr>
          <w:p w14:paraId="15AAB9FE" w14:textId="295D3221"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TFV.INTL</w:t>
            </w:r>
          </w:p>
        </w:tc>
      </w:tr>
      <w:tr w:rsidR="00031CB1" w:rsidRPr="00031CB1" w14:paraId="7C5F2D18" w14:textId="77777777" w:rsidTr="00031CB1">
        <w:tc>
          <w:tcPr>
            <w:tcW w:w="1667" w:type="pct"/>
          </w:tcPr>
          <w:p w14:paraId="0BCE8326" w14:textId="7572CA21"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3</w:t>
            </w:r>
          </w:p>
        </w:tc>
        <w:tc>
          <w:tcPr>
            <w:tcW w:w="1667" w:type="pct"/>
          </w:tcPr>
          <w:p w14:paraId="0C8A099F" w14:textId="42AFBECA"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Outer Tritium Plant Loop</w:t>
            </w:r>
          </w:p>
        </w:tc>
        <w:tc>
          <w:tcPr>
            <w:tcW w:w="1666" w:type="pct"/>
          </w:tcPr>
          <w:p w14:paraId="269FD0CF" w14:textId="07FE6743"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TFV.OUTL</w:t>
            </w:r>
          </w:p>
        </w:tc>
      </w:tr>
      <w:tr w:rsidR="00031CB1" w:rsidRPr="00031CB1" w14:paraId="1E9B45ED" w14:textId="77777777" w:rsidTr="00031CB1">
        <w:tc>
          <w:tcPr>
            <w:tcW w:w="1667" w:type="pct"/>
          </w:tcPr>
          <w:p w14:paraId="6A51FD28" w14:textId="4FC14607"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4</w:t>
            </w:r>
          </w:p>
        </w:tc>
        <w:tc>
          <w:tcPr>
            <w:tcW w:w="1667" w:type="pct"/>
          </w:tcPr>
          <w:p w14:paraId="6669E915" w14:textId="44FCBC59"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Conventional Vacuum Systems</w:t>
            </w:r>
          </w:p>
        </w:tc>
        <w:tc>
          <w:tcPr>
            <w:tcW w:w="1666" w:type="pct"/>
          </w:tcPr>
          <w:p w14:paraId="081FA6A5" w14:textId="5454037A"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TFV.CV</w:t>
            </w:r>
          </w:p>
        </w:tc>
      </w:tr>
      <w:tr w:rsidR="00031CB1" w:rsidRPr="00031CB1" w14:paraId="3D104A05" w14:textId="77777777" w:rsidTr="00031CB1">
        <w:tc>
          <w:tcPr>
            <w:tcW w:w="1667" w:type="pct"/>
          </w:tcPr>
          <w:p w14:paraId="45D647D3" w14:textId="44A86611" w:rsidR="00031CB1" w:rsidRPr="00031CB1" w:rsidRDefault="00031CB1" w:rsidP="006130CD">
            <w:pPr>
              <w:overflowPunct/>
              <w:autoSpaceDE/>
              <w:autoSpaceDN/>
              <w:adjustRightInd/>
              <w:jc w:val="both"/>
              <w:textAlignment w:val="auto"/>
              <w:rPr>
                <w:rFonts w:eastAsiaTheme="minorHAnsi"/>
                <w:sz w:val="20"/>
                <w:lang w:eastAsia="ar-SA"/>
              </w:rPr>
            </w:pPr>
            <w:r w:rsidRPr="00031CB1">
              <w:rPr>
                <w:rFonts w:eastAsiaTheme="minorHAnsi"/>
                <w:sz w:val="20"/>
                <w:lang w:eastAsia="ar-SA"/>
              </w:rPr>
              <w:t>5</w:t>
            </w:r>
          </w:p>
        </w:tc>
        <w:tc>
          <w:tcPr>
            <w:tcW w:w="1667" w:type="pct"/>
          </w:tcPr>
          <w:p w14:paraId="488E425E" w14:textId="43A4AA86"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Tritium Management and Control</w:t>
            </w:r>
          </w:p>
        </w:tc>
        <w:tc>
          <w:tcPr>
            <w:tcW w:w="1666" w:type="pct"/>
          </w:tcPr>
          <w:p w14:paraId="1494EC63" w14:textId="110764B9" w:rsidR="00031CB1" w:rsidRPr="00031CB1" w:rsidRDefault="00031CB1" w:rsidP="006130CD">
            <w:pPr>
              <w:overflowPunct/>
              <w:autoSpaceDE/>
              <w:autoSpaceDN/>
              <w:adjustRightInd/>
              <w:jc w:val="both"/>
              <w:textAlignment w:val="auto"/>
              <w:rPr>
                <w:rFonts w:eastAsiaTheme="minorHAnsi"/>
                <w:sz w:val="20"/>
                <w:lang w:eastAsia="ar-SA"/>
              </w:rPr>
            </w:pPr>
            <w:r w:rsidRPr="00031CB1">
              <w:rPr>
                <w:sz w:val="20"/>
                <w:lang w:eastAsia="en-GB"/>
              </w:rPr>
              <w:t>TFV.TMC</w:t>
            </w:r>
          </w:p>
        </w:tc>
      </w:tr>
    </w:tbl>
    <w:p w14:paraId="7DA83926" w14:textId="6B338A4D" w:rsidR="006130CD" w:rsidRDefault="00031CB1" w:rsidP="00595400">
      <w:pPr>
        <w:overflowPunct/>
        <w:autoSpaceDE/>
        <w:autoSpaceDN/>
        <w:adjustRightInd/>
        <w:spacing w:before="280" w:after="280"/>
        <w:jc w:val="both"/>
        <w:textAlignment w:val="auto"/>
        <w:rPr>
          <w:rFonts w:eastAsiaTheme="minorHAnsi"/>
          <w:sz w:val="24"/>
          <w:szCs w:val="24"/>
          <w:lang w:eastAsia="ar-SA"/>
        </w:rPr>
      </w:pPr>
      <w:r w:rsidRPr="00031CB1">
        <w:rPr>
          <w:rFonts w:eastAsiaTheme="minorHAnsi"/>
          <w:sz w:val="24"/>
          <w:szCs w:val="24"/>
          <w:lang w:eastAsia="ar-SA"/>
        </w:rPr>
        <w:lastRenderedPageBreak/>
        <w:t>The fuel cycle of the DEMO power plant differs from that of ITER not only</w:t>
      </w:r>
      <w:r>
        <w:rPr>
          <w:rFonts w:eastAsiaTheme="minorHAnsi"/>
          <w:sz w:val="24"/>
          <w:szCs w:val="24"/>
          <w:lang w:eastAsia="ar-SA"/>
        </w:rPr>
        <w:t xml:space="preserve"> </w:t>
      </w:r>
      <w:r w:rsidRPr="00031CB1">
        <w:rPr>
          <w:rFonts w:eastAsiaTheme="minorHAnsi"/>
          <w:sz w:val="24"/>
          <w:szCs w:val="24"/>
          <w:lang w:eastAsia="ar-SA"/>
        </w:rPr>
        <w:t>in the different types of breeding blankets to be tested but also in additional</w:t>
      </w:r>
      <w:r>
        <w:rPr>
          <w:rFonts w:eastAsiaTheme="minorHAnsi"/>
          <w:sz w:val="24"/>
          <w:szCs w:val="24"/>
          <w:lang w:eastAsia="ar-SA"/>
        </w:rPr>
        <w:t xml:space="preserve"> </w:t>
      </w:r>
      <w:r w:rsidRPr="00031CB1">
        <w:rPr>
          <w:rFonts w:eastAsiaTheme="minorHAnsi"/>
          <w:sz w:val="24"/>
          <w:szCs w:val="24"/>
          <w:lang w:eastAsia="ar-SA"/>
        </w:rPr>
        <w:t>requirements. For example, DEMO must guarantee a minimum dwell time, i.e.</w:t>
      </w:r>
      <w:r>
        <w:rPr>
          <w:rFonts w:eastAsiaTheme="minorHAnsi"/>
          <w:sz w:val="24"/>
          <w:szCs w:val="24"/>
          <w:lang w:eastAsia="ar-SA"/>
        </w:rPr>
        <w:t xml:space="preserve"> </w:t>
      </w:r>
      <w:r w:rsidRPr="00031CB1">
        <w:rPr>
          <w:rFonts w:eastAsiaTheme="minorHAnsi"/>
          <w:sz w:val="24"/>
          <w:szCs w:val="24"/>
          <w:lang w:eastAsia="ar-SA"/>
        </w:rPr>
        <w:t>the time between two plasma pulses, to meet the requirement of high availability.</w:t>
      </w:r>
      <w:r>
        <w:rPr>
          <w:rFonts w:eastAsiaTheme="minorHAnsi"/>
          <w:sz w:val="24"/>
          <w:szCs w:val="24"/>
          <w:lang w:eastAsia="ar-SA"/>
        </w:rPr>
        <w:t xml:space="preserve"> </w:t>
      </w:r>
      <w:r w:rsidRPr="00031CB1">
        <w:rPr>
          <w:rFonts w:eastAsiaTheme="minorHAnsi"/>
          <w:sz w:val="24"/>
          <w:szCs w:val="24"/>
          <w:lang w:eastAsia="ar-SA"/>
        </w:rPr>
        <w:t>Another important difference concerns isotope separation, which as far as DEMO</w:t>
      </w:r>
      <w:r>
        <w:rPr>
          <w:rFonts w:eastAsiaTheme="minorHAnsi"/>
          <w:sz w:val="24"/>
          <w:szCs w:val="24"/>
          <w:lang w:eastAsia="ar-SA"/>
        </w:rPr>
        <w:t xml:space="preserve"> </w:t>
      </w:r>
      <w:r w:rsidRPr="00031CB1">
        <w:rPr>
          <w:rFonts w:eastAsiaTheme="minorHAnsi"/>
          <w:sz w:val="24"/>
          <w:szCs w:val="24"/>
          <w:lang w:eastAsia="ar-SA"/>
        </w:rPr>
        <w:t>is concerned, does not require complete separation, but only a D-T mixture with</w:t>
      </w:r>
      <w:r>
        <w:rPr>
          <w:rFonts w:eastAsiaTheme="minorHAnsi"/>
          <w:sz w:val="24"/>
          <w:szCs w:val="24"/>
          <w:lang w:eastAsia="ar-SA"/>
        </w:rPr>
        <w:t xml:space="preserve"> </w:t>
      </w:r>
      <w:r w:rsidRPr="00031CB1">
        <w:rPr>
          <w:rFonts w:eastAsiaTheme="minorHAnsi"/>
          <w:sz w:val="24"/>
          <w:szCs w:val="24"/>
          <w:lang w:eastAsia="ar-SA"/>
        </w:rPr>
        <w:t>a stoichiometric ratio of 1:1. For this reason, a Direct Internal Recycling Loop</w:t>
      </w:r>
      <w:r>
        <w:rPr>
          <w:rFonts w:eastAsiaTheme="minorHAnsi"/>
          <w:sz w:val="24"/>
          <w:szCs w:val="24"/>
          <w:lang w:eastAsia="ar-SA"/>
        </w:rPr>
        <w:t xml:space="preserve"> </w:t>
      </w:r>
      <w:r w:rsidRPr="00031CB1">
        <w:rPr>
          <w:rFonts w:eastAsiaTheme="minorHAnsi"/>
          <w:sz w:val="24"/>
          <w:szCs w:val="24"/>
          <w:lang w:eastAsia="ar-SA"/>
        </w:rPr>
        <w:t>(DIRL) was implemented, in addition to the Inner Tritium Loop (INTL) and the</w:t>
      </w:r>
      <w:r>
        <w:rPr>
          <w:rFonts w:eastAsiaTheme="minorHAnsi"/>
          <w:sz w:val="24"/>
          <w:szCs w:val="24"/>
          <w:lang w:eastAsia="ar-SA"/>
        </w:rPr>
        <w:t xml:space="preserve"> </w:t>
      </w:r>
      <w:r w:rsidRPr="00031CB1">
        <w:rPr>
          <w:rFonts w:eastAsiaTheme="minorHAnsi"/>
          <w:sz w:val="24"/>
          <w:szCs w:val="24"/>
          <w:lang w:eastAsia="ar-SA"/>
        </w:rPr>
        <w:t>Outer Tritium Loop (OUTL), which are the main systems of the DEMO fuel cycle</w:t>
      </w:r>
      <w:r>
        <w:rPr>
          <w:rFonts w:eastAsiaTheme="minorHAnsi"/>
          <w:sz w:val="24"/>
          <w:szCs w:val="24"/>
          <w:lang w:eastAsia="ar-SA"/>
        </w:rPr>
        <w:t xml:space="preserve"> </w:t>
      </w:r>
      <w:r w:rsidRPr="00031CB1">
        <w:rPr>
          <w:rFonts w:eastAsiaTheme="minorHAnsi"/>
          <w:sz w:val="24"/>
          <w:szCs w:val="24"/>
          <w:lang w:eastAsia="ar-SA"/>
        </w:rPr>
        <w:t>loops. In addition, two further systems, namely the Tritium Monitoring and Control</w:t>
      </w:r>
      <w:r>
        <w:rPr>
          <w:rFonts w:eastAsiaTheme="minorHAnsi"/>
          <w:sz w:val="24"/>
          <w:szCs w:val="24"/>
          <w:lang w:eastAsia="ar-SA"/>
        </w:rPr>
        <w:t xml:space="preserve"> </w:t>
      </w:r>
      <w:r w:rsidRPr="00031CB1">
        <w:rPr>
          <w:rFonts w:eastAsiaTheme="minorHAnsi"/>
          <w:sz w:val="24"/>
          <w:szCs w:val="24"/>
          <w:lang w:eastAsia="ar-SA"/>
        </w:rPr>
        <w:t>system (TMC) and the Conventional Vacuum system (CV), are planned.</w:t>
      </w:r>
    </w:p>
    <w:p w14:paraId="17933EE4" w14:textId="17136000" w:rsidR="006130CD" w:rsidRDefault="006130CD" w:rsidP="006130CD">
      <w:pPr>
        <w:overflowPunct/>
        <w:autoSpaceDE/>
        <w:autoSpaceDN/>
        <w:adjustRightInd/>
        <w:spacing w:before="280" w:after="280"/>
        <w:jc w:val="center"/>
        <w:textAlignment w:val="auto"/>
        <w:rPr>
          <w:rFonts w:eastAsiaTheme="minorHAnsi"/>
          <w:sz w:val="24"/>
          <w:szCs w:val="24"/>
          <w:lang w:eastAsia="ar-SA"/>
        </w:rPr>
      </w:pPr>
      <w:r w:rsidRPr="006130CD">
        <w:rPr>
          <w:rFonts w:eastAsiaTheme="minorHAnsi"/>
          <w:noProof/>
          <w:sz w:val="24"/>
          <w:szCs w:val="24"/>
          <w:lang w:val="it-IT" w:eastAsia="it-IT"/>
        </w:rPr>
        <w:drawing>
          <wp:inline distT="0" distB="0" distL="0" distR="0" wp14:anchorId="075A4A92" wp14:editId="7ADBF600">
            <wp:extent cx="5133109" cy="38525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380" cy="3864745"/>
                    </a:xfrm>
                    <a:prstGeom prst="rect">
                      <a:avLst/>
                    </a:prstGeom>
                    <a:noFill/>
                    <a:ln>
                      <a:noFill/>
                    </a:ln>
                  </pic:spPr>
                </pic:pic>
              </a:graphicData>
            </a:graphic>
          </wp:inline>
        </w:drawing>
      </w:r>
    </w:p>
    <w:p w14:paraId="69E4F0F6" w14:textId="2934A5F9" w:rsidR="006130CD" w:rsidRPr="00031CB1" w:rsidRDefault="00031CB1" w:rsidP="00031CB1">
      <w:pPr>
        <w:pStyle w:val="Didascalia"/>
        <w:rPr>
          <w:rFonts w:eastAsiaTheme="minorHAnsi"/>
          <w:sz w:val="24"/>
          <w:szCs w:val="24"/>
          <w:lang w:eastAsia="ar-SA"/>
        </w:rPr>
      </w:pPr>
      <w:bookmarkStart w:id="10" w:name="_Ref97719905"/>
      <w:r>
        <w:t xml:space="preserve">Figure </w:t>
      </w:r>
      <w:r>
        <w:fldChar w:fldCharType="begin"/>
      </w:r>
      <w:r>
        <w:instrText xml:space="preserve"> SEQ Figure \* ARABIC </w:instrText>
      </w:r>
      <w:r>
        <w:fldChar w:fldCharType="separate"/>
      </w:r>
      <w:r>
        <w:rPr>
          <w:noProof/>
        </w:rPr>
        <w:t>1</w:t>
      </w:r>
      <w:r>
        <w:fldChar w:fldCharType="end"/>
      </w:r>
      <w:bookmarkEnd w:id="10"/>
      <w:r>
        <w:t xml:space="preserve"> - </w:t>
      </w:r>
      <w:r w:rsidRPr="00031CB1">
        <w:t>Fuel cycle foreseen for DEMO</w:t>
      </w:r>
      <w:r w:rsidRPr="00D93992">
        <w:t>.</w:t>
      </w:r>
    </w:p>
    <w:p w14:paraId="09B28936" w14:textId="1BFB7F57" w:rsidR="006B5E8D" w:rsidRDefault="00016197" w:rsidP="00016197">
      <w:pPr>
        <w:overflowPunct/>
        <w:autoSpaceDE/>
        <w:autoSpaceDN/>
        <w:adjustRightInd/>
        <w:spacing w:before="280" w:after="280"/>
        <w:jc w:val="both"/>
        <w:textAlignment w:val="auto"/>
        <w:rPr>
          <w:rFonts w:eastAsiaTheme="minorHAnsi"/>
          <w:sz w:val="24"/>
          <w:szCs w:val="24"/>
          <w:lang w:eastAsia="ar-SA"/>
        </w:rPr>
      </w:pPr>
      <w:r w:rsidRPr="00016197">
        <w:rPr>
          <w:rFonts w:eastAsiaTheme="minorHAnsi"/>
          <w:sz w:val="24"/>
          <w:szCs w:val="24"/>
          <w:lang w:eastAsia="ar-SA"/>
        </w:rPr>
        <w:t>On the other hand, the availability and the need for sustainable uranium resources are one of the major problems for nuclear fission power plants. For this reason, the new Generation IV reactors, especially the Sodium Fast Reactors (SFRs)</w:t>
      </w:r>
      <w:r w:rsidR="006B5E8D">
        <w:rPr>
          <w:rFonts w:eastAsiaTheme="minorHAnsi"/>
          <w:sz w:val="24"/>
          <w:szCs w:val="24"/>
          <w:lang w:eastAsia="ar-SA"/>
        </w:rPr>
        <w:t xml:space="preserve"> and Lead Fast Reactor (LFR)</w:t>
      </w:r>
      <w:r w:rsidRPr="00016197">
        <w:rPr>
          <w:rFonts w:eastAsiaTheme="minorHAnsi"/>
          <w:sz w:val="24"/>
          <w:szCs w:val="24"/>
          <w:lang w:eastAsia="ar-SA"/>
        </w:rPr>
        <w:t>, are designed with closed fuel cycles to reuse the energetic potential of the spent fuel and reduce the production of final waste</w:t>
      </w:r>
      <w:r w:rsidR="00E4495A">
        <w:rPr>
          <w:rFonts w:eastAsiaTheme="minorHAnsi"/>
          <w:sz w:val="24"/>
          <w:szCs w:val="24"/>
          <w:lang w:eastAsia="ar-SA"/>
        </w:rPr>
        <w:t>s</w:t>
      </w:r>
      <w:r w:rsidRPr="00016197">
        <w:rPr>
          <w:rFonts w:eastAsiaTheme="minorHAnsi"/>
          <w:sz w:val="24"/>
          <w:szCs w:val="24"/>
          <w:lang w:eastAsia="ar-SA"/>
        </w:rPr>
        <w:t>. In addition, Generation IV will be characterized by safety</w:t>
      </w:r>
      <w:r w:rsidR="00E4495A">
        <w:rPr>
          <w:rFonts w:eastAsiaTheme="minorHAnsi"/>
          <w:sz w:val="24"/>
          <w:szCs w:val="24"/>
          <w:lang w:eastAsia="ar-SA"/>
        </w:rPr>
        <w:t xml:space="preserve"> and security</w:t>
      </w:r>
      <w:r w:rsidRPr="00016197">
        <w:rPr>
          <w:rFonts w:eastAsiaTheme="minorHAnsi"/>
          <w:sz w:val="24"/>
          <w:szCs w:val="24"/>
          <w:lang w:eastAsia="ar-SA"/>
        </w:rPr>
        <w:t xml:space="preserve"> (both from a technological and non-proliferation point of view) and reliability, since the probability of reactor core damage is very low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_Ref97891100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[6]</w:t>
      </w:r>
      <w:r w:rsidR="00FD72C5">
        <w:rPr>
          <w:rFonts w:eastAsiaTheme="minorHAnsi"/>
          <w:sz w:val="24"/>
          <w:szCs w:val="24"/>
          <w:lang w:eastAsia="ar-SA"/>
        </w:rPr>
        <w:fldChar w:fldCharType="end"/>
      </w:r>
      <w:r w:rsidRPr="00016197">
        <w:rPr>
          <w:rFonts w:eastAsiaTheme="minorHAnsi"/>
          <w:sz w:val="24"/>
          <w:szCs w:val="24"/>
          <w:lang w:eastAsia="ar-SA"/>
        </w:rPr>
        <w:t xml:space="preserve">. </w:t>
      </w:r>
    </w:p>
    <w:p w14:paraId="49952BF0" w14:textId="51E45C9F" w:rsidR="00295595" w:rsidRDefault="00983848" w:rsidP="00016197">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Concerning SFRs</w:t>
      </w:r>
      <w:r w:rsidR="009C74A3">
        <w:rPr>
          <w:rFonts w:eastAsiaTheme="minorHAnsi"/>
          <w:sz w:val="24"/>
          <w:szCs w:val="24"/>
          <w:lang w:eastAsia="ar-SA"/>
        </w:rPr>
        <w:t xml:space="preserve">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_Ref97891443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[9]</w:t>
      </w:r>
      <w:r w:rsidR="00FD72C5">
        <w:rPr>
          <w:rFonts w:eastAsiaTheme="minorHAnsi"/>
          <w:sz w:val="24"/>
          <w:szCs w:val="24"/>
          <w:lang w:eastAsia="ar-SA"/>
        </w:rPr>
        <w:fldChar w:fldCharType="end"/>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_Ref97891077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[10]</w:t>
      </w:r>
      <w:r w:rsidR="00FD72C5">
        <w:rPr>
          <w:rFonts w:eastAsiaTheme="minorHAnsi"/>
          <w:sz w:val="24"/>
          <w:szCs w:val="24"/>
          <w:lang w:eastAsia="ar-SA"/>
        </w:rPr>
        <w:fldChar w:fldCharType="end"/>
      </w:r>
      <w:r w:rsidR="0088287F">
        <w:rPr>
          <w:rFonts w:eastAsiaTheme="minorHAnsi"/>
          <w:sz w:val="24"/>
          <w:szCs w:val="24"/>
          <w:lang w:eastAsia="ar-SA"/>
        </w:rPr>
        <w:t xml:space="preserve"> and LFR</w:t>
      </w:r>
      <w:r>
        <w:rPr>
          <w:rFonts w:eastAsiaTheme="minorHAnsi"/>
          <w:sz w:val="24"/>
          <w:szCs w:val="24"/>
          <w:lang w:eastAsia="ar-SA"/>
        </w:rPr>
        <w:t>, t</w:t>
      </w:r>
      <w:r w:rsidRPr="00983848">
        <w:rPr>
          <w:rFonts w:eastAsiaTheme="minorHAnsi"/>
          <w:sz w:val="24"/>
          <w:szCs w:val="24"/>
          <w:lang w:eastAsia="ar-SA"/>
        </w:rPr>
        <w:t xml:space="preserve">he tritium source transferred from the reactor core to the primary </w:t>
      </w:r>
      <w:r w:rsidR="0088287F">
        <w:rPr>
          <w:rFonts w:eastAsiaTheme="minorHAnsi"/>
          <w:sz w:val="24"/>
          <w:szCs w:val="24"/>
          <w:lang w:eastAsia="ar-SA"/>
        </w:rPr>
        <w:t xml:space="preserve">system </w:t>
      </w:r>
      <w:r w:rsidRPr="00983848">
        <w:rPr>
          <w:rFonts w:eastAsiaTheme="minorHAnsi"/>
          <w:sz w:val="24"/>
          <w:szCs w:val="24"/>
          <w:lang w:eastAsia="ar-SA"/>
        </w:rPr>
        <w:t>migrates to all other circuits due to various phenomena</w:t>
      </w:r>
      <w:r>
        <w:rPr>
          <w:rFonts w:eastAsiaTheme="minorHAnsi"/>
          <w:sz w:val="24"/>
          <w:szCs w:val="24"/>
          <w:lang w:eastAsia="ar-SA"/>
        </w:rPr>
        <w:t>:</w:t>
      </w:r>
    </w:p>
    <w:p w14:paraId="5D62E857" w14:textId="15F9DECD" w:rsidR="00983848" w:rsidRDefault="00983848" w:rsidP="00983848">
      <w:pPr>
        <w:pStyle w:val="Paragrafoelenco"/>
        <w:numPr>
          <w:ilvl w:val="0"/>
          <w:numId w:val="36"/>
        </w:num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B</w:t>
      </w:r>
      <w:r w:rsidRPr="00983848">
        <w:rPr>
          <w:rFonts w:eastAsiaTheme="minorHAnsi"/>
          <w:sz w:val="24"/>
          <w:szCs w:val="24"/>
          <w:lang w:eastAsia="ar-SA"/>
        </w:rPr>
        <w:t xml:space="preserve">y permeation through metallic walls due to concentration gradients in the different circuits and enhanced by higher temperatures: the major contribution to the transfer is </w:t>
      </w:r>
      <w:r w:rsidRPr="00983848">
        <w:rPr>
          <w:rFonts w:eastAsiaTheme="minorHAnsi"/>
          <w:sz w:val="24"/>
          <w:szCs w:val="24"/>
          <w:lang w:eastAsia="ar-SA"/>
        </w:rPr>
        <w:lastRenderedPageBreak/>
        <w:t xml:space="preserve">through </w:t>
      </w:r>
      <w:r w:rsidR="0080787D">
        <w:rPr>
          <w:rFonts w:eastAsiaTheme="minorHAnsi"/>
          <w:sz w:val="24"/>
          <w:szCs w:val="24"/>
          <w:lang w:eastAsia="ar-SA"/>
        </w:rPr>
        <w:t>i</w:t>
      </w:r>
      <w:r w:rsidRPr="00983848">
        <w:rPr>
          <w:rFonts w:eastAsiaTheme="minorHAnsi"/>
          <w:sz w:val="24"/>
          <w:szCs w:val="24"/>
          <w:lang w:eastAsia="ar-SA"/>
        </w:rPr>
        <w:t xml:space="preserve">ntermediate </w:t>
      </w:r>
      <w:r w:rsidR="0080787D">
        <w:rPr>
          <w:rFonts w:eastAsiaTheme="minorHAnsi"/>
          <w:sz w:val="24"/>
          <w:szCs w:val="24"/>
          <w:lang w:eastAsia="ar-SA"/>
        </w:rPr>
        <w:t>h</w:t>
      </w:r>
      <w:r w:rsidRPr="00983848">
        <w:rPr>
          <w:rFonts w:eastAsiaTheme="minorHAnsi"/>
          <w:sz w:val="24"/>
          <w:szCs w:val="24"/>
          <w:lang w:eastAsia="ar-SA"/>
        </w:rPr>
        <w:t xml:space="preserve">eat </w:t>
      </w:r>
      <w:r w:rsidR="0080787D">
        <w:rPr>
          <w:rFonts w:eastAsiaTheme="minorHAnsi"/>
          <w:sz w:val="24"/>
          <w:szCs w:val="24"/>
          <w:lang w:eastAsia="ar-SA"/>
        </w:rPr>
        <w:t>e</w:t>
      </w:r>
      <w:r w:rsidRPr="00983848">
        <w:rPr>
          <w:rFonts w:eastAsiaTheme="minorHAnsi"/>
          <w:sz w:val="24"/>
          <w:szCs w:val="24"/>
          <w:lang w:eastAsia="ar-SA"/>
        </w:rPr>
        <w:t xml:space="preserve">xchanger </w:t>
      </w:r>
      <w:r w:rsidR="0080787D">
        <w:rPr>
          <w:rFonts w:eastAsiaTheme="minorHAnsi"/>
          <w:sz w:val="24"/>
          <w:szCs w:val="24"/>
          <w:lang w:eastAsia="ar-SA"/>
        </w:rPr>
        <w:t>tubes</w:t>
      </w:r>
      <w:r w:rsidRPr="00983848">
        <w:rPr>
          <w:rFonts w:eastAsiaTheme="minorHAnsi"/>
          <w:sz w:val="24"/>
          <w:szCs w:val="24"/>
          <w:lang w:eastAsia="ar-SA"/>
        </w:rPr>
        <w:t xml:space="preserve">, but also through </w:t>
      </w:r>
      <w:r w:rsidR="00CB4ABC">
        <w:rPr>
          <w:rFonts w:eastAsiaTheme="minorHAnsi"/>
          <w:sz w:val="24"/>
          <w:szCs w:val="24"/>
          <w:lang w:eastAsia="ar-SA"/>
        </w:rPr>
        <w:t xml:space="preserve">the </w:t>
      </w:r>
      <w:r w:rsidRPr="00983848">
        <w:rPr>
          <w:rFonts w:eastAsiaTheme="minorHAnsi"/>
          <w:sz w:val="24"/>
          <w:szCs w:val="24"/>
          <w:lang w:eastAsia="ar-SA"/>
        </w:rPr>
        <w:t>piping of auxiliary circuits</w:t>
      </w:r>
      <w:r w:rsidR="0080787D">
        <w:rPr>
          <w:rFonts w:eastAsiaTheme="minorHAnsi"/>
          <w:sz w:val="24"/>
          <w:szCs w:val="24"/>
          <w:lang w:eastAsia="ar-SA"/>
        </w:rPr>
        <w:t>.</w:t>
      </w:r>
    </w:p>
    <w:p w14:paraId="73069BCA" w14:textId="3F34F4BA" w:rsidR="0080787D" w:rsidRDefault="0080787D" w:rsidP="00983848">
      <w:pPr>
        <w:pStyle w:val="Paragrafoelenco"/>
        <w:numPr>
          <w:ilvl w:val="0"/>
          <w:numId w:val="36"/>
        </w:num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I</w:t>
      </w:r>
      <w:r w:rsidRPr="0080787D">
        <w:rPr>
          <w:rFonts w:eastAsiaTheme="minorHAnsi"/>
          <w:sz w:val="24"/>
          <w:szCs w:val="24"/>
          <w:lang w:eastAsia="ar-SA"/>
        </w:rPr>
        <w:t xml:space="preserve">n the </w:t>
      </w:r>
      <w:r>
        <w:rPr>
          <w:rFonts w:eastAsiaTheme="minorHAnsi"/>
          <w:sz w:val="24"/>
          <w:szCs w:val="24"/>
          <w:lang w:eastAsia="ar-SA"/>
        </w:rPr>
        <w:t xml:space="preserve">argon </w:t>
      </w:r>
      <w:r w:rsidRPr="0080787D">
        <w:rPr>
          <w:rFonts w:eastAsiaTheme="minorHAnsi"/>
          <w:sz w:val="24"/>
          <w:szCs w:val="24"/>
          <w:lang w:eastAsia="ar-SA"/>
        </w:rPr>
        <w:t xml:space="preserve">cover gas above the primary </w:t>
      </w:r>
      <w:r w:rsidR="0088287F">
        <w:rPr>
          <w:rFonts w:eastAsiaTheme="minorHAnsi"/>
          <w:sz w:val="24"/>
          <w:szCs w:val="24"/>
          <w:lang w:eastAsia="ar-SA"/>
        </w:rPr>
        <w:t>liquid metal,</w:t>
      </w:r>
      <w:r w:rsidRPr="0080787D">
        <w:rPr>
          <w:rFonts w:eastAsiaTheme="minorHAnsi"/>
          <w:sz w:val="24"/>
          <w:szCs w:val="24"/>
          <w:lang w:eastAsia="ar-SA"/>
        </w:rPr>
        <w:t xml:space="preserve"> a concentration equilibrium at the int</w:t>
      </w:r>
      <w:r w:rsidR="0088287F">
        <w:rPr>
          <w:rFonts w:eastAsiaTheme="minorHAnsi"/>
          <w:sz w:val="24"/>
          <w:szCs w:val="24"/>
          <w:lang w:eastAsia="ar-SA"/>
        </w:rPr>
        <w:t>erface between the liquid</w:t>
      </w:r>
      <w:r w:rsidRPr="0080787D">
        <w:rPr>
          <w:rFonts w:eastAsiaTheme="minorHAnsi"/>
          <w:sz w:val="24"/>
          <w:szCs w:val="24"/>
          <w:lang w:eastAsia="ar-SA"/>
        </w:rPr>
        <w:t xml:space="preserve"> phase and the argon gas phase controls the tritium transfer into the cover gas and </w:t>
      </w:r>
      <w:r>
        <w:rPr>
          <w:rFonts w:eastAsiaTheme="minorHAnsi"/>
          <w:sz w:val="24"/>
          <w:szCs w:val="24"/>
          <w:lang w:eastAsia="ar-SA"/>
        </w:rPr>
        <w:t xml:space="preserve">it </w:t>
      </w:r>
      <w:r w:rsidRPr="0080787D">
        <w:rPr>
          <w:rFonts w:eastAsiaTheme="minorHAnsi"/>
          <w:sz w:val="24"/>
          <w:szCs w:val="24"/>
          <w:lang w:eastAsia="ar-SA"/>
        </w:rPr>
        <w:t>is used for the calculation of the tritium release due to gas leaks in the purification circuits of the cover gas</w:t>
      </w:r>
      <w:r>
        <w:rPr>
          <w:rFonts w:eastAsiaTheme="minorHAnsi"/>
          <w:sz w:val="24"/>
          <w:szCs w:val="24"/>
          <w:lang w:eastAsia="ar-SA"/>
        </w:rPr>
        <w:t>.</w:t>
      </w:r>
    </w:p>
    <w:p w14:paraId="3D082ED4" w14:textId="55EF224A" w:rsidR="0080787D" w:rsidRDefault="0088287F" w:rsidP="00983848">
      <w:pPr>
        <w:pStyle w:val="Paragrafoelenco"/>
        <w:numPr>
          <w:ilvl w:val="0"/>
          <w:numId w:val="36"/>
        </w:num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In the case of Sodium Reactor a</w:t>
      </w:r>
      <w:r w:rsidR="0080787D" w:rsidRPr="0080787D">
        <w:rPr>
          <w:rFonts w:eastAsiaTheme="minorHAnsi"/>
          <w:sz w:val="24"/>
          <w:szCs w:val="24"/>
          <w:lang w:eastAsia="ar-SA"/>
        </w:rPr>
        <w:t xml:space="preserve"> large </w:t>
      </w:r>
      <w:r w:rsidR="0080787D">
        <w:rPr>
          <w:rFonts w:eastAsiaTheme="minorHAnsi"/>
          <w:sz w:val="24"/>
          <w:szCs w:val="24"/>
          <w:lang w:eastAsia="ar-SA"/>
        </w:rPr>
        <w:t>amount</w:t>
      </w:r>
      <w:r w:rsidR="0080787D" w:rsidRPr="0080787D">
        <w:rPr>
          <w:rFonts w:eastAsiaTheme="minorHAnsi"/>
          <w:sz w:val="24"/>
          <w:szCs w:val="24"/>
          <w:lang w:eastAsia="ar-SA"/>
        </w:rPr>
        <w:t xml:space="preserve"> of the tritium transferred to the primary </w:t>
      </w:r>
      <w:r>
        <w:rPr>
          <w:rFonts w:eastAsiaTheme="minorHAnsi"/>
          <w:sz w:val="24"/>
          <w:szCs w:val="24"/>
          <w:lang w:eastAsia="ar-SA"/>
        </w:rPr>
        <w:t>sodium</w:t>
      </w:r>
      <w:r w:rsidR="0080787D" w:rsidRPr="0080787D">
        <w:rPr>
          <w:rFonts w:eastAsiaTheme="minorHAnsi"/>
          <w:sz w:val="24"/>
          <w:szCs w:val="24"/>
          <w:lang w:eastAsia="ar-SA"/>
        </w:rPr>
        <w:t xml:space="preserve"> is trapped in purification systems (cold traps) integrated in</w:t>
      </w:r>
      <w:r w:rsidR="00CB4ABC">
        <w:rPr>
          <w:rFonts w:eastAsiaTheme="minorHAnsi"/>
          <w:sz w:val="24"/>
          <w:szCs w:val="24"/>
          <w:lang w:eastAsia="ar-SA"/>
        </w:rPr>
        <w:t>to</w:t>
      </w:r>
      <w:r w:rsidR="0080787D" w:rsidRPr="0080787D">
        <w:rPr>
          <w:rFonts w:eastAsiaTheme="minorHAnsi"/>
          <w:sz w:val="24"/>
          <w:szCs w:val="24"/>
          <w:lang w:eastAsia="ar-SA"/>
        </w:rPr>
        <w:t xml:space="preserve"> the primary and also in</w:t>
      </w:r>
      <w:r w:rsidR="00CB4ABC">
        <w:rPr>
          <w:rFonts w:eastAsiaTheme="minorHAnsi"/>
          <w:sz w:val="24"/>
          <w:szCs w:val="24"/>
          <w:lang w:eastAsia="ar-SA"/>
        </w:rPr>
        <w:t>to</w:t>
      </w:r>
      <w:r w:rsidR="0080787D" w:rsidRPr="0080787D">
        <w:rPr>
          <w:rFonts w:eastAsiaTheme="minorHAnsi"/>
          <w:sz w:val="24"/>
          <w:szCs w:val="24"/>
          <w:lang w:eastAsia="ar-SA"/>
        </w:rPr>
        <w:t xml:space="preserve"> the secondary circuits</w:t>
      </w:r>
      <w:r w:rsidR="0080787D">
        <w:rPr>
          <w:rFonts w:eastAsiaTheme="minorHAnsi"/>
          <w:sz w:val="24"/>
          <w:szCs w:val="24"/>
          <w:lang w:eastAsia="ar-SA"/>
        </w:rPr>
        <w:t>.</w:t>
      </w:r>
    </w:p>
    <w:p w14:paraId="6CBEFAB7" w14:textId="71B29E0E" w:rsidR="00983848" w:rsidRDefault="0080787D" w:rsidP="00016197">
      <w:pPr>
        <w:overflowPunct/>
        <w:autoSpaceDE/>
        <w:autoSpaceDN/>
        <w:adjustRightInd/>
        <w:spacing w:before="280" w:after="280"/>
        <w:jc w:val="both"/>
        <w:textAlignment w:val="auto"/>
        <w:rPr>
          <w:rFonts w:eastAsiaTheme="minorHAnsi"/>
          <w:sz w:val="24"/>
          <w:szCs w:val="24"/>
          <w:lang w:eastAsia="ar-SA"/>
        </w:rPr>
      </w:pPr>
      <w:r w:rsidRPr="0080787D">
        <w:rPr>
          <w:rFonts w:eastAsiaTheme="minorHAnsi"/>
          <w:sz w:val="24"/>
          <w:szCs w:val="24"/>
          <w:lang w:eastAsia="ar-SA"/>
        </w:rPr>
        <w:t xml:space="preserve">In order to establish an overall balance of the tritium inventory in the circuits and the potential releases to the environment (to the atmosphere and to </w:t>
      </w:r>
      <w:r>
        <w:rPr>
          <w:rFonts w:eastAsiaTheme="minorHAnsi"/>
          <w:sz w:val="24"/>
          <w:szCs w:val="24"/>
          <w:lang w:eastAsia="ar-SA"/>
        </w:rPr>
        <w:t xml:space="preserve">the fluid of the </w:t>
      </w:r>
      <w:r w:rsidR="009C74A3" w:rsidRPr="0080787D">
        <w:rPr>
          <w:rFonts w:eastAsiaTheme="minorHAnsi"/>
          <w:sz w:val="24"/>
          <w:szCs w:val="24"/>
          <w:lang w:eastAsia="ar-SA"/>
        </w:rPr>
        <w:t>tertiary</w:t>
      </w:r>
      <w:r w:rsidR="009C74A3">
        <w:rPr>
          <w:rFonts w:eastAsiaTheme="minorHAnsi"/>
          <w:sz w:val="24"/>
          <w:szCs w:val="24"/>
          <w:lang w:eastAsia="ar-SA"/>
        </w:rPr>
        <w:t xml:space="preserve"> </w:t>
      </w:r>
      <w:r>
        <w:rPr>
          <w:rFonts w:eastAsiaTheme="minorHAnsi"/>
          <w:sz w:val="24"/>
          <w:szCs w:val="24"/>
          <w:lang w:eastAsia="ar-SA"/>
        </w:rPr>
        <w:t>circuit</w:t>
      </w:r>
      <w:r w:rsidRPr="0080787D">
        <w:rPr>
          <w:rFonts w:eastAsiaTheme="minorHAnsi"/>
          <w:sz w:val="24"/>
          <w:szCs w:val="24"/>
          <w:lang w:eastAsia="ar-SA"/>
        </w:rPr>
        <w:t>), it is necessary to evaluate the transfers to other circuits and the quantities trapped in the purification systems.</w:t>
      </w:r>
      <w:r w:rsidR="00031CB1">
        <w:rPr>
          <w:rFonts w:eastAsiaTheme="minorHAnsi"/>
          <w:sz w:val="24"/>
          <w:szCs w:val="24"/>
          <w:lang w:eastAsia="ar-SA"/>
        </w:rPr>
        <w:t xml:space="preserve"> A schematic representation of a Sodium Fast Reactor highlighting the tritium generation and permeation to the different parts is shown in </w:t>
      </w:r>
      <w:r w:rsidR="003A5CE0">
        <w:rPr>
          <w:rFonts w:eastAsiaTheme="minorHAnsi"/>
          <w:sz w:val="24"/>
          <w:szCs w:val="24"/>
          <w:lang w:eastAsia="ar-SA"/>
        </w:rPr>
        <w:fldChar w:fldCharType="begin"/>
      </w:r>
      <w:r w:rsidR="003A5CE0">
        <w:rPr>
          <w:rFonts w:eastAsiaTheme="minorHAnsi"/>
          <w:sz w:val="24"/>
          <w:szCs w:val="24"/>
          <w:lang w:eastAsia="ar-SA"/>
        </w:rPr>
        <w:instrText xml:space="preserve"> REF _Ref97818217 \h  \* MERGEFORMAT </w:instrText>
      </w:r>
      <w:r w:rsidR="003A5CE0">
        <w:rPr>
          <w:rFonts w:eastAsiaTheme="minorHAnsi"/>
          <w:sz w:val="24"/>
          <w:szCs w:val="24"/>
          <w:lang w:eastAsia="ar-SA"/>
        </w:rPr>
      </w:r>
      <w:r w:rsidR="003A5CE0">
        <w:rPr>
          <w:rFonts w:eastAsiaTheme="minorHAnsi"/>
          <w:sz w:val="24"/>
          <w:szCs w:val="24"/>
          <w:lang w:eastAsia="ar-SA"/>
        </w:rPr>
        <w:fldChar w:fldCharType="separate"/>
      </w:r>
      <w:r w:rsidR="003A5CE0" w:rsidRPr="003A5CE0">
        <w:rPr>
          <w:rFonts w:eastAsiaTheme="minorHAnsi"/>
          <w:sz w:val="24"/>
          <w:szCs w:val="24"/>
          <w:lang w:eastAsia="ar-SA"/>
        </w:rPr>
        <w:t>Figure 2</w:t>
      </w:r>
      <w:r w:rsidR="003A5CE0">
        <w:rPr>
          <w:rFonts w:eastAsiaTheme="minorHAnsi"/>
          <w:sz w:val="24"/>
          <w:szCs w:val="24"/>
          <w:lang w:eastAsia="ar-SA"/>
        </w:rPr>
        <w:fldChar w:fldCharType="end"/>
      </w:r>
      <w:r w:rsidR="00031CB1">
        <w:rPr>
          <w:rFonts w:eastAsiaTheme="minorHAnsi"/>
          <w:sz w:val="24"/>
          <w:szCs w:val="24"/>
          <w:lang w:eastAsia="ar-SA"/>
        </w:rPr>
        <w:t>.</w:t>
      </w:r>
    </w:p>
    <w:p w14:paraId="59E3E4F5" w14:textId="3BD32A9E" w:rsidR="00031CB1" w:rsidRDefault="003A5CE0" w:rsidP="003A5CE0">
      <w:pPr>
        <w:overflowPunct/>
        <w:autoSpaceDE/>
        <w:autoSpaceDN/>
        <w:adjustRightInd/>
        <w:spacing w:before="280" w:after="280"/>
        <w:jc w:val="center"/>
        <w:textAlignment w:val="auto"/>
        <w:rPr>
          <w:rFonts w:eastAsiaTheme="minorHAnsi"/>
          <w:sz w:val="24"/>
          <w:szCs w:val="24"/>
          <w:lang w:eastAsia="ar-SA"/>
        </w:rPr>
      </w:pPr>
      <w:r>
        <w:rPr>
          <w:noProof/>
          <w:lang w:val="it-IT" w:eastAsia="it-IT"/>
        </w:rPr>
        <w:drawing>
          <wp:inline distT="0" distB="0" distL="0" distR="0" wp14:anchorId="2B643C44" wp14:editId="34E838A4">
            <wp:extent cx="4677508" cy="2383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3746" cy="2402041"/>
                    </a:xfrm>
                    <a:prstGeom prst="rect">
                      <a:avLst/>
                    </a:prstGeom>
                    <a:noFill/>
                    <a:ln>
                      <a:noFill/>
                    </a:ln>
                  </pic:spPr>
                </pic:pic>
              </a:graphicData>
            </a:graphic>
          </wp:inline>
        </w:drawing>
      </w:r>
    </w:p>
    <w:p w14:paraId="4B626F81" w14:textId="79F8CEDD" w:rsidR="00031CB1" w:rsidRPr="003A5CE0" w:rsidRDefault="003A5CE0" w:rsidP="00016197">
      <w:pPr>
        <w:overflowPunct/>
        <w:autoSpaceDE/>
        <w:autoSpaceDN/>
        <w:adjustRightInd/>
        <w:spacing w:before="280" w:after="280"/>
        <w:jc w:val="both"/>
        <w:textAlignment w:val="auto"/>
        <w:rPr>
          <w:bCs/>
          <w:sz w:val="18"/>
          <w:lang w:val="en-US"/>
        </w:rPr>
      </w:pPr>
      <w:bookmarkStart w:id="11" w:name="_Ref97818217"/>
      <w:r w:rsidRPr="003A5CE0">
        <w:rPr>
          <w:bCs/>
          <w:sz w:val="18"/>
          <w:lang w:val="en-US"/>
        </w:rPr>
        <w:t xml:space="preserve">Figure </w:t>
      </w:r>
      <w:r w:rsidRPr="003A5CE0">
        <w:rPr>
          <w:bCs/>
          <w:sz w:val="18"/>
          <w:lang w:val="en-US"/>
        </w:rPr>
        <w:fldChar w:fldCharType="begin"/>
      </w:r>
      <w:r w:rsidRPr="003A5CE0">
        <w:rPr>
          <w:bCs/>
          <w:sz w:val="18"/>
          <w:lang w:val="en-US"/>
        </w:rPr>
        <w:instrText xml:space="preserve"> SEQ Figure \* ARABIC </w:instrText>
      </w:r>
      <w:r w:rsidRPr="003A5CE0">
        <w:rPr>
          <w:bCs/>
          <w:sz w:val="18"/>
          <w:lang w:val="en-US"/>
        </w:rPr>
        <w:fldChar w:fldCharType="separate"/>
      </w:r>
      <w:r>
        <w:rPr>
          <w:bCs/>
          <w:noProof/>
          <w:sz w:val="18"/>
          <w:lang w:val="en-US"/>
        </w:rPr>
        <w:t>2</w:t>
      </w:r>
      <w:r w:rsidRPr="003A5CE0">
        <w:rPr>
          <w:bCs/>
          <w:sz w:val="18"/>
          <w:lang w:val="en-US"/>
        </w:rPr>
        <w:fldChar w:fldCharType="end"/>
      </w:r>
      <w:bookmarkEnd w:id="11"/>
      <w:r w:rsidRPr="003A5CE0">
        <w:rPr>
          <w:bCs/>
          <w:sz w:val="18"/>
          <w:lang w:val="en-US"/>
        </w:rPr>
        <w:t xml:space="preserve"> - Layout of</w:t>
      </w:r>
      <w:r w:rsidR="00E4495A">
        <w:rPr>
          <w:bCs/>
          <w:sz w:val="18"/>
          <w:lang w:val="en-US"/>
        </w:rPr>
        <w:t xml:space="preserve"> a</w:t>
      </w:r>
      <w:r w:rsidRPr="003A5CE0">
        <w:rPr>
          <w:bCs/>
          <w:sz w:val="18"/>
          <w:lang w:val="en-US"/>
        </w:rPr>
        <w:t xml:space="preserve"> conceptual sodium fast reactor.</w:t>
      </w:r>
    </w:p>
    <w:p w14:paraId="19B0571D" w14:textId="334DA548" w:rsidR="00EC7F7D" w:rsidRPr="00EC7F7D" w:rsidRDefault="00EC7F7D" w:rsidP="00EC7F7D">
      <w:pPr>
        <w:overflowPunct/>
        <w:autoSpaceDE/>
        <w:autoSpaceDN/>
        <w:adjustRightInd/>
        <w:spacing w:before="280" w:after="280"/>
        <w:jc w:val="both"/>
        <w:textAlignment w:val="auto"/>
        <w:rPr>
          <w:rFonts w:eastAsiaTheme="minorHAnsi"/>
          <w:sz w:val="24"/>
          <w:szCs w:val="24"/>
          <w:lang w:eastAsia="ar-SA"/>
        </w:rPr>
      </w:pPr>
      <w:r w:rsidRPr="00EC7F7D">
        <w:rPr>
          <w:rFonts w:eastAsiaTheme="minorHAnsi"/>
          <w:sz w:val="24"/>
          <w:szCs w:val="24"/>
          <w:lang w:eastAsia="ar-SA"/>
        </w:rPr>
        <w:t xml:space="preserve">Only </w:t>
      </w:r>
      <w:r w:rsidR="008F3D5E" w:rsidRPr="00EC7F7D">
        <w:rPr>
          <w:rFonts w:eastAsiaTheme="minorHAnsi"/>
          <w:sz w:val="24"/>
          <w:szCs w:val="24"/>
          <w:lang w:eastAsia="ar-SA"/>
        </w:rPr>
        <w:t xml:space="preserve">Fort St. </w:t>
      </w:r>
      <w:proofErr w:type="spellStart"/>
      <w:r w:rsidR="008F3D5E" w:rsidRPr="00EC7F7D">
        <w:rPr>
          <w:rFonts w:eastAsiaTheme="minorHAnsi"/>
          <w:sz w:val="24"/>
          <w:szCs w:val="24"/>
          <w:lang w:eastAsia="ar-SA"/>
        </w:rPr>
        <w:t>Vrain</w:t>
      </w:r>
      <w:proofErr w:type="spellEnd"/>
      <w:r w:rsidR="008F3D5E" w:rsidRPr="00EC7F7D">
        <w:rPr>
          <w:rFonts w:eastAsiaTheme="minorHAnsi"/>
          <w:sz w:val="24"/>
          <w:szCs w:val="24"/>
          <w:lang w:eastAsia="ar-SA"/>
        </w:rPr>
        <w:t xml:space="preserve"> </w:t>
      </w:r>
      <w:r w:rsidRPr="00EC7F7D">
        <w:rPr>
          <w:rFonts w:eastAsiaTheme="minorHAnsi"/>
          <w:sz w:val="24"/>
          <w:szCs w:val="24"/>
          <w:lang w:eastAsia="ar-SA"/>
        </w:rPr>
        <w:t>reactor used titanium sponge getters to remove Q</w:t>
      </w:r>
      <w:r w:rsidRPr="00EC7F7D">
        <w:rPr>
          <w:rFonts w:eastAsiaTheme="minorHAnsi"/>
          <w:sz w:val="24"/>
          <w:szCs w:val="24"/>
          <w:vertAlign w:val="subscript"/>
          <w:lang w:eastAsia="ar-SA"/>
        </w:rPr>
        <w:t>2</w:t>
      </w:r>
      <w:r w:rsidRPr="00EC7F7D">
        <w:rPr>
          <w:rFonts w:eastAsiaTheme="minorHAnsi"/>
          <w:sz w:val="24"/>
          <w:szCs w:val="24"/>
          <w:lang w:eastAsia="ar-SA"/>
        </w:rPr>
        <w:t xml:space="preserve">, but they resulted poorly effective </w:t>
      </w:r>
      <w:r w:rsidR="00FD72C5">
        <w:rPr>
          <w:rFonts w:eastAsiaTheme="minorHAnsi"/>
          <w:sz w:val="24"/>
          <w:szCs w:val="24"/>
          <w:lang w:eastAsia="ar-SA"/>
        </w:rPr>
        <w:fldChar w:fldCharType="begin"/>
      </w:r>
      <w:r w:rsidR="00FD72C5">
        <w:rPr>
          <w:rFonts w:eastAsiaTheme="minorHAnsi"/>
          <w:sz w:val="24"/>
          <w:szCs w:val="24"/>
          <w:lang w:eastAsia="ar-SA"/>
        </w:rPr>
        <w:instrText xml:space="preserve"> REF _Ref97890941 \r \h </w:instrText>
      </w:r>
      <w:r w:rsidR="00FD72C5">
        <w:rPr>
          <w:rFonts w:eastAsiaTheme="minorHAnsi"/>
          <w:sz w:val="24"/>
          <w:szCs w:val="24"/>
          <w:lang w:eastAsia="ar-SA"/>
        </w:rPr>
      </w:r>
      <w:r w:rsidR="00FD72C5">
        <w:rPr>
          <w:rFonts w:eastAsiaTheme="minorHAnsi"/>
          <w:sz w:val="24"/>
          <w:szCs w:val="24"/>
          <w:lang w:eastAsia="ar-SA"/>
        </w:rPr>
        <w:fldChar w:fldCharType="separate"/>
      </w:r>
      <w:r w:rsidR="00FD72C5">
        <w:rPr>
          <w:rFonts w:eastAsiaTheme="minorHAnsi"/>
          <w:sz w:val="24"/>
          <w:szCs w:val="24"/>
          <w:lang w:eastAsia="ar-SA"/>
        </w:rPr>
        <w:t>[4]</w:t>
      </w:r>
      <w:r w:rsidR="00FD72C5">
        <w:rPr>
          <w:rFonts w:eastAsiaTheme="minorHAnsi"/>
          <w:sz w:val="24"/>
          <w:szCs w:val="24"/>
          <w:lang w:eastAsia="ar-SA"/>
        </w:rPr>
        <w:fldChar w:fldCharType="end"/>
      </w:r>
      <w:r w:rsidRPr="00EC7F7D">
        <w:rPr>
          <w:rFonts w:eastAsiaTheme="minorHAnsi"/>
          <w:sz w:val="24"/>
          <w:szCs w:val="24"/>
          <w:lang w:eastAsia="ar-SA"/>
        </w:rPr>
        <w:t>.</w:t>
      </w:r>
      <w:r>
        <w:rPr>
          <w:rFonts w:eastAsiaTheme="minorHAnsi"/>
          <w:sz w:val="24"/>
          <w:szCs w:val="24"/>
          <w:lang w:eastAsia="ar-SA"/>
        </w:rPr>
        <w:t xml:space="preserve"> </w:t>
      </w:r>
      <w:r w:rsidRPr="00EC7F7D">
        <w:rPr>
          <w:rFonts w:eastAsiaTheme="minorHAnsi"/>
          <w:sz w:val="24"/>
          <w:szCs w:val="24"/>
          <w:lang w:eastAsia="ar-SA"/>
        </w:rPr>
        <w:t>Concluding, the most used way for tritium removal in HTGRs foresees the transformation of Q</w:t>
      </w:r>
      <w:r w:rsidRPr="009C74A3">
        <w:rPr>
          <w:rFonts w:eastAsiaTheme="minorHAnsi"/>
          <w:sz w:val="24"/>
          <w:szCs w:val="24"/>
          <w:vertAlign w:val="subscript"/>
          <w:lang w:eastAsia="ar-SA"/>
        </w:rPr>
        <w:t>2</w:t>
      </w:r>
      <w:r w:rsidRPr="00EC7F7D">
        <w:rPr>
          <w:rFonts w:eastAsiaTheme="minorHAnsi"/>
          <w:sz w:val="24"/>
          <w:szCs w:val="24"/>
          <w:lang w:eastAsia="ar-SA"/>
        </w:rPr>
        <w:t xml:space="preserve"> into Q</w:t>
      </w:r>
      <w:r w:rsidRPr="009C74A3">
        <w:rPr>
          <w:rFonts w:eastAsiaTheme="minorHAnsi"/>
          <w:sz w:val="24"/>
          <w:szCs w:val="24"/>
          <w:vertAlign w:val="subscript"/>
          <w:lang w:eastAsia="ar-SA"/>
        </w:rPr>
        <w:t>2</w:t>
      </w:r>
      <w:r w:rsidRPr="00EC7F7D">
        <w:rPr>
          <w:rFonts w:eastAsiaTheme="minorHAnsi"/>
          <w:sz w:val="24"/>
          <w:szCs w:val="24"/>
          <w:lang w:eastAsia="ar-SA"/>
        </w:rPr>
        <w:t xml:space="preserve">O, in </w:t>
      </w:r>
      <w:r w:rsidR="00CB4ABC" w:rsidRPr="00EC7F7D">
        <w:rPr>
          <w:rFonts w:eastAsiaTheme="minorHAnsi"/>
          <w:sz w:val="24"/>
          <w:szCs w:val="24"/>
          <w:lang w:eastAsia="ar-SA"/>
        </w:rPr>
        <w:t>high</w:t>
      </w:r>
      <w:r w:rsidR="00CB4ABC">
        <w:rPr>
          <w:rFonts w:eastAsiaTheme="minorHAnsi"/>
          <w:sz w:val="24"/>
          <w:szCs w:val="24"/>
          <w:lang w:eastAsia="ar-SA"/>
        </w:rPr>
        <w:t>-</w:t>
      </w:r>
      <w:r w:rsidRPr="00EC7F7D">
        <w:rPr>
          <w:rFonts w:eastAsiaTheme="minorHAnsi"/>
          <w:sz w:val="24"/>
          <w:szCs w:val="24"/>
          <w:lang w:eastAsia="ar-SA"/>
        </w:rPr>
        <w:t>temperature copper oxide beds, and the following adsorption of the tritiated water in molecular sieve beds, at room temperature.</w:t>
      </w:r>
    </w:p>
    <w:p w14:paraId="55495CC8" w14:textId="4C84E66D" w:rsidR="00C97CFF" w:rsidRDefault="00EC7F7D" w:rsidP="00C97CFF">
      <w:pPr>
        <w:jc w:val="both"/>
        <w:rPr>
          <w:sz w:val="24"/>
          <w:szCs w:val="24"/>
        </w:rPr>
      </w:pPr>
      <w:r>
        <w:rPr>
          <w:rFonts w:eastAsiaTheme="minorHAnsi"/>
          <w:sz w:val="24"/>
          <w:szCs w:val="24"/>
          <w:lang w:eastAsia="ar-SA"/>
        </w:rPr>
        <w:t>As far as fusion reactors are concerned</w:t>
      </w:r>
      <w:r w:rsidRPr="00EC7F7D">
        <w:rPr>
          <w:rFonts w:eastAsiaTheme="minorHAnsi"/>
          <w:sz w:val="24"/>
          <w:szCs w:val="24"/>
          <w:lang w:eastAsia="ar-SA"/>
        </w:rPr>
        <w:t xml:space="preserve"> a preliminary design of CPS, relevant to the European Test Blanket Modules (TBMs) Helium Cooled Lithium Lead (HCLL) and Helium Cooled Pebble Bed (HCPB), to be tested in ITER, was carried out</w:t>
      </w:r>
      <w:r w:rsidR="008F3D5E">
        <w:rPr>
          <w:rFonts w:eastAsiaTheme="minorHAnsi"/>
          <w:sz w:val="24"/>
          <w:szCs w:val="24"/>
          <w:lang w:eastAsia="ar-SA"/>
        </w:rPr>
        <w:t xml:space="preserve"> in </w:t>
      </w:r>
      <w:r w:rsidR="008F3D5E">
        <w:rPr>
          <w:rFonts w:eastAsiaTheme="minorHAnsi"/>
          <w:sz w:val="24"/>
          <w:szCs w:val="24"/>
          <w:lang w:eastAsia="ar-SA"/>
        </w:rPr>
        <w:fldChar w:fldCharType="begin"/>
      </w:r>
      <w:r w:rsidR="008F3D5E">
        <w:rPr>
          <w:rFonts w:eastAsiaTheme="minorHAnsi"/>
          <w:sz w:val="24"/>
          <w:szCs w:val="24"/>
          <w:lang w:eastAsia="ar-SA"/>
        </w:rPr>
        <w:instrText xml:space="preserve"> REF _Ref97891090 \r \h </w:instrText>
      </w:r>
      <w:r w:rsidR="008F3D5E">
        <w:rPr>
          <w:rFonts w:eastAsiaTheme="minorHAnsi"/>
          <w:sz w:val="24"/>
          <w:szCs w:val="24"/>
          <w:lang w:eastAsia="ar-SA"/>
        </w:rPr>
      </w:r>
      <w:r w:rsidR="008F3D5E">
        <w:rPr>
          <w:rFonts w:eastAsiaTheme="minorHAnsi"/>
          <w:sz w:val="24"/>
          <w:szCs w:val="24"/>
          <w:lang w:eastAsia="ar-SA"/>
        </w:rPr>
        <w:fldChar w:fldCharType="separate"/>
      </w:r>
      <w:r w:rsidR="008F3D5E">
        <w:rPr>
          <w:rFonts w:eastAsiaTheme="minorHAnsi"/>
          <w:sz w:val="24"/>
          <w:szCs w:val="24"/>
          <w:lang w:eastAsia="ar-SA"/>
        </w:rPr>
        <w:t>[3]</w:t>
      </w:r>
      <w:r w:rsidR="008F3D5E">
        <w:rPr>
          <w:rFonts w:eastAsiaTheme="minorHAnsi"/>
          <w:sz w:val="24"/>
          <w:szCs w:val="24"/>
          <w:lang w:eastAsia="ar-SA"/>
        </w:rPr>
        <w:fldChar w:fldCharType="end"/>
      </w:r>
      <w:r w:rsidRPr="00EC7F7D">
        <w:rPr>
          <w:rFonts w:eastAsiaTheme="minorHAnsi"/>
          <w:sz w:val="24"/>
          <w:szCs w:val="24"/>
          <w:lang w:eastAsia="ar-SA"/>
        </w:rPr>
        <w:t xml:space="preserve">. The CPSs of some particularly interesting HTGRs were analysed. The proposed reference process for helium purification of the TBMs foresees three steps: </w:t>
      </w:r>
      <w:r w:rsidR="00C97CFF" w:rsidRPr="00C97CFF">
        <w:rPr>
          <w:rFonts w:cs="Arial"/>
          <w:sz w:val="24"/>
          <w:szCs w:val="24"/>
        </w:rPr>
        <w:t xml:space="preserve">the oxidation of </w:t>
      </w:r>
      <w:r w:rsidR="00C97CFF" w:rsidRPr="00C97CFF">
        <w:rPr>
          <w:sz w:val="24"/>
          <w:szCs w:val="24"/>
        </w:rPr>
        <w:t>Q</w:t>
      </w:r>
      <w:r w:rsidR="00C97CFF" w:rsidRPr="00C97CFF">
        <w:rPr>
          <w:sz w:val="24"/>
          <w:szCs w:val="24"/>
          <w:vertAlign w:val="subscript"/>
        </w:rPr>
        <w:t>2</w:t>
      </w:r>
      <w:r w:rsidR="00C97CFF" w:rsidRPr="00C97CFF">
        <w:rPr>
          <w:sz w:val="24"/>
          <w:szCs w:val="24"/>
        </w:rPr>
        <w:t xml:space="preserve"> and CO into Q</w:t>
      </w:r>
      <w:r w:rsidR="00C97CFF" w:rsidRPr="00C97CFF">
        <w:rPr>
          <w:sz w:val="24"/>
          <w:szCs w:val="24"/>
          <w:vertAlign w:val="subscript"/>
        </w:rPr>
        <w:t>2</w:t>
      </w:r>
      <w:r w:rsidR="00C97CFF" w:rsidRPr="00C97CFF">
        <w:rPr>
          <w:sz w:val="24"/>
          <w:szCs w:val="24"/>
        </w:rPr>
        <w:t>O and CO</w:t>
      </w:r>
      <w:r w:rsidR="00C97CFF" w:rsidRPr="00C97CFF">
        <w:rPr>
          <w:sz w:val="24"/>
          <w:szCs w:val="24"/>
          <w:vertAlign w:val="subscript"/>
        </w:rPr>
        <w:t>2</w:t>
      </w:r>
      <w:r w:rsidR="00C97CFF" w:rsidRPr="00C97CFF">
        <w:rPr>
          <w:sz w:val="24"/>
          <w:szCs w:val="24"/>
        </w:rPr>
        <w:t xml:space="preserve">, respectively, using a copper oxide bed, the adsorption </w:t>
      </w:r>
      <w:r w:rsidR="00C97CFF" w:rsidRPr="00C97CFF">
        <w:rPr>
          <w:rFonts w:cs="Arial"/>
          <w:sz w:val="24"/>
          <w:szCs w:val="24"/>
        </w:rPr>
        <w:t xml:space="preserve">of </w:t>
      </w:r>
      <w:r w:rsidR="00C97CFF" w:rsidRPr="00C97CFF">
        <w:rPr>
          <w:sz w:val="24"/>
          <w:szCs w:val="24"/>
        </w:rPr>
        <w:t>Q</w:t>
      </w:r>
      <w:r w:rsidR="00C97CFF" w:rsidRPr="00C97CFF">
        <w:rPr>
          <w:sz w:val="24"/>
          <w:szCs w:val="24"/>
          <w:vertAlign w:val="subscript"/>
        </w:rPr>
        <w:t>2</w:t>
      </w:r>
      <w:r w:rsidR="00C97CFF" w:rsidRPr="00C97CFF">
        <w:rPr>
          <w:sz w:val="24"/>
          <w:szCs w:val="24"/>
        </w:rPr>
        <w:t>O and CO</w:t>
      </w:r>
      <w:r w:rsidR="00C97CFF" w:rsidRPr="00C97CFF">
        <w:rPr>
          <w:sz w:val="24"/>
          <w:szCs w:val="24"/>
          <w:vertAlign w:val="subscript"/>
        </w:rPr>
        <w:t>2</w:t>
      </w:r>
      <w:r w:rsidR="00C97CFF" w:rsidRPr="00C97CFF">
        <w:rPr>
          <w:sz w:val="24"/>
          <w:szCs w:val="24"/>
        </w:rPr>
        <w:t>, using a molecular sieve bed, and the adsorption of the remaining impurities, using a heated getter. The CPS proposed for ITER fusion reactor foresees, to remove tritium, the same devices of the helium-cooled fission reactors.</w:t>
      </w:r>
    </w:p>
    <w:p w14:paraId="58231C2D" w14:textId="44CA97FE" w:rsidR="00276943" w:rsidRDefault="00C97CFF" w:rsidP="00C97CFF">
      <w:pPr>
        <w:pStyle w:val="Corpotesto"/>
        <w:spacing w:before="280" w:after="280"/>
        <w:contextualSpacing w:val="0"/>
        <w:rPr>
          <w:sz w:val="24"/>
          <w:szCs w:val="24"/>
        </w:rPr>
      </w:pPr>
      <w:r w:rsidRPr="00C97CFF">
        <w:rPr>
          <w:sz w:val="24"/>
          <w:szCs w:val="24"/>
        </w:rPr>
        <w:t xml:space="preserve">In the past, the tritium concentration in the primary cover gas of Sodium Fast Reactors (SFRs) was considered very low in the reactors using </w:t>
      </w:r>
      <w:r w:rsidR="00CB4ABC">
        <w:rPr>
          <w:sz w:val="24"/>
          <w:szCs w:val="24"/>
        </w:rPr>
        <w:t xml:space="preserve">a </w:t>
      </w:r>
      <w:r w:rsidRPr="00C97CFF">
        <w:rPr>
          <w:sz w:val="24"/>
          <w:szCs w:val="24"/>
        </w:rPr>
        <w:t>steam generator, due to the efficiency of the cold traps for the tritium removal</w:t>
      </w:r>
      <w:r w:rsidR="00EC7F7D" w:rsidRPr="00C97CFF">
        <w:rPr>
          <w:sz w:val="24"/>
          <w:szCs w:val="24"/>
        </w:rPr>
        <w:t xml:space="preserve"> </w:t>
      </w:r>
      <w:r w:rsidR="00FD72C5">
        <w:rPr>
          <w:sz w:val="24"/>
          <w:szCs w:val="24"/>
        </w:rPr>
        <w:fldChar w:fldCharType="begin"/>
      </w:r>
      <w:r w:rsidR="00FD72C5">
        <w:rPr>
          <w:sz w:val="24"/>
          <w:szCs w:val="24"/>
        </w:rPr>
        <w:instrText xml:space="preserve"> REF _Ref97890883 \r \h </w:instrText>
      </w:r>
      <w:r w:rsidR="00FD72C5">
        <w:rPr>
          <w:sz w:val="24"/>
          <w:szCs w:val="24"/>
        </w:rPr>
      </w:r>
      <w:r w:rsidR="00FD72C5">
        <w:rPr>
          <w:sz w:val="24"/>
          <w:szCs w:val="24"/>
        </w:rPr>
        <w:fldChar w:fldCharType="separate"/>
      </w:r>
      <w:r w:rsidR="00FD72C5">
        <w:rPr>
          <w:sz w:val="24"/>
          <w:szCs w:val="24"/>
        </w:rPr>
        <w:t>[11]</w:t>
      </w:r>
      <w:r w:rsidR="00FD72C5">
        <w:rPr>
          <w:sz w:val="24"/>
          <w:szCs w:val="24"/>
        </w:rPr>
        <w:fldChar w:fldCharType="end"/>
      </w:r>
      <w:r w:rsidR="00EC7F7D" w:rsidRPr="00C97CFF">
        <w:rPr>
          <w:sz w:val="24"/>
          <w:szCs w:val="24"/>
        </w:rPr>
        <w:t xml:space="preserve">. The control of tritium released in the primary </w:t>
      </w:r>
      <w:r w:rsidR="00EC7F7D" w:rsidRPr="00C97CFF">
        <w:rPr>
          <w:sz w:val="24"/>
          <w:szCs w:val="24"/>
        </w:rPr>
        <w:lastRenderedPageBreak/>
        <w:t>sodium coolant is important to reduce its concentration in the cover gas and in the secondary loop, via permeation through the intermediate heat exchanger. The use of cold traps is an effective method to remove hydrogen and tritium from the primary coolant. For this reason, no dedicated device for the tritium removal was considered necessary for the cover gas purification systems.</w:t>
      </w:r>
      <w:r w:rsidRPr="00C97CFF">
        <w:rPr>
          <w:rFonts w:eastAsiaTheme="minorHAnsi"/>
          <w:sz w:val="24"/>
          <w:szCs w:val="24"/>
        </w:rPr>
        <w:t xml:space="preserve"> </w:t>
      </w:r>
      <w:r w:rsidR="00EC7F7D" w:rsidRPr="00C97CFF">
        <w:rPr>
          <w:sz w:val="24"/>
          <w:szCs w:val="24"/>
        </w:rPr>
        <w:t xml:space="preserve">For the main part of the radioactive elements, </w:t>
      </w:r>
      <w:r w:rsidR="008F3D5E" w:rsidRPr="00C97CFF">
        <w:rPr>
          <w:sz w:val="24"/>
          <w:szCs w:val="24"/>
        </w:rPr>
        <w:t>in the last years</w:t>
      </w:r>
      <w:r w:rsidR="00CB4ABC">
        <w:rPr>
          <w:sz w:val="24"/>
          <w:szCs w:val="24"/>
        </w:rPr>
        <w:t>,</w:t>
      </w:r>
      <w:r w:rsidR="008F3D5E" w:rsidRPr="00C97CFF">
        <w:rPr>
          <w:sz w:val="24"/>
          <w:szCs w:val="24"/>
        </w:rPr>
        <w:t xml:space="preserve"> </w:t>
      </w:r>
      <w:r w:rsidR="00EC7F7D" w:rsidRPr="00C97CFF">
        <w:rPr>
          <w:sz w:val="24"/>
          <w:szCs w:val="24"/>
        </w:rPr>
        <w:t>the evolution of the industrial techniques and the application of optimization principles have allowed the reduction of the releases in the environment</w:t>
      </w:r>
      <w:r w:rsidR="008F3D5E">
        <w:rPr>
          <w:sz w:val="24"/>
          <w:szCs w:val="24"/>
        </w:rPr>
        <w:t>.</w:t>
      </w:r>
    </w:p>
    <w:p w14:paraId="7CE550B4" w14:textId="2B35C723" w:rsidR="006B2E53" w:rsidRPr="006B2E53" w:rsidRDefault="006B2E53" w:rsidP="006B2E53">
      <w:pPr>
        <w:pStyle w:val="Corpotesto"/>
        <w:spacing w:before="280" w:after="280"/>
        <w:rPr>
          <w:sz w:val="24"/>
          <w:szCs w:val="24"/>
        </w:rPr>
      </w:pPr>
      <w:r w:rsidRPr="006B2E53">
        <w:rPr>
          <w:sz w:val="24"/>
          <w:szCs w:val="24"/>
        </w:rPr>
        <w:t xml:space="preserve">Tritium permeation from breeder material to the Water Coolant System (WCS) in Water Cooled Lithium Lead (WCLL) Breeding Blanket (BB) </w:t>
      </w:r>
      <w:r w:rsidR="002E6333">
        <w:rPr>
          <w:sz w:val="24"/>
          <w:szCs w:val="24"/>
        </w:rPr>
        <w:fldChar w:fldCharType="begin"/>
      </w:r>
      <w:r w:rsidR="002E6333">
        <w:rPr>
          <w:sz w:val="24"/>
          <w:szCs w:val="24"/>
        </w:rPr>
        <w:instrText xml:space="preserve"> REF _Ref97891405 \n \h </w:instrText>
      </w:r>
      <w:r w:rsidR="002E6333">
        <w:rPr>
          <w:sz w:val="24"/>
          <w:szCs w:val="24"/>
        </w:rPr>
      </w:r>
      <w:r w:rsidR="002E6333">
        <w:rPr>
          <w:sz w:val="24"/>
          <w:szCs w:val="24"/>
        </w:rPr>
        <w:fldChar w:fldCharType="separate"/>
      </w:r>
      <w:r w:rsidR="002E6333">
        <w:rPr>
          <w:sz w:val="24"/>
          <w:szCs w:val="24"/>
        </w:rPr>
        <w:t>[8]</w:t>
      </w:r>
      <w:r w:rsidR="002E6333">
        <w:rPr>
          <w:sz w:val="24"/>
          <w:szCs w:val="24"/>
        </w:rPr>
        <w:fldChar w:fldCharType="end"/>
      </w:r>
      <w:r w:rsidR="002E6333">
        <w:rPr>
          <w:sz w:val="24"/>
          <w:szCs w:val="24"/>
        </w:rPr>
        <w:t xml:space="preserve"> </w:t>
      </w:r>
      <w:r w:rsidRPr="006B2E53">
        <w:rPr>
          <w:sz w:val="24"/>
          <w:szCs w:val="24"/>
        </w:rPr>
        <w:t xml:space="preserve">and from Liquid metal to the Primary Heat Transfer Systems (PHTS) </w:t>
      </w:r>
      <w:r w:rsidR="002E6333">
        <w:rPr>
          <w:sz w:val="24"/>
          <w:szCs w:val="24"/>
        </w:rPr>
        <w:fldChar w:fldCharType="begin"/>
      </w:r>
      <w:r w:rsidR="002E6333">
        <w:rPr>
          <w:sz w:val="24"/>
          <w:szCs w:val="24"/>
        </w:rPr>
        <w:instrText xml:space="preserve"> REF _Ref97891399 \n \h </w:instrText>
      </w:r>
      <w:r w:rsidR="002E6333">
        <w:rPr>
          <w:sz w:val="24"/>
          <w:szCs w:val="24"/>
        </w:rPr>
      </w:r>
      <w:r w:rsidR="002E6333">
        <w:rPr>
          <w:sz w:val="24"/>
          <w:szCs w:val="24"/>
        </w:rPr>
        <w:fldChar w:fldCharType="separate"/>
      </w:r>
      <w:r w:rsidR="002E6333">
        <w:rPr>
          <w:sz w:val="24"/>
          <w:szCs w:val="24"/>
        </w:rPr>
        <w:t>[7]</w:t>
      </w:r>
      <w:r w:rsidR="002E6333">
        <w:rPr>
          <w:sz w:val="24"/>
          <w:szCs w:val="24"/>
        </w:rPr>
        <w:fldChar w:fldCharType="end"/>
      </w:r>
      <w:r w:rsidR="002E6333">
        <w:rPr>
          <w:sz w:val="24"/>
          <w:szCs w:val="24"/>
        </w:rPr>
        <w:t xml:space="preserve"> </w:t>
      </w:r>
      <w:r w:rsidRPr="006B2E53">
        <w:rPr>
          <w:sz w:val="24"/>
          <w:szCs w:val="24"/>
        </w:rPr>
        <w:t xml:space="preserve">of fission reactors is one of the technological issues to be solved in order to demonstrate the safe operation of new generation reactors. Since the tritium extraction from the Water Coolant System is more challenging and expensive than the extraction from the lead alloys, it is mandatory to use a protective coating on the walls of heat exchanger pipes to minimize the tritium permeation rate. Moreover, a protective coating can prevent the corrosion of the steel by the action of liquid metal. The required permeation reduction factor (PRF) for </w:t>
      </w:r>
      <w:r>
        <w:rPr>
          <w:sz w:val="24"/>
          <w:szCs w:val="24"/>
        </w:rPr>
        <w:t>fusion application is at least 1</w:t>
      </w:r>
      <w:r w:rsidRPr="006B2E53">
        <w:rPr>
          <w:sz w:val="24"/>
          <w:szCs w:val="24"/>
        </w:rPr>
        <w:t xml:space="preserve">00 in order to reduce tritium permeation from liquid metal (LiPb of WCLL BB and Pb for Lead Fast Reactor) to the water system. </w:t>
      </w:r>
    </w:p>
    <w:p w14:paraId="72D7C81B" w14:textId="269F9D57" w:rsidR="006B2E53" w:rsidRPr="006B2E53" w:rsidRDefault="006B2E53" w:rsidP="006B2E53">
      <w:pPr>
        <w:pStyle w:val="Corpotesto"/>
        <w:spacing w:before="280" w:after="280"/>
        <w:rPr>
          <w:sz w:val="24"/>
          <w:szCs w:val="24"/>
        </w:rPr>
      </w:pPr>
      <w:r w:rsidRPr="006B2E53">
        <w:rPr>
          <w:sz w:val="24"/>
          <w:szCs w:val="24"/>
        </w:rPr>
        <w:t xml:space="preserve">Alumina anti-permeation coatings have been developed </w:t>
      </w:r>
      <w:r>
        <w:rPr>
          <w:sz w:val="24"/>
          <w:szCs w:val="24"/>
        </w:rPr>
        <w:t>based on Pulsed Laser Deposition process</w:t>
      </w:r>
      <w:r w:rsidRPr="006B2E53">
        <w:rPr>
          <w:sz w:val="24"/>
          <w:szCs w:val="24"/>
        </w:rPr>
        <w:t>, with gas phase PRF approaching 1</w:t>
      </w:r>
      <w:r>
        <w:rPr>
          <w:sz w:val="24"/>
          <w:szCs w:val="24"/>
        </w:rPr>
        <w:t>.</w:t>
      </w:r>
      <w:r w:rsidRPr="006B2E53">
        <w:rPr>
          <w:sz w:val="24"/>
          <w:szCs w:val="24"/>
        </w:rPr>
        <w:t>0</w:t>
      </w:r>
      <w:r>
        <w:rPr>
          <w:sz w:val="24"/>
          <w:szCs w:val="24"/>
        </w:rPr>
        <w:t>00</w:t>
      </w:r>
      <w:r w:rsidRPr="006B2E53">
        <w:rPr>
          <w:sz w:val="24"/>
          <w:szCs w:val="24"/>
        </w:rPr>
        <w:t xml:space="preserve"> and excellent compatibility with </w:t>
      </w:r>
      <w:proofErr w:type="spellStart"/>
      <w:r w:rsidRPr="006B2E53">
        <w:rPr>
          <w:sz w:val="24"/>
          <w:szCs w:val="24"/>
        </w:rPr>
        <w:t>Pb</w:t>
      </w:r>
      <w:proofErr w:type="spellEnd"/>
      <w:r w:rsidRPr="006B2E53">
        <w:rPr>
          <w:sz w:val="24"/>
          <w:szCs w:val="24"/>
        </w:rPr>
        <w:t xml:space="preserve">, </w:t>
      </w:r>
      <w:proofErr w:type="spellStart"/>
      <w:r w:rsidRPr="006B2E53">
        <w:rPr>
          <w:sz w:val="24"/>
          <w:szCs w:val="24"/>
        </w:rPr>
        <w:t>PbBi</w:t>
      </w:r>
      <w:proofErr w:type="spellEnd"/>
      <w:r w:rsidRPr="006B2E53">
        <w:rPr>
          <w:sz w:val="24"/>
          <w:szCs w:val="24"/>
        </w:rPr>
        <w:t xml:space="preserve"> and LiPb. </w:t>
      </w:r>
      <w:r w:rsidR="00CB4ABC">
        <w:rPr>
          <w:sz w:val="24"/>
          <w:szCs w:val="24"/>
        </w:rPr>
        <w:t>P</w:t>
      </w:r>
      <w:r>
        <w:rPr>
          <w:sz w:val="24"/>
          <w:szCs w:val="24"/>
        </w:rPr>
        <w:t>reliminary characterisation of the coating was performed under ion irradiation up to 100</w:t>
      </w:r>
      <w:r w:rsidR="00CB4ABC">
        <w:rPr>
          <w:sz w:val="24"/>
          <w:szCs w:val="24"/>
        </w:rPr>
        <w:t xml:space="preserve"> </w:t>
      </w:r>
      <w:r>
        <w:rPr>
          <w:sz w:val="24"/>
          <w:szCs w:val="24"/>
        </w:rPr>
        <w:t>dpa, neutron irradiation and thermal cycle</w:t>
      </w:r>
      <w:r w:rsidR="00CB4ABC">
        <w:rPr>
          <w:sz w:val="24"/>
          <w:szCs w:val="24"/>
        </w:rPr>
        <w:t>. H</w:t>
      </w:r>
      <w:r>
        <w:rPr>
          <w:sz w:val="24"/>
          <w:szCs w:val="24"/>
        </w:rPr>
        <w:t>owever</w:t>
      </w:r>
      <w:r w:rsidR="00CB4ABC">
        <w:rPr>
          <w:sz w:val="24"/>
          <w:szCs w:val="24"/>
        </w:rPr>
        <w:t>,</w:t>
      </w:r>
      <w:r>
        <w:rPr>
          <w:sz w:val="24"/>
          <w:szCs w:val="24"/>
        </w:rPr>
        <w:t xml:space="preserve"> a more accurate experimental characterisation at relevant Fusion and Fission operative condition</w:t>
      </w:r>
      <w:r w:rsidR="00CB4ABC">
        <w:rPr>
          <w:sz w:val="24"/>
          <w:szCs w:val="24"/>
        </w:rPr>
        <w:t>s</w:t>
      </w:r>
      <w:r>
        <w:rPr>
          <w:sz w:val="24"/>
          <w:szCs w:val="24"/>
        </w:rPr>
        <w:t xml:space="preserve"> is required in order to validate the coating for the specific process. The experimental validation has to be supported by</w:t>
      </w:r>
      <w:r w:rsidR="006D6E12">
        <w:rPr>
          <w:sz w:val="24"/>
          <w:szCs w:val="24"/>
        </w:rPr>
        <w:t xml:space="preserve"> a detailed analysis</w:t>
      </w:r>
      <w:r w:rsidRPr="006B2E53">
        <w:rPr>
          <w:sz w:val="24"/>
          <w:szCs w:val="24"/>
        </w:rPr>
        <w:t xml:space="preserve"> of the permeation mechanism through coated metallic surfaces in order to define both engineering correlations and a microscopic understanding of the phenomenon over a broad range of temperatures, surface conditions and materials. A database of effective permeabilities and activation energies </w:t>
      </w:r>
      <w:r w:rsidR="006D6E12">
        <w:rPr>
          <w:sz w:val="24"/>
          <w:szCs w:val="24"/>
        </w:rPr>
        <w:t xml:space="preserve">has to be </w:t>
      </w:r>
      <w:r w:rsidRPr="006B2E53">
        <w:rPr>
          <w:sz w:val="24"/>
          <w:szCs w:val="24"/>
        </w:rPr>
        <w:t xml:space="preserve">developed as a support to designers and as </w:t>
      </w:r>
      <w:r w:rsidR="00CB4ABC">
        <w:rPr>
          <w:sz w:val="24"/>
          <w:szCs w:val="24"/>
        </w:rPr>
        <w:t xml:space="preserve">a </w:t>
      </w:r>
      <w:r w:rsidRPr="006B2E53">
        <w:rPr>
          <w:sz w:val="24"/>
          <w:szCs w:val="24"/>
        </w:rPr>
        <w:t xml:space="preserve">benchmark for mechanistic and </w:t>
      </w:r>
      <w:r w:rsidR="00CB4ABC" w:rsidRPr="006B2E53">
        <w:rPr>
          <w:sz w:val="24"/>
          <w:szCs w:val="24"/>
        </w:rPr>
        <w:t>system</w:t>
      </w:r>
      <w:r w:rsidR="00CB4ABC">
        <w:rPr>
          <w:sz w:val="24"/>
          <w:szCs w:val="24"/>
        </w:rPr>
        <w:t>-</w:t>
      </w:r>
      <w:r w:rsidRPr="006B2E53">
        <w:rPr>
          <w:sz w:val="24"/>
          <w:szCs w:val="24"/>
        </w:rPr>
        <w:t xml:space="preserve">level modelling. </w:t>
      </w:r>
    </w:p>
    <w:p w14:paraId="38658705" w14:textId="150D7035" w:rsidR="00AF506D" w:rsidRPr="00AF506D" w:rsidRDefault="00276943" w:rsidP="00AF506D">
      <w:pPr>
        <w:pStyle w:val="Corpotesto"/>
        <w:spacing w:before="280" w:after="280"/>
        <w:contextualSpacing w:val="0"/>
        <w:rPr>
          <w:sz w:val="24"/>
          <w:szCs w:val="24"/>
        </w:rPr>
      </w:pPr>
      <w:r>
        <w:rPr>
          <w:sz w:val="24"/>
          <w:szCs w:val="24"/>
        </w:rPr>
        <w:t>I</w:t>
      </w:r>
      <w:r w:rsidRPr="00276943">
        <w:rPr>
          <w:sz w:val="24"/>
          <w:szCs w:val="24"/>
        </w:rPr>
        <w:t xml:space="preserve">n </w:t>
      </w:r>
      <w:r>
        <w:rPr>
          <w:sz w:val="24"/>
          <w:szCs w:val="24"/>
        </w:rPr>
        <w:t xml:space="preserve">the </w:t>
      </w:r>
      <w:r w:rsidRPr="00276943">
        <w:rPr>
          <w:sz w:val="24"/>
          <w:szCs w:val="24"/>
        </w:rPr>
        <w:t xml:space="preserve">WCLL </w:t>
      </w:r>
      <w:r>
        <w:rPr>
          <w:sz w:val="24"/>
          <w:szCs w:val="24"/>
        </w:rPr>
        <w:t xml:space="preserve">BB/TBM </w:t>
      </w:r>
      <w:r w:rsidRPr="00276943">
        <w:rPr>
          <w:sz w:val="24"/>
          <w:szCs w:val="24"/>
        </w:rPr>
        <w:t xml:space="preserve">due to the larger tritium permeation rate into coolant </w:t>
      </w:r>
      <w:r w:rsidR="00144267">
        <w:rPr>
          <w:sz w:val="24"/>
          <w:szCs w:val="24"/>
        </w:rPr>
        <w:t>If antipermeation coating will not available a dedicated W</w:t>
      </w:r>
      <w:r w:rsidRPr="00276943">
        <w:rPr>
          <w:sz w:val="24"/>
          <w:szCs w:val="24"/>
        </w:rPr>
        <w:t>ater C</w:t>
      </w:r>
      <w:r>
        <w:rPr>
          <w:sz w:val="24"/>
          <w:szCs w:val="24"/>
        </w:rPr>
        <w:t xml:space="preserve">oolant </w:t>
      </w:r>
      <w:r w:rsidRPr="00276943">
        <w:rPr>
          <w:sz w:val="24"/>
          <w:szCs w:val="24"/>
        </w:rPr>
        <w:t>P</w:t>
      </w:r>
      <w:r>
        <w:rPr>
          <w:sz w:val="24"/>
          <w:szCs w:val="24"/>
        </w:rPr>
        <w:t xml:space="preserve">urification </w:t>
      </w:r>
      <w:r w:rsidRPr="00276943">
        <w:rPr>
          <w:sz w:val="24"/>
          <w:szCs w:val="24"/>
        </w:rPr>
        <w:t>S</w:t>
      </w:r>
      <w:r>
        <w:rPr>
          <w:sz w:val="24"/>
          <w:szCs w:val="24"/>
        </w:rPr>
        <w:t>ystem</w:t>
      </w:r>
      <w:r w:rsidRPr="00276943">
        <w:rPr>
          <w:sz w:val="24"/>
          <w:szCs w:val="24"/>
        </w:rPr>
        <w:t xml:space="preserve"> </w:t>
      </w:r>
      <w:r w:rsidR="00144267">
        <w:rPr>
          <w:sz w:val="24"/>
          <w:szCs w:val="24"/>
        </w:rPr>
        <w:t xml:space="preserve">has to be designed on the basis of CANDU water </w:t>
      </w:r>
      <w:proofErr w:type="spellStart"/>
      <w:r w:rsidR="00CB4ABC">
        <w:rPr>
          <w:sz w:val="24"/>
          <w:szCs w:val="24"/>
        </w:rPr>
        <w:t>detritiation</w:t>
      </w:r>
      <w:proofErr w:type="spellEnd"/>
      <w:r w:rsidR="00CB4ABC">
        <w:rPr>
          <w:sz w:val="24"/>
          <w:szCs w:val="24"/>
        </w:rPr>
        <w:t xml:space="preserve"> </w:t>
      </w:r>
      <w:r w:rsidR="00144267">
        <w:rPr>
          <w:sz w:val="24"/>
          <w:szCs w:val="24"/>
        </w:rPr>
        <w:t>system</w:t>
      </w:r>
      <w:r w:rsidR="001341C2">
        <w:rPr>
          <w:sz w:val="24"/>
          <w:szCs w:val="24"/>
        </w:rPr>
        <w:t xml:space="preserve"> </w:t>
      </w:r>
      <w:r w:rsidR="001341C2">
        <w:rPr>
          <w:sz w:val="24"/>
          <w:szCs w:val="24"/>
        </w:rPr>
        <w:fldChar w:fldCharType="begin"/>
      </w:r>
      <w:r w:rsidR="001341C2">
        <w:rPr>
          <w:sz w:val="24"/>
          <w:szCs w:val="24"/>
        </w:rPr>
        <w:instrText xml:space="preserve"> REF _Ref97914689 \n \h </w:instrText>
      </w:r>
      <w:r w:rsidR="001341C2">
        <w:rPr>
          <w:sz w:val="24"/>
          <w:szCs w:val="24"/>
        </w:rPr>
      </w:r>
      <w:r w:rsidR="001341C2">
        <w:rPr>
          <w:sz w:val="24"/>
          <w:szCs w:val="24"/>
        </w:rPr>
        <w:fldChar w:fldCharType="separate"/>
      </w:r>
      <w:r w:rsidR="001341C2">
        <w:rPr>
          <w:sz w:val="24"/>
          <w:szCs w:val="24"/>
        </w:rPr>
        <w:t>[13]</w:t>
      </w:r>
      <w:r w:rsidR="001341C2">
        <w:rPr>
          <w:sz w:val="24"/>
          <w:szCs w:val="24"/>
        </w:rPr>
        <w:fldChar w:fldCharType="end"/>
      </w:r>
      <w:r w:rsidR="00144267">
        <w:rPr>
          <w:sz w:val="24"/>
          <w:szCs w:val="24"/>
        </w:rPr>
        <w:t xml:space="preserve">. </w:t>
      </w:r>
      <w:r w:rsidR="00AF506D">
        <w:rPr>
          <w:sz w:val="24"/>
          <w:szCs w:val="24"/>
        </w:rPr>
        <w:t xml:space="preserve">In order to </w:t>
      </w:r>
      <w:r w:rsidR="00CB4ABC" w:rsidRPr="00AF506D">
        <w:rPr>
          <w:sz w:val="24"/>
          <w:szCs w:val="24"/>
        </w:rPr>
        <w:t>ensur</w:t>
      </w:r>
      <w:r w:rsidR="00CB4ABC">
        <w:rPr>
          <w:sz w:val="24"/>
          <w:szCs w:val="24"/>
        </w:rPr>
        <w:t>e</w:t>
      </w:r>
      <w:r w:rsidR="00CB4ABC" w:rsidRPr="00AF506D">
        <w:rPr>
          <w:sz w:val="24"/>
          <w:szCs w:val="24"/>
        </w:rPr>
        <w:t xml:space="preserve"> </w:t>
      </w:r>
      <w:r w:rsidR="00AF506D" w:rsidRPr="00AF506D">
        <w:rPr>
          <w:sz w:val="24"/>
          <w:szCs w:val="24"/>
        </w:rPr>
        <w:t xml:space="preserve">a tritium concentration in the coolant below 1.85 × 1011 </w:t>
      </w:r>
      <w:proofErr w:type="spellStart"/>
      <w:r w:rsidR="00AF506D" w:rsidRPr="00AF506D">
        <w:rPr>
          <w:sz w:val="24"/>
          <w:szCs w:val="24"/>
        </w:rPr>
        <w:t>Bq</w:t>
      </w:r>
      <w:proofErr w:type="spellEnd"/>
      <w:r w:rsidR="00AF506D" w:rsidRPr="00AF506D">
        <w:rPr>
          <w:sz w:val="24"/>
          <w:szCs w:val="24"/>
        </w:rPr>
        <w:t xml:space="preserve"> kg−1</w:t>
      </w:r>
      <w:r w:rsidR="00AF506D">
        <w:rPr>
          <w:sz w:val="24"/>
          <w:szCs w:val="24"/>
        </w:rPr>
        <w:t xml:space="preserve"> a w</w:t>
      </w:r>
      <w:r w:rsidR="00AF506D" w:rsidRPr="00AF506D">
        <w:rPr>
          <w:sz w:val="24"/>
          <w:szCs w:val="24"/>
        </w:rPr>
        <w:t xml:space="preserve">ater </w:t>
      </w:r>
      <w:r w:rsidR="00AF506D">
        <w:rPr>
          <w:sz w:val="24"/>
          <w:szCs w:val="24"/>
        </w:rPr>
        <w:t xml:space="preserve">mass flow rate </w:t>
      </w:r>
      <w:r w:rsidR="00AF506D" w:rsidRPr="00AF506D">
        <w:rPr>
          <w:sz w:val="24"/>
          <w:szCs w:val="24"/>
        </w:rPr>
        <w:t>to be managed</w:t>
      </w:r>
      <w:r w:rsidR="00AF506D">
        <w:rPr>
          <w:sz w:val="24"/>
          <w:szCs w:val="24"/>
        </w:rPr>
        <w:t xml:space="preserve"> is</w:t>
      </w:r>
      <w:r w:rsidR="00AF506D" w:rsidRPr="00AF506D">
        <w:rPr>
          <w:sz w:val="24"/>
          <w:szCs w:val="24"/>
        </w:rPr>
        <w:t xml:space="preserve"> in the order of </w:t>
      </w:r>
      <w:r w:rsidR="00CB4ABC">
        <w:rPr>
          <w:sz w:val="24"/>
          <w:szCs w:val="24"/>
        </w:rPr>
        <w:t xml:space="preserve">a </w:t>
      </w:r>
      <w:r w:rsidR="00AF506D" w:rsidRPr="00AF506D">
        <w:rPr>
          <w:sz w:val="24"/>
          <w:szCs w:val="24"/>
        </w:rPr>
        <w:t>few thousand</w:t>
      </w:r>
      <w:r w:rsidR="00CB4ABC">
        <w:rPr>
          <w:sz w:val="24"/>
          <w:szCs w:val="24"/>
        </w:rPr>
        <w:t xml:space="preserve"> </w:t>
      </w:r>
      <w:r w:rsidR="00AF506D" w:rsidRPr="00AF506D">
        <w:rPr>
          <w:sz w:val="24"/>
          <w:szCs w:val="24"/>
        </w:rPr>
        <w:t>kg h</w:t>
      </w:r>
      <w:r w:rsidR="00AF506D" w:rsidRPr="0008486A">
        <w:rPr>
          <w:sz w:val="24"/>
          <w:szCs w:val="24"/>
          <w:vertAlign w:val="superscript"/>
        </w:rPr>
        <w:t>−1</w:t>
      </w:r>
      <w:r w:rsidR="00AF506D" w:rsidRPr="00AF506D">
        <w:rPr>
          <w:sz w:val="24"/>
          <w:szCs w:val="24"/>
        </w:rPr>
        <w:t xml:space="preserve"> to respect the limit</w:t>
      </w:r>
      <w:r w:rsidR="00AF506D">
        <w:rPr>
          <w:sz w:val="24"/>
          <w:szCs w:val="24"/>
        </w:rPr>
        <w:t xml:space="preserve">. </w:t>
      </w:r>
      <w:r w:rsidR="00AF506D" w:rsidRPr="00AF506D">
        <w:rPr>
          <w:sz w:val="24"/>
          <w:szCs w:val="24"/>
        </w:rPr>
        <w:t>The general procedure to recover tritium from water foresees two processes:</w:t>
      </w:r>
    </w:p>
    <w:p w14:paraId="29F99DFE" w14:textId="77777777" w:rsidR="00AF506D" w:rsidRPr="00AF506D" w:rsidRDefault="00AF506D" w:rsidP="00803CA0">
      <w:pPr>
        <w:pStyle w:val="Corpotesto"/>
        <w:numPr>
          <w:ilvl w:val="0"/>
          <w:numId w:val="39"/>
        </w:numPr>
        <w:spacing w:before="280" w:after="280" w:line="240" w:lineRule="auto"/>
        <w:contextualSpacing w:val="0"/>
        <w:rPr>
          <w:sz w:val="24"/>
          <w:szCs w:val="24"/>
        </w:rPr>
      </w:pPr>
      <w:r w:rsidRPr="00AF506D">
        <w:rPr>
          <w:sz w:val="24"/>
          <w:szCs w:val="24"/>
        </w:rPr>
        <w:t>front-end pro-cess in which the tritium is transferred from the aqueous into a hydrogen gas stream</w:t>
      </w:r>
    </w:p>
    <w:p w14:paraId="682ED537" w14:textId="77777777" w:rsidR="00AF506D" w:rsidRPr="00AF506D" w:rsidRDefault="00AF506D" w:rsidP="00803CA0">
      <w:pPr>
        <w:pStyle w:val="Corpotesto"/>
        <w:numPr>
          <w:ilvl w:val="0"/>
          <w:numId w:val="39"/>
        </w:numPr>
        <w:spacing w:before="280" w:after="280" w:line="240" w:lineRule="auto"/>
        <w:contextualSpacing w:val="0"/>
        <w:rPr>
          <w:sz w:val="24"/>
          <w:szCs w:val="24"/>
        </w:rPr>
      </w:pPr>
      <w:r w:rsidRPr="00AF506D">
        <w:rPr>
          <w:sz w:val="24"/>
          <w:szCs w:val="24"/>
        </w:rPr>
        <w:t xml:space="preserve">back-end process for the separation of the hydrogen </w:t>
      </w:r>
      <w:proofErr w:type="spellStart"/>
      <w:r w:rsidRPr="00AF506D">
        <w:rPr>
          <w:sz w:val="24"/>
          <w:szCs w:val="24"/>
        </w:rPr>
        <w:t>isotopologues</w:t>
      </w:r>
      <w:proofErr w:type="spellEnd"/>
      <w:r w:rsidRPr="00AF506D">
        <w:rPr>
          <w:sz w:val="24"/>
          <w:szCs w:val="24"/>
        </w:rPr>
        <w:t xml:space="preserve"> (cryogenic distillation)</w:t>
      </w:r>
    </w:p>
    <w:p w14:paraId="36BF0014" w14:textId="7E0930BE" w:rsidR="00CB4ABC" w:rsidRDefault="00AF506D" w:rsidP="00AF506D">
      <w:pPr>
        <w:pStyle w:val="Corpotesto"/>
        <w:spacing w:before="280" w:after="280"/>
        <w:contextualSpacing w:val="0"/>
        <w:rPr>
          <w:sz w:val="24"/>
          <w:szCs w:val="24"/>
        </w:rPr>
      </w:pPr>
      <w:r w:rsidRPr="00AF506D">
        <w:rPr>
          <w:sz w:val="24"/>
          <w:szCs w:val="24"/>
        </w:rPr>
        <w:t>In CANDU reactor and ITER</w:t>
      </w:r>
      <w:r w:rsidR="00CB4ABC">
        <w:rPr>
          <w:sz w:val="24"/>
          <w:szCs w:val="24"/>
        </w:rPr>
        <w:t>,</w:t>
      </w:r>
      <w:r w:rsidRPr="00AF506D">
        <w:rPr>
          <w:sz w:val="24"/>
          <w:szCs w:val="24"/>
        </w:rPr>
        <w:t xml:space="preserve"> the </w:t>
      </w:r>
      <w:proofErr w:type="spellStart"/>
      <w:r w:rsidRPr="00AF506D">
        <w:rPr>
          <w:sz w:val="24"/>
          <w:szCs w:val="24"/>
        </w:rPr>
        <w:t>tritiated</w:t>
      </w:r>
      <w:proofErr w:type="spellEnd"/>
      <w:r w:rsidRPr="00AF506D">
        <w:rPr>
          <w:sz w:val="24"/>
          <w:szCs w:val="24"/>
        </w:rPr>
        <w:t xml:space="preserve"> water is processed off-line.</w:t>
      </w:r>
      <w:r>
        <w:rPr>
          <w:sz w:val="24"/>
          <w:szCs w:val="24"/>
        </w:rPr>
        <w:t xml:space="preserve"> </w:t>
      </w:r>
      <w:r w:rsidRPr="00AF506D">
        <w:rPr>
          <w:sz w:val="24"/>
          <w:szCs w:val="24"/>
        </w:rPr>
        <w:t xml:space="preserve">From a technological point of view, a process able to decontaminate such </w:t>
      </w:r>
      <w:r w:rsidR="00CB4ABC">
        <w:rPr>
          <w:sz w:val="24"/>
          <w:szCs w:val="24"/>
        </w:rPr>
        <w:t xml:space="preserve">a </w:t>
      </w:r>
      <w:r w:rsidRPr="00AF506D">
        <w:rPr>
          <w:sz w:val="24"/>
          <w:szCs w:val="24"/>
        </w:rPr>
        <w:t xml:space="preserve">large amount of tritiated water is almost impossible to realize and it would be very </w:t>
      </w:r>
      <w:r w:rsidR="00CB4ABC" w:rsidRPr="00AF506D">
        <w:rPr>
          <w:sz w:val="24"/>
          <w:szCs w:val="24"/>
        </w:rPr>
        <w:t>energy</w:t>
      </w:r>
      <w:r w:rsidR="00CB4ABC">
        <w:rPr>
          <w:sz w:val="24"/>
          <w:szCs w:val="24"/>
        </w:rPr>
        <w:t>-</w:t>
      </w:r>
      <w:r w:rsidRPr="00AF506D">
        <w:rPr>
          <w:sz w:val="24"/>
          <w:szCs w:val="24"/>
        </w:rPr>
        <w:t>consuming</w:t>
      </w:r>
      <w:r w:rsidR="00CB4ABC">
        <w:rPr>
          <w:sz w:val="24"/>
          <w:szCs w:val="24"/>
        </w:rPr>
        <w:t>.</w:t>
      </w:r>
    </w:p>
    <w:p w14:paraId="61E35257" w14:textId="061AAEC1" w:rsidR="003A5CE0" w:rsidRDefault="00EC7F7D">
      <w:pPr>
        <w:overflowPunct/>
        <w:autoSpaceDE/>
        <w:autoSpaceDN/>
        <w:adjustRightInd/>
        <w:textAlignment w:val="auto"/>
        <w:rPr>
          <w:sz w:val="24"/>
          <w:szCs w:val="24"/>
        </w:rPr>
      </w:pPr>
      <w:r w:rsidRPr="00C97CFF">
        <w:rPr>
          <w:sz w:val="24"/>
          <w:szCs w:val="24"/>
        </w:rPr>
        <w:t xml:space="preserve">The above-mentioned process could be applied </w:t>
      </w:r>
      <w:proofErr w:type="spellStart"/>
      <w:r w:rsidRPr="00C97CFF">
        <w:rPr>
          <w:sz w:val="24"/>
          <w:szCs w:val="24"/>
        </w:rPr>
        <w:t>o</w:t>
      </w:r>
      <w:proofErr w:type="spellEnd"/>
      <w:r w:rsidRPr="00C97CFF">
        <w:rPr>
          <w:sz w:val="24"/>
          <w:szCs w:val="24"/>
        </w:rPr>
        <w:t xml:space="preserve"> the tritium purification of GEN IV fast reactor</w:t>
      </w:r>
      <w:r w:rsidR="00CB4ABC">
        <w:rPr>
          <w:sz w:val="24"/>
          <w:szCs w:val="24"/>
        </w:rPr>
        <w:t xml:space="preserve"> </w:t>
      </w:r>
      <w:r w:rsidR="00144267">
        <w:rPr>
          <w:sz w:val="24"/>
          <w:szCs w:val="24"/>
        </w:rPr>
        <w:t>and Fusion reactor t</w:t>
      </w:r>
      <w:r w:rsidR="00144267" w:rsidRPr="00C97CFF">
        <w:rPr>
          <w:sz w:val="24"/>
          <w:szCs w:val="24"/>
        </w:rPr>
        <w:t xml:space="preserve">o </w:t>
      </w:r>
      <w:r w:rsidR="00144267">
        <w:rPr>
          <w:sz w:val="24"/>
          <w:szCs w:val="24"/>
        </w:rPr>
        <w:t>confine the tritium generated a</w:t>
      </w:r>
      <w:r w:rsidR="00144267" w:rsidRPr="00C97CFF">
        <w:rPr>
          <w:sz w:val="24"/>
          <w:szCs w:val="24"/>
        </w:rPr>
        <w:t>t a level as low as reasonably achievable</w:t>
      </w:r>
      <w:r w:rsidR="00144267">
        <w:rPr>
          <w:sz w:val="24"/>
          <w:szCs w:val="24"/>
        </w:rPr>
        <w:t>.</w:t>
      </w:r>
      <w:r w:rsidR="003A5CE0">
        <w:rPr>
          <w:sz w:val="24"/>
          <w:szCs w:val="24"/>
        </w:rPr>
        <w:br w:type="page"/>
      </w:r>
    </w:p>
    <w:p w14:paraId="365C6F88" w14:textId="77777777" w:rsidR="00EC7F7D" w:rsidRDefault="00EC7F7D" w:rsidP="00EC7F7D">
      <w:pPr>
        <w:pStyle w:val="Otherunnumberedheadings"/>
        <w:spacing w:before="280" w:beforeAutospacing="0" w:after="280" w:afterAutospacing="0"/>
        <w:rPr>
          <w:rFonts w:ascii="Times New Roman" w:hAnsi="Times New Roman"/>
          <w:sz w:val="24"/>
          <w:szCs w:val="24"/>
        </w:rPr>
      </w:pPr>
      <w:r>
        <w:rPr>
          <w:rFonts w:ascii="Times New Roman" w:hAnsi="Times New Roman"/>
          <w:sz w:val="24"/>
          <w:szCs w:val="24"/>
        </w:rPr>
        <w:lastRenderedPageBreak/>
        <w:t>References</w:t>
      </w:r>
    </w:p>
    <w:p w14:paraId="43CBE118" w14:textId="5928B768" w:rsidR="00F90700"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2" w:name="_Ref97890987"/>
      <w:r>
        <w:rPr>
          <w:rFonts w:eastAsiaTheme="minorHAnsi"/>
          <w:lang w:eastAsia="ar-SA"/>
        </w:rPr>
        <w:t>CLI</w:t>
      </w:r>
      <w:r w:rsidRPr="00CB4ABC">
        <w:rPr>
          <w:rFonts w:eastAsiaTheme="minorHAnsi"/>
          <w:lang w:eastAsia="ar-SA"/>
        </w:rPr>
        <w:t>FT</w:t>
      </w:r>
      <w:r w:rsidR="00BB7724" w:rsidRPr="00CB4ABC">
        <w:rPr>
          <w:rFonts w:eastAsiaTheme="minorHAnsi"/>
          <w:lang w:eastAsia="ar-SA"/>
        </w:rPr>
        <w:t xml:space="preserve">, </w:t>
      </w:r>
      <w:r w:rsidR="00933480" w:rsidRPr="00CB4ABC">
        <w:rPr>
          <w:rFonts w:eastAsiaTheme="minorHAnsi"/>
          <w:lang w:eastAsia="ar-SA"/>
        </w:rPr>
        <w:t>R.</w:t>
      </w:r>
      <w:r w:rsidR="00BB7724" w:rsidRPr="00CB4ABC">
        <w:rPr>
          <w:rFonts w:eastAsiaTheme="minorHAnsi"/>
          <w:lang w:eastAsia="ar-SA"/>
        </w:rPr>
        <w:t xml:space="preserve">, </w:t>
      </w:r>
      <w:r w:rsidR="00933480" w:rsidRPr="0008486A">
        <w:rPr>
          <w:rFonts w:eastAsiaTheme="minorHAnsi"/>
          <w:lang w:eastAsia="ar-SA"/>
        </w:rPr>
        <w:t>Climate change and energy policy: The importance of sustainability arguments</w:t>
      </w:r>
      <w:r w:rsidR="00BB7724" w:rsidRPr="00CB4ABC">
        <w:rPr>
          <w:rFonts w:eastAsiaTheme="minorHAnsi"/>
          <w:lang w:eastAsia="ar-SA"/>
        </w:rPr>
        <w:t>,</w:t>
      </w:r>
      <w:r w:rsidR="00933480" w:rsidRPr="00CB4ABC">
        <w:rPr>
          <w:rFonts w:eastAsiaTheme="minorHAnsi"/>
          <w:lang w:eastAsia="ar-SA"/>
        </w:rPr>
        <w:t xml:space="preserve"> Energy </w:t>
      </w:r>
      <w:r w:rsidR="00933480" w:rsidRPr="00CB4ABC">
        <w:rPr>
          <w:rFonts w:eastAsiaTheme="minorHAnsi"/>
          <w:b/>
          <w:bCs/>
          <w:lang w:eastAsia="ar-SA"/>
        </w:rPr>
        <w:t>32</w:t>
      </w:r>
      <w:r w:rsidR="00933480" w:rsidRPr="00CB4ABC">
        <w:rPr>
          <w:rFonts w:eastAsiaTheme="minorHAnsi"/>
          <w:lang w:eastAsia="ar-SA"/>
        </w:rPr>
        <w:t xml:space="preserve"> (2007)</w:t>
      </w:r>
      <w:r w:rsidR="00BB7724" w:rsidRPr="00CB4ABC">
        <w:rPr>
          <w:rFonts w:eastAsiaTheme="minorHAnsi"/>
          <w:lang w:eastAsia="ar-SA"/>
        </w:rPr>
        <w:t xml:space="preserve"> </w:t>
      </w:r>
      <w:r w:rsidR="00933480" w:rsidRPr="00CB4ABC">
        <w:rPr>
          <w:rFonts w:eastAsiaTheme="minorHAnsi"/>
          <w:lang w:eastAsia="ar-SA"/>
        </w:rPr>
        <w:t>262–268.</w:t>
      </w:r>
      <w:bookmarkEnd w:id="12"/>
    </w:p>
    <w:p w14:paraId="74DD17CF" w14:textId="56D40A04" w:rsidR="00BB7724" w:rsidRPr="00CB4ABC" w:rsidRDefault="00BB7724"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3" w:name="_Ref97890992"/>
      <w:r w:rsidRPr="00CB4ABC">
        <w:rPr>
          <w:rFonts w:eastAsiaTheme="minorHAnsi"/>
          <w:lang w:eastAsia="ar-SA"/>
        </w:rPr>
        <w:t xml:space="preserve">NI, M., </w:t>
      </w:r>
      <w:r w:rsidRPr="00CB4ABC">
        <w:rPr>
          <w:rFonts w:eastAsiaTheme="minorHAnsi"/>
          <w:i/>
          <w:iCs/>
          <w:lang w:eastAsia="ar-SA"/>
        </w:rPr>
        <w:t>et. al</w:t>
      </w:r>
      <w:r w:rsidRPr="00CB4ABC">
        <w:rPr>
          <w:rFonts w:eastAsiaTheme="minorHAnsi"/>
          <w:lang w:eastAsia="ar-SA"/>
        </w:rPr>
        <w:t xml:space="preserve">., </w:t>
      </w:r>
      <w:r w:rsidR="00933480" w:rsidRPr="0008486A">
        <w:rPr>
          <w:rFonts w:eastAsiaTheme="minorHAnsi"/>
          <w:lang w:eastAsia="ar-SA"/>
        </w:rPr>
        <w:t>Tritium supply assessment for ITER and demonstration power plant</w:t>
      </w:r>
      <w:r w:rsidRPr="00CB4ABC">
        <w:rPr>
          <w:rFonts w:eastAsiaTheme="minorHAnsi"/>
          <w:lang w:eastAsia="ar-SA"/>
        </w:rPr>
        <w:t>,</w:t>
      </w:r>
      <w:r w:rsidR="00933480" w:rsidRPr="00CB4ABC">
        <w:rPr>
          <w:rFonts w:eastAsiaTheme="minorHAnsi"/>
          <w:lang w:eastAsia="ar-SA"/>
        </w:rPr>
        <w:t xml:space="preserve"> Fusion Engineering and Design </w:t>
      </w:r>
      <w:r w:rsidR="00933480" w:rsidRPr="00CB4ABC">
        <w:rPr>
          <w:rFonts w:eastAsiaTheme="minorHAnsi"/>
          <w:b/>
          <w:bCs/>
          <w:lang w:eastAsia="ar-SA"/>
        </w:rPr>
        <w:t>88</w:t>
      </w:r>
      <w:r w:rsidR="00933480" w:rsidRPr="00CB4ABC">
        <w:rPr>
          <w:rFonts w:eastAsiaTheme="minorHAnsi"/>
          <w:lang w:eastAsia="ar-SA"/>
        </w:rPr>
        <w:t xml:space="preserve"> (2013)</w:t>
      </w:r>
      <w:r w:rsidRPr="00CB4ABC">
        <w:rPr>
          <w:rFonts w:eastAsiaTheme="minorHAnsi"/>
          <w:lang w:eastAsia="ar-SA"/>
        </w:rPr>
        <w:t xml:space="preserve"> </w:t>
      </w:r>
      <w:r w:rsidR="00933480" w:rsidRPr="00CB4ABC">
        <w:rPr>
          <w:rFonts w:eastAsiaTheme="minorHAnsi"/>
          <w:lang w:eastAsia="ar-SA"/>
        </w:rPr>
        <w:t>2422</w:t>
      </w:r>
      <w:r w:rsidRPr="00CB4ABC">
        <w:rPr>
          <w:rFonts w:eastAsiaTheme="minorHAnsi"/>
          <w:lang w:eastAsia="ar-SA"/>
        </w:rPr>
        <w:t>-</w:t>
      </w:r>
      <w:r w:rsidR="00933480" w:rsidRPr="00CB4ABC">
        <w:rPr>
          <w:rFonts w:eastAsiaTheme="minorHAnsi"/>
          <w:lang w:eastAsia="ar-SA"/>
        </w:rPr>
        <w:t>2426.</w:t>
      </w:r>
      <w:bookmarkEnd w:id="13"/>
    </w:p>
    <w:p w14:paraId="1D80D2A9" w14:textId="688B1242" w:rsidR="00FD72C5"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4" w:name="_Ref97891090"/>
      <w:bookmarkStart w:id="15" w:name="_Ref97891072"/>
      <w:r w:rsidRPr="00CB4ABC">
        <w:rPr>
          <w:rFonts w:eastAsiaTheme="minorHAnsi"/>
          <w:lang w:eastAsia="ar-SA"/>
        </w:rPr>
        <w:t xml:space="preserve">CIAMPICHETTI, </w:t>
      </w:r>
      <w:r w:rsidR="00FD72C5" w:rsidRPr="00CB4ABC">
        <w:rPr>
          <w:rFonts w:eastAsiaTheme="minorHAnsi"/>
          <w:lang w:eastAsia="ar-SA"/>
        </w:rPr>
        <w:t xml:space="preserve">A., </w:t>
      </w:r>
      <w:r w:rsidR="00FD72C5" w:rsidRPr="0008486A">
        <w:rPr>
          <w:rFonts w:eastAsiaTheme="minorHAnsi"/>
          <w:i/>
          <w:iCs/>
          <w:lang w:eastAsia="ar-SA"/>
        </w:rPr>
        <w:t>et al.</w:t>
      </w:r>
      <w:r w:rsidR="00FD72C5" w:rsidRPr="00CB4ABC">
        <w:rPr>
          <w:rFonts w:eastAsiaTheme="minorHAnsi"/>
          <w:lang w:eastAsia="ar-SA"/>
        </w:rPr>
        <w:t xml:space="preserve">, </w:t>
      </w:r>
      <w:r w:rsidR="00FD72C5" w:rsidRPr="0008486A">
        <w:rPr>
          <w:rFonts w:eastAsiaTheme="minorHAnsi"/>
          <w:lang w:eastAsia="ar-SA"/>
        </w:rPr>
        <w:t>The coolant purification system of the European test blanket modules: preliminary design</w:t>
      </w:r>
      <w:r w:rsidR="00FD72C5" w:rsidRPr="00CB4ABC">
        <w:rPr>
          <w:rFonts w:eastAsiaTheme="minorHAnsi"/>
          <w:lang w:eastAsia="ar-SA"/>
        </w:rPr>
        <w:t xml:space="preserve">, Fusion Eng. Design </w:t>
      </w:r>
      <w:r w:rsidR="00FD72C5" w:rsidRPr="00CB4ABC">
        <w:rPr>
          <w:rFonts w:eastAsiaTheme="minorHAnsi"/>
          <w:b/>
          <w:bCs/>
          <w:lang w:eastAsia="ar-SA"/>
        </w:rPr>
        <w:t>85</w:t>
      </w:r>
      <w:r w:rsidR="00FD72C5" w:rsidRPr="00CB4ABC">
        <w:rPr>
          <w:rFonts w:eastAsiaTheme="minorHAnsi"/>
          <w:lang w:eastAsia="ar-SA"/>
        </w:rPr>
        <w:t xml:space="preserve"> (2010) 2033-2039</w:t>
      </w:r>
      <w:bookmarkEnd w:id="14"/>
      <w:r w:rsidR="004F25EF" w:rsidRPr="00CB4ABC">
        <w:rPr>
          <w:rFonts w:eastAsiaTheme="minorHAnsi"/>
          <w:lang w:eastAsia="ar-SA"/>
        </w:rPr>
        <w:t>.</w:t>
      </w:r>
    </w:p>
    <w:p w14:paraId="3366340C" w14:textId="7EDB1497" w:rsidR="00FD72C5"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6" w:name="_Ref97890941"/>
      <w:r w:rsidRPr="00CB4ABC">
        <w:rPr>
          <w:rFonts w:eastAsiaTheme="minorHAnsi"/>
          <w:lang w:eastAsia="ar-SA"/>
        </w:rPr>
        <w:t xml:space="preserve">CASTLE, </w:t>
      </w:r>
      <w:r w:rsidR="00FD72C5" w:rsidRPr="00CB4ABC">
        <w:rPr>
          <w:rFonts w:eastAsiaTheme="minorHAnsi"/>
          <w:lang w:eastAsia="ar-SA"/>
        </w:rPr>
        <w:t xml:space="preserve">B., </w:t>
      </w:r>
      <w:r w:rsidR="00FD72C5" w:rsidRPr="0008486A">
        <w:rPr>
          <w:rFonts w:eastAsiaTheme="minorHAnsi"/>
          <w:lang w:eastAsia="ar-SA"/>
        </w:rPr>
        <w:t>NGNP Reactor Coolant Chemistry Control Study</w:t>
      </w:r>
      <w:r w:rsidR="00FD72C5" w:rsidRPr="00CB4ABC">
        <w:rPr>
          <w:rFonts w:eastAsiaTheme="minorHAnsi"/>
          <w:lang w:eastAsia="ar-SA"/>
        </w:rPr>
        <w:t>, INL/EXT-10-19533 (2010)</w:t>
      </w:r>
      <w:bookmarkEnd w:id="16"/>
      <w:r w:rsidR="004F25EF" w:rsidRPr="00CB4ABC">
        <w:rPr>
          <w:rFonts w:eastAsiaTheme="minorHAnsi"/>
          <w:lang w:eastAsia="ar-SA"/>
        </w:rPr>
        <w:t>.</w:t>
      </w:r>
    </w:p>
    <w:p w14:paraId="72E781E1" w14:textId="7779F62F" w:rsidR="00FD72C5"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7" w:name="_Ref97890878"/>
      <w:r w:rsidRPr="00CB4ABC">
        <w:rPr>
          <w:rFonts w:eastAsiaTheme="minorHAnsi"/>
          <w:lang w:eastAsia="ar-SA"/>
        </w:rPr>
        <w:t xml:space="preserve">SIMON, </w:t>
      </w:r>
      <w:r w:rsidR="00FD72C5" w:rsidRPr="00CB4ABC">
        <w:rPr>
          <w:rFonts w:eastAsiaTheme="minorHAnsi"/>
          <w:lang w:eastAsia="ar-SA"/>
        </w:rPr>
        <w:t xml:space="preserve">R., </w:t>
      </w:r>
      <w:r w:rsidR="00FD72C5" w:rsidRPr="0008486A">
        <w:rPr>
          <w:rFonts w:eastAsiaTheme="minorHAnsi"/>
          <w:lang w:eastAsia="ar-SA"/>
        </w:rPr>
        <w:t>The primary circuit of the DRAGON High Temperature Reactor Experiment</w:t>
      </w:r>
      <w:r w:rsidR="00FD72C5" w:rsidRPr="00CB4ABC">
        <w:rPr>
          <w:rFonts w:eastAsiaTheme="minorHAnsi"/>
          <w:lang w:eastAsia="ar-SA"/>
        </w:rPr>
        <w:t xml:space="preserve">, International Conference </w:t>
      </w:r>
      <w:proofErr w:type="spellStart"/>
      <w:r w:rsidR="00FD72C5" w:rsidRPr="00CB4ABC">
        <w:rPr>
          <w:rFonts w:eastAsiaTheme="minorHAnsi"/>
          <w:lang w:eastAsia="ar-SA"/>
        </w:rPr>
        <w:t>SMiRT</w:t>
      </w:r>
      <w:proofErr w:type="spellEnd"/>
      <w:r w:rsidR="00FD72C5" w:rsidRPr="00CB4ABC">
        <w:rPr>
          <w:rFonts w:eastAsiaTheme="minorHAnsi"/>
          <w:lang w:eastAsia="ar-SA"/>
        </w:rPr>
        <w:t xml:space="preserve"> 18, Beijing (2005)</w:t>
      </w:r>
      <w:bookmarkEnd w:id="17"/>
      <w:r w:rsidR="004F25EF" w:rsidRPr="00CB4ABC">
        <w:rPr>
          <w:rFonts w:eastAsiaTheme="minorHAnsi"/>
          <w:lang w:eastAsia="ar-SA"/>
        </w:rPr>
        <w:t>.</w:t>
      </w:r>
    </w:p>
    <w:p w14:paraId="53D3F6DB" w14:textId="77777777" w:rsidR="00FD72C5" w:rsidRPr="00CB4ABC" w:rsidRDefault="00FD72C5"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8" w:name="_Ref97891100"/>
      <w:r w:rsidRPr="00CB4ABC">
        <w:rPr>
          <w:rFonts w:eastAsiaTheme="minorHAnsi"/>
          <w:lang w:eastAsia="ar-SA"/>
        </w:rPr>
        <w:t xml:space="preserve">CEA, </w:t>
      </w:r>
      <w:r w:rsidRPr="0008486A">
        <w:rPr>
          <w:rFonts w:eastAsiaTheme="minorHAnsi"/>
          <w:lang w:eastAsia="ar-SA"/>
        </w:rPr>
        <w:t xml:space="preserve">Conception des </w:t>
      </w:r>
      <w:proofErr w:type="spellStart"/>
      <w:r w:rsidRPr="0008486A">
        <w:rPr>
          <w:rFonts w:eastAsiaTheme="minorHAnsi"/>
          <w:lang w:eastAsia="ar-SA"/>
        </w:rPr>
        <w:t>réacteurs</w:t>
      </w:r>
      <w:proofErr w:type="spellEnd"/>
      <w:r w:rsidRPr="0008486A">
        <w:rPr>
          <w:rFonts w:eastAsiaTheme="minorHAnsi"/>
          <w:lang w:eastAsia="ar-SA"/>
        </w:rPr>
        <w:t xml:space="preserve"> </w:t>
      </w:r>
      <w:proofErr w:type="spellStart"/>
      <w:r w:rsidRPr="0008486A">
        <w:rPr>
          <w:rFonts w:eastAsiaTheme="minorHAnsi"/>
          <w:lang w:eastAsia="ar-SA"/>
        </w:rPr>
        <w:t>rapides</w:t>
      </w:r>
      <w:proofErr w:type="spellEnd"/>
      <w:r w:rsidRPr="0008486A">
        <w:rPr>
          <w:rFonts w:eastAsiaTheme="minorHAnsi"/>
          <w:lang w:eastAsia="ar-SA"/>
        </w:rPr>
        <w:t xml:space="preserve"> </w:t>
      </w:r>
      <w:proofErr w:type="spellStart"/>
      <w:r w:rsidRPr="0008486A">
        <w:rPr>
          <w:rFonts w:eastAsiaTheme="minorHAnsi"/>
          <w:lang w:eastAsia="ar-SA"/>
        </w:rPr>
        <w:t>refroidis</w:t>
      </w:r>
      <w:proofErr w:type="spellEnd"/>
      <w:r w:rsidRPr="0008486A">
        <w:rPr>
          <w:rFonts w:eastAsiaTheme="minorHAnsi"/>
          <w:lang w:eastAsia="ar-SA"/>
        </w:rPr>
        <w:t xml:space="preserve"> au sodium</w:t>
      </w:r>
      <w:r w:rsidRPr="00CB4ABC">
        <w:rPr>
          <w:rFonts w:eastAsiaTheme="minorHAnsi"/>
          <w:lang w:eastAsia="ar-SA"/>
        </w:rPr>
        <w:t>, Tech. rep. 2015.</w:t>
      </w:r>
      <w:bookmarkEnd w:id="18"/>
    </w:p>
    <w:p w14:paraId="5236654F" w14:textId="76DA4CCD" w:rsidR="00FD72C5"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19" w:name="_Ref97891399"/>
      <w:r w:rsidRPr="00CB4ABC">
        <w:rPr>
          <w:rFonts w:eastAsiaTheme="minorHAnsi"/>
          <w:lang w:eastAsia="ar-SA"/>
        </w:rPr>
        <w:t xml:space="preserve">TARANTINO, M., </w:t>
      </w:r>
      <w:r w:rsidR="00FD72C5" w:rsidRPr="0008486A">
        <w:rPr>
          <w:rFonts w:eastAsiaTheme="minorHAnsi"/>
          <w:i/>
          <w:iCs/>
          <w:lang w:eastAsia="ar-SA"/>
        </w:rPr>
        <w:t>et al.</w:t>
      </w:r>
      <w:r w:rsidR="00FD72C5" w:rsidRPr="00CB4ABC">
        <w:rPr>
          <w:rFonts w:eastAsiaTheme="minorHAnsi"/>
          <w:lang w:eastAsia="ar-SA"/>
        </w:rPr>
        <w:t xml:space="preserve">, </w:t>
      </w:r>
      <w:r w:rsidR="00FD72C5" w:rsidRPr="0008486A">
        <w:rPr>
          <w:rFonts w:eastAsiaTheme="minorHAnsi"/>
          <w:lang w:eastAsia="ar-SA"/>
        </w:rPr>
        <w:t>Overview on Lead-Cooled Fast Reactor Design and Related Technologies Development in ENEA</w:t>
      </w:r>
      <w:r w:rsidR="00FD72C5" w:rsidRPr="00CB4ABC">
        <w:rPr>
          <w:rFonts w:eastAsiaTheme="minorHAnsi"/>
          <w:lang w:eastAsia="ar-SA"/>
        </w:rPr>
        <w:t xml:space="preserve">, Energies </w:t>
      </w:r>
      <w:r w:rsidR="00FD72C5" w:rsidRPr="0008486A">
        <w:rPr>
          <w:rFonts w:eastAsiaTheme="minorHAnsi"/>
          <w:b/>
          <w:bCs/>
          <w:lang w:eastAsia="ar-SA"/>
        </w:rPr>
        <w:t>14</w:t>
      </w:r>
      <w:r w:rsidR="00FD72C5" w:rsidRPr="00CB4ABC">
        <w:rPr>
          <w:rFonts w:eastAsiaTheme="minorHAnsi"/>
          <w:lang w:eastAsia="ar-SA"/>
        </w:rPr>
        <w:t xml:space="preserve"> (2021) 5157.</w:t>
      </w:r>
      <w:bookmarkEnd w:id="19"/>
    </w:p>
    <w:p w14:paraId="0BD971E0" w14:textId="4E0F0F08" w:rsidR="00FD72C5"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20" w:name="_Ref97891405"/>
      <w:r w:rsidRPr="00CB4ABC">
        <w:rPr>
          <w:rFonts w:eastAsiaTheme="minorHAnsi"/>
          <w:lang w:eastAsia="ar-SA"/>
        </w:rPr>
        <w:t xml:space="preserve">UTILI, M., </w:t>
      </w:r>
      <w:r w:rsidR="00FD72C5" w:rsidRPr="0008486A">
        <w:rPr>
          <w:rFonts w:eastAsiaTheme="minorHAnsi"/>
          <w:i/>
          <w:iCs/>
          <w:lang w:eastAsia="ar-SA"/>
        </w:rPr>
        <w:t>et al</w:t>
      </w:r>
      <w:r w:rsidR="00FD72C5" w:rsidRPr="00CB4ABC">
        <w:rPr>
          <w:rFonts w:eastAsiaTheme="minorHAnsi"/>
          <w:lang w:eastAsia="ar-SA"/>
        </w:rPr>
        <w:t xml:space="preserve">., </w:t>
      </w:r>
      <w:r w:rsidR="00FD72C5" w:rsidRPr="0008486A">
        <w:rPr>
          <w:rFonts w:eastAsiaTheme="minorHAnsi"/>
          <w:lang w:eastAsia="ar-SA"/>
        </w:rPr>
        <w:t>Development of anti-permeation and corrosion barrier coatings for the WCLL breeding blanket of the European DEMO</w:t>
      </w:r>
      <w:r w:rsidR="00FD72C5" w:rsidRPr="00CB4ABC">
        <w:rPr>
          <w:rFonts w:eastAsiaTheme="minorHAnsi"/>
          <w:lang w:eastAsia="ar-SA"/>
        </w:rPr>
        <w:t xml:space="preserve">, </w:t>
      </w:r>
      <w:r w:rsidRPr="00CB4ABC">
        <w:rPr>
          <w:rFonts w:eastAsiaTheme="minorHAnsi"/>
          <w:lang w:eastAsia="ar-SA"/>
        </w:rPr>
        <w:t xml:space="preserve">Fusion Engineering and Design </w:t>
      </w:r>
      <w:r w:rsidR="00FD72C5" w:rsidRPr="0008486A">
        <w:rPr>
          <w:rFonts w:eastAsiaTheme="minorHAnsi"/>
          <w:b/>
          <w:bCs/>
          <w:lang w:eastAsia="ar-SA"/>
        </w:rPr>
        <w:t>170</w:t>
      </w:r>
      <w:r w:rsidR="00FD72C5" w:rsidRPr="00CB4ABC">
        <w:rPr>
          <w:rFonts w:eastAsiaTheme="minorHAnsi"/>
          <w:lang w:eastAsia="ar-SA"/>
        </w:rPr>
        <w:t xml:space="preserve"> (2021) 112453.</w:t>
      </w:r>
      <w:bookmarkEnd w:id="20"/>
    </w:p>
    <w:p w14:paraId="702211C2" w14:textId="2166EC3A" w:rsidR="008701ED"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21" w:name="_Ref97891443"/>
      <w:r w:rsidRPr="00CB4ABC">
        <w:rPr>
          <w:rFonts w:eastAsiaTheme="minorHAnsi"/>
          <w:lang w:eastAsia="ar-SA"/>
        </w:rPr>
        <w:t xml:space="preserve">GILARDI, T., </w:t>
      </w:r>
      <w:r w:rsidR="004F25EF" w:rsidRPr="0008486A">
        <w:rPr>
          <w:rFonts w:eastAsiaTheme="minorHAnsi"/>
          <w:i/>
          <w:iCs/>
          <w:lang w:eastAsia="ar-SA"/>
        </w:rPr>
        <w:t>et al.</w:t>
      </w:r>
      <w:r w:rsidR="004F25EF" w:rsidRPr="00CB4ABC">
        <w:rPr>
          <w:rFonts w:eastAsiaTheme="minorHAnsi"/>
          <w:lang w:eastAsia="ar-SA"/>
        </w:rPr>
        <w:t xml:space="preserve">, </w:t>
      </w:r>
      <w:r w:rsidR="008701ED" w:rsidRPr="0008486A">
        <w:rPr>
          <w:rFonts w:eastAsiaTheme="minorHAnsi"/>
          <w:lang w:eastAsia="ar-SA"/>
        </w:rPr>
        <w:t>Comparison of two modelling tools for the evaluation of tritium and hydrogen transfers in nuclear reactors or complex systems</w:t>
      </w:r>
      <w:bookmarkEnd w:id="15"/>
      <w:bookmarkEnd w:id="21"/>
      <w:r w:rsidR="004F25EF" w:rsidRPr="00CB4ABC">
        <w:rPr>
          <w:rFonts w:eastAsiaTheme="minorHAnsi"/>
          <w:lang w:eastAsia="ar-SA"/>
        </w:rPr>
        <w:t xml:space="preserve">, </w:t>
      </w:r>
      <w:r w:rsidRPr="00CB4ABC">
        <w:rPr>
          <w:rFonts w:eastAsiaTheme="minorHAnsi"/>
          <w:lang w:eastAsia="ar-SA"/>
        </w:rPr>
        <w:t xml:space="preserve">Fusion Engineering and Design </w:t>
      </w:r>
      <w:r w:rsidR="004F25EF" w:rsidRPr="0008486A">
        <w:rPr>
          <w:rFonts w:eastAsiaTheme="minorHAnsi"/>
          <w:b/>
          <w:bCs/>
          <w:lang w:eastAsia="ar-SA"/>
        </w:rPr>
        <w:t>166</w:t>
      </w:r>
      <w:r w:rsidR="004F25EF" w:rsidRPr="00CB4ABC">
        <w:rPr>
          <w:rFonts w:eastAsiaTheme="minorHAnsi"/>
          <w:lang w:eastAsia="ar-SA"/>
        </w:rPr>
        <w:t xml:space="preserve"> (2021), 112278.</w:t>
      </w:r>
    </w:p>
    <w:p w14:paraId="66102FDE" w14:textId="6DFA70C8" w:rsidR="008701ED" w:rsidRPr="00CB4ABC" w:rsidRDefault="00CB4ABC"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22" w:name="_Ref97891077"/>
      <w:r w:rsidRPr="00CB4ABC">
        <w:rPr>
          <w:rFonts w:eastAsiaTheme="minorHAnsi"/>
          <w:lang w:eastAsia="ar-SA"/>
        </w:rPr>
        <w:t>CANDIDO</w:t>
      </w:r>
      <w:r w:rsidR="008701ED" w:rsidRPr="00CB4ABC">
        <w:rPr>
          <w:rFonts w:eastAsiaTheme="minorHAnsi"/>
          <w:lang w:eastAsia="ar-SA"/>
        </w:rPr>
        <w:t>, L.</w:t>
      </w:r>
      <w:r>
        <w:rPr>
          <w:rFonts w:eastAsiaTheme="minorHAnsi"/>
          <w:lang w:eastAsia="ar-SA"/>
        </w:rPr>
        <w:t xml:space="preserve">, </w:t>
      </w:r>
      <w:r w:rsidRPr="0008486A">
        <w:rPr>
          <w:rFonts w:eastAsiaTheme="minorHAnsi"/>
          <w:i/>
          <w:iCs/>
          <w:lang w:eastAsia="ar-SA"/>
        </w:rPr>
        <w:t>et al</w:t>
      </w:r>
      <w:r>
        <w:rPr>
          <w:rFonts w:eastAsiaTheme="minorHAnsi"/>
          <w:lang w:eastAsia="ar-SA"/>
        </w:rPr>
        <w:t>.</w:t>
      </w:r>
      <w:r w:rsidR="008701ED" w:rsidRPr="00CB4ABC">
        <w:rPr>
          <w:rFonts w:eastAsiaTheme="minorHAnsi"/>
          <w:lang w:eastAsia="ar-SA"/>
        </w:rPr>
        <w:t xml:space="preserve">, </w:t>
      </w:r>
      <w:r w:rsidR="008701ED" w:rsidRPr="0008486A">
        <w:rPr>
          <w:rFonts w:eastAsiaTheme="minorHAnsi"/>
          <w:lang w:eastAsia="ar-SA"/>
        </w:rPr>
        <w:t>Design of a Hydrogen/Tritium Permeation Sensor for Gen-IV Sodium Fast Reactors</w:t>
      </w:r>
      <w:r w:rsidR="008701ED" w:rsidRPr="00CB4ABC">
        <w:rPr>
          <w:rFonts w:eastAsiaTheme="minorHAnsi"/>
          <w:lang w:eastAsia="ar-SA"/>
        </w:rPr>
        <w:t xml:space="preserve">, Vacuum, </w:t>
      </w:r>
      <w:r w:rsidR="008701ED" w:rsidRPr="00CB4ABC">
        <w:rPr>
          <w:rFonts w:eastAsiaTheme="minorHAnsi"/>
          <w:b/>
          <w:bCs/>
          <w:lang w:eastAsia="ar-SA"/>
        </w:rPr>
        <w:t>191</w:t>
      </w:r>
      <w:r w:rsidR="008701ED" w:rsidRPr="00CB4ABC">
        <w:rPr>
          <w:rFonts w:eastAsiaTheme="minorHAnsi"/>
          <w:lang w:eastAsia="ar-SA"/>
        </w:rPr>
        <w:t xml:space="preserve"> (2021) 110414.</w:t>
      </w:r>
      <w:bookmarkEnd w:id="22"/>
    </w:p>
    <w:p w14:paraId="240F8F57" w14:textId="43BD0F02" w:rsidR="00F90700" w:rsidRPr="00CB4ABC" w:rsidRDefault="00EC7F7D" w:rsidP="004F25EF">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23" w:name="_Ref97890883"/>
      <w:r w:rsidRPr="00CB4ABC">
        <w:rPr>
          <w:rFonts w:eastAsiaTheme="minorHAnsi"/>
          <w:lang w:eastAsia="ar-SA"/>
        </w:rPr>
        <w:t xml:space="preserve">IAEA, </w:t>
      </w:r>
      <w:r w:rsidRPr="0008486A">
        <w:rPr>
          <w:rFonts w:eastAsiaTheme="minorHAnsi"/>
          <w:lang w:eastAsia="ar-SA"/>
        </w:rPr>
        <w:t>International Working Group on Fast Reactors, Specialists’ Meeting on Fast Reactor Cover Gas Purification</w:t>
      </w:r>
      <w:r w:rsidRPr="00CB4ABC">
        <w:rPr>
          <w:rFonts w:eastAsiaTheme="minorHAnsi"/>
          <w:lang w:eastAsia="ar-SA"/>
        </w:rPr>
        <w:t>, IWGFR/61 (1986)</w:t>
      </w:r>
      <w:bookmarkEnd w:id="23"/>
      <w:r w:rsidR="004F25EF" w:rsidRPr="00CB4ABC">
        <w:rPr>
          <w:rFonts w:eastAsiaTheme="minorHAnsi"/>
          <w:lang w:eastAsia="ar-SA"/>
        </w:rPr>
        <w:t>.</w:t>
      </w:r>
    </w:p>
    <w:p w14:paraId="09ABA086" w14:textId="77777777" w:rsidR="001341C2" w:rsidRPr="00CB4ABC" w:rsidRDefault="004F25EF" w:rsidP="001341C2">
      <w:pPr>
        <w:pStyle w:val="Paragrafoelenco"/>
        <w:numPr>
          <w:ilvl w:val="0"/>
          <w:numId w:val="37"/>
        </w:numPr>
        <w:overflowPunct/>
        <w:autoSpaceDE/>
        <w:autoSpaceDN/>
        <w:adjustRightInd/>
        <w:spacing w:before="280" w:after="120"/>
        <w:ind w:left="426" w:hanging="426"/>
        <w:jc w:val="both"/>
        <w:textAlignment w:val="auto"/>
        <w:rPr>
          <w:rFonts w:eastAsiaTheme="minorHAnsi"/>
          <w:lang w:val="it-IT" w:eastAsia="ar-SA"/>
        </w:rPr>
      </w:pPr>
      <w:bookmarkStart w:id="24" w:name="_Ref97890955"/>
      <w:proofErr w:type="spellStart"/>
      <w:r w:rsidRPr="00CB4ABC">
        <w:rPr>
          <w:rFonts w:eastAsiaTheme="minorHAnsi"/>
          <w:lang w:val="it-IT" w:eastAsia="ar-SA"/>
        </w:rPr>
        <w:t>Autorité</w:t>
      </w:r>
      <w:proofErr w:type="spellEnd"/>
      <w:r w:rsidRPr="00CB4ABC">
        <w:rPr>
          <w:rFonts w:eastAsiaTheme="minorHAnsi"/>
          <w:lang w:val="it-IT" w:eastAsia="ar-SA"/>
        </w:rPr>
        <w:t xml:space="preserve"> de </w:t>
      </w:r>
      <w:proofErr w:type="spellStart"/>
      <w:r w:rsidRPr="00CB4ABC">
        <w:rPr>
          <w:rFonts w:eastAsiaTheme="minorHAnsi"/>
          <w:lang w:val="it-IT" w:eastAsia="ar-SA"/>
        </w:rPr>
        <w:t>Sûreté</w:t>
      </w:r>
      <w:proofErr w:type="spellEnd"/>
      <w:r w:rsidRPr="00CB4ABC">
        <w:rPr>
          <w:rFonts w:eastAsiaTheme="minorHAnsi"/>
          <w:lang w:val="it-IT" w:eastAsia="ar-SA"/>
        </w:rPr>
        <w:t xml:space="preserve"> </w:t>
      </w:r>
      <w:proofErr w:type="spellStart"/>
      <w:r w:rsidRPr="00CB4ABC">
        <w:rPr>
          <w:rFonts w:eastAsiaTheme="minorHAnsi"/>
          <w:lang w:val="it-IT" w:eastAsia="ar-SA"/>
        </w:rPr>
        <w:t>Nucléaire</w:t>
      </w:r>
      <w:proofErr w:type="spellEnd"/>
      <w:r w:rsidR="00EC7F7D" w:rsidRPr="00CB4ABC">
        <w:rPr>
          <w:rFonts w:eastAsiaTheme="minorHAnsi"/>
          <w:lang w:val="it-IT" w:eastAsia="ar-SA"/>
        </w:rPr>
        <w:t xml:space="preserve">, </w:t>
      </w:r>
      <w:bookmarkStart w:id="25" w:name="OLE_LINK22"/>
      <w:r w:rsidR="00EC7F7D" w:rsidRPr="0008486A">
        <w:rPr>
          <w:rFonts w:eastAsiaTheme="minorHAnsi"/>
          <w:lang w:val="it-IT" w:eastAsia="ar-SA"/>
        </w:rPr>
        <w:t xml:space="preserve">Livre </w:t>
      </w:r>
      <w:proofErr w:type="spellStart"/>
      <w:r w:rsidR="00EC7F7D" w:rsidRPr="0008486A">
        <w:rPr>
          <w:rFonts w:eastAsiaTheme="minorHAnsi"/>
          <w:lang w:val="it-IT" w:eastAsia="ar-SA"/>
        </w:rPr>
        <w:t>blanc</w:t>
      </w:r>
      <w:proofErr w:type="spellEnd"/>
      <w:r w:rsidR="00EC7F7D" w:rsidRPr="0008486A">
        <w:rPr>
          <w:rFonts w:eastAsiaTheme="minorHAnsi"/>
          <w:lang w:val="it-IT" w:eastAsia="ar-SA"/>
        </w:rPr>
        <w:t xml:space="preserve"> </w:t>
      </w:r>
      <w:proofErr w:type="spellStart"/>
      <w:r w:rsidR="00EC7F7D" w:rsidRPr="0008486A">
        <w:rPr>
          <w:rFonts w:eastAsiaTheme="minorHAnsi"/>
          <w:lang w:val="it-IT" w:eastAsia="ar-SA"/>
        </w:rPr>
        <w:t>tritium</w:t>
      </w:r>
      <w:bookmarkEnd w:id="25"/>
      <w:proofErr w:type="spellEnd"/>
      <w:r w:rsidR="00EC7F7D" w:rsidRPr="00CB4ABC">
        <w:rPr>
          <w:rFonts w:eastAsiaTheme="minorHAnsi"/>
          <w:lang w:val="it-IT" w:eastAsia="ar-SA"/>
        </w:rPr>
        <w:t xml:space="preserve"> (2022)</w:t>
      </w:r>
      <w:bookmarkEnd w:id="24"/>
      <w:r w:rsidRPr="00CB4ABC">
        <w:rPr>
          <w:rFonts w:eastAsiaTheme="minorHAnsi"/>
          <w:lang w:val="it-IT" w:eastAsia="ar-SA"/>
        </w:rPr>
        <w:t>.</w:t>
      </w:r>
    </w:p>
    <w:p w14:paraId="44E66F8E" w14:textId="225C0D7B" w:rsidR="001341C2" w:rsidRPr="00CB4ABC" w:rsidRDefault="00CB4ABC" w:rsidP="001341C2">
      <w:pPr>
        <w:pStyle w:val="Paragrafoelenco"/>
        <w:numPr>
          <w:ilvl w:val="0"/>
          <w:numId w:val="37"/>
        </w:numPr>
        <w:overflowPunct/>
        <w:autoSpaceDE/>
        <w:autoSpaceDN/>
        <w:adjustRightInd/>
        <w:spacing w:before="280" w:after="120"/>
        <w:ind w:left="426" w:hanging="426"/>
        <w:jc w:val="both"/>
        <w:textAlignment w:val="auto"/>
        <w:rPr>
          <w:rFonts w:eastAsiaTheme="minorHAnsi"/>
          <w:lang w:eastAsia="ar-SA"/>
        </w:rPr>
      </w:pPr>
      <w:bookmarkStart w:id="26" w:name="_Ref97914689"/>
      <w:r w:rsidRPr="00CB4ABC">
        <w:rPr>
          <w:rFonts w:eastAsiaTheme="minorHAnsi"/>
          <w:lang w:eastAsia="ar-SA"/>
        </w:rPr>
        <w:t xml:space="preserve">SANTUCCI, A., </w:t>
      </w:r>
      <w:r w:rsidRPr="0008486A">
        <w:rPr>
          <w:rFonts w:eastAsiaTheme="minorHAnsi"/>
          <w:i/>
          <w:iCs/>
          <w:lang w:eastAsia="ar-SA"/>
        </w:rPr>
        <w:t>et al</w:t>
      </w:r>
      <w:r w:rsidRPr="00CB4ABC">
        <w:rPr>
          <w:rFonts w:eastAsiaTheme="minorHAnsi"/>
          <w:lang w:eastAsia="ar-SA"/>
        </w:rPr>
        <w:t>.,</w:t>
      </w:r>
      <w:r w:rsidR="001341C2" w:rsidRPr="00CB4ABC">
        <w:rPr>
          <w:rFonts w:eastAsiaTheme="minorHAnsi"/>
          <w:lang w:eastAsia="ar-SA"/>
        </w:rPr>
        <w:t xml:space="preserve"> The issue of Tritium in DEMO coolant and mitigation strategies, Fusion Engineering and Design </w:t>
      </w:r>
      <w:r w:rsidR="001341C2" w:rsidRPr="0008486A">
        <w:rPr>
          <w:rFonts w:eastAsiaTheme="minorHAnsi"/>
          <w:b/>
          <w:bCs/>
          <w:lang w:eastAsia="ar-SA"/>
        </w:rPr>
        <w:t>158</w:t>
      </w:r>
      <w:r w:rsidRPr="00CB4ABC">
        <w:rPr>
          <w:rFonts w:eastAsiaTheme="minorHAnsi"/>
          <w:lang w:eastAsia="ar-SA"/>
        </w:rPr>
        <w:t xml:space="preserve"> (</w:t>
      </w:r>
      <w:r w:rsidR="001341C2" w:rsidRPr="00CB4ABC">
        <w:rPr>
          <w:rFonts w:eastAsiaTheme="minorHAnsi"/>
          <w:lang w:eastAsia="ar-SA"/>
        </w:rPr>
        <w:t>2020</w:t>
      </w:r>
      <w:r w:rsidRPr="00CB4ABC">
        <w:rPr>
          <w:rFonts w:eastAsiaTheme="minorHAnsi"/>
          <w:lang w:eastAsia="ar-SA"/>
        </w:rPr>
        <w:t>)</w:t>
      </w:r>
      <w:r w:rsidR="001341C2" w:rsidRPr="00CB4ABC">
        <w:rPr>
          <w:rFonts w:eastAsiaTheme="minorHAnsi"/>
          <w:lang w:eastAsia="ar-SA"/>
        </w:rPr>
        <w:t xml:space="preserve"> 111759</w:t>
      </w:r>
      <w:bookmarkEnd w:id="26"/>
      <w:r w:rsidRPr="00CB4ABC">
        <w:rPr>
          <w:rFonts w:eastAsiaTheme="minorHAnsi"/>
          <w:lang w:eastAsia="ar-SA"/>
        </w:rPr>
        <w:t>.</w:t>
      </w:r>
    </w:p>
    <w:p w14:paraId="3321FB48" w14:textId="179BA59D" w:rsidR="00933480" w:rsidRPr="00803CA0" w:rsidRDefault="00933480" w:rsidP="00933480">
      <w:pPr>
        <w:overflowPunct/>
        <w:autoSpaceDE/>
        <w:autoSpaceDN/>
        <w:adjustRightInd/>
        <w:spacing w:before="280" w:after="120"/>
        <w:jc w:val="both"/>
        <w:textAlignment w:val="auto"/>
        <w:rPr>
          <w:rFonts w:eastAsiaTheme="minorHAnsi"/>
          <w:lang w:eastAsia="ar-SA"/>
        </w:rPr>
      </w:pPr>
    </w:p>
    <w:sectPr w:rsidR="00933480" w:rsidRPr="00803CA0" w:rsidSect="0026525A">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7F50" w14:textId="77777777" w:rsidR="00B541AE" w:rsidRDefault="00B541AE">
      <w:r>
        <w:separator/>
      </w:r>
    </w:p>
  </w:endnote>
  <w:endnote w:type="continuationSeparator" w:id="0">
    <w:p w14:paraId="68A371B1" w14:textId="77777777" w:rsidR="00B541AE" w:rsidRDefault="00B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4C24C2" w:rsidRDefault="004C24C2">
    <w:pPr>
      <w:pStyle w:val="zyxClassification1"/>
    </w:pPr>
    <w:r>
      <w:fldChar w:fldCharType="begin"/>
    </w:r>
    <w:r>
      <w:instrText xml:space="preserve"> DOCPROPERTY "IaeaClassification"  \* MERGEFORMAT </w:instrText>
    </w:r>
    <w:r>
      <w:fldChar w:fldCharType="end"/>
    </w:r>
  </w:p>
  <w:p w14:paraId="200521DA" w14:textId="77777777" w:rsidR="004C24C2" w:rsidRDefault="004C24C2">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4C24C2" w:rsidRPr="00C95D35" w:rsidRDefault="004C24C2"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4C24C2" w14:paraId="55EDCE14" w14:textId="77777777">
      <w:trPr>
        <w:cantSplit/>
      </w:trPr>
      <w:tc>
        <w:tcPr>
          <w:tcW w:w="4644" w:type="dxa"/>
        </w:tcPr>
        <w:p w14:paraId="4046DEF9" w14:textId="77777777" w:rsidR="004C24C2" w:rsidRDefault="004C24C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4C24C2" w:rsidRDefault="004C24C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8" w:name="DOC_bkmClassification2"/>
      <w:tc>
        <w:tcPr>
          <w:tcW w:w="5670" w:type="dxa"/>
          <w:tcMar>
            <w:right w:w="249" w:type="dxa"/>
          </w:tcMar>
        </w:tcPr>
        <w:p w14:paraId="5BEF3012" w14:textId="77777777" w:rsidR="004C24C2" w:rsidRDefault="004C24C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8"/>
        <w:p w14:paraId="02140AC5" w14:textId="77777777" w:rsidR="004C24C2" w:rsidRDefault="004C24C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9" w:name="DOC_bkmFileName"/>
  <w:p w14:paraId="1F07BD0C" w14:textId="77777777" w:rsidR="004C24C2" w:rsidRDefault="004C24C2">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6CD" w14:textId="77777777" w:rsidR="00B541AE" w:rsidRDefault="00B541AE">
      <w:r>
        <w:t>___________________________________________________________________________</w:t>
      </w:r>
    </w:p>
  </w:footnote>
  <w:footnote w:type="continuationSeparator" w:id="0">
    <w:p w14:paraId="62DB3426" w14:textId="77777777" w:rsidR="00B541AE" w:rsidRDefault="00B541AE">
      <w:r>
        <w:t>___________________________________________________________________________</w:t>
      </w:r>
    </w:p>
  </w:footnote>
  <w:footnote w:type="continuationNotice" w:id="1">
    <w:p w14:paraId="7387C1A4" w14:textId="77777777" w:rsidR="00B541AE" w:rsidRDefault="00B541A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C24C2" w14:paraId="1492AB90" w14:textId="77777777">
      <w:trPr>
        <w:cantSplit/>
        <w:trHeight w:val="716"/>
      </w:trPr>
      <w:tc>
        <w:tcPr>
          <w:tcW w:w="979" w:type="dxa"/>
          <w:vMerge w:val="restart"/>
        </w:tcPr>
        <w:p w14:paraId="3504C8F1" w14:textId="77777777" w:rsidR="004C24C2" w:rsidRDefault="004C24C2">
          <w:pPr>
            <w:spacing w:before="180"/>
            <w:ind w:left="17"/>
          </w:pPr>
        </w:p>
      </w:tc>
      <w:tc>
        <w:tcPr>
          <w:tcW w:w="3638" w:type="dxa"/>
          <w:vAlign w:val="bottom"/>
        </w:tcPr>
        <w:p w14:paraId="139D94AE" w14:textId="77777777" w:rsidR="004C24C2" w:rsidRDefault="004C24C2">
          <w:pPr>
            <w:spacing w:after="20"/>
          </w:pPr>
        </w:p>
      </w:tc>
      <w:bookmarkStart w:id="27" w:name="DOC_bkmClassification1"/>
      <w:tc>
        <w:tcPr>
          <w:tcW w:w="5702" w:type="dxa"/>
          <w:vMerge w:val="restart"/>
          <w:tcMar>
            <w:right w:w="193" w:type="dxa"/>
          </w:tcMar>
        </w:tcPr>
        <w:p w14:paraId="1F5D837F" w14:textId="77777777" w:rsidR="004C24C2" w:rsidRDefault="004C24C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7"/>
        <w:p w14:paraId="618A6006" w14:textId="77777777" w:rsidR="004C24C2" w:rsidRDefault="004C24C2">
          <w:pPr>
            <w:pStyle w:val="zyxConfid2Red"/>
          </w:pPr>
          <w:r>
            <w:fldChar w:fldCharType="begin"/>
          </w:r>
          <w:r>
            <w:instrText>DOCPROPERTY "IaeaClassification2"  \* MERGEFORMAT</w:instrText>
          </w:r>
          <w:r>
            <w:fldChar w:fldCharType="end"/>
          </w:r>
        </w:p>
      </w:tc>
    </w:tr>
    <w:tr w:rsidR="004C24C2" w14:paraId="624C849A" w14:textId="77777777">
      <w:trPr>
        <w:cantSplit/>
        <w:trHeight w:val="167"/>
      </w:trPr>
      <w:tc>
        <w:tcPr>
          <w:tcW w:w="979" w:type="dxa"/>
          <w:vMerge/>
        </w:tcPr>
        <w:p w14:paraId="59CC5D92" w14:textId="77777777" w:rsidR="004C24C2" w:rsidRDefault="004C24C2">
          <w:pPr>
            <w:spacing w:before="57"/>
          </w:pPr>
        </w:p>
      </w:tc>
      <w:tc>
        <w:tcPr>
          <w:tcW w:w="3638" w:type="dxa"/>
          <w:vAlign w:val="bottom"/>
        </w:tcPr>
        <w:p w14:paraId="102E94F7" w14:textId="77777777" w:rsidR="004C24C2" w:rsidRDefault="004C24C2">
          <w:pPr>
            <w:pStyle w:val="Titolo9"/>
            <w:spacing w:before="0" w:after="10"/>
          </w:pPr>
        </w:p>
      </w:tc>
      <w:tc>
        <w:tcPr>
          <w:tcW w:w="5702" w:type="dxa"/>
          <w:vMerge/>
          <w:vAlign w:val="bottom"/>
        </w:tcPr>
        <w:p w14:paraId="661582EC" w14:textId="77777777" w:rsidR="004C24C2" w:rsidRDefault="004C24C2">
          <w:pPr>
            <w:pStyle w:val="Titolo9"/>
            <w:spacing w:before="0" w:after="10"/>
          </w:pPr>
        </w:p>
      </w:tc>
    </w:tr>
  </w:tbl>
  <w:p w14:paraId="2C88053A" w14:textId="77777777" w:rsidR="004C24C2" w:rsidRDefault="004C24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2A918E1"/>
    <w:multiLevelType w:val="hybridMultilevel"/>
    <w:tmpl w:val="3FF88D9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2946"/>
    <w:multiLevelType w:val="hybridMultilevel"/>
    <w:tmpl w:val="D0DE4CD2"/>
    <w:lvl w:ilvl="0" w:tplc="04A22E2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A51B04"/>
    <w:multiLevelType w:val="hybridMultilevel"/>
    <w:tmpl w:val="5D949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6FDA537F"/>
    <w:multiLevelType w:val="hybridMultilevel"/>
    <w:tmpl w:val="DDF6D2AC"/>
    <w:lvl w:ilvl="0" w:tplc="BD5E3A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6"/>
  </w:num>
  <w:num w:numId="3">
    <w:abstractNumId w:val="14"/>
  </w:num>
  <w:num w:numId="4">
    <w:abstractNumId w:val="14"/>
  </w:num>
  <w:num w:numId="5">
    <w:abstractNumId w:val="14"/>
  </w:num>
  <w:num w:numId="6">
    <w:abstractNumId w:val="8"/>
  </w:num>
  <w:num w:numId="7">
    <w:abstractNumId w:val="12"/>
  </w:num>
  <w:num w:numId="8">
    <w:abstractNumId w:val="16"/>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4"/>
  </w:num>
  <w:num w:numId="22">
    <w:abstractNumId w:val="5"/>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14"/>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5"/>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6" w:nlCheck="1" w:checkStyle="1"/>
  <w:activeWritingStyle w:appName="MSWord" w:lang="fr-FR" w:vendorID="64" w:dllVersion="6" w:nlCheck="1" w:checkStyle="1"/>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MTCyNDExtTQ1NzNW0lEKTi0uzszPAykwqQUAXRs/ri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137F6"/>
    <w:rsid w:val="00016197"/>
    <w:rsid w:val="000229AB"/>
    <w:rsid w:val="0002569A"/>
    <w:rsid w:val="000300A7"/>
    <w:rsid w:val="00031CB1"/>
    <w:rsid w:val="00037321"/>
    <w:rsid w:val="00046928"/>
    <w:rsid w:val="000552F9"/>
    <w:rsid w:val="000622B9"/>
    <w:rsid w:val="000646BA"/>
    <w:rsid w:val="00073700"/>
    <w:rsid w:val="0008486A"/>
    <w:rsid w:val="000A0299"/>
    <w:rsid w:val="000A2B47"/>
    <w:rsid w:val="000C6874"/>
    <w:rsid w:val="000F7E94"/>
    <w:rsid w:val="0010380F"/>
    <w:rsid w:val="00107F61"/>
    <w:rsid w:val="001119D6"/>
    <w:rsid w:val="0012117D"/>
    <w:rsid w:val="00126389"/>
    <w:rsid w:val="001308F2"/>
    <w:rsid w:val="001313E8"/>
    <w:rsid w:val="001341C2"/>
    <w:rsid w:val="00144267"/>
    <w:rsid w:val="0015216E"/>
    <w:rsid w:val="0016289B"/>
    <w:rsid w:val="001670AF"/>
    <w:rsid w:val="0019014D"/>
    <w:rsid w:val="0019517F"/>
    <w:rsid w:val="001C58F5"/>
    <w:rsid w:val="001D5CEE"/>
    <w:rsid w:val="001D604C"/>
    <w:rsid w:val="001F49FB"/>
    <w:rsid w:val="002071D9"/>
    <w:rsid w:val="002130B4"/>
    <w:rsid w:val="00222A45"/>
    <w:rsid w:val="00235900"/>
    <w:rsid w:val="00240D61"/>
    <w:rsid w:val="00247C3A"/>
    <w:rsid w:val="00256822"/>
    <w:rsid w:val="0026525A"/>
    <w:rsid w:val="00265CBF"/>
    <w:rsid w:val="00274790"/>
    <w:rsid w:val="00276943"/>
    <w:rsid w:val="00285755"/>
    <w:rsid w:val="00293492"/>
    <w:rsid w:val="00294B8A"/>
    <w:rsid w:val="00295595"/>
    <w:rsid w:val="002A1F9C"/>
    <w:rsid w:val="002A3DC4"/>
    <w:rsid w:val="002B2888"/>
    <w:rsid w:val="002B29C2"/>
    <w:rsid w:val="002B4020"/>
    <w:rsid w:val="002B670D"/>
    <w:rsid w:val="002C2803"/>
    <w:rsid w:val="002C4208"/>
    <w:rsid w:val="002E6333"/>
    <w:rsid w:val="00300052"/>
    <w:rsid w:val="003000B8"/>
    <w:rsid w:val="00306628"/>
    <w:rsid w:val="00311531"/>
    <w:rsid w:val="00313363"/>
    <w:rsid w:val="00325678"/>
    <w:rsid w:val="00333AB7"/>
    <w:rsid w:val="00352DE1"/>
    <w:rsid w:val="00354BB7"/>
    <w:rsid w:val="0036063F"/>
    <w:rsid w:val="0036601D"/>
    <w:rsid w:val="00367CB1"/>
    <w:rsid w:val="003728E6"/>
    <w:rsid w:val="003760DD"/>
    <w:rsid w:val="00382257"/>
    <w:rsid w:val="003A3249"/>
    <w:rsid w:val="003A5CE0"/>
    <w:rsid w:val="003B5E0E"/>
    <w:rsid w:val="003D255A"/>
    <w:rsid w:val="00416949"/>
    <w:rsid w:val="00434009"/>
    <w:rsid w:val="004370D8"/>
    <w:rsid w:val="00446113"/>
    <w:rsid w:val="004473EE"/>
    <w:rsid w:val="00472C43"/>
    <w:rsid w:val="00477B19"/>
    <w:rsid w:val="00487BE4"/>
    <w:rsid w:val="004910D8"/>
    <w:rsid w:val="004B0A35"/>
    <w:rsid w:val="004C24C2"/>
    <w:rsid w:val="004D1801"/>
    <w:rsid w:val="004D3858"/>
    <w:rsid w:val="004F25EF"/>
    <w:rsid w:val="004F4ED3"/>
    <w:rsid w:val="00520129"/>
    <w:rsid w:val="0052042B"/>
    <w:rsid w:val="00537496"/>
    <w:rsid w:val="00544ED3"/>
    <w:rsid w:val="005456B0"/>
    <w:rsid w:val="00547F26"/>
    <w:rsid w:val="00555BA4"/>
    <w:rsid w:val="0056381D"/>
    <w:rsid w:val="0057131A"/>
    <w:rsid w:val="0058477B"/>
    <w:rsid w:val="0058654F"/>
    <w:rsid w:val="00595400"/>
    <w:rsid w:val="00596ACA"/>
    <w:rsid w:val="005A1DDA"/>
    <w:rsid w:val="005B7E6B"/>
    <w:rsid w:val="005C5D2D"/>
    <w:rsid w:val="005D30BB"/>
    <w:rsid w:val="005E39BC"/>
    <w:rsid w:val="005F00A0"/>
    <w:rsid w:val="005F4AF8"/>
    <w:rsid w:val="006000B2"/>
    <w:rsid w:val="00604C59"/>
    <w:rsid w:val="00612CB0"/>
    <w:rsid w:val="006130CD"/>
    <w:rsid w:val="00636B12"/>
    <w:rsid w:val="00647F33"/>
    <w:rsid w:val="00654B09"/>
    <w:rsid w:val="00654BFF"/>
    <w:rsid w:val="00662532"/>
    <w:rsid w:val="00675240"/>
    <w:rsid w:val="0068266C"/>
    <w:rsid w:val="00684298"/>
    <w:rsid w:val="00693B78"/>
    <w:rsid w:val="006B2274"/>
    <w:rsid w:val="006B2E53"/>
    <w:rsid w:val="006B5E8D"/>
    <w:rsid w:val="006D6E12"/>
    <w:rsid w:val="006F3D2F"/>
    <w:rsid w:val="00710114"/>
    <w:rsid w:val="007113E8"/>
    <w:rsid w:val="00714E03"/>
    <w:rsid w:val="00717C6F"/>
    <w:rsid w:val="007445DA"/>
    <w:rsid w:val="00751DC8"/>
    <w:rsid w:val="007574A2"/>
    <w:rsid w:val="00762CC1"/>
    <w:rsid w:val="00765630"/>
    <w:rsid w:val="00790E9A"/>
    <w:rsid w:val="007A7A93"/>
    <w:rsid w:val="007B4FD1"/>
    <w:rsid w:val="007B57CF"/>
    <w:rsid w:val="007B582D"/>
    <w:rsid w:val="007D0519"/>
    <w:rsid w:val="007F7C5C"/>
    <w:rsid w:val="00800B84"/>
    <w:rsid w:val="00802381"/>
    <w:rsid w:val="00803CA0"/>
    <w:rsid w:val="0080787D"/>
    <w:rsid w:val="00815F3A"/>
    <w:rsid w:val="008270D0"/>
    <w:rsid w:val="00827B38"/>
    <w:rsid w:val="0085046A"/>
    <w:rsid w:val="008601BE"/>
    <w:rsid w:val="008701ED"/>
    <w:rsid w:val="0088287F"/>
    <w:rsid w:val="00883848"/>
    <w:rsid w:val="00887C1D"/>
    <w:rsid w:val="00897ED5"/>
    <w:rsid w:val="008B6BB9"/>
    <w:rsid w:val="008C3C89"/>
    <w:rsid w:val="008D14F5"/>
    <w:rsid w:val="008F3D5E"/>
    <w:rsid w:val="008F4C98"/>
    <w:rsid w:val="00911543"/>
    <w:rsid w:val="00933480"/>
    <w:rsid w:val="009519C9"/>
    <w:rsid w:val="00953149"/>
    <w:rsid w:val="00954ACA"/>
    <w:rsid w:val="00983848"/>
    <w:rsid w:val="009C428A"/>
    <w:rsid w:val="009C74A3"/>
    <w:rsid w:val="009D0B86"/>
    <w:rsid w:val="009D21F0"/>
    <w:rsid w:val="009D394D"/>
    <w:rsid w:val="009E0D5B"/>
    <w:rsid w:val="009E1558"/>
    <w:rsid w:val="00A1495E"/>
    <w:rsid w:val="00A27B3B"/>
    <w:rsid w:val="00A42898"/>
    <w:rsid w:val="00A964E3"/>
    <w:rsid w:val="00AA6A78"/>
    <w:rsid w:val="00AB6ACE"/>
    <w:rsid w:val="00AC5A3A"/>
    <w:rsid w:val="00AD2552"/>
    <w:rsid w:val="00AD3A32"/>
    <w:rsid w:val="00AD41C9"/>
    <w:rsid w:val="00AD6BB4"/>
    <w:rsid w:val="00AE0AE2"/>
    <w:rsid w:val="00AE3283"/>
    <w:rsid w:val="00AE6705"/>
    <w:rsid w:val="00AF506D"/>
    <w:rsid w:val="00B07B27"/>
    <w:rsid w:val="00B1443F"/>
    <w:rsid w:val="00B35D99"/>
    <w:rsid w:val="00B541AE"/>
    <w:rsid w:val="00B54CDF"/>
    <w:rsid w:val="00B808D8"/>
    <w:rsid w:val="00B82FA5"/>
    <w:rsid w:val="00B90025"/>
    <w:rsid w:val="00B954CD"/>
    <w:rsid w:val="00BA6CC3"/>
    <w:rsid w:val="00BB7724"/>
    <w:rsid w:val="00BC0D33"/>
    <w:rsid w:val="00BD1400"/>
    <w:rsid w:val="00BD196C"/>
    <w:rsid w:val="00BD605C"/>
    <w:rsid w:val="00BE2A76"/>
    <w:rsid w:val="00C06783"/>
    <w:rsid w:val="00C16BBB"/>
    <w:rsid w:val="00C224FF"/>
    <w:rsid w:val="00C520EE"/>
    <w:rsid w:val="00C54A96"/>
    <w:rsid w:val="00C65E60"/>
    <w:rsid w:val="00C81532"/>
    <w:rsid w:val="00C95D35"/>
    <w:rsid w:val="00C97CFF"/>
    <w:rsid w:val="00CB0288"/>
    <w:rsid w:val="00CB4ABC"/>
    <w:rsid w:val="00CC2382"/>
    <w:rsid w:val="00CC6B61"/>
    <w:rsid w:val="00CD7ABF"/>
    <w:rsid w:val="00CE37DE"/>
    <w:rsid w:val="00CE5A52"/>
    <w:rsid w:val="00CF7AF3"/>
    <w:rsid w:val="00D26ADA"/>
    <w:rsid w:val="00D35A78"/>
    <w:rsid w:val="00D540F3"/>
    <w:rsid w:val="00D555A1"/>
    <w:rsid w:val="00D64DC2"/>
    <w:rsid w:val="00D87884"/>
    <w:rsid w:val="00D93BBB"/>
    <w:rsid w:val="00DA46CA"/>
    <w:rsid w:val="00DA497D"/>
    <w:rsid w:val="00DA59EF"/>
    <w:rsid w:val="00DC1C67"/>
    <w:rsid w:val="00DD66FA"/>
    <w:rsid w:val="00DE024B"/>
    <w:rsid w:val="00DE5C99"/>
    <w:rsid w:val="00DE7061"/>
    <w:rsid w:val="00DE79CB"/>
    <w:rsid w:val="00DF21EB"/>
    <w:rsid w:val="00DF3A79"/>
    <w:rsid w:val="00DF69EA"/>
    <w:rsid w:val="00DF72D9"/>
    <w:rsid w:val="00E20E70"/>
    <w:rsid w:val="00E25B68"/>
    <w:rsid w:val="00E4495A"/>
    <w:rsid w:val="00E84003"/>
    <w:rsid w:val="00EB48F4"/>
    <w:rsid w:val="00EC10FC"/>
    <w:rsid w:val="00EC7F7D"/>
    <w:rsid w:val="00EE0041"/>
    <w:rsid w:val="00EE29B9"/>
    <w:rsid w:val="00EE302C"/>
    <w:rsid w:val="00EE30B2"/>
    <w:rsid w:val="00EF5DCA"/>
    <w:rsid w:val="00F004EE"/>
    <w:rsid w:val="00F03A87"/>
    <w:rsid w:val="00F041CD"/>
    <w:rsid w:val="00F163F3"/>
    <w:rsid w:val="00F24B40"/>
    <w:rsid w:val="00F26143"/>
    <w:rsid w:val="00F37395"/>
    <w:rsid w:val="00F42E23"/>
    <w:rsid w:val="00F45EEE"/>
    <w:rsid w:val="00F51E9C"/>
    <w:rsid w:val="00F523CA"/>
    <w:rsid w:val="00F56BA1"/>
    <w:rsid w:val="00F60749"/>
    <w:rsid w:val="00F66253"/>
    <w:rsid w:val="00F70F80"/>
    <w:rsid w:val="00F74A9D"/>
    <w:rsid w:val="00F81411"/>
    <w:rsid w:val="00F90700"/>
    <w:rsid w:val="00F92F20"/>
    <w:rsid w:val="00F951F1"/>
    <w:rsid w:val="00F9590C"/>
    <w:rsid w:val="00FB4093"/>
    <w:rsid w:val="00FC79A2"/>
    <w:rsid w:val="00FD72C5"/>
    <w:rsid w:val="00FF0B34"/>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A42BEFBA-CA2E-4343-B026-86539D7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aliases w:val="Tabelle,Figure_caption Carattere,Table_caption Carattere,Figure_caption Carattere Carattere Carattere Carattere,Table_caption,Название объекта Знак,0 - Didascalia,Didascalia Figure"/>
    <w:next w:val="Normale"/>
    <w:link w:val="DidascaliaCarattere"/>
    <w:uiPriority w:val="35"/>
    <w:qFormat/>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styleId="Collegamentoipertestuale">
    <w:name w:val="Hyperlink"/>
    <w:basedOn w:val="Carpredefinitoparagrafo"/>
    <w:uiPriority w:val="49"/>
    <w:unhideWhenUsed/>
    <w:locked/>
    <w:rsid w:val="002130B4"/>
    <w:rPr>
      <w:color w:val="0000FF" w:themeColor="hyperlink"/>
      <w:u w:val="single"/>
    </w:rPr>
  </w:style>
  <w:style w:type="character" w:styleId="Rimandocommento">
    <w:name w:val="annotation reference"/>
    <w:basedOn w:val="Carpredefinitoparagrafo"/>
    <w:uiPriority w:val="49"/>
    <w:semiHidden/>
    <w:unhideWhenUsed/>
    <w:locked/>
    <w:rsid w:val="00AA6A78"/>
    <w:rPr>
      <w:sz w:val="16"/>
      <w:szCs w:val="16"/>
    </w:rPr>
  </w:style>
  <w:style w:type="paragraph" w:styleId="Testocommento">
    <w:name w:val="annotation text"/>
    <w:basedOn w:val="Normale"/>
    <w:link w:val="TestocommentoCarattere"/>
    <w:uiPriority w:val="49"/>
    <w:semiHidden/>
    <w:unhideWhenUsed/>
    <w:locked/>
    <w:rsid w:val="00AA6A78"/>
    <w:rPr>
      <w:sz w:val="20"/>
    </w:rPr>
  </w:style>
  <w:style w:type="character" w:customStyle="1" w:styleId="TestocommentoCarattere">
    <w:name w:val="Testo commento Carattere"/>
    <w:basedOn w:val="Carpredefinitoparagrafo"/>
    <w:link w:val="Testocommento"/>
    <w:uiPriority w:val="49"/>
    <w:semiHidden/>
    <w:rsid w:val="00AA6A78"/>
    <w:rPr>
      <w:lang w:eastAsia="en-US"/>
    </w:rPr>
  </w:style>
  <w:style w:type="paragraph" w:styleId="Soggettocommento">
    <w:name w:val="annotation subject"/>
    <w:basedOn w:val="Testocommento"/>
    <w:next w:val="Testocommento"/>
    <w:link w:val="SoggettocommentoCarattere"/>
    <w:uiPriority w:val="49"/>
    <w:semiHidden/>
    <w:unhideWhenUsed/>
    <w:locked/>
    <w:rsid w:val="00AA6A78"/>
    <w:rPr>
      <w:b/>
      <w:bCs/>
    </w:rPr>
  </w:style>
  <w:style w:type="character" w:customStyle="1" w:styleId="SoggettocommentoCarattere">
    <w:name w:val="Soggetto commento Carattere"/>
    <w:basedOn w:val="TestocommentoCarattere"/>
    <w:link w:val="Soggettocommento"/>
    <w:uiPriority w:val="49"/>
    <w:semiHidden/>
    <w:rsid w:val="00AA6A78"/>
    <w:rPr>
      <w:b/>
      <w:bCs/>
      <w:lang w:eastAsia="en-US"/>
    </w:rPr>
  </w:style>
  <w:style w:type="character" w:customStyle="1" w:styleId="DidascaliaCarattere">
    <w:name w:val="Didascalia Carattere"/>
    <w:aliases w:val="Tabelle Carattere,Figure_caption Carattere Carattere,Table_caption Carattere Carattere,Figure_caption Carattere Carattere Carattere Carattere Carattere,Table_caption Carattere1,Название объекта Знак Carattere"/>
    <w:basedOn w:val="Carpredefinitoparagrafo"/>
    <w:link w:val="Didascalia"/>
    <w:uiPriority w:val="35"/>
    <w:rsid w:val="004D3858"/>
    <w:rPr>
      <w:bCs/>
      <w:sz w:val="18"/>
      <w:lang w:val="en-US" w:eastAsia="en-US"/>
    </w:rPr>
  </w:style>
  <w:style w:type="character" w:styleId="Testosegnaposto">
    <w:name w:val="Placeholder Text"/>
    <w:basedOn w:val="Carpredefinitoparagrafo"/>
    <w:uiPriority w:val="99"/>
    <w:semiHidden/>
    <w:locked/>
    <w:rsid w:val="004D3858"/>
    <w:rPr>
      <w:color w:val="808080"/>
    </w:rPr>
  </w:style>
  <w:style w:type="paragraph" w:styleId="Paragrafoelenco">
    <w:name w:val="List Paragraph"/>
    <w:basedOn w:val="Normale"/>
    <w:uiPriority w:val="49"/>
    <w:locked/>
    <w:rsid w:val="00983848"/>
    <w:pPr>
      <w:ind w:left="720"/>
      <w:contextualSpacing/>
    </w:pPr>
  </w:style>
  <w:style w:type="paragraph" w:styleId="Revisione">
    <w:name w:val="Revision"/>
    <w:hidden/>
    <w:uiPriority w:val="99"/>
    <w:semiHidden/>
    <w:rsid w:val="00CB4AB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8152">
      <w:bodyDiv w:val="1"/>
      <w:marLeft w:val="0"/>
      <w:marRight w:val="0"/>
      <w:marTop w:val="0"/>
      <w:marBottom w:val="0"/>
      <w:divBdr>
        <w:top w:val="none" w:sz="0" w:space="0" w:color="auto"/>
        <w:left w:val="none" w:sz="0" w:space="0" w:color="auto"/>
        <w:bottom w:val="none" w:sz="0" w:space="0" w:color="auto"/>
        <w:right w:val="none" w:sz="0" w:space="0" w:color="auto"/>
      </w:divBdr>
    </w:div>
    <w:div w:id="550653173">
      <w:bodyDiv w:val="1"/>
      <w:marLeft w:val="0"/>
      <w:marRight w:val="0"/>
      <w:marTop w:val="0"/>
      <w:marBottom w:val="0"/>
      <w:divBdr>
        <w:top w:val="none" w:sz="0" w:space="0" w:color="auto"/>
        <w:left w:val="none" w:sz="0" w:space="0" w:color="auto"/>
        <w:bottom w:val="none" w:sz="0" w:space="0" w:color="auto"/>
        <w:right w:val="none" w:sz="0" w:space="0" w:color="auto"/>
      </w:divBdr>
    </w:div>
    <w:div w:id="1270964034">
      <w:bodyDiv w:val="1"/>
      <w:marLeft w:val="0"/>
      <w:marRight w:val="0"/>
      <w:marTop w:val="0"/>
      <w:marBottom w:val="0"/>
      <w:divBdr>
        <w:top w:val="none" w:sz="0" w:space="0" w:color="auto"/>
        <w:left w:val="none" w:sz="0" w:space="0" w:color="auto"/>
        <w:bottom w:val="none" w:sz="0" w:space="0" w:color="auto"/>
        <w:right w:val="none" w:sz="0" w:space="0" w:color="auto"/>
      </w:divBdr>
      <w:divsChild>
        <w:div w:id="1826512728">
          <w:marLeft w:val="446"/>
          <w:marRight w:val="0"/>
          <w:marTop w:val="0"/>
          <w:marBottom w:val="0"/>
          <w:divBdr>
            <w:top w:val="none" w:sz="0" w:space="0" w:color="auto"/>
            <w:left w:val="none" w:sz="0" w:space="0" w:color="auto"/>
            <w:bottom w:val="none" w:sz="0" w:space="0" w:color="auto"/>
            <w:right w:val="none" w:sz="0" w:space="0" w:color="auto"/>
          </w:divBdr>
        </w:div>
      </w:divsChild>
    </w:div>
    <w:div w:id="1439565115">
      <w:bodyDiv w:val="1"/>
      <w:marLeft w:val="0"/>
      <w:marRight w:val="0"/>
      <w:marTop w:val="0"/>
      <w:marBottom w:val="0"/>
      <w:divBdr>
        <w:top w:val="none" w:sz="0" w:space="0" w:color="auto"/>
        <w:left w:val="none" w:sz="0" w:space="0" w:color="auto"/>
        <w:bottom w:val="none" w:sz="0" w:space="0" w:color="auto"/>
        <w:right w:val="none" w:sz="0" w:space="0" w:color="auto"/>
      </w:divBdr>
    </w:div>
    <w:div w:id="1459448427">
      <w:bodyDiv w:val="1"/>
      <w:marLeft w:val="0"/>
      <w:marRight w:val="0"/>
      <w:marTop w:val="0"/>
      <w:marBottom w:val="0"/>
      <w:divBdr>
        <w:top w:val="none" w:sz="0" w:space="0" w:color="auto"/>
        <w:left w:val="none" w:sz="0" w:space="0" w:color="auto"/>
        <w:bottom w:val="none" w:sz="0" w:space="0" w:color="auto"/>
        <w:right w:val="none" w:sz="0" w:space="0" w:color="auto"/>
      </w:divBdr>
    </w:div>
    <w:div w:id="1659769868">
      <w:bodyDiv w:val="1"/>
      <w:marLeft w:val="0"/>
      <w:marRight w:val="0"/>
      <w:marTop w:val="0"/>
      <w:marBottom w:val="0"/>
      <w:divBdr>
        <w:top w:val="none" w:sz="0" w:space="0" w:color="auto"/>
        <w:left w:val="none" w:sz="0" w:space="0" w:color="auto"/>
        <w:bottom w:val="none" w:sz="0" w:space="0" w:color="auto"/>
        <w:right w:val="none" w:sz="0" w:space="0" w:color="auto"/>
      </w:divBdr>
    </w:div>
    <w:div w:id="1909152750">
      <w:bodyDiv w:val="1"/>
      <w:marLeft w:val="0"/>
      <w:marRight w:val="0"/>
      <w:marTop w:val="0"/>
      <w:marBottom w:val="0"/>
      <w:divBdr>
        <w:top w:val="none" w:sz="0" w:space="0" w:color="auto"/>
        <w:left w:val="none" w:sz="0" w:space="0" w:color="auto"/>
        <w:bottom w:val="none" w:sz="0" w:space="0" w:color="auto"/>
        <w:right w:val="none" w:sz="0" w:space="0" w:color="auto"/>
      </w:divBdr>
    </w:div>
    <w:div w:id="2028602615">
      <w:bodyDiv w:val="1"/>
      <w:marLeft w:val="0"/>
      <w:marRight w:val="0"/>
      <w:marTop w:val="0"/>
      <w:marBottom w:val="0"/>
      <w:divBdr>
        <w:top w:val="none" w:sz="0" w:space="0" w:color="auto"/>
        <w:left w:val="none" w:sz="0" w:space="0" w:color="auto"/>
        <w:bottom w:val="none" w:sz="0" w:space="0" w:color="auto"/>
        <w:right w:val="none" w:sz="0" w:space="0" w:color="auto"/>
      </w:divBdr>
    </w:div>
    <w:div w:id="2132280925">
      <w:bodyDiv w:val="1"/>
      <w:marLeft w:val="0"/>
      <w:marRight w:val="0"/>
      <w:marTop w:val="0"/>
      <w:marBottom w:val="0"/>
      <w:divBdr>
        <w:top w:val="none" w:sz="0" w:space="0" w:color="auto"/>
        <w:left w:val="none" w:sz="0" w:space="0" w:color="auto"/>
        <w:bottom w:val="none" w:sz="0" w:space="0" w:color="auto"/>
        <w:right w:val="none" w:sz="0" w:space="0" w:color="auto"/>
      </w:divBdr>
      <w:divsChild>
        <w:div w:id="1093355850">
          <w:marLeft w:val="446"/>
          <w:marRight w:val="0"/>
          <w:marTop w:val="0"/>
          <w:marBottom w:val="0"/>
          <w:divBdr>
            <w:top w:val="none" w:sz="0" w:space="0" w:color="auto"/>
            <w:left w:val="none" w:sz="0" w:space="0" w:color="auto"/>
            <w:bottom w:val="none" w:sz="0" w:space="0" w:color="auto"/>
            <w:right w:val="none" w:sz="0" w:space="0" w:color="auto"/>
          </w:divBdr>
        </w:div>
        <w:div w:id="1687602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062A954A-A45E-4C9E-8211-D126148C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6</Pages>
  <Words>2250</Words>
  <Characters>12827</Characters>
  <Application>Microsoft Office Word</Application>
  <DocSecurity>0</DocSecurity>
  <Lines>106</Lines>
  <Paragraphs>30</Paragraphs>
  <ScaleCrop>false</ScaleCrop>
  <HeadingPairs>
    <vt:vector size="8" baseType="variant">
      <vt:variant>
        <vt:lpstr>Titolo</vt:lpstr>
      </vt:variant>
      <vt:variant>
        <vt:i4>1</vt:i4>
      </vt:variant>
      <vt:variant>
        <vt:lpstr>Título</vt:lpstr>
      </vt:variant>
      <vt:variant>
        <vt:i4>1</vt:i4>
      </vt:variant>
      <vt:variant>
        <vt:lpstr>Títulos</vt:lpstr>
      </vt:variant>
      <vt:variant>
        <vt:i4>1</vt:i4>
      </vt:variant>
      <vt:variant>
        <vt:lpstr>Title</vt:lpstr>
      </vt:variant>
      <vt:variant>
        <vt:i4>1</vt:i4>
      </vt:variant>
    </vt:vector>
  </HeadingPairs>
  <TitlesOfParts>
    <vt:vector size="4" baseType="lpstr">
      <vt:lpstr>Extended Abtract</vt:lpstr>
      <vt:lpstr>Extended Abtract</vt:lpstr>
      <vt:lpstr>Cross-cutting issues in fusion and fission materials development</vt:lpstr>
      <vt:lpstr>Extended Abtract</vt:lpstr>
    </vt:vector>
  </TitlesOfParts>
  <Company>IAEA</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marco.utili</cp:lastModifiedBy>
  <cp:revision>3</cp:revision>
  <cp:lastPrinted>2015-12-01T10:27:00Z</cp:lastPrinted>
  <dcterms:created xsi:type="dcterms:W3CDTF">2022-03-12T08:55:00Z</dcterms:created>
  <dcterms:modified xsi:type="dcterms:W3CDTF">2022-03-12T09:01:00Z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