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40AAB" w14:textId="268E8CF6" w:rsidR="00CE15FD" w:rsidRDefault="00CE15FD">
      <w:pPr>
        <w:rPr>
          <w:rFonts w:ascii="Times New Roman" w:hAnsi="Times New Roman" w:cs="Times New Roman"/>
          <w:b/>
          <w:bCs/>
          <w:sz w:val="24"/>
          <w:szCs w:val="24"/>
          <w:lang w:val="en-US"/>
        </w:rPr>
      </w:pPr>
      <w:r>
        <w:rPr>
          <w:rFonts w:ascii="Times New Roman" w:hAnsi="Times New Roman" w:cs="Times New Roman"/>
          <w:b/>
          <w:bCs/>
          <w:sz w:val="24"/>
          <w:szCs w:val="24"/>
          <w:lang w:val="en-US"/>
        </w:rPr>
        <w:t>SMALL MODULAR REACTOR</w:t>
      </w:r>
      <w:r w:rsidR="00930F97">
        <w:rPr>
          <w:rFonts w:ascii="Times New Roman" w:hAnsi="Times New Roman" w:cs="Times New Roman"/>
          <w:b/>
          <w:bCs/>
          <w:sz w:val="24"/>
          <w:szCs w:val="24"/>
          <w:lang w:val="en-US"/>
        </w:rPr>
        <w:t xml:space="preserve"> AND NUCLEAR FUSION</w:t>
      </w:r>
      <w:r>
        <w:rPr>
          <w:rFonts w:ascii="Times New Roman" w:hAnsi="Times New Roman" w:cs="Times New Roman"/>
          <w:b/>
          <w:bCs/>
          <w:sz w:val="24"/>
          <w:szCs w:val="24"/>
          <w:lang w:val="en-US"/>
        </w:rPr>
        <w:t xml:space="preserve"> STARTUP</w:t>
      </w:r>
      <w:r w:rsidR="004804BA">
        <w:rPr>
          <w:rFonts w:ascii="Times New Roman" w:hAnsi="Times New Roman" w:cs="Times New Roman"/>
          <w:b/>
          <w:bCs/>
          <w:sz w:val="24"/>
          <w:szCs w:val="24"/>
          <w:lang w:val="en-US"/>
        </w:rPr>
        <w:t xml:space="preserve"> COMPANIE</w:t>
      </w:r>
      <w:r>
        <w:rPr>
          <w:rFonts w:ascii="Times New Roman" w:hAnsi="Times New Roman" w:cs="Times New Roman"/>
          <w:b/>
          <w:bCs/>
          <w:sz w:val="24"/>
          <w:szCs w:val="24"/>
          <w:lang w:val="en-US"/>
        </w:rPr>
        <w:t>S</w:t>
      </w:r>
    </w:p>
    <w:p w14:paraId="62628EF9" w14:textId="60698114" w:rsidR="00AB7B21" w:rsidRPr="00073700" w:rsidRDefault="001E2A35" w:rsidP="00AB7B21">
      <w:pPr>
        <w:pStyle w:val="Authornameandaffiliation"/>
        <w:ind w:left="0"/>
        <w:jc w:val="both"/>
        <w:rPr>
          <w:sz w:val="24"/>
          <w:szCs w:val="24"/>
          <w:lang w:val="en-GB"/>
        </w:rPr>
      </w:pPr>
      <w:r>
        <w:rPr>
          <w:sz w:val="24"/>
          <w:szCs w:val="24"/>
          <w:lang w:val="en-GB"/>
        </w:rPr>
        <w:t>S. CHOI, S. DARDOUR</w:t>
      </w:r>
      <w:r w:rsidR="00BB639D">
        <w:rPr>
          <w:sz w:val="24"/>
          <w:szCs w:val="24"/>
          <w:lang w:val="en-GB"/>
        </w:rPr>
        <w:t xml:space="preserve">, </w:t>
      </w:r>
      <w:r w:rsidR="00BB639D" w:rsidRPr="00073700">
        <w:rPr>
          <w:sz w:val="24"/>
          <w:szCs w:val="24"/>
          <w:lang w:val="en-GB"/>
        </w:rPr>
        <w:t>A.</w:t>
      </w:r>
      <w:r w:rsidR="00BB639D">
        <w:rPr>
          <w:sz w:val="24"/>
          <w:szCs w:val="24"/>
          <w:lang w:val="en-GB"/>
        </w:rPr>
        <w:t>I. VAN HEEK</w:t>
      </w:r>
    </w:p>
    <w:p w14:paraId="7A13E216" w14:textId="119C972A" w:rsidR="00AB7B21" w:rsidRPr="00073700" w:rsidRDefault="00113422" w:rsidP="00AB7B21">
      <w:pPr>
        <w:pStyle w:val="Authornameandaffiliation"/>
        <w:ind w:left="0"/>
        <w:jc w:val="both"/>
        <w:rPr>
          <w:sz w:val="24"/>
          <w:szCs w:val="24"/>
          <w:lang w:val="en-GB"/>
        </w:rPr>
      </w:pPr>
      <w:r>
        <w:rPr>
          <w:sz w:val="24"/>
          <w:szCs w:val="24"/>
          <w:lang w:val="en-GB"/>
        </w:rPr>
        <w:t>IAEA</w:t>
      </w:r>
    </w:p>
    <w:p w14:paraId="67D55AF4" w14:textId="282EF733" w:rsidR="00AB7B21" w:rsidRPr="00073700" w:rsidRDefault="00113422" w:rsidP="00AB7B21">
      <w:pPr>
        <w:pStyle w:val="Authornameandaffiliation"/>
        <w:ind w:left="0"/>
        <w:jc w:val="both"/>
        <w:rPr>
          <w:sz w:val="24"/>
          <w:szCs w:val="24"/>
          <w:lang w:val="en-GB"/>
        </w:rPr>
      </w:pPr>
      <w:r>
        <w:rPr>
          <w:sz w:val="24"/>
          <w:szCs w:val="24"/>
          <w:lang w:val="en-GB"/>
        </w:rPr>
        <w:t>Vienna</w:t>
      </w:r>
      <w:r w:rsidR="00AB7B21" w:rsidRPr="00073700">
        <w:rPr>
          <w:sz w:val="24"/>
          <w:szCs w:val="24"/>
          <w:lang w:val="en-GB"/>
        </w:rPr>
        <w:t xml:space="preserve">, </w:t>
      </w:r>
      <w:r>
        <w:rPr>
          <w:sz w:val="24"/>
          <w:szCs w:val="24"/>
          <w:lang w:val="en-GB"/>
        </w:rPr>
        <w:t>Austria</w:t>
      </w:r>
    </w:p>
    <w:p w14:paraId="7F0F314E" w14:textId="4DD7DA30" w:rsidR="00AB7B21" w:rsidRPr="00073700" w:rsidRDefault="00AB7B21" w:rsidP="00AB7B21">
      <w:pPr>
        <w:pStyle w:val="Authornameandaffiliation"/>
        <w:ind w:left="0"/>
        <w:jc w:val="both"/>
        <w:rPr>
          <w:sz w:val="24"/>
          <w:szCs w:val="24"/>
          <w:lang w:val="en-GB"/>
        </w:rPr>
      </w:pPr>
      <w:r w:rsidRPr="00073700">
        <w:rPr>
          <w:sz w:val="24"/>
          <w:szCs w:val="24"/>
          <w:lang w:val="en-GB"/>
        </w:rPr>
        <w:t>Email: a</w:t>
      </w:r>
      <w:r w:rsidR="00113422">
        <w:rPr>
          <w:sz w:val="24"/>
          <w:szCs w:val="24"/>
          <w:lang w:val="en-GB"/>
        </w:rPr>
        <w:t>.vanheek</w:t>
      </w:r>
      <w:r w:rsidRPr="00073700">
        <w:rPr>
          <w:sz w:val="24"/>
          <w:szCs w:val="24"/>
          <w:lang w:val="en-GB"/>
        </w:rPr>
        <w:t>@</w:t>
      </w:r>
      <w:r w:rsidR="00113422">
        <w:rPr>
          <w:sz w:val="24"/>
          <w:szCs w:val="24"/>
          <w:lang w:val="en-GB"/>
        </w:rPr>
        <w:t>iaea.org</w:t>
      </w:r>
    </w:p>
    <w:p w14:paraId="04E38868" w14:textId="77777777" w:rsidR="00AB7B21" w:rsidRPr="00073700" w:rsidRDefault="00AB7B21" w:rsidP="00AB7B21">
      <w:pPr>
        <w:pStyle w:val="Authornameandaffiliation"/>
        <w:ind w:left="0"/>
        <w:jc w:val="both"/>
        <w:rPr>
          <w:sz w:val="24"/>
          <w:szCs w:val="24"/>
          <w:lang w:val="en-GB"/>
        </w:rPr>
      </w:pPr>
    </w:p>
    <w:p w14:paraId="2612CC52" w14:textId="69229458" w:rsidR="00AD528A" w:rsidRDefault="00195B21" w:rsidP="001A3BA2">
      <w:pPr>
        <w:spacing w:after="2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Besides the traditional nuclear vendor companies developing nuclear </w:t>
      </w:r>
      <w:r w:rsidR="007B0B59">
        <w:rPr>
          <w:rFonts w:ascii="Times New Roman" w:hAnsi="Times New Roman" w:cs="Times New Roman"/>
          <w:sz w:val="24"/>
          <w:szCs w:val="24"/>
          <w:lang w:val="en-US"/>
        </w:rPr>
        <w:t xml:space="preserve">power technology, </w:t>
      </w:r>
      <w:r w:rsidR="00163CEF">
        <w:rPr>
          <w:rFonts w:ascii="Times New Roman" w:hAnsi="Times New Roman" w:cs="Times New Roman"/>
          <w:sz w:val="24"/>
          <w:szCs w:val="24"/>
          <w:lang w:val="en-US"/>
        </w:rPr>
        <w:t xml:space="preserve">also many startup companies </w:t>
      </w:r>
      <w:r w:rsidR="0092227D">
        <w:rPr>
          <w:rFonts w:ascii="Times New Roman" w:hAnsi="Times New Roman" w:cs="Times New Roman"/>
          <w:sz w:val="24"/>
          <w:szCs w:val="24"/>
          <w:lang w:val="en-US"/>
        </w:rPr>
        <w:t xml:space="preserve">entered the nuclear </w:t>
      </w:r>
      <w:r w:rsidR="00281B56">
        <w:rPr>
          <w:rFonts w:ascii="Times New Roman" w:hAnsi="Times New Roman" w:cs="Times New Roman"/>
          <w:sz w:val="24"/>
          <w:szCs w:val="24"/>
          <w:lang w:val="en-US"/>
        </w:rPr>
        <w:t xml:space="preserve">energy </w:t>
      </w:r>
      <w:r w:rsidR="0092227D">
        <w:rPr>
          <w:rFonts w:ascii="Times New Roman" w:hAnsi="Times New Roman" w:cs="Times New Roman"/>
          <w:sz w:val="24"/>
          <w:szCs w:val="24"/>
          <w:lang w:val="en-US"/>
        </w:rPr>
        <w:t>development scene in the past two decades.</w:t>
      </w:r>
      <w:r w:rsidR="00FB336C">
        <w:rPr>
          <w:rFonts w:ascii="Times New Roman" w:hAnsi="Times New Roman" w:cs="Times New Roman"/>
          <w:sz w:val="24"/>
          <w:szCs w:val="24"/>
          <w:lang w:val="en-US"/>
        </w:rPr>
        <w:t xml:space="preserve"> </w:t>
      </w:r>
      <w:r w:rsidR="00AE0C21">
        <w:rPr>
          <w:rFonts w:ascii="Times New Roman" w:hAnsi="Times New Roman" w:cs="Times New Roman"/>
          <w:sz w:val="24"/>
          <w:szCs w:val="24"/>
          <w:lang w:val="en-US"/>
        </w:rPr>
        <w:t xml:space="preserve">We </w:t>
      </w:r>
      <w:proofErr w:type="spellStart"/>
      <w:r w:rsidR="00AE0C21">
        <w:rPr>
          <w:rFonts w:ascii="Times New Roman" w:hAnsi="Times New Roman" w:cs="Times New Roman"/>
          <w:sz w:val="24"/>
          <w:szCs w:val="24"/>
          <w:lang w:val="en-US"/>
        </w:rPr>
        <w:t>analysed</w:t>
      </w:r>
      <w:proofErr w:type="spellEnd"/>
      <w:r w:rsidR="00AE0C21">
        <w:rPr>
          <w:rFonts w:ascii="Times New Roman" w:hAnsi="Times New Roman" w:cs="Times New Roman"/>
          <w:sz w:val="24"/>
          <w:szCs w:val="24"/>
          <w:lang w:val="en-US"/>
        </w:rPr>
        <w:t xml:space="preserve"> </w:t>
      </w:r>
      <w:r w:rsidR="008E748C">
        <w:rPr>
          <w:rFonts w:ascii="Times New Roman" w:hAnsi="Times New Roman" w:cs="Times New Roman"/>
          <w:sz w:val="24"/>
          <w:szCs w:val="24"/>
          <w:lang w:val="en-US"/>
        </w:rPr>
        <w:t>a number of</w:t>
      </w:r>
      <w:r w:rsidR="00AE0C21">
        <w:rPr>
          <w:rFonts w:ascii="Times New Roman" w:hAnsi="Times New Roman" w:cs="Times New Roman"/>
          <w:sz w:val="24"/>
          <w:szCs w:val="24"/>
          <w:lang w:val="en-US"/>
        </w:rPr>
        <w:t xml:space="preserve"> </w:t>
      </w:r>
      <w:r w:rsidR="00A52C73">
        <w:rPr>
          <w:rFonts w:ascii="Times New Roman" w:hAnsi="Times New Roman" w:cs="Times New Roman"/>
          <w:sz w:val="24"/>
          <w:szCs w:val="24"/>
          <w:lang w:val="en-US"/>
        </w:rPr>
        <w:t>features</w:t>
      </w:r>
      <w:r w:rsidR="00AE0C21">
        <w:rPr>
          <w:rFonts w:ascii="Times New Roman" w:hAnsi="Times New Roman" w:cs="Times New Roman"/>
          <w:sz w:val="24"/>
          <w:szCs w:val="24"/>
          <w:lang w:val="en-US"/>
        </w:rPr>
        <w:t xml:space="preserve"> of </w:t>
      </w:r>
      <w:r w:rsidR="008F2DC8">
        <w:rPr>
          <w:rFonts w:ascii="Times New Roman" w:hAnsi="Times New Roman" w:cs="Times New Roman"/>
          <w:sz w:val="24"/>
          <w:szCs w:val="24"/>
          <w:lang w:val="en-US"/>
        </w:rPr>
        <w:t xml:space="preserve">startup companies developing small modular reactors (SMR) and </w:t>
      </w:r>
      <w:r w:rsidR="00661258">
        <w:rPr>
          <w:rFonts w:ascii="Times New Roman" w:hAnsi="Times New Roman" w:cs="Times New Roman"/>
          <w:sz w:val="24"/>
          <w:szCs w:val="24"/>
          <w:lang w:val="en-US"/>
        </w:rPr>
        <w:t>nuclear fusion technology</w:t>
      </w:r>
      <w:r w:rsidR="00F74473">
        <w:rPr>
          <w:rFonts w:ascii="Times New Roman" w:hAnsi="Times New Roman" w:cs="Times New Roman"/>
          <w:sz w:val="24"/>
          <w:szCs w:val="24"/>
          <w:lang w:val="en-US"/>
        </w:rPr>
        <w:t xml:space="preserve">, including </w:t>
      </w:r>
      <w:r w:rsidR="001F6717">
        <w:rPr>
          <w:rFonts w:ascii="Times New Roman" w:hAnsi="Times New Roman" w:cs="Times New Roman"/>
          <w:sz w:val="24"/>
          <w:szCs w:val="24"/>
          <w:lang w:val="en-US"/>
        </w:rPr>
        <w:t>their country of origin, founding year</w:t>
      </w:r>
      <w:r w:rsidR="00366C13">
        <w:rPr>
          <w:rFonts w:ascii="Times New Roman" w:hAnsi="Times New Roman" w:cs="Times New Roman"/>
          <w:sz w:val="24"/>
          <w:szCs w:val="24"/>
          <w:lang w:val="en-US"/>
        </w:rPr>
        <w:t>, technology and investment type.</w:t>
      </w:r>
      <w:r w:rsidR="00F45F98">
        <w:rPr>
          <w:rFonts w:ascii="Times New Roman" w:hAnsi="Times New Roman" w:cs="Times New Roman"/>
          <w:sz w:val="24"/>
          <w:szCs w:val="24"/>
          <w:lang w:val="en-US"/>
        </w:rPr>
        <w:t xml:space="preserve"> </w:t>
      </w:r>
      <w:r w:rsidR="00F45F98" w:rsidRPr="00FB732B">
        <w:rPr>
          <w:rFonts w:ascii="Times New Roman" w:hAnsi="Times New Roman" w:cs="Times New Roman"/>
          <w:sz w:val="24"/>
          <w:szCs w:val="24"/>
          <w:lang w:val="en-US"/>
        </w:rPr>
        <w:t xml:space="preserve">The collected information described in this paper is currently being compiled into a database - the Nuclear Startup Database </w:t>
      </w:r>
      <w:r w:rsidR="00FC675B">
        <w:rPr>
          <w:rFonts w:ascii="Times New Roman" w:hAnsi="Times New Roman" w:cs="Times New Roman"/>
          <w:sz w:val="24"/>
          <w:szCs w:val="24"/>
          <w:lang w:val="en-US"/>
        </w:rPr>
        <w:t>(</w:t>
      </w:r>
      <w:r w:rsidR="00F45F98" w:rsidRPr="00FB732B">
        <w:rPr>
          <w:rFonts w:ascii="Times New Roman" w:hAnsi="Times New Roman" w:cs="Times New Roman"/>
          <w:sz w:val="24"/>
          <w:szCs w:val="24"/>
          <w:lang w:val="en-US"/>
        </w:rPr>
        <w:t>NSDB</w:t>
      </w:r>
      <w:r w:rsidR="00FC675B">
        <w:rPr>
          <w:rFonts w:ascii="Times New Roman" w:hAnsi="Times New Roman" w:cs="Times New Roman"/>
          <w:sz w:val="24"/>
          <w:szCs w:val="24"/>
          <w:lang w:val="en-US"/>
        </w:rPr>
        <w:t xml:space="preserve">), which </w:t>
      </w:r>
      <w:r w:rsidR="00F45F98" w:rsidRPr="00FB732B">
        <w:rPr>
          <w:rFonts w:ascii="Times New Roman" w:hAnsi="Times New Roman" w:cs="Times New Roman"/>
          <w:sz w:val="24"/>
          <w:szCs w:val="24"/>
          <w:lang w:val="en-US"/>
        </w:rPr>
        <w:t>will offer search and visualization functionalities by country of origin, technology (PWR, MSR, LMFR, ...), and application (power generation, heat production, seawater desalination, ...)</w:t>
      </w:r>
      <w:r w:rsidR="002804AF">
        <w:rPr>
          <w:rFonts w:ascii="Times New Roman" w:hAnsi="Times New Roman" w:cs="Times New Roman"/>
          <w:sz w:val="24"/>
          <w:szCs w:val="24"/>
          <w:lang w:val="en-US"/>
        </w:rPr>
        <w:t>.</w:t>
      </w:r>
    </w:p>
    <w:p w14:paraId="664DA6D4" w14:textId="7A57B01C" w:rsidR="00544F9B" w:rsidRDefault="0032141B" w:rsidP="001A3BA2">
      <w:pPr>
        <w:spacing w:after="2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Publicly available </w:t>
      </w:r>
      <w:r w:rsidR="00EA100F">
        <w:rPr>
          <w:rFonts w:ascii="Times New Roman" w:hAnsi="Times New Roman" w:cs="Times New Roman"/>
          <w:sz w:val="24"/>
          <w:szCs w:val="24"/>
          <w:lang w:val="en-US"/>
        </w:rPr>
        <w:t>i</w:t>
      </w:r>
      <w:r w:rsidR="00BD69CD">
        <w:rPr>
          <w:rFonts w:ascii="Times New Roman" w:hAnsi="Times New Roman" w:cs="Times New Roman"/>
          <w:sz w:val="24"/>
          <w:szCs w:val="24"/>
          <w:lang w:val="en-US"/>
        </w:rPr>
        <w:t xml:space="preserve">nformation </w:t>
      </w:r>
      <w:r w:rsidR="00EA100F">
        <w:rPr>
          <w:rFonts w:ascii="Times New Roman" w:hAnsi="Times New Roman" w:cs="Times New Roman"/>
          <w:sz w:val="24"/>
          <w:szCs w:val="24"/>
          <w:lang w:val="en-US"/>
        </w:rPr>
        <w:t>has been collected</w:t>
      </w:r>
      <w:r w:rsidR="00BD69CD">
        <w:rPr>
          <w:rFonts w:ascii="Times New Roman" w:hAnsi="Times New Roman" w:cs="Times New Roman"/>
          <w:sz w:val="24"/>
          <w:szCs w:val="24"/>
          <w:lang w:val="en-US"/>
        </w:rPr>
        <w:t xml:space="preserve"> for 21 </w:t>
      </w:r>
      <w:r w:rsidR="00EA100F">
        <w:rPr>
          <w:rFonts w:ascii="Times New Roman" w:hAnsi="Times New Roman" w:cs="Times New Roman"/>
          <w:sz w:val="24"/>
          <w:szCs w:val="24"/>
          <w:lang w:val="en-US"/>
        </w:rPr>
        <w:t xml:space="preserve">SMR startup </w:t>
      </w:r>
      <w:r w:rsidR="00BD69CD">
        <w:rPr>
          <w:rFonts w:ascii="Times New Roman" w:hAnsi="Times New Roman" w:cs="Times New Roman"/>
          <w:sz w:val="24"/>
          <w:szCs w:val="24"/>
          <w:lang w:val="en-US"/>
        </w:rPr>
        <w:t xml:space="preserve">companies </w:t>
      </w:r>
      <w:r w:rsidR="004F25D1">
        <w:rPr>
          <w:rFonts w:ascii="Times New Roman" w:hAnsi="Times New Roman" w:cs="Times New Roman"/>
          <w:sz w:val="24"/>
          <w:szCs w:val="24"/>
          <w:lang w:val="en-US"/>
        </w:rPr>
        <w:t xml:space="preserve">and 32 nuclear fusion startup companies. </w:t>
      </w:r>
      <w:r w:rsidR="00B17F7F">
        <w:rPr>
          <w:rFonts w:ascii="Times New Roman" w:hAnsi="Times New Roman" w:cs="Times New Roman"/>
          <w:sz w:val="24"/>
          <w:szCs w:val="24"/>
          <w:lang w:val="en-US"/>
        </w:rPr>
        <w:t>Information on many SMR designs can be found in the IAEA publication “Advances in Small Modular Reactor Technology Developments” [1].</w:t>
      </w:r>
      <w:r w:rsidR="00791B99">
        <w:rPr>
          <w:rFonts w:ascii="Times New Roman" w:hAnsi="Times New Roman" w:cs="Times New Roman"/>
          <w:sz w:val="24"/>
          <w:szCs w:val="24"/>
          <w:lang w:val="en-US"/>
        </w:rPr>
        <w:t xml:space="preserve"> Information </w:t>
      </w:r>
      <w:r w:rsidR="00532F8E">
        <w:rPr>
          <w:rFonts w:ascii="Times New Roman" w:hAnsi="Times New Roman" w:cs="Times New Roman"/>
          <w:sz w:val="24"/>
          <w:szCs w:val="24"/>
          <w:lang w:val="en-US"/>
        </w:rPr>
        <w:t xml:space="preserve">on the </w:t>
      </w:r>
      <w:r w:rsidR="00C62837">
        <w:rPr>
          <w:rFonts w:ascii="Times New Roman" w:hAnsi="Times New Roman" w:cs="Times New Roman"/>
          <w:sz w:val="24"/>
          <w:szCs w:val="24"/>
          <w:lang w:val="en-US"/>
        </w:rPr>
        <w:t xml:space="preserve">respective </w:t>
      </w:r>
      <w:r w:rsidR="00532F8E">
        <w:rPr>
          <w:rFonts w:ascii="Times New Roman" w:hAnsi="Times New Roman" w:cs="Times New Roman"/>
          <w:sz w:val="24"/>
          <w:szCs w:val="24"/>
          <w:lang w:val="en-US"/>
        </w:rPr>
        <w:t>fusion technolog</w:t>
      </w:r>
      <w:r w:rsidR="00C62837">
        <w:rPr>
          <w:rFonts w:ascii="Times New Roman" w:hAnsi="Times New Roman" w:cs="Times New Roman"/>
          <w:sz w:val="24"/>
          <w:szCs w:val="24"/>
          <w:lang w:val="en-US"/>
        </w:rPr>
        <w:t>ies</w:t>
      </w:r>
      <w:r w:rsidR="00532F8E">
        <w:rPr>
          <w:rFonts w:ascii="Times New Roman" w:hAnsi="Times New Roman" w:cs="Times New Roman"/>
          <w:sz w:val="24"/>
          <w:szCs w:val="24"/>
          <w:lang w:val="en-US"/>
        </w:rPr>
        <w:t xml:space="preserve"> appeared to be </w:t>
      </w:r>
      <w:r w:rsidR="00260F73">
        <w:rPr>
          <w:rFonts w:ascii="Times New Roman" w:hAnsi="Times New Roman" w:cs="Times New Roman"/>
          <w:sz w:val="24"/>
          <w:szCs w:val="24"/>
          <w:lang w:val="en-US"/>
        </w:rPr>
        <w:t xml:space="preserve">described to a </w:t>
      </w:r>
      <w:r w:rsidR="00532F8E">
        <w:rPr>
          <w:rFonts w:ascii="Times New Roman" w:hAnsi="Times New Roman" w:cs="Times New Roman"/>
          <w:sz w:val="24"/>
          <w:szCs w:val="24"/>
          <w:lang w:val="en-US"/>
        </w:rPr>
        <w:t>less</w:t>
      </w:r>
      <w:r w:rsidR="00260F73">
        <w:rPr>
          <w:rFonts w:ascii="Times New Roman" w:hAnsi="Times New Roman" w:cs="Times New Roman"/>
          <w:sz w:val="24"/>
          <w:szCs w:val="24"/>
          <w:lang w:val="en-US"/>
        </w:rPr>
        <w:t>er</w:t>
      </w:r>
      <w:r w:rsidR="00532F8E">
        <w:rPr>
          <w:rFonts w:ascii="Times New Roman" w:hAnsi="Times New Roman" w:cs="Times New Roman"/>
          <w:sz w:val="24"/>
          <w:szCs w:val="24"/>
          <w:lang w:val="en-US"/>
        </w:rPr>
        <w:t xml:space="preserve"> </w:t>
      </w:r>
      <w:r w:rsidR="00260F73">
        <w:rPr>
          <w:rFonts w:ascii="Times New Roman" w:hAnsi="Times New Roman" w:cs="Times New Roman"/>
          <w:sz w:val="24"/>
          <w:szCs w:val="24"/>
          <w:lang w:val="en-US"/>
        </w:rPr>
        <w:t xml:space="preserve">extent and sometimes not </w:t>
      </w:r>
      <w:r w:rsidR="009F1C9F">
        <w:rPr>
          <w:rFonts w:ascii="Times New Roman" w:hAnsi="Times New Roman" w:cs="Times New Roman"/>
          <w:sz w:val="24"/>
          <w:szCs w:val="24"/>
          <w:lang w:val="en-US"/>
        </w:rPr>
        <w:t>available</w:t>
      </w:r>
      <w:r w:rsidR="00260F73">
        <w:rPr>
          <w:rFonts w:ascii="Times New Roman" w:hAnsi="Times New Roman" w:cs="Times New Roman"/>
          <w:sz w:val="24"/>
          <w:szCs w:val="24"/>
          <w:lang w:val="en-US"/>
        </w:rPr>
        <w:t xml:space="preserve"> at all</w:t>
      </w:r>
      <w:r w:rsidR="009F1C9F">
        <w:rPr>
          <w:rFonts w:ascii="Times New Roman" w:hAnsi="Times New Roman" w:cs="Times New Roman"/>
          <w:sz w:val="24"/>
          <w:szCs w:val="24"/>
          <w:lang w:val="en-US"/>
        </w:rPr>
        <w:t>.</w:t>
      </w:r>
      <w:r w:rsidR="00B17F7F">
        <w:rPr>
          <w:rFonts w:ascii="Times New Roman" w:hAnsi="Times New Roman" w:cs="Times New Roman"/>
          <w:sz w:val="24"/>
          <w:szCs w:val="24"/>
          <w:lang w:val="en-US"/>
        </w:rPr>
        <w:t xml:space="preserve"> </w:t>
      </w:r>
      <w:r w:rsidR="004F25D1">
        <w:rPr>
          <w:rFonts w:ascii="Times New Roman" w:hAnsi="Times New Roman" w:cs="Times New Roman"/>
          <w:sz w:val="24"/>
          <w:szCs w:val="24"/>
          <w:lang w:val="en-US"/>
        </w:rPr>
        <w:t xml:space="preserve">When sorted by country, </w:t>
      </w:r>
      <w:r w:rsidR="005F2628">
        <w:rPr>
          <w:rFonts w:ascii="Times New Roman" w:hAnsi="Times New Roman" w:cs="Times New Roman"/>
          <w:sz w:val="24"/>
          <w:szCs w:val="24"/>
          <w:lang w:val="en-US"/>
        </w:rPr>
        <w:t xml:space="preserve">the </w:t>
      </w:r>
      <w:r w:rsidR="004F25D1">
        <w:rPr>
          <w:rFonts w:ascii="Times New Roman" w:hAnsi="Times New Roman" w:cs="Times New Roman"/>
          <w:sz w:val="24"/>
          <w:szCs w:val="24"/>
          <w:lang w:val="en-US"/>
        </w:rPr>
        <w:t xml:space="preserve">USA had the most startup companies in both SMR and </w:t>
      </w:r>
      <w:r w:rsidR="005F2628">
        <w:rPr>
          <w:rFonts w:ascii="Times New Roman" w:hAnsi="Times New Roman" w:cs="Times New Roman"/>
          <w:sz w:val="24"/>
          <w:szCs w:val="24"/>
          <w:lang w:val="en-US"/>
        </w:rPr>
        <w:t>n</w:t>
      </w:r>
      <w:r w:rsidR="004F25D1">
        <w:rPr>
          <w:rFonts w:ascii="Times New Roman" w:hAnsi="Times New Roman" w:cs="Times New Roman"/>
          <w:sz w:val="24"/>
          <w:szCs w:val="24"/>
          <w:lang w:val="en-US"/>
        </w:rPr>
        <w:t>uclear fusion</w:t>
      </w:r>
      <w:r w:rsidR="00697BF3">
        <w:rPr>
          <w:rFonts w:ascii="Times New Roman" w:hAnsi="Times New Roman" w:cs="Times New Roman"/>
          <w:sz w:val="24"/>
          <w:szCs w:val="24"/>
          <w:lang w:val="en-US"/>
        </w:rPr>
        <w:t xml:space="preserve"> (Table 1)</w:t>
      </w:r>
      <w:r w:rsidR="004F25D1">
        <w:rPr>
          <w:rFonts w:ascii="Times New Roman" w:hAnsi="Times New Roman" w:cs="Times New Roman"/>
          <w:sz w:val="24"/>
          <w:szCs w:val="24"/>
          <w:lang w:val="en-US"/>
        </w:rPr>
        <w:t>.</w:t>
      </w:r>
    </w:p>
    <w:p w14:paraId="6C7DAD41" w14:textId="195D9337" w:rsidR="00592052" w:rsidRDefault="00592052" w:rsidP="00CE15FD">
      <w:pPr>
        <w:spacing w:after="280"/>
        <w:rPr>
          <w:rFonts w:ascii="Times New Roman" w:hAnsi="Times New Roman" w:cs="Times New Roman"/>
          <w:sz w:val="24"/>
          <w:szCs w:val="24"/>
          <w:lang w:val="en-US"/>
        </w:rPr>
      </w:pPr>
      <w:r>
        <w:rPr>
          <w:rFonts w:ascii="Times New Roman" w:hAnsi="Times New Roman" w:cs="Times New Roman"/>
          <w:sz w:val="24"/>
          <w:szCs w:val="24"/>
          <w:lang w:val="en-US"/>
        </w:rPr>
        <w:t xml:space="preserve">TABLE 1. SMR </w:t>
      </w:r>
      <w:r w:rsidR="001A63E4">
        <w:rPr>
          <w:rFonts w:ascii="Times New Roman" w:hAnsi="Times New Roman" w:cs="Times New Roman"/>
          <w:sz w:val="24"/>
          <w:szCs w:val="24"/>
          <w:lang w:val="en-US"/>
        </w:rPr>
        <w:t xml:space="preserve">AND FUSION </w:t>
      </w:r>
      <w:r>
        <w:rPr>
          <w:rFonts w:ascii="Times New Roman" w:hAnsi="Times New Roman" w:cs="Times New Roman"/>
          <w:sz w:val="24"/>
          <w:szCs w:val="24"/>
          <w:lang w:val="en-US"/>
        </w:rPr>
        <w:t>STARTUP COMPANIES BY COUNTRY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3"/>
        <w:gridCol w:w="2913"/>
        <w:gridCol w:w="2913"/>
      </w:tblGrid>
      <w:tr w:rsidR="006235C9" w14:paraId="6A08BC5A" w14:textId="77777777" w:rsidTr="00CB739E">
        <w:trPr>
          <w:trHeight w:hRule="exact" w:val="284"/>
          <w:jc w:val="center"/>
        </w:trPr>
        <w:tc>
          <w:tcPr>
            <w:tcW w:w="2913" w:type="dxa"/>
            <w:tcBorders>
              <w:top w:val="single" w:sz="4" w:space="0" w:color="auto"/>
              <w:bottom w:val="single" w:sz="4" w:space="0" w:color="auto"/>
            </w:tcBorders>
            <w:vAlign w:val="center"/>
          </w:tcPr>
          <w:p w14:paraId="3AFF211D" w14:textId="77777777" w:rsidR="006235C9" w:rsidRPr="007F245C" w:rsidRDefault="006235C9" w:rsidP="00CB739E">
            <w:pPr>
              <w:spacing w:after="280"/>
              <w:jc w:val="center"/>
              <w:rPr>
                <w:rFonts w:ascii="Times New Roman" w:hAnsi="Times New Roman" w:cs="Times New Roman"/>
                <w:lang w:val="en-US"/>
              </w:rPr>
            </w:pPr>
            <w:r w:rsidRPr="007F245C">
              <w:rPr>
                <w:rFonts w:ascii="Times New Roman" w:hAnsi="Times New Roman" w:cs="Times New Roman"/>
                <w:lang w:val="en-US"/>
              </w:rPr>
              <w:t>Country</w:t>
            </w:r>
          </w:p>
        </w:tc>
        <w:tc>
          <w:tcPr>
            <w:tcW w:w="2913" w:type="dxa"/>
            <w:tcBorders>
              <w:top w:val="single" w:sz="4" w:space="0" w:color="auto"/>
              <w:bottom w:val="single" w:sz="4" w:space="0" w:color="auto"/>
            </w:tcBorders>
            <w:vAlign w:val="center"/>
          </w:tcPr>
          <w:p w14:paraId="68A62A80" w14:textId="77777777" w:rsidR="006235C9" w:rsidRPr="007F245C" w:rsidRDefault="006235C9" w:rsidP="00CB739E">
            <w:pPr>
              <w:spacing w:after="280"/>
              <w:jc w:val="center"/>
              <w:rPr>
                <w:rFonts w:ascii="Times New Roman" w:hAnsi="Times New Roman" w:cs="Times New Roman"/>
                <w:lang w:val="en-US"/>
              </w:rPr>
            </w:pPr>
            <w:r w:rsidRPr="007F245C">
              <w:rPr>
                <w:rFonts w:ascii="Times New Roman" w:hAnsi="Times New Roman" w:cs="Times New Roman"/>
                <w:lang w:val="en-US"/>
              </w:rPr>
              <w:t xml:space="preserve">Number of </w:t>
            </w:r>
            <w:r>
              <w:rPr>
                <w:rFonts w:ascii="Times New Roman" w:hAnsi="Times New Roman" w:cs="Times New Roman"/>
                <w:lang w:val="en-US"/>
              </w:rPr>
              <w:t>SMR</w:t>
            </w:r>
            <w:r w:rsidRPr="007F245C">
              <w:rPr>
                <w:rFonts w:ascii="Times New Roman" w:hAnsi="Times New Roman" w:cs="Times New Roman"/>
                <w:lang w:val="en-US"/>
              </w:rPr>
              <w:t xml:space="preserve"> Companies</w:t>
            </w:r>
          </w:p>
        </w:tc>
        <w:tc>
          <w:tcPr>
            <w:tcW w:w="2913" w:type="dxa"/>
            <w:tcBorders>
              <w:top w:val="single" w:sz="4" w:space="0" w:color="auto"/>
              <w:bottom w:val="single" w:sz="4" w:space="0" w:color="auto"/>
            </w:tcBorders>
          </w:tcPr>
          <w:p w14:paraId="49B96FF4" w14:textId="77777777" w:rsidR="006235C9" w:rsidRPr="007F245C" w:rsidRDefault="006235C9" w:rsidP="00CB739E">
            <w:pPr>
              <w:spacing w:after="280"/>
              <w:jc w:val="center"/>
              <w:rPr>
                <w:rFonts w:ascii="Times New Roman" w:hAnsi="Times New Roman" w:cs="Times New Roman"/>
                <w:lang w:val="en-US"/>
              </w:rPr>
            </w:pPr>
            <w:r>
              <w:rPr>
                <w:rFonts w:ascii="Times New Roman" w:hAnsi="Times New Roman" w:cs="Times New Roman"/>
                <w:lang w:val="en-US"/>
              </w:rPr>
              <w:t>Number of Fusion Companies</w:t>
            </w:r>
          </w:p>
        </w:tc>
      </w:tr>
      <w:tr w:rsidR="006235C9" w14:paraId="472C9E52" w14:textId="77777777" w:rsidTr="00CB739E">
        <w:trPr>
          <w:trHeight w:hRule="exact" w:val="284"/>
          <w:jc w:val="center"/>
        </w:trPr>
        <w:tc>
          <w:tcPr>
            <w:tcW w:w="2913" w:type="dxa"/>
            <w:tcBorders>
              <w:top w:val="single" w:sz="4" w:space="0" w:color="auto"/>
            </w:tcBorders>
            <w:vAlign w:val="center"/>
          </w:tcPr>
          <w:p w14:paraId="6C2ECB4B" w14:textId="77777777" w:rsidR="006235C9" w:rsidRPr="007F245C" w:rsidRDefault="006235C9" w:rsidP="00CB739E">
            <w:pPr>
              <w:spacing w:after="280"/>
              <w:jc w:val="center"/>
              <w:rPr>
                <w:rFonts w:ascii="Times New Roman" w:hAnsi="Times New Roman" w:cs="Times New Roman"/>
                <w:lang w:val="en-US"/>
              </w:rPr>
            </w:pPr>
            <w:r>
              <w:rPr>
                <w:rFonts w:ascii="Times New Roman" w:hAnsi="Times New Roman" w:cs="Times New Roman"/>
                <w:lang w:val="en-US"/>
              </w:rPr>
              <w:t>Australia</w:t>
            </w:r>
          </w:p>
        </w:tc>
        <w:tc>
          <w:tcPr>
            <w:tcW w:w="2913" w:type="dxa"/>
            <w:tcBorders>
              <w:top w:val="single" w:sz="4" w:space="0" w:color="auto"/>
            </w:tcBorders>
            <w:vAlign w:val="center"/>
          </w:tcPr>
          <w:p w14:paraId="5A39ED16" w14:textId="77777777" w:rsidR="006235C9" w:rsidRPr="007F245C" w:rsidRDefault="006235C9" w:rsidP="00CB739E">
            <w:pPr>
              <w:spacing w:after="280"/>
              <w:jc w:val="center"/>
              <w:rPr>
                <w:rFonts w:ascii="Times New Roman" w:hAnsi="Times New Roman" w:cs="Times New Roman"/>
                <w:lang w:val="en-US"/>
              </w:rPr>
            </w:pPr>
            <w:r>
              <w:rPr>
                <w:rFonts w:ascii="Times New Roman" w:hAnsi="Times New Roman" w:cs="Times New Roman"/>
                <w:lang w:val="en-US"/>
              </w:rPr>
              <w:t>0</w:t>
            </w:r>
          </w:p>
        </w:tc>
        <w:tc>
          <w:tcPr>
            <w:tcW w:w="2913" w:type="dxa"/>
            <w:tcBorders>
              <w:top w:val="single" w:sz="4" w:space="0" w:color="auto"/>
            </w:tcBorders>
          </w:tcPr>
          <w:p w14:paraId="7B49541C" w14:textId="77777777" w:rsidR="006235C9" w:rsidRPr="007F245C" w:rsidRDefault="006235C9" w:rsidP="00CB739E">
            <w:pPr>
              <w:spacing w:after="280"/>
              <w:jc w:val="center"/>
              <w:rPr>
                <w:rFonts w:ascii="Times New Roman" w:hAnsi="Times New Roman" w:cs="Times New Roman"/>
                <w:lang w:val="en-US"/>
              </w:rPr>
            </w:pPr>
            <w:r>
              <w:rPr>
                <w:rFonts w:ascii="Times New Roman" w:hAnsi="Times New Roman" w:cs="Times New Roman"/>
                <w:lang w:val="en-US"/>
              </w:rPr>
              <w:t>1</w:t>
            </w:r>
          </w:p>
        </w:tc>
      </w:tr>
      <w:tr w:rsidR="006235C9" w14:paraId="6C206607" w14:textId="77777777" w:rsidTr="00CB739E">
        <w:trPr>
          <w:trHeight w:hRule="exact" w:val="284"/>
          <w:jc w:val="center"/>
        </w:trPr>
        <w:tc>
          <w:tcPr>
            <w:tcW w:w="2913" w:type="dxa"/>
            <w:vAlign w:val="center"/>
          </w:tcPr>
          <w:p w14:paraId="15C29C37" w14:textId="77777777" w:rsidR="006235C9" w:rsidRPr="007F245C" w:rsidRDefault="006235C9" w:rsidP="00CB739E">
            <w:pPr>
              <w:spacing w:after="280"/>
              <w:jc w:val="center"/>
              <w:rPr>
                <w:rFonts w:ascii="Times New Roman" w:hAnsi="Times New Roman" w:cs="Times New Roman"/>
                <w:lang w:val="en-US"/>
              </w:rPr>
            </w:pPr>
            <w:r w:rsidRPr="007F245C">
              <w:rPr>
                <w:rFonts w:ascii="Times New Roman" w:hAnsi="Times New Roman" w:cs="Times New Roman"/>
                <w:lang w:val="en-US"/>
              </w:rPr>
              <w:t>Canada</w:t>
            </w:r>
          </w:p>
        </w:tc>
        <w:tc>
          <w:tcPr>
            <w:tcW w:w="2913" w:type="dxa"/>
            <w:vAlign w:val="center"/>
          </w:tcPr>
          <w:p w14:paraId="65EF9716" w14:textId="77777777" w:rsidR="006235C9" w:rsidRPr="007F245C" w:rsidRDefault="006235C9" w:rsidP="00CB739E">
            <w:pPr>
              <w:spacing w:after="280"/>
              <w:jc w:val="center"/>
              <w:rPr>
                <w:rFonts w:ascii="Times New Roman" w:hAnsi="Times New Roman" w:cs="Times New Roman"/>
                <w:lang w:val="en-US"/>
              </w:rPr>
            </w:pPr>
            <w:r w:rsidRPr="007F245C">
              <w:rPr>
                <w:rFonts w:ascii="Times New Roman" w:hAnsi="Times New Roman" w:cs="Times New Roman"/>
                <w:lang w:val="en-US"/>
              </w:rPr>
              <w:t>4</w:t>
            </w:r>
          </w:p>
        </w:tc>
        <w:tc>
          <w:tcPr>
            <w:tcW w:w="2913" w:type="dxa"/>
          </w:tcPr>
          <w:p w14:paraId="33840E2B" w14:textId="77777777" w:rsidR="006235C9" w:rsidRPr="007F245C" w:rsidRDefault="006235C9" w:rsidP="00CB739E">
            <w:pPr>
              <w:spacing w:after="280"/>
              <w:jc w:val="center"/>
              <w:rPr>
                <w:rFonts w:ascii="Times New Roman" w:hAnsi="Times New Roman" w:cs="Times New Roman"/>
                <w:lang w:val="en-US"/>
              </w:rPr>
            </w:pPr>
            <w:r>
              <w:rPr>
                <w:rFonts w:ascii="Times New Roman" w:hAnsi="Times New Roman" w:cs="Times New Roman"/>
                <w:lang w:val="en-US"/>
              </w:rPr>
              <w:t>3</w:t>
            </w:r>
          </w:p>
        </w:tc>
      </w:tr>
      <w:tr w:rsidR="006235C9" w14:paraId="6A541595" w14:textId="77777777" w:rsidTr="00CB739E">
        <w:trPr>
          <w:trHeight w:hRule="exact" w:val="284"/>
          <w:jc w:val="center"/>
        </w:trPr>
        <w:tc>
          <w:tcPr>
            <w:tcW w:w="2913" w:type="dxa"/>
            <w:vAlign w:val="center"/>
          </w:tcPr>
          <w:p w14:paraId="31F715A7" w14:textId="77777777" w:rsidR="006235C9" w:rsidRPr="007F245C" w:rsidRDefault="006235C9" w:rsidP="00CB739E">
            <w:pPr>
              <w:spacing w:after="280"/>
              <w:jc w:val="center"/>
              <w:rPr>
                <w:rFonts w:ascii="Times New Roman" w:hAnsi="Times New Roman" w:cs="Times New Roman"/>
                <w:lang w:val="en-US"/>
              </w:rPr>
            </w:pPr>
            <w:r w:rsidRPr="007F245C">
              <w:rPr>
                <w:rFonts w:ascii="Times New Roman" w:hAnsi="Times New Roman" w:cs="Times New Roman"/>
                <w:lang w:val="en-US"/>
              </w:rPr>
              <w:t>Denmark</w:t>
            </w:r>
          </w:p>
        </w:tc>
        <w:tc>
          <w:tcPr>
            <w:tcW w:w="2913" w:type="dxa"/>
            <w:vAlign w:val="center"/>
          </w:tcPr>
          <w:p w14:paraId="6F066BED" w14:textId="77777777" w:rsidR="006235C9" w:rsidRPr="007F245C" w:rsidRDefault="006235C9" w:rsidP="00CB739E">
            <w:pPr>
              <w:spacing w:after="280"/>
              <w:jc w:val="center"/>
              <w:rPr>
                <w:rFonts w:ascii="Times New Roman" w:hAnsi="Times New Roman" w:cs="Times New Roman"/>
                <w:lang w:val="en-US"/>
              </w:rPr>
            </w:pPr>
            <w:r w:rsidRPr="007F245C">
              <w:rPr>
                <w:rFonts w:ascii="Times New Roman" w:hAnsi="Times New Roman" w:cs="Times New Roman"/>
                <w:lang w:val="en-US"/>
              </w:rPr>
              <w:t>2</w:t>
            </w:r>
          </w:p>
        </w:tc>
        <w:tc>
          <w:tcPr>
            <w:tcW w:w="2913" w:type="dxa"/>
          </w:tcPr>
          <w:p w14:paraId="64674F24" w14:textId="77777777" w:rsidR="006235C9" w:rsidRPr="007F245C" w:rsidRDefault="006235C9" w:rsidP="00CB739E">
            <w:pPr>
              <w:spacing w:after="280"/>
              <w:jc w:val="center"/>
              <w:rPr>
                <w:rFonts w:ascii="Times New Roman" w:hAnsi="Times New Roman" w:cs="Times New Roman"/>
                <w:lang w:val="en-US"/>
              </w:rPr>
            </w:pPr>
            <w:r>
              <w:rPr>
                <w:rFonts w:ascii="Times New Roman" w:hAnsi="Times New Roman" w:cs="Times New Roman"/>
                <w:lang w:val="en-US"/>
              </w:rPr>
              <w:t>0</w:t>
            </w:r>
          </w:p>
        </w:tc>
      </w:tr>
      <w:tr w:rsidR="006235C9" w14:paraId="4322D032" w14:textId="77777777" w:rsidTr="00CB739E">
        <w:trPr>
          <w:trHeight w:hRule="exact" w:val="284"/>
          <w:jc w:val="center"/>
        </w:trPr>
        <w:tc>
          <w:tcPr>
            <w:tcW w:w="2913" w:type="dxa"/>
            <w:vAlign w:val="center"/>
          </w:tcPr>
          <w:p w14:paraId="36CCD87C" w14:textId="77777777" w:rsidR="006235C9" w:rsidRPr="007F245C" w:rsidRDefault="006235C9" w:rsidP="00CB739E">
            <w:pPr>
              <w:spacing w:after="280"/>
              <w:jc w:val="center"/>
              <w:rPr>
                <w:rFonts w:ascii="Times New Roman" w:hAnsi="Times New Roman" w:cs="Times New Roman"/>
                <w:lang w:val="en-US"/>
              </w:rPr>
            </w:pPr>
            <w:r w:rsidRPr="007F245C">
              <w:rPr>
                <w:rFonts w:ascii="Times New Roman" w:hAnsi="Times New Roman" w:cs="Times New Roman"/>
                <w:lang w:val="en-US"/>
              </w:rPr>
              <w:t>Estonia</w:t>
            </w:r>
          </w:p>
        </w:tc>
        <w:tc>
          <w:tcPr>
            <w:tcW w:w="2913" w:type="dxa"/>
            <w:vAlign w:val="center"/>
          </w:tcPr>
          <w:p w14:paraId="6B99E157" w14:textId="77777777" w:rsidR="006235C9" w:rsidRPr="007F245C" w:rsidRDefault="006235C9" w:rsidP="00CB739E">
            <w:pPr>
              <w:spacing w:after="280"/>
              <w:jc w:val="center"/>
              <w:rPr>
                <w:rFonts w:ascii="Times New Roman" w:hAnsi="Times New Roman" w:cs="Times New Roman"/>
                <w:lang w:val="en-US"/>
              </w:rPr>
            </w:pPr>
            <w:r w:rsidRPr="007F245C">
              <w:rPr>
                <w:rFonts w:ascii="Times New Roman" w:hAnsi="Times New Roman" w:cs="Times New Roman"/>
                <w:lang w:val="en-US"/>
              </w:rPr>
              <w:t>1</w:t>
            </w:r>
          </w:p>
        </w:tc>
        <w:tc>
          <w:tcPr>
            <w:tcW w:w="2913" w:type="dxa"/>
          </w:tcPr>
          <w:p w14:paraId="0966ADB6" w14:textId="77777777" w:rsidR="006235C9" w:rsidRPr="007F245C" w:rsidRDefault="006235C9" w:rsidP="00CB739E">
            <w:pPr>
              <w:spacing w:after="280"/>
              <w:jc w:val="center"/>
              <w:rPr>
                <w:rFonts w:ascii="Times New Roman" w:hAnsi="Times New Roman" w:cs="Times New Roman"/>
                <w:lang w:val="en-US"/>
              </w:rPr>
            </w:pPr>
            <w:r>
              <w:rPr>
                <w:rFonts w:ascii="Times New Roman" w:hAnsi="Times New Roman" w:cs="Times New Roman"/>
                <w:lang w:val="en-US"/>
              </w:rPr>
              <w:t>0</w:t>
            </w:r>
          </w:p>
        </w:tc>
      </w:tr>
      <w:tr w:rsidR="006235C9" w14:paraId="7D6278FB" w14:textId="77777777" w:rsidTr="00CB739E">
        <w:trPr>
          <w:trHeight w:hRule="exact" w:val="284"/>
          <w:jc w:val="center"/>
        </w:trPr>
        <w:tc>
          <w:tcPr>
            <w:tcW w:w="2913" w:type="dxa"/>
            <w:vAlign w:val="center"/>
          </w:tcPr>
          <w:p w14:paraId="2999E708" w14:textId="77777777" w:rsidR="006235C9" w:rsidRPr="007F245C" w:rsidRDefault="006235C9" w:rsidP="00CB739E">
            <w:pPr>
              <w:spacing w:after="280"/>
              <w:jc w:val="center"/>
              <w:rPr>
                <w:rFonts w:ascii="Times New Roman" w:hAnsi="Times New Roman" w:cs="Times New Roman"/>
                <w:lang w:val="en-US"/>
              </w:rPr>
            </w:pPr>
            <w:r>
              <w:rPr>
                <w:rFonts w:ascii="Times New Roman" w:hAnsi="Times New Roman" w:cs="Times New Roman"/>
                <w:lang w:val="en-US"/>
              </w:rPr>
              <w:t>France</w:t>
            </w:r>
          </w:p>
        </w:tc>
        <w:tc>
          <w:tcPr>
            <w:tcW w:w="2913" w:type="dxa"/>
            <w:vAlign w:val="center"/>
          </w:tcPr>
          <w:p w14:paraId="1040E1B8" w14:textId="77777777" w:rsidR="006235C9" w:rsidRPr="007F245C" w:rsidRDefault="006235C9" w:rsidP="00CB739E">
            <w:pPr>
              <w:spacing w:after="280"/>
              <w:jc w:val="center"/>
              <w:rPr>
                <w:rFonts w:ascii="Times New Roman" w:hAnsi="Times New Roman" w:cs="Times New Roman"/>
                <w:lang w:val="en-US"/>
              </w:rPr>
            </w:pPr>
            <w:r>
              <w:rPr>
                <w:rFonts w:ascii="Times New Roman" w:hAnsi="Times New Roman" w:cs="Times New Roman"/>
                <w:lang w:val="en-US"/>
              </w:rPr>
              <w:t>0</w:t>
            </w:r>
          </w:p>
        </w:tc>
        <w:tc>
          <w:tcPr>
            <w:tcW w:w="2913" w:type="dxa"/>
          </w:tcPr>
          <w:p w14:paraId="24201215" w14:textId="77777777" w:rsidR="006235C9" w:rsidRPr="007F245C" w:rsidRDefault="006235C9" w:rsidP="00CB739E">
            <w:pPr>
              <w:spacing w:after="280"/>
              <w:jc w:val="center"/>
              <w:rPr>
                <w:rFonts w:ascii="Times New Roman" w:hAnsi="Times New Roman" w:cs="Times New Roman"/>
                <w:lang w:val="en-US"/>
              </w:rPr>
            </w:pPr>
            <w:r>
              <w:rPr>
                <w:rFonts w:ascii="Times New Roman" w:hAnsi="Times New Roman" w:cs="Times New Roman"/>
                <w:lang w:val="en-US"/>
              </w:rPr>
              <w:t>1</w:t>
            </w:r>
          </w:p>
        </w:tc>
      </w:tr>
      <w:tr w:rsidR="006235C9" w14:paraId="78699044" w14:textId="77777777" w:rsidTr="00CB739E">
        <w:trPr>
          <w:trHeight w:hRule="exact" w:val="284"/>
          <w:jc w:val="center"/>
        </w:trPr>
        <w:tc>
          <w:tcPr>
            <w:tcW w:w="2913" w:type="dxa"/>
            <w:vAlign w:val="center"/>
          </w:tcPr>
          <w:p w14:paraId="45C82EB8" w14:textId="77777777" w:rsidR="006235C9" w:rsidRPr="007F245C" w:rsidRDefault="006235C9" w:rsidP="00CB739E">
            <w:pPr>
              <w:spacing w:after="280"/>
              <w:jc w:val="center"/>
              <w:rPr>
                <w:rFonts w:ascii="Times New Roman" w:hAnsi="Times New Roman" w:cs="Times New Roman"/>
                <w:lang w:val="en-US"/>
              </w:rPr>
            </w:pPr>
            <w:r w:rsidRPr="007F245C">
              <w:rPr>
                <w:rFonts w:ascii="Times New Roman" w:hAnsi="Times New Roman" w:cs="Times New Roman"/>
                <w:lang w:val="en-US"/>
              </w:rPr>
              <w:t>Germany</w:t>
            </w:r>
          </w:p>
        </w:tc>
        <w:tc>
          <w:tcPr>
            <w:tcW w:w="2913" w:type="dxa"/>
            <w:vAlign w:val="center"/>
          </w:tcPr>
          <w:p w14:paraId="2BB5144C" w14:textId="77777777" w:rsidR="006235C9" w:rsidRPr="007F245C" w:rsidRDefault="006235C9" w:rsidP="00CB739E">
            <w:pPr>
              <w:spacing w:after="280"/>
              <w:jc w:val="center"/>
              <w:rPr>
                <w:rFonts w:ascii="Times New Roman" w:hAnsi="Times New Roman" w:cs="Times New Roman"/>
                <w:lang w:val="en-US"/>
              </w:rPr>
            </w:pPr>
            <w:r w:rsidRPr="007F245C">
              <w:rPr>
                <w:rFonts w:ascii="Times New Roman" w:hAnsi="Times New Roman" w:cs="Times New Roman"/>
                <w:lang w:val="en-US"/>
              </w:rPr>
              <w:t>1</w:t>
            </w:r>
          </w:p>
        </w:tc>
        <w:tc>
          <w:tcPr>
            <w:tcW w:w="2913" w:type="dxa"/>
          </w:tcPr>
          <w:p w14:paraId="5CD87E13" w14:textId="77777777" w:rsidR="006235C9" w:rsidRPr="007F245C" w:rsidRDefault="006235C9" w:rsidP="00CB739E">
            <w:pPr>
              <w:spacing w:after="280"/>
              <w:jc w:val="center"/>
              <w:rPr>
                <w:rFonts w:ascii="Times New Roman" w:hAnsi="Times New Roman" w:cs="Times New Roman"/>
                <w:lang w:val="en-US"/>
              </w:rPr>
            </w:pPr>
            <w:r>
              <w:rPr>
                <w:rFonts w:ascii="Times New Roman" w:hAnsi="Times New Roman" w:cs="Times New Roman"/>
                <w:lang w:val="en-US"/>
              </w:rPr>
              <w:t>1</w:t>
            </w:r>
          </w:p>
        </w:tc>
      </w:tr>
      <w:tr w:rsidR="006235C9" w14:paraId="460C7DAE" w14:textId="77777777" w:rsidTr="00CB739E">
        <w:trPr>
          <w:trHeight w:hRule="exact" w:val="284"/>
          <w:jc w:val="center"/>
        </w:trPr>
        <w:tc>
          <w:tcPr>
            <w:tcW w:w="2913" w:type="dxa"/>
            <w:vAlign w:val="center"/>
          </w:tcPr>
          <w:p w14:paraId="04D07A17" w14:textId="77777777" w:rsidR="006235C9" w:rsidRPr="007F245C" w:rsidRDefault="006235C9" w:rsidP="00CB739E">
            <w:pPr>
              <w:spacing w:after="280"/>
              <w:jc w:val="center"/>
              <w:rPr>
                <w:rFonts w:ascii="Times New Roman" w:hAnsi="Times New Roman" w:cs="Times New Roman"/>
                <w:lang w:val="en-US"/>
              </w:rPr>
            </w:pPr>
            <w:r>
              <w:rPr>
                <w:rFonts w:ascii="Times New Roman" w:hAnsi="Times New Roman" w:cs="Times New Roman"/>
                <w:lang w:val="en-US"/>
              </w:rPr>
              <w:t>Japan</w:t>
            </w:r>
          </w:p>
        </w:tc>
        <w:tc>
          <w:tcPr>
            <w:tcW w:w="2913" w:type="dxa"/>
            <w:vAlign w:val="center"/>
          </w:tcPr>
          <w:p w14:paraId="4CE881B9" w14:textId="77777777" w:rsidR="006235C9" w:rsidRPr="007F245C" w:rsidRDefault="006235C9" w:rsidP="00CB739E">
            <w:pPr>
              <w:spacing w:after="280"/>
              <w:jc w:val="center"/>
              <w:rPr>
                <w:rFonts w:ascii="Times New Roman" w:hAnsi="Times New Roman" w:cs="Times New Roman"/>
                <w:lang w:val="en-US"/>
              </w:rPr>
            </w:pPr>
            <w:r>
              <w:rPr>
                <w:rFonts w:ascii="Times New Roman" w:hAnsi="Times New Roman" w:cs="Times New Roman"/>
                <w:lang w:val="en-US"/>
              </w:rPr>
              <w:t>0</w:t>
            </w:r>
          </w:p>
        </w:tc>
        <w:tc>
          <w:tcPr>
            <w:tcW w:w="2913" w:type="dxa"/>
          </w:tcPr>
          <w:p w14:paraId="0EC566FC" w14:textId="77777777" w:rsidR="006235C9" w:rsidRPr="007F245C" w:rsidRDefault="006235C9" w:rsidP="00CB739E">
            <w:pPr>
              <w:spacing w:after="280"/>
              <w:jc w:val="center"/>
              <w:rPr>
                <w:rFonts w:ascii="Times New Roman" w:hAnsi="Times New Roman" w:cs="Times New Roman"/>
                <w:lang w:val="en-US"/>
              </w:rPr>
            </w:pPr>
            <w:r>
              <w:rPr>
                <w:rFonts w:ascii="Times New Roman" w:hAnsi="Times New Roman" w:cs="Times New Roman"/>
                <w:lang w:val="en-US"/>
              </w:rPr>
              <w:t>1</w:t>
            </w:r>
          </w:p>
        </w:tc>
      </w:tr>
      <w:tr w:rsidR="006235C9" w14:paraId="043FE070" w14:textId="77777777" w:rsidTr="00CB739E">
        <w:trPr>
          <w:trHeight w:hRule="exact" w:val="284"/>
          <w:jc w:val="center"/>
        </w:trPr>
        <w:tc>
          <w:tcPr>
            <w:tcW w:w="2913" w:type="dxa"/>
            <w:vAlign w:val="center"/>
          </w:tcPr>
          <w:p w14:paraId="683E5586" w14:textId="77777777" w:rsidR="006235C9" w:rsidRPr="007F245C" w:rsidRDefault="006235C9" w:rsidP="00CB739E">
            <w:pPr>
              <w:spacing w:after="280"/>
              <w:jc w:val="center"/>
              <w:rPr>
                <w:rFonts w:ascii="Times New Roman" w:hAnsi="Times New Roman" w:cs="Times New Roman"/>
                <w:lang w:val="en-US"/>
              </w:rPr>
            </w:pPr>
            <w:r w:rsidRPr="007F245C">
              <w:rPr>
                <w:rFonts w:ascii="Times New Roman" w:hAnsi="Times New Roman" w:cs="Times New Roman"/>
                <w:lang w:val="en-US"/>
              </w:rPr>
              <w:t>Luxembourg</w:t>
            </w:r>
          </w:p>
        </w:tc>
        <w:tc>
          <w:tcPr>
            <w:tcW w:w="2913" w:type="dxa"/>
            <w:vAlign w:val="center"/>
          </w:tcPr>
          <w:p w14:paraId="3A63E34D" w14:textId="77777777" w:rsidR="006235C9" w:rsidRPr="007F245C" w:rsidRDefault="006235C9" w:rsidP="00CB739E">
            <w:pPr>
              <w:spacing w:after="280"/>
              <w:jc w:val="center"/>
              <w:rPr>
                <w:rFonts w:ascii="Times New Roman" w:hAnsi="Times New Roman" w:cs="Times New Roman"/>
                <w:lang w:val="en-US"/>
              </w:rPr>
            </w:pPr>
            <w:r w:rsidRPr="007F245C">
              <w:rPr>
                <w:rFonts w:ascii="Times New Roman" w:hAnsi="Times New Roman" w:cs="Times New Roman"/>
                <w:lang w:val="en-US"/>
              </w:rPr>
              <w:t>1</w:t>
            </w:r>
          </w:p>
        </w:tc>
        <w:tc>
          <w:tcPr>
            <w:tcW w:w="2913" w:type="dxa"/>
          </w:tcPr>
          <w:p w14:paraId="2513D0D9" w14:textId="77777777" w:rsidR="006235C9" w:rsidRPr="007F245C" w:rsidRDefault="006235C9" w:rsidP="00CB739E">
            <w:pPr>
              <w:spacing w:after="280"/>
              <w:jc w:val="center"/>
              <w:rPr>
                <w:rFonts w:ascii="Times New Roman" w:hAnsi="Times New Roman" w:cs="Times New Roman"/>
                <w:lang w:val="en-US"/>
              </w:rPr>
            </w:pPr>
            <w:r>
              <w:rPr>
                <w:rFonts w:ascii="Times New Roman" w:hAnsi="Times New Roman" w:cs="Times New Roman"/>
                <w:lang w:val="en-US"/>
              </w:rPr>
              <w:t>0</w:t>
            </w:r>
          </w:p>
        </w:tc>
      </w:tr>
      <w:tr w:rsidR="006235C9" w14:paraId="31AD8529" w14:textId="77777777" w:rsidTr="00CB739E">
        <w:trPr>
          <w:trHeight w:hRule="exact" w:val="284"/>
          <w:jc w:val="center"/>
        </w:trPr>
        <w:tc>
          <w:tcPr>
            <w:tcW w:w="2913" w:type="dxa"/>
            <w:vAlign w:val="center"/>
          </w:tcPr>
          <w:p w14:paraId="2191E6BB" w14:textId="77777777" w:rsidR="006235C9" w:rsidRPr="007F245C" w:rsidRDefault="006235C9" w:rsidP="00CB739E">
            <w:pPr>
              <w:spacing w:after="280"/>
              <w:jc w:val="center"/>
              <w:rPr>
                <w:rFonts w:ascii="Times New Roman" w:hAnsi="Times New Roman" w:cs="Times New Roman"/>
                <w:lang w:val="en-US"/>
              </w:rPr>
            </w:pPr>
            <w:r w:rsidRPr="007F245C">
              <w:rPr>
                <w:rFonts w:ascii="Times New Roman" w:hAnsi="Times New Roman" w:cs="Times New Roman"/>
                <w:lang w:val="en-US"/>
              </w:rPr>
              <w:t>South Africa</w:t>
            </w:r>
          </w:p>
        </w:tc>
        <w:tc>
          <w:tcPr>
            <w:tcW w:w="2913" w:type="dxa"/>
            <w:vAlign w:val="center"/>
          </w:tcPr>
          <w:p w14:paraId="754D56B1" w14:textId="77777777" w:rsidR="006235C9" w:rsidRPr="007F245C" w:rsidRDefault="006235C9" w:rsidP="00CB739E">
            <w:pPr>
              <w:spacing w:after="280"/>
              <w:jc w:val="center"/>
              <w:rPr>
                <w:rFonts w:ascii="Times New Roman" w:hAnsi="Times New Roman" w:cs="Times New Roman"/>
                <w:lang w:val="en-US"/>
              </w:rPr>
            </w:pPr>
            <w:r w:rsidRPr="007F245C">
              <w:rPr>
                <w:rFonts w:ascii="Times New Roman" w:hAnsi="Times New Roman" w:cs="Times New Roman"/>
                <w:lang w:val="en-US"/>
              </w:rPr>
              <w:t>2</w:t>
            </w:r>
          </w:p>
        </w:tc>
        <w:tc>
          <w:tcPr>
            <w:tcW w:w="2913" w:type="dxa"/>
          </w:tcPr>
          <w:p w14:paraId="3303BE6F" w14:textId="77777777" w:rsidR="006235C9" w:rsidRPr="007F245C" w:rsidRDefault="006235C9" w:rsidP="00CB739E">
            <w:pPr>
              <w:spacing w:after="280"/>
              <w:jc w:val="center"/>
              <w:rPr>
                <w:rFonts w:ascii="Times New Roman" w:hAnsi="Times New Roman" w:cs="Times New Roman"/>
                <w:lang w:val="en-US"/>
              </w:rPr>
            </w:pPr>
            <w:r>
              <w:rPr>
                <w:rFonts w:ascii="Times New Roman" w:hAnsi="Times New Roman" w:cs="Times New Roman"/>
                <w:lang w:val="en-US"/>
              </w:rPr>
              <w:t>0</w:t>
            </w:r>
          </w:p>
        </w:tc>
      </w:tr>
      <w:tr w:rsidR="006235C9" w14:paraId="51BC1FBF" w14:textId="77777777" w:rsidTr="00CB739E">
        <w:trPr>
          <w:trHeight w:hRule="exact" w:val="284"/>
          <w:jc w:val="center"/>
        </w:trPr>
        <w:tc>
          <w:tcPr>
            <w:tcW w:w="2913" w:type="dxa"/>
            <w:vAlign w:val="center"/>
          </w:tcPr>
          <w:p w14:paraId="68DA51C1" w14:textId="77777777" w:rsidR="006235C9" w:rsidRPr="007F245C" w:rsidRDefault="006235C9" w:rsidP="00CB739E">
            <w:pPr>
              <w:spacing w:after="280"/>
              <w:jc w:val="center"/>
              <w:rPr>
                <w:rFonts w:ascii="Times New Roman" w:hAnsi="Times New Roman" w:cs="Times New Roman"/>
                <w:lang w:val="en-US"/>
              </w:rPr>
            </w:pPr>
            <w:r>
              <w:rPr>
                <w:rFonts w:ascii="Times New Roman" w:hAnsi="Times New Roman" w:cs="Times New Roman"/>
                <w:lang w:val="en-US"/>
              </w:rPr>
              <w:t>Spain</w:t>
            </w:r>
          </w:p>
        </w:tc>
        <w:tc>
          <w:tcPr>
            <w:tcW w:w="2913" w:type="dxa"/>
            <w:vAlign w:val="center"/>
          </w:tcPr>
          <w:p w14:paraId="1A7F4D7B" w14:textId="77777777" w:rsidR="006235C9" w:rsidRPr="007F245C" w:rsidRDefault="006235C9" w:rsidP="00CB739E">
            <w:pPr>
              <w:spacing w:after="280"/>
              <w:jc w:val="center"/>
              <w:rPr>
                <w:rFonts w:ascii="Times New Roman" w:hAnsi="Times New Roman" w:cs="Times New Roman"/>
                <w:lang w:val="en-US"/>
              </w:rPr>
            </w:pPr>
            <w:r>
              <w:rPr>
                <w:rFonts w:ascii="Times New Roman" w:hAnsi="Times New Roman" w:cs="Times New Roman"/>
                <w:lang w:val="en-US"/>
              </w:rPr>
              <w:t>0</w:t>
            </w:r>
          </w:p>
        </w:tc>
        <w:tc>
          <w:tcPr>
            <w:tcW w:w="2913" w:type="dxa"/>
          </w:tcPr>
          <w:p w14:paraId="20CC1E89" w14:textId="77777777" w:rsidR="006235C9" w:rsidRPr="007F245C" w:rsidRDefault="006235C9" w:rsidP="00CB739E">
            <w:pPr>
              <w:spacing w:after="280"/>
              <w:jc w:val="center"/>
              <w:rPr>
                <w:rFonts w:ascii="Times New Roman" w:hAnsi="Times New Roman" w:cs="Times New Roman"/>
                <w:lang w:val="en-US"/>
              </w:rPr>
            </w:pPr>
            <w:r>
              <w:rPr>
                <w:rFonts w:ascii="Times New Roman" w:hAnsi="Times New Roman" w:cs="Times New Roman"/>
                <w:lang w:val="en-US"/>
              </w:rPr>
              <w:t>1</w:t>
            </w:r>
          </w:p>
        </w:tc>
      </w:tr>
      <w:tr w:rsidR="006235C9" w14:paraId="371AF8C1" w14:textId="77777777" w:rsidTr="00CB739E">
        <w:trPr>
          <w:trHeight w:hRule="exact" w:val="284"/>
          <w:jc w:val="center"/>
        </w:trPr>
        <w:tc>
          <w:tcPr>
            <w:tcW w:w="2913" w:type="dxa"/>
            <w:vAlign w:val="center"/>
          </w:tcPr>
          <w:p w14:paraId="391AC225" w14:textId="77777777" w:rsidR="006235C9" w:rsidRPr="007F245C" w:rsidRDefault="006235C9" w:rsidP="00CB739E">
            <w:pPr>
              <w:spacing w:after="280"/>
              <w:jc w:val="center"/>
              <w:rPr>
                <w:rFonts w:ascii="Times New Roman" w:hAnsi="Times New Roman" w:cs="Times New Roman"/>
                <w:lang w:val="en-US"/>
              </w:rPr>
            </w:pPr>
            <w:r w:rsidRPr="007F245C">
              <w:rPr>
                <w:rFonts w:ascii="Times New Roman" w:hAnsi="Times New Roman" w:cs="Times New Roman"/>
                <w:lang w:val="en-US"/>
              </w:rPr>
              <w:t>Sweden</w:t>
            </w:r>
          </w:p>
        </w:tc>
        <w:tc>
          <w:tcPr>
            <w:tcW w:w="2913" w:type="dxa"/>
            <w:vAlign w:val="center"/>
          </w:tcPr>
          <w:p w14:paraId="5296E486" w14:textId="77777777" w:rsidR="006235C9" w:rsidRPr="007F245C" w:rsidRDefault="006235C9" w:rsidP="00CB739E">
            <w:pPr>
              <w:spacing w:after="280"/>
              <w:jc w:val="center"/>
              <w:rPr>
                <w:rFonts w:ascii="Times New Roman" w:hAnsi="Times New Roman" w:cs="Times New Roman"/>
                <w:lang w:val="en-US"/>
              </w:rPr>
            </w:pPr>
            <w:r w:rsidRPr="007F245C">
              <w:rPr>
                <w:rFonts w:ascii="Times New Roman" w:hAnsi="Times New Roman" w:cs="Times New Roman"/>
                <w:lang w:val="en-US"/>
              </w:rPr>
              <w:t>1</w:t>
            </w:r>
          </w:p>
        </w:tc>
        <w:tc>
          <w:tcPr>
            <w:tcW w:w="2913" w:type="dxa"/>
          </w:tcPr>
          <w:p w14:paraId="01C9D5C8" w14:textId="77777777" w:rsidR="006235C9" w:rsidRPr="007F245C" w:rsidRDefault="006235C9" w:rsidP="00CB739E">
            <w:pPr>
              <w:spacing w:after="280"/>
              <w:jc w:val="center"/>
              <w:rPr>
                <w:rFonts w:ascii="Times New Roman" w:hAnsi="Times New Roman" w:cs="Times New Roman"/>
                <w:lang w:val="en-US"/>
              </w:rPr>
            </w:pPr>
            <w:r>
              <w:rPr>
                <w:rFonts w:ascii="Times New Roman" w:hAnsi="Times New Roman" w:cs="Times New Roman"/>
                <w:lang w:val="en-US"/>
              </w:rPr>
              <w:t>0</w:t>
            </w:r>
          </w:p>
        </w:tc>
      </w:tr>
      <w:tr w:rsidR="006235C9" w14:paraId="187EDD86" w14:textId="77777777" w:rsidTr="00CB739E">
        <w:trPr>
          <w:trHeight w:hRule="exact" w:val="284"/>
          <w:jc w:val="center"/>
        </w:trPr>
        <w:tc>
          <w:tcPr>
            <w:tcW w:w="2913" w:type="dxa"/>
            <w:vAlign w:val="center"/>
          </w:tcPr>
          <w:p w14:paraId="20C5C634" w14:textId="77777777" w:rsidR="006235C9" w:rsidRPr="007F245C" w:rsidRDefault="006235C9" w:rsidP="00CB739E">
            <w:pPr>
              <w:spacing w:after="280"/>
              <w:jc w:val="center"/>
              <w:rPr>
                <w:rFonts w:ascii="Times New Roman" w:hAnsi="Times New Roman" w:cs="Times New Roman"/>
                <w:lang w:val="en-US"/>
              </w:rPr>
            </w:pPr>
            <w:r>
              <w:rPr>
                <w:rFonts w:ascii="Times New Roman" w:hAnsi="Times New Roman" w:cs="Times New Roman"/>
                <w:lang w:val="en-US"/>
              </w:rPr>
              <w:t>UK</w:t>
            </w:r>
          </w:p>
        </w:tc>
        <w:tc>
          <w:tcPr>
            <w:tcW w:w="2913" w:type="dxa"/>
            <w:vAlign w:val="center"/>
          </w:tcPr>
          <w:p w14:paraId="5E518B4F" w14:textId="77777777" w:rsidR="006235C9" w:rsidRPr="007F245C" w:rsidRDefault="006235C9" w:rsidP="00CB739E">
            <w:pPr>
              <w:spacing w:after="280"/>
              <w:jc w:val="center"/>
              <w:rPr>
                <w:rFonts w:ascii="Times New Roman" w:hAnsi="Times New Roman" w:cs="Times New Roman"/>
                <w:lang w:val="en-US"/>
              </w:rPr>
            </w:pPr>
            <w:r>
              <w:rPr>
                <w:rFonts w:ascii="Times New Roman" w:hAnsi="Times New Roman" w:cs="Times New Roman"/>
                <w:lang w:val="en-US"/>
              </w:rPr>
              <w:t>0</w:t>
            </w:r>
          </w:p>
        </w:tc>
        <w:tc>
          <w:tcPr>
            <w:tcW w:w="2913" w:type="dxa"/>
          </w:tcPr>
          <w:p w14:paraId="795A4E68" w14:textId="77777777" w:rsidR="006235C9" w:rsidRPr="007F245C" w:rsidRDefault="006235C9" w:rsidP="00CB739E">
            <w:pPr>
              <w:spacing w:after="280"/>
              <w:jc w:val="center"/>
              <w:rPr>
                <w:rFonts w:ascii="Times New Roman" w:hAnsi="Times New Roman" w:cs="Times New Roman"/>
                <w:lang w:val="en-US"/>
              </w:rPr>
            </w:pPr>
            <w:r>
              <w:rPr>
                <w:rFonts w:ascii="Times New Roman" w:hAnsi="Times New Roman" w:cs="Times New Roman"/>
                <w:lang w:val="en-US"/>
              </w:rPr>
              <w:t>3</w:t>
            </w:r>
          </w:p>
        </w:tc>
      </w:tr>
      <w:tr w:rsidR="006235C9" w14:paraId="55BB9D9F" w14:textId="77777777" w:rsidTr="00CB739E">
        <w:trPr>
          <w:trHeight w:hRule="exact" w:val="284"/>
          <w:jc w:val="center"/>
        </w:trPr>
        <w:tc>
          <w:tcPr>
            <w:tcW w:w="2913" w:type="dxa"/>
            <w:tcBorders>
              <w:bottom w:val="single" w:sz="4" w:space="0" w:color="auto"/>
            </w:tcBorders>
            <w:vAlign w:val="center"/>
          </w:tcPr>
          <w:p w14:paraId="56052D54" w14:textId="77777777" w:rsidR="006235C9" w:rsidRPr="007F245C" w:rsidRDefault="006235C9" w:rsidP="00CB739E">
            <w:pPr>
              <w:spacing w:after="280"/>
              <w:jc w:val="center"/>
              <w:rPr>
                <w:rFonts w:ascii="Times New Roman" w:hAnsi="Times New Roman" w:cs="Times New Roman"/>
                <w:lang w:val="en-US"/>
              </w:rPr>
            </w:pPr>
            <w:r w:rsidRPr="007F245C">
              <w:rPr>
                <w:rFonts w:ascii="Times New Roman" w:hAnsi="Times New Roman" w:cs="Times New Roman"/>
                <w:lang w:val="en-US"/>
              </w:rPr>
              <w:t>USA</w:t>
            </w:r>
          </w:p>
        </w:tc>
        <w:tc>
          <w:tcPr>
            <w:tcW w:w="2913" w:type="dxa"/>
            <w:tcBorders>
              <w:bottom w:val="single" w:sz="4" w:space="0" w:color="auto"/>
            </w:tcBorders>
            <w:vAlign w:val="center"/>
          </w:tcPr>
          <w:p w14:paraId="1FA8CC94" w14:textId="77777777" w:rsidR="006235C9" w:rsidRPr="007F245C" w:rsidRDefault="006235C9" w:rsidP="00CB739E">
            <w:pPr>
              <w:spacing w:after="280"/>
              <w:jc w:val="center"/>
              <w:rPr>
                <w:rFonts w:ascii="Times New Roman" w:hAnsi="Times New Roman" w:cs="Times New Roman"/>
                <w:lang w:val="en-US"/>
              </w:rPr>
            </w:pPr>
            <w:r w:rsidRPr="007F245C">
              <w:rPr>
                <w:rFonts w:ascii="Times New Roman" w:hAnsi="Times New Roman" w:cs="Times New Roman"/>
                <w:lang w:val="en-US"/>
              </w:rPr>
              <w:t>9</w:t>
            </w:r>
          </w:p>
        </w:tc>
        <w:tc>
          <w:tcPr>
            <w:tcW w:w="2913" w:type="dxa"/>
            <w:tcBorders>
              <w:bottom w:val="single" w:sz="4" w:space="0" w:color="auto"/>
            </w:tcBorders>
          </w:tcPr>
          <w:p w14:paraId="29BD142C" w14:textId="77777777" w:rsidR="006235C9" w:rsidRPr="007F245C" w:rsidRDefault="006235C9" w:rsidP="00CB739E">
            <w:pPr>
              <w:spacing w:after="280"/>
              <w:jc w:val="center"/>
              <w:rPr>
                <w:rFonts w:ascii="Times New Roman" w:hAnsi="Times New Roman" w:cs="Times New Roman"/>
                <w:lang w:val="en-US"/>
              </w:rPr>
            </w:pPr>
            <w:r>
              <w:rPr>
                <w:rFonts w:ascii="Times New Roman" w:hAnsi="Times New Roman" w:cs="Times New Roman"/>
                <w:lang w:val="en-US"/>
              </w:rPr>
              <w:t>20</w:t>
            </w:r>
          </w:p>
        </w:tc>
      </w:tr>
    </w:tbl>
    <w:p w14:paraId="199ABB19" w14:textId="77777777" w:rsidR="006235C9" w:rsidRDefault="006235C9" w:rsidP="006235C9">
      <w:pPr>
        <w:spacing w:after="280"/>
        <w:rPr>
          <w:rFonts w:ascii="Times New Roman" w:hAnsi="Times New Roman" w:cs="Times New Roman"/>
          <w:sz w:val="24"/>
          <w:szCs w:val="24"/>
          <w:lang w:val="en-US"/>
        </w:rPr>
      </w:pPr>
    </w:p>
    <w:p w14:paraId="44C5687A" w14:textId="3A10F95B" w:rsidR="00D37C5A" w:rsidRDefault="00FE07B7" w:rsidP="001A3BA2">
      <w:pPr>
        <w:spacing w:after="280"/>
        <w:jc w:val="both"/>
        <w:rPr>
          <w:rFonts w:ascii="Times New Roman" w:hAnsi="Times New Roman" w:cs="Times New Roman"/>
          <w:noProof/>
          <w:sz w:val="24"/>
          <w:szCs w:val="24"/>
          <w:lang w:val="en-US"/>
        </w:rPr>
      </w:pPr>
      <w:proofErr w:type="spellStart"/>
      <w:r>
        <w:rPr>
          <w:rFonts w:ascii="Times New Roman" w:hAnsi="Times New Roman" w:cs="Times New Roman"/>
          <w:sz w:val="24"/>
          <w:szCs w:val="24"/>
          <w:lang w:val="en-US"/>
        </w:rPr>
        <w:t>Analysing</w:t>
      </w:r>
      <w:proofErr w:type="spellEnd"/>
      <w:r>
        <w:rPr>
          <w:rFonts w:ascii="Times New Roman" w:hAnsi="Times New Roman" w:cs="Times New Roman"/>
          <w:sz w:val="24"/>
          <w:szCs w:val="24"/>
          <w:lang w:val="en-US"/>
        </w:rPr>
        <w:t xml:space="preserve"> the age of the various star</w:t>
      </w:r>
      <w:r w:rsidR="00ED04C9">
        <w:rPr>
          <w:rFonts w:ascii="Times New Roman" w:hAnsi="Times New Roman" w:cs="Times New Roman"/>
          <w:sz w:val="24"/>
          <w:szCs w:val="24"/>
          <w:lang w:val="en-US"/>
        </w:rPr>
        <w:t>t</w:t>
      </w:r>
      <w:r>
        <w:rPr>
          <w:rFonts w:ascii="Times New Roman" w:hAnsi="Times New Roman" w:cs="Times New Roman"/>
          <w:sz w:val="24"/>
          <w:szCs w:val="24"/>
          <w:lang w:val="en-US"/>
        </w:rPr>
        <w:t>up companies</w:t>
      </w:r>
      <w:r w:rsidR="00ED04C9">
        <w:rPr>
          <w:rFonts w:ascii="Times New Roman" w:hAnsi="Times New Roman" w:cs="Times New Roman"/>
          <w:sz w:val="24"/>
          <w:szCs w:val="24"/>
          <w:lang w:val="en-US"/>
        </w:rPr>
        <w:t xml:space="preserve"> (Figure 1), we observed that a</w:t>
      </w:r>
      <w:r w:rsidR="00D37C5A">
        <w:rPr>
          <w:rFonts w:ascii="Times New Roman" w:hAnsi="Times New Roman" w:cs="Times New Roman"/>
          <w:sz w:val="24"/>
          <w:szCs w:val="24"/>
          <w:lang w:val="en-US"/>
        </w:rPr>
        <w:t xml:space="preserve">mong </w:t>
      </w:r>
      <w:r w:rsidR="001D3275">
        <w:rPr>
          <w:rFonts w:ascii="Times New Roman" w:hAnsi="Times New Roman" w:cs="Times New Roman"/>
          <w:sz w:val="24"/>
          <w:szCs w:val="24"/>
          <w:lang w:val="en-US"/>
        </w:rPr>
        <w:t>21</w:t>
      </w:r>
      <w:r w:rsidR="00123DEE">
        <w:rPr>
          <w:rFonts w:ascii="Times New Roman" w:hAnsi="Times New Roman" w:cs="Times New Roman"/>
          <w:sz w:val="24"/>
          <w:szCs w:val="24"/>
          <w:lang w:val="en-US"/>
        </w:rPr>
        <w:t xml:space="preserve"> SMR startup</w:t>
      </w:r>
      <w:r w:rsidR="001D3275">
        <w:rPr>
          <w:rFonts w:ascii="Times New Roman" w:hAnsi="Times New Roman" w:cs="Times New Roman"/>
          <w:sz w:val="24"/>
          <w:szCs w:val="24"/>
          <w:lang w:val="en-US"/>
        </w:rPr>
        <w:t xml:space="preserve"> companies</w:t>
      </w:r>
      <w:r w:rsidR="00D37C5A">
        <w:rPr>
          <w:rFonts w:ascii="Times New Roman" w:hAnsi="Times New Roman" w:cs="Times New Roman"/>
          <w:sz w:val="24"/>
          <w:szCs w:val="24"/>
          <w:lang w:val="en-US"/>
        </w:rPr>
        <w:t xml:space="preserve"> 6 w</w:t>
      </w:r>
      <w:r w:rsidR="00ED04C9">
        <w:rPr>
          <w:rFonts w:ascii="Times New Roman" w:hAnsi="Times New Roman" w:cs="Times New Roman"/>
          <w:sz w:val="24"/>
          <w:szCs w:val="24"/>
          <w:lang w:val="en-US"/>
        </w:rPr>
        <w:t>ere</w:t>
      </w:r>
      <w:r w:rsidR="00D37C5A">
        <w:rPr>
          <w:rFonts w:ascii="Times New Roman" w:hAnsi="Times New Roman" w:cs="Times New Roman"/>
          <w:sz w:val="24"/>
          <w:szCs w:val="24"/>
          <w:lang w:val="en-US"/>
        </w:rPr>
        <w:t xml:space="preserve"> founded </w:t>
      </w:r>
      <w:r w:rsidR="00297B7E">
        <w:rPr>
          <w:rFonts w:ascii="Times New Roman" w:hAnsi="Times New Roman" w:cs="Times New Roman"/>
          <w:sz w:val="24"/>
          <w:szCs w:val="24"/>
          <w:lang w:val="en-US"/>
        </w:rPr>
        <w:t>in</w:t>
      </w:r>
      <w:r w:rsidR="00D37C5A">
        <w:rPr>
          <w:rFonts w:ascii="Times New Roman" w:hAnsi="Times New Roman" w:cs="Times New Roman"/>
          <w:sz w:val="24"/>
          <w:szCs w:val="24"/>
          <w:lang w:val="en-US"/>
        </w:rPr>
        <w:t xml:space="preserve"> the period 2006~2010. </w:t>
      </w:r>
      <w:r w:rsidR="00A91911">
        <w:rPr>
          <w:rFonts w:ascii="Times New Roman" w:hAnsi="Times New Roman" w:cs="Times New Roman"/>
          <w:sz w:val="24"/>
          <w:szCs w:val="24"/>
          <w:lang w:val="en-US"/>
        </w:rPr>
        <w:t>More than half of the</w:t>
      </w:r>
      <w:r w:rsidR="00FD3433">
        <w:rPr>
          <w:rFonts w:ascii="Times New Roman" w:hAnsi="Times New Roman" w:cs="Times New Roman"/>
          <w:sz w:val="24"/>
          <w:szCs w:val="24"/>
          <w:lang w:val="en-US"/>
        </w:rPr>
        <w:t>se</w:t>
      </w:r>
      <w:r w:rsidR="00A91911">
        <w:rPr>
          <w:rFonts w:ascii="Times New Roman" w:hAnsi="Times New Roman" w:cs="Times New Roman"/>
          <w:sz w:val="24"/>
          <w:szCs w:val="24"/>
          <w:lang w:val="en-US"/>
        </w:rPr>
        <w:t xml:space="preserve"> companies were founded between </w:t>
      </w:r>
      <w:r w:rsidR="00402ED3">
        <w:rPr>
          <w:rFonts w:ascii="Times New Roman" w:hAnsi="Times New Roman" w:cs="Times New Roman"/>
          <w:sz w:val="24"/>
          <w:szCs w:val="24"/>
          <w:lang w:val="en-US"/>
        </w:rPr>
        <w:t xml:space="preserve">2011~2015. </w:t>
      </w:r>
      <w:r w:rsidR="00123DEE">
        <w:rPr>
          <w:rFonts w:ascii="Times New Roman" w:hAnsi="Times New Roman" w:cs="Times New Roman"/>
          <w:sz w:val="24"/>
          <w:szCs w:val="24"/>
          <w:lang w:val="en-US"/>
        </w:rPr>
        <w:t xml:space="preserve">For nuclear fusion the number of startup companies </w:t>
      </w:r>
      <w:r w:rsidR="003A7F0E">
        <w:rPr>
          <w:rFonts w:ascii="Times New Roman" w:hAnsi="Times New Roman" w:cs="Times New Roman"/>
          <w:sz w:val="24"/>
          <w:szCs w:val="24"/>
          <w:lang w:val="en-US"/>
        </w:rPr>
        <w:t>has been</w:t>
      </w:r>
      <w:r w:rsidR="00123DEE">
        <w:rPr>
          <w:rFonts w:ascii="Times New Roman" w:hAnsi="Times New Roman" w:cs="Times New Roman"/>
          <w:sz w:val="24"/>
          <w:szCs w:val="24"/>
          <w:lang w:val="en-US"/>
        </w:rPr>
        <w:t xml:space="preserve"> growing</w:t>
      </w:r>
      <w:r w:rsidR="003A7F0E">
        <w:rPr>
          <w:rFonts w:ascii="Times New Roman" w:hAnsi="Times New Roman" w:cs="Times New Roman"/>
          <w:sz w:val="24"/>
          <w:szCs w:val="24"/>
          <w:lang w:val="en-US"/>
        </w:rPr>
        <w:t xml:space="preserve"> only recently</w:t>
      </w:r>
      <w:r w:rsidR="00123DEE">
        <w:rPr>
          <w:rFonts w:ascii="Times New Roman" w:hAnsi="Times New Roman" w:cs="Times New Roman"/>
          <w:sz w:val="24"/>
          <w:szCs w:val="24"/>
          <w:lang w:val="en-US"/>
        </w:rPr>
        <w:t xml:space="preserve">, 17 of them being founded between 2016~2020. </w:t>
      </w:r>
    </w:p>
    <w:p w14:paraId="199BF485" w14:textId="05DA965F" w:rsidR="00141DE7" w:rsidRPr="00DA2377" w:rsidRDefault="00DA2377" w:rsidP="001D3275">
      <w:pPr>
        <w:spacing w:after="280"/>
        <w:ind w:left="720" w:hanging="720"/>
        <w:jc w:val="center"/>
        <w:rPr>
          <w:rFonts w:ascii="Times New Roman" w:hAnsi="Times New Roman" w:cs="Times New Roman"/>
          <w:sz w:val="24"/>
          <w:szCs w:val="24"/>
          <w:lang w:val="en-US"/>
        </w:rPr>
      </w:pPr>
      <w:r>
        <w:rPr>
          <w:noProof/>
        </w:rPr>
        <w:lastRenderedPageBreak/>
        <w:drawing>
          <wp:inline distT="0" distB="0" distL="0" distR="0" wp14:anchorId="2DC75E7B" wp14:editId="20DF0D52">
            <wp:extent cx="4572000" cy="2743200"/>
            <wp:effectExtent l="0" t="0" r="0" b="0"/>
            <wp:docPr id="1" name="Chart 1">
              <a:extLst xmlns:a="http://schemas.openxmlformats.org/drawingml/2006/main">
                <a:ext uri="{FF2B5EF4-FFF2-40B4-BE49-F238E27FC236}">
                  <a16:creationId xmlns:a16="http://schemas.microsoft.com/office/drawing/2014/main" id="{331EB6D7-E823-4FDD-BC91-4C1FD34775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367668" w14:textId="19366E3E" w:rsidR="001D3275" w:rsidRDefault="001D3275" w:rsidP="001D3275">
      <w:pPr>
        <w:spacing w:after="280"/>
        <w:ind w:left="720" w:hanging="720"/>
        <w:jc w:val="center"/>
        <w:rPr>
          <w:rFonts w:ascii="Times New Roman" w:hAnsi="Times New Roman" w:cs="Times New Roman"/>
          <w:i/>
          <w:iCs/>
          <w:sz w:val="24"/>
          <w:szCs w:val="24"/>
          <w:lang w:val="en-US"/>
        </w:rPr>
      </w:pPr>
      <w:r w:rsidRPr="001D3275">
        <w:rPr>
          <w:rFonts w:ascii="Times New Roman" w:hAnsi="Times New Roman" w:cs="Times New Roman"/>
          <w:i/>
          <w:iCs/>
          <w:sz w:val="24"/>
          <w:szCs w:val="24"/>
          <w:lang w:val="en-US"/>
        </w:rPr>
        <w:t>FIG. 1. Number of Companies by Founding Year</w:t>
      </w:r>
    </w:p>
    <w:p w14:paraId="0661033B" w14:textId="5C3CF917" w:rsidR="00B42F3E" w:rsidRPr="0019268C" w:rsidRDefault="00E367D1" w:rsidP="001A3BA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Looking at the </w:t>
      </w:r>
      <w:r w:rsidR="005F734E">
        <w:rPr>
          <w:rFonts w:ascii="Times New Roman" w:hAnsi="Times New Roman" w:cs="Times New Roman"/>
          <w:sz w:val="24"/>
          <w:szCs w:val="24"/>
          <w:lang w:val="en-US"/>
        </w:rPr>
        <w:t xml:space="preserve">SMR </w:t>
      </w:r>
      <w:r>
        <w:rPr>
          <w:rFonts w:ascii="Times New Roman" w:hAnsi="Times New Roman" w:cs="Times New Roman"/>
          <w:sz w:val="24"/>
          <w:szCs w:val="24"/>
          <w:lang w:val="en-US"/>
        </w:rPr>
        <w:t>reactor ty</w:t>
      </w:r>
      <w:r w:rsidR="005F734E">
        <w:rPr>
          <w:rFonts w:ascii="Times New Roman" w:hAnsi="Times New Roman" w:cs="Times New Roman"/>
          <w:sz w:val="24"/>
          <w:szCs w:val="24"/>
          <w:lang w:val="en-US"/>
        </w:rPr>
        <w:t>pe, it appeared that the M</w:t>
      </w:r>
      <w:r w:rsidR="0019268C" w:rsidRPr="0019268C">
        <w:rPr>
          <w:rFonts w:ascii="Times New Roman" w:hAnsi="Times New Roman" w:cs="Times New Roman"/>
          <w:sz w:val="24"/>
          <w:szCs w:val="24"/>
          <w:lang w:val="en-US"/>
        </w:rPr>
        <w:t xml:space="preserve">olten </w:t>
      </w:r>
      <w:r w:rsidR="005F734E">
        <w:rPr>
          <w:rFonts w:ascii="Times New Roman" w:hAnsi="Times New Roman" w:cs="Times New Roman"/>
          <w:sz w:val="24"/>
          <w:szCs w:val="24"/>
          <w:lang w:val="en-US"/>
        </w:rPr>
        <w:t>S</w:t>
      </w:r>
      <w:r w:rsidR="0019268C" w:rsidRPr="0019268C">
        <w:rPr>
          <w:rFonts w:ascii="Times New Roman" w:hAnsi="Times New Roman" w:cs="Times New Roman"/>
          <w:sz w:val="24"/>
          <w:szCs w:val="24"/>
          <w:lang w:val="en-US"/>
        </w:rPr>
        <w:t xml:space="preserve">alt </w:t>
      </w:r>
      <w:r w:rsidR="005F734E">
        <w:rPr>
          <w:rFonts w:ascii="Times New Roman" w:hAnsi="Times New Roman" w:cs="Times New Roman"/>
          <w:sz w:val="24"/>
          <w:szCs w:val="24"/>
          <w:lang w:val="en-US"/>
        </w:rPr>
        <w:t>R</w:t>
      </w:r>
      <w:r w:rsidR="0019268C" w:rsidRPr="0019268C">
        <w:rPr>
          <w:rFonts w:ascii="Times New Roman" w:hAnsi="Times New Roman" w:cs="Times New Roman"/>
          <w:sz w:val="24"/>
          <w:szCs w:val="24"/>
          <w:lang w:val="en-US"/>
        </w:rPr>
        <w:t>eactor</w:t>
      </w:r>
      <w:r w:rsidR="005F734E">
        <w:rPr>
          <w:rFonts w:ascii="Times New Roman" w:hAnsi="Times New Roman" w:cs="Times New Roman"/>
          <w:sz w:val="24"/>
          <w:szCs w:val="24"/>
          <w:lang w:val="en-US"/>
        </w:rPr>
        <w:t xml:space="preserve"> was</w:t>
      </w:r>
      <w:r w:rsidR="0019268C" w:rsidRPr="0019268C">
        <w:rPr>
          <w:rFonts w:ascii="Times New Roman" w:hAnsi="Times New Roman" w:cs="Times New Roman"/>
          <w:sz w:val="24"/>
          <w:szCs w:val="24"/>
          <w:lang w:val="en-US"/>
        </w:rPr>
        <w:t xml:space="preserve"> the most common type in development for SMR startups</w:t>
      </w:r>
      <w:r w:rsidR="002D43E6">
        <w:rPr>
          <w:rFonts w:ascii="Times New Roman" w:hAnsi="Times New Roman" w:cs="Times New Roman"/>
          <w:sz w:val="24"/>
          <w:szCs w:val="24"/>
          <w:lang w:val="en-US"/>
        </w:rPr>
        <w:t xml:space="preserve"> (Figure 2)</w:t>
      </w:r>
      <w:r w:rsidR="0019268C" w:rsidRPr="0019268C">
        <w:rPr>
          <w:rFonts w:ascii="Times New Roman" w:hAnsi="Times New Roman" w:cs="Times New Roman"/>
          <w:sz w:val="24"/>
          <w:szCs w:val="24"/>
          <w:lang w:val="en-US"/>
        </w:rPr>
        <w:t xml:space="preserve">. Next common were high temperature gas </w:t>
      </w:r>
      <w:r w:rsidR="000B7323">
        <w:rPr>
          <w:rFonts w:ascii="Times New Roman" w:hAnsi="Times New Roman" w:cs="Times New Roman"/>
          <w:sz w:val="24"/>
          <w:szCs w:val="24"/>
          <w:lang w:val="en-US"/>
        </w:rPr>
        <w:t xml:space="preserve">cooled </w:t>
      </w:r>
      <w:r w:rsidR="0019268C" w:rsidRPr="0019268C">
        <w:rPr>
          <w:rFonts w:ascii="Times New Roman" w:hAnsi="Times New Roman" w:cs="Times New Roman"/>
          <w:sz w:val="24"/>
          <w:szCs w:val="24"/>
          <w:lang w:val="en-US"/>
        </w:rPr>
        <w:t xml:space="preserve">reactors, liquid metal cooled reactors, and pressurized water reactors. </w:t>
      </w:r>
      <w:r w:rsidR="00E10E04">
        <w:rPr>
          <w:rFonts w:ascii="Times New Roman" w:hAnsi="Times New Roman" w:cs="Times New Roman"/>
          <w:sz w:val="24"/>
          <w:szCs w:val="24"/>
          <w:lang w:val="en-US"/>
        </w:rPr>
        <w:t xml:space="preserve">It must be kept in mind </w:t>
      </w:r>
      <w:r w:rsidR="00096816">
        <w:rPr>
          <w:rFonts w:ascii="Times New Roman" w:hAnsi="Times New Roman" w:cs="Times New Roman"/>
          <w:sz w:val="24"/>
          <w:szCs w:val="24"/>
          <w:lang w:val="en-US"/>
        </w:rPr>
        <w:t>that also the traditional nuclear industr</w:t>
      </w:r>
      <w:r w:rsidR="00805664">
        <w:rPr>
          <w:rFonts w:ascii="Times New Roman" w:hAnsi="Times New Roman" w:cs="Times New Roman"/>
          <w:sz w:val="24"/>
          <w:szCs w:val="24"/>
          <w:lang w:val="en-US"/>
        </w:rPr>
        <w:t xml:space="preserve">y is developing SMR, </w:t>
      </w:r>
      <w:r w:rsidR="00B81BEA">
        <w:rPr>
          <w:rFonts w:ascii="Times New Roman" w:hAnsi="Times New Roman" w:cs="Times New Roman"/>
          <w:sz w:val="24"/>
          <w:szCs w:val="24"/>
          <w:lang w:val="en-US"/>
        </w:rPr>
        <w:t>and the PWR is more common in this sector</w:t>
      </w:r>
      <w:r w:rsidR="002D43E6">
        <w:rPr>
          <w:rFonts w:ascii="Times New Roman" w:hAnsi="Times New Roman" w:cs="Times New Roman"/>
          <w:sz w:val="24"/>
          <w:szCs w:val="24"/>
          <w:lang w:val="en-US"/>
        </w:rPr>
        <w:t>.</w:t>
      </w:r>
      <w:r w:rsidR="00096816">
        <w:rPr>
          <w:rFonts w:ascii="Times New Roman" w:hAnsi="Times New Roman" w:cs="Times New Roman"/>
          <w:sz w:val="24"/>
          <w:szCs w:val="24"/>
          <w:lang w:val="en-US"/>
        </w:rPr>
        <w:t xml:space="preserve"> </w:t>
      </w:r>
      <w:r w:rsidR="002D43E6">
        <w:rPr>
          <w:rFonts w:ascii="Times New Roman" w:hAnsi="Times New Roman" w:cs="Times New Roman"/>
          <w:sz w:val="24"/>
          <w:szCs w:val="24"/>
          <w:lang w:val="en-US"/>
        </w:rPr>
        <w:t>The section “</w:t>
      </w:r>
      <w:r w:rsidR="0019268C">
        <w:rPr>
          <w:rFonts w:ascii="Times New Roman" w:hAnsi="Times New Roman" w:cs="Times New Roman"/>
          <w:sz w:val="24"/>
          <w:szCs w:val="24"/>
          <w:lang w:val="en-US"/>
        </w:rPr>
        <w:t>Other</w:t>
      </w:r>
      <w:r w:rsidR="002D43E6">
        <w:rPr>
          <w:rFonts w:ascii="Times New Roman" w:hAnsi="Times New Roman" w:cs="Times New Roman"/>
          <w:sz w:val="24"/>
          <w:szCs w:val="24"/>
          <w:lang w:val="en-US"/>
        </w:rPr>
        <w:t>”</w:t>
      </w:r>
      <w:r w:rsidR="0019268C">
        <w:rPr>
          <w:rFonts w:ascii="Times New Roman" w:hAnsi="Times New Roman" w:cs="Times New Roman"/>
          <w:sz w:val="24"/>
          <w:szCs w:val="24"/>
          <w:lang w:val="en-US"/>
        </w:rPr>
        <w:t xml:space="preserve"> include</w:t>
      </w:r>
      <w:r w:rsidR="002D43E6">
        <w:rPr>
          <w:rFonts w:ascii="Times New Roman" w:hAnsi="Times New Roman" w:cs="Times New Roman"/>
          <w:sz w:val="24"/>
          <w:szCs w:val="24"/>
          <w:lang w:val="en-US"/>
        </w:rPr>
        <w:t>s</w:t>
      </w:r>
      <w:r w:rsidR="0019268C">
        <w:rPr>
          <w:rFonts w:ascii="Times New Roman" w:hAnsi="Times New Roman" w:cs="Times New Roman"/>
          <w:sz w:val="24"/>
          <w:szCs w:val="24"/>
          <w:lang w:val="en-US"/>
        </w:rPr>
        <w:t xml:space="preserve"> companies that have no </w:t>
      </w:r>
      <w:r w:rsidR="001846FB">
        <w:rPr>
          <w:rFonts w:ascii="Times New Roman" w:hAnsi="Times New Roman" w:cs="Times New Roman"/>
          <w:sz w:val="24"/>
          <w:szCs w:val="24"/>
          <w:lang w:val="en-US"/>
        </w:rPr>
        <w:t xml:space="preserve">particular </w:t>
      </w:r>
      <w:r w:rsidR="0019268C">
        <w:rPr>
          <w:rFonts w:ascii="Times New Roman" w:hAnsi="Times New Roman" w:cs="Times New Roman"/>
          <w:sz w:val="24"/>
          <w:szCs w:val="24"/>
          <w:lang w:val="en-US"/>
        </w:rPr>
        <w:t xml:space="preserve">design </w:t>
      </w:r>
      <w:r w:rsidR="001846FB">
        <w:rPr>
          <w:rFonts w:ascii="Times New Roman" w:hAnsi="Times New Roman" w:cs="Times New Roman"/>
          <w:sz w:val="24"/>
          <w:szCs w:val="24"/>
          <w:lang w:val="en-US"/>
        </w:rPr>
        <w:t xml:space="preserve">yet </w:t>
      </w:r>
      <w:r w:rsidR="00414FEC">
        <w:rPr>
          <w:rFonts w:ascii="Times New Roman" w:hAnsi="Times New Roman" w:cs="Times New Roman"/>
          <w:sz w:val="24"/>
          <w:szCs w:val="24"/>
          <w:lang w:val="en-US"/>
        </w:rPr>
        <w:t xml:space="preserve">or other types such as </w:t>
      </w:r>
      <w:r w:rsidR="00E10E04">
        <w:rPr>
          <w:rFonts w:ascii="Times New Roman" w:hAnsi="Times New Roman" w:cs="Times New Roman"/>
          <w:sz w:val="24"/>
          <w:szCs w:val="24"/>
          <w:lang w:val="en-US"/>
        </w:rPr>
        <w:t xml:space="preserve">the </w:t>
      </w:r>
      <w:r w:rsidR="00414FEC">
        <w:rPr>
          <w:rFonts w:ascii="Times New Roman" w:hAnsi="Times New Roman" w:cs="Times New Roman"/>
          <w:sz w:val="24"/>
          <w:szCs w:val="24"/>
          <w:lang w:val="en-US"/>
        </w:rPr>
        <w:t xml:space="preserve">pebble-bed </w:t>
      </w:r>
      <w:r w:rsidR="00E10E04">
        <w:rPr>
          <w:rFonts w:ascii="Times New Roman" w:hAnsi="Times New Roman" w:cs="Times New Roman"/>
          <w:sz w:val="24"/>
          <w:szCs w:val="24"/>
          <w:lang w:val="en-US"/>
        </w:rPr>
        <w:t xml:space="preserve">molten </w:t>
      </w:r>
      <w:r w:rsidR="00414FEC">
        <w:rPr>
          <w:rFonts w:ascii="Times New Roman" w:hAnsi="Times New Roman" w:cs="Times New Roman"/>
          <w:sz w:val="24"/>
          <w:szCs w:val="24"/>
          <w:lang w:val="en-US"/>
        </w:rPr>
        <w:t>salt reactor</w:t>
      </w:r>
      <w:r w:rsidR="00772C56">
        <w:rPr>
          <w:rFonts w:ascii="Times New Roman" w:hAnsi="Times New Roman" w:cs="Times New Roman"/>
          <w:sz w:val="24"/>
          <w:szCs w:val="24"/>
          <w:lang w:val="en-US"/>
        </w:rPr>
        <w:t>.</w:t>
      </w:r>
    </w:p>
    <w:p w14:paraId="23DA791D" w14:textId="714324F4" w:rsidR="00CA12B9" w:rsidRDefault="00207989" w:rsidP="001D3275">
      <w:pPr>
        <w:spacing w:after="280"/>
        <w:ind w:left="720" w:hanging="720"/>
        <w:jc w:val="center"/>
        <w:rPr>
          <w:rFonts w:ascii="Times New Roman" w:hAnsi="Times New Roman" w:cs="Times New Roman"/>
          <w:i/>
          <w:iCs/>
          <w:sz w:val="24"/>
          <w:szCs w:val="24"/>
          <w:lang w:val="en-US"/>
        </w:rPr>
      </w:pPr>
      <w:r>
        <w:rPr>
          <w:noProof/>
        </w:rPr>
        <w:drawing>
          <wp:inline distT="0" distB="0" distL="0" distR="0" wp14:anchorId="3E6C8CAC" wp14:editId="655D76A0">
            <wp:extent cx="3595396" cy="1891004"/>
            <wp:effectExtent l="0" t="0" r="5080" b="0"/>
            <wp:docPr id="5" name="Chart 5">
              <a:extLst xmlns:a="http://schemas.openxmlformats.org/drawingml/2006/main">
                <a:ext uri="{FF2B5EF4-FFF2-40B4-BE49-F238E27FC236}">
                  <a16:creationId xmlns:a16="http://schemas.microsoft.com/office/drawing/2014/main" id="{E952FA8E-FBC5-4E74-8836-C99FF50D27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A2C597" w14:textId="20762318" w:rsidR="00C66E2C" w:rsidRDefault="00C66E2C" w:rsidP="001D3275">
      <w:pPr>
        <w:spacing w:after="280"/>
        <w:ind w:left="720" w:hanging="720"/>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FIG. 2. </w:t>
      </w:r>
      <w:r w:rsidR="00CE7C3C">
        <w:rPr>
          <w:rFonts w:ascii="Times New Roman" w:hAnsi="Times New Roman" w:cs="Times New Roman"/>
          <w:i/>
          <w:iCs/>
          <w:sz w:val="24"/>
          <w:szCs w:val="24"/>
          <w:lang w:val="en-US"/>
        </w:rPr>
        <w:t xml:space="preserve">SMR </w:t>
      </w:r>
      <w:r>
        <w:rPr>
          <w:rFonts w:ascii="Times New Roman" w:hAnsi="Times New Roman" w:cs="Times New Roman"/>
          <w:i/>
          <w:iCs/>
          <w:sz w:val="24"/>
          <w:szCs w:val="24"/>
          <w:lang w:val="en-US"/>
        </w:rPr>
        <w:t>Reactor Types</w:t>
      </w:r>
      <w:r w:rsidR="00B458AA">
        <w:rPr>
          <w:rFonts w:ascii="Times New Roman" w:hAnsi="Times New Roman" w:cs="Times New Roman"/>
          <w:i/>
          <w:iCs/>
          <w:sz w:val="24"/>
          <w:szCs w:val="24"/>
          <w:lang w:val="en-US"/>
        </w:rPr>
        <w:t xml:space="preserve"> </w:t>
      </w:r>
      <w:r w:rsidR="00B458AA" w:rsidRPr="001A7EF1">
        <w:rPr>
          <w:rFonts w:ascii="Times New Roman" w:hAnsi="Times New Roman" w:cs="Times New Roman"/>
          <w:i/>
          <w:iCs/>
          <w:sz w:val="24"/>
          <w:szCs w:val="24"/>
          <w:lang w:val="en-US"/>
        </w:rPr>
        <w:t>[TO BE UPDATED BY SUYOUN]</w:t>
      </w:r>
    </w:p>
    <w:p w14:paraId="3374D84C" w14:textId="6FE3E033" w:rsidR="00781C5F" w:rsidRPr="001C1E22" w:rsidRDefault="00781C5F" w:rsidP="001A3BA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sorted by </w:t>
      </w:r>
      <w:r w:rsidR="00381682">
        <w:rPr>
          <w:rFonts w:ascii="Times New Roman" w:hAnsi="Times New Roman" w:cs="Times New Roman"/>
          <w:sz w:val="24"/>
          <w:szCs w:val="24"/>
          <w:lang w:val="en-US"/>
        </w:rPr>
        <w:t xml:space="preserve">power </w:t>
      </w:r>
      <w:r>
        <w:rPr>
          <w:rFonts w:ascii="Times New Roman" w:hAnsi="Times New Roman" w:cs="Times New Roman"/>
          <w:sz w:val="24"/>
          <w:szCs w:val="24"/>
          <w:lang w:val="en-US"/>
        </w:rPr>
        <w:t>output</w:t>
      </w:r>
      <w:r w:rsidR="00477D52">
        <w:rPr>
          <w:rFonts w:ascii="Times New Roman" w:hAnsi="Times New Roman" w:cs="Times New Roman"/>
          <w:sz w:val="24"/>
          <w:szCs w:val="24"/>
          <w:lang w:val="en-US"/>
        </w:rPr>
        <w:t xml:space="preserve"> (Figure 3)</w:t>
      </w:r>
      <w:r w:rsidR="00CE7C3C">
        <w:rPr>
          <w:rFonts w:ascii="Times New Roman" w:hAnsi="Times New Roman" w:cs="Times New Roman"/>
          <w:sz w:val="24"/>
          <w:szCs w:val="24"/>
          <w:lang w:val="en-US"/>
        </w:rPr>
        <w:t xml:space="preserve">, </w:t>
      </w:r>
      <w:r w:rsidR="001C1E22">
        <w:rPr>
          <w:rFonts w:ascii="Times New Roman" w:hAnsi="Times New Roman" w:cs="Times New Roman"/>
          <w:sz w:val="24"/>
          <w:szCs w:val="24"/>
          <w:lang w:val="en-US"/>
        </w:rPr>
        <w:t xml:space="preserve">5 of the </w:t>
      </w:r>
      <w:r w:rsidR="00381682">
        <w:rPr>
          <w:rFonts w:ascii="Times New Roman" w:hAnsi="Times New Roman" w:cs="Times New Roman"/>
          <w:sz w:val="24"/>
          <w:szCs w:val="24"/>
          <w:lang w:val="en-US"/>
        </w:rPr>
        <w:t xml:space="preserve">SMR </w:t>
      </w:r>
      <w:r w:rsidR="001C1E22">
        <w:rPr>
          <w:rFonts w:ascii="Times New Roman" w:hAnsi="Times New Roman" w:cs="Times New Roman"/>
          <w:sz w:val="24"/>
          <w:szCs w:val="24"/>
          <w:lang w:val="en-US"/>
        </w:rPr>
        <w:t xml:space="preserve">reactor models had </w:t>
      </w:r>
      <w:r w:rsidR="00CE7C3C">
        <w:rPr>
          <w:rFonts w:ascii="Times New Roman" w:hAnsi="Times New Roman" w:cs="Times New Roman"/>
          <w:sz w:val="24"/>
          <w:szCs w:val="24"/>
          <w:lang w:val="en-US"/>
        </w:rPr>
        <w:t xml:space="preserve">an </w:t>
      </w:r>
      <w:r w:rsidR="001C1E22">
        <w:rPr>
          <w:rFonts w:ascii="Times New Roman" w:hAnsi="Times New Roman" w:cs="Times New Roman"/>
          <w:sz w:val="24"/>
          <w:szCs w:val="24"/>
          <w:lang w:val="en-US"/>
        </w:rPr>
        <w:t>electrical output from 0~50 MW(e)</w:t>
      </w:r>
      <w:r w:rsidR="0015037B">
        <w:rPr>
          <w:rFonts w:ascii="Times New Roman" w:hAnsi="Times New Roman" w:cs="Times New Roman"/>
          <w:sz w:val="24"/>
          <w:szCs w:val="24"/>
          <w:lang w:val="en-US"/>
        </w:rPr>
        <w:t xml:space="preserve"> and</w:t>
      </w:r>
      <w:r w:rsidR="001C1E22">
        <w:rPr>
          <w:rFonts w:ascii="Times New Roman" w:hAnsi="Times New Roman" w:cs="Times New Roman"/>
          <w:sz w:val="24"/>
          <w:szCs w:val="24"/>
          <w:lang w:val="en-US"/>
        </w:rPr>
        <w:t xml:space="preserve"> 5 had </w:t>
      </w:r>
      <w:r w:rsidR="00CE7C3C">
        <w:rPr>
          <w:rFonts w:ascii="Times New Roman" w:hAnsi="Times New Roman" w:cs="Times New Roman"/>
          <w:sz w:val="24"/>
          <w:szCs w:val="24"/>
          <w:lang w:val="en-US"/>
        </w:rPr>
        <w:t xml:space="preserve">an </w:t>
      </w:r>
      <w:r w:rsidR="001C1E22">
        <w:rPr>
          <w:rFonts w:ascii="Times New Roman" w:hAnsi="Times New Roman" w:cs="Times New Roman"/>
          <w:sz w:val="24"/>
          <w:szCs w:val="24"/>
          <w:lang w:val="en-US"/>
        </w:rPr>
        <w:t xml:space="preserve">output ranging 51~100MW(e). </w:t>
      </w:r>
      <w:r w:rsidR="0015037B">
        <w:rPr>
          <w:rFonts w:ascii="Times New Roman" w:hAnsi="Times New Roman" w:cs="Times New Roman"/>
          <w:sz w:val="24"/>
          <w:szCs w:val="24"/>
          <w:lang w:val="en-US"/>
        </w:rPr>
        <w:t xml:space="preserve">Another </w:t>
      </w:r>
      <w:r w:rsidR="00635D56">
        <w:rPr>
          <w:rFonts w:ascii="Times New Roman" w:hAnsi="Times New Roman" w:cs="Times New Roman"/>
          <w:sz w:val="24"/>
          <w:szCs w:val="24"/>
          <w:lang w:val="en-US"/>
        </w:rPr>
        <w:t xml:space="preserve">3 of the models have outputs between 101~200MW(e) and 3 have outputs of 201~300MW(e). While most SMRs have an output of 300MW(e) or less, </w:t>
      </w:r>
      <w:proofErr w:type="spellStart"/>
      <w:r w:rsidR="00635D56">
        <w:rPr>
          <w:rFonts w:ascii="Times New Roman" w:hAnsi="Times New Roman" w:cs="Times New Roman"/>
          <w:sz w:val="24"/>
          <w:szCs w:val="24"/>
          <w:lang w:val="en-US"/>
        </w:rPr>
        <w:t>Terrapower’s</w:t>
      </w:r>
      <w:proofErr w:type="spellEnd"/>
      <w:r w:rsidR="00635D56">
        <w:rPr>
          <w:rFonts w:ascii="Times New Roman" w:hAnsi="Times New Roman" w:cs="Times New Roman"/>
          <w:sz w:val="24"/>
          <w:szCs w:val="24"/>
          <w:lang w:val="en-US"/>
        </w:rPr>
        <w:t xml:space="preserve"> Natrium reactor ha</w:t>
      </w:r>
      <w:r w:rsidR="00B77AFB">
        <w:rPr>
          <w:rFonts w:ascii="Times New Roman" w:hAnsi="Times New Roman" w:cs="Times New Roman"/>
          <w:sz w:val="24"/>
          <w:szCs w:val="24"/>
          <w:lang w:val="en-US"/>
        </w:rPr>
        <w:t>s</w:t>
      </w:r>
      <w:r w:rsidR="00635D56">
        <w:rPr>
          <w:rFonts w:ascii="Times New Roman" w:hAnsi="Times New Roman" w:cs="Times New Roman"/>
          <w:sz w:val="24"/>
          <w:szCs w:val="24"/>
          <w:lang w:val="en-US"/>
        </w:rPr>
        <w:t xml:space="preserve"> an electric output of 345MW(e).</w:t>
      </w:r>
    </w:p>
    <w:p w14:paraId="3B5C0956" w14:textId="281D4EF0" w:rsidR="00772C56" w:rsidRDefault="00772C56" w:rsidP="001D3275">
      <w:pPr>
        <w:spacing w:after="280"/>
        <w:ind w:left="720" w:hanging="720"/>
        <w:jc w:val="center"/>
        <w:rPr>
          <w:rFonts w:ascii="Times New Roman" w:hAnsi="Times New Roman" w:cs="Times New Roman"/>
          <w:i/>
          <w:iCs/>
          <w:sz w:val="24"/>
          <w:szCs w:val="24"/>
          <w:lang w:val="en-US"/>
        </w:rPr>
      </w:pPr>
      <w:r>
        <w:rPr>
          <w:noProof/>
        </w:rPr>
        <w:lastRenderedPageBreak/>
        <w:drawing>
          <wp:inline distT="0" distB="0" distL="0" distR="0" wp14:anchorId="234AC775" wp14:editId="6F9627E6">
            <wp:extent cx="3604847" cy="1863969"/>
            <wp:effectExtent l="0" t="0" r="0" b="3175"/>
            <wp:docPr id="3" name="Chart 3">
              <a:extLst xmlns:a="http://schemas.openxmlformats.org/drawingml/2006/main">
                <a:ext uri="{FF2B5EF4-FFF2-40B4-BE49-F238E27FC236}">
                  <a16:creationId xmlns:a16="http://schemas.microsoft.com/office/drawing/2014/main" id="{3F13913D-61EC-4BCF-BF97-48405BD83A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6A034A" w14:textId="6DA8275F" w:rsidR="00B12F84" w:rsidRDefault="00B12F84" w:rsidP="001D3275">
      <w:pPr>
        <w:spacing w:after="280"/>
        <w:ind w:left="720" w:hanging="720"/>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FIG. 3. </w:t>
      </w:r>
      <w:r w:rsidR="00381682">
        <w:rPr>
          <w:rFonts w:ascii="Times New Roman" w:hAnsi="Times New Roman" w:cs="Times New Roman"/>
          <w:i/>
          <w:iCs/>
          <w:sz w:val="24"/>
          <w:szCs w:val="24"/>
          <w:lang w:val="en-US"/>
        </w:rPr>
        <w:t xml:space="preserve">SMR Power </w:t>
      </w:r>
      <w:r>
        <w:rPr>
          <w:rFonts w:ascii="Times New Roman" w:hAnsi="Times New Roman" w:cs="Times New Roman"/>
          <w:i/>
          <w:iCs/>
          <w:sz w:val="24"/>
          <w:szCs w:val="24"/>
          <w:lang w:val="en-US"/>
        </w:rPr>
        <w:t>Output MW(e)</w:t>
      </w:r>
    </w:p>
    <w:p w14:paraId="03C23189" w14:textId="41CC3410" w:rsidR="00123DEE" w:rsidRDefault="00721C68" w:rsidP="005E0B8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Looking to the origin of </w:t>
      </w:r>
      <w:r w:rsidR="003D43B2">
        <w:rPr>
          <w:rFonts w:ascii="Times New Roman" w:hAnsi="Times New Roman" w:cs="Times New Roman"/>
          <w:sz w:val="24"/>
          <w:szCs w:val="24"/>
          <w:lang w:val="en-US"/>
        </w:rPr>
        <w:t xml:space="preserve">their </w:t>
      </w:r>
      <w:r>
        <w:rPr>
          <w:rFonts w:ascii="Times New Roman" w:hAnsi="Times New Roman" w:cs="Times New Roman"/>
          <w:sz w:val="24"/>
          <w:szCs w:val="24"/>
          <w:lang w:val="en-US"/>
        </w:rPr>
        <w:t>funding</w:t>
      </w:r>
      <w:r w:rsidR="0027378A">
        <w:rPr>
          <w:rFonts w:ascii="Times New Roman" w:hAnsi="Times New Roman" w:cs="Times New Roman"/>
          <w:sz w:val="24"/>
          <w:szCs w:val="24"/>
          <w:lang w:val="en-US"/>
        </w:rPr>
        <w:t xml:space="preserve"> (Figure 4)</w:t>
      </w:r>
      <w:r>
        <w:rPr>
          <w:rFonts w:ascii="Times New Roman" w:hAnsi="Times New Roman" w:cs="Times New Roman"/>
          <w:sz w:val="24"/>
          <w:szCs w:val="24"/>
          <w:lang w:val="en-US"/>
        </w:rPr>
        <w:t>, it was found that a</w:t>
      </w:r>
      <w:r w:rsidR="009F6795">
        <w:rPr>
          <w:rFonts w:ascii="Times New Roman" w:hAnsi="Times New Roman" w:cs="Times New Roman"/>
          <w:sz w:val="24"/>
          <w:szCs w:val="24"/>
          <w:lang w:val="en-US"/>
        </w:rPr>
        <w:t>mong the</w:t>
      </w:r>
      <w:r w:rsidR="00123DEE">
        <w:rPr>
          <w:rFonts w:ascii="Times New Roman" w:hAnsi="Times New Roman" w:cs="Times New Roman"/>
          <w:sz w:val="24"/>
          <w:szCs w:val="24"/>
          <w:lang w:val="en-US"/>
        </w:rPr>
        <w:t xml:space="preserve"> SMR</w:t>
      </w:r>
      <w:r w:rsidR="009F6795">
        <w:rPr>
          <w:rFonts w:ascii="Times New Roman" w:hAnsi="Times New Roman" w:cs="Times New Roman"/>
          <w:sz w:val="24"/>
          <w:szCs w:val="24"/>
          <w:lang w:val="en-US"/>
        </w:rPr>
        <w:t xml:space="preserve"> companies</w:t>
      </w:r>
      <w:r w:rsidR="00C337F5">
        <w:rPr>
          <w:rFonts w:ascii="Times New Roman" w:hAnsi="Times New Roman" w:cs="Times New Roman"/>
          <w:sz w:val="24"/>
          <w:szCs w:val="24"/>
          <w:lang w:val="en-US"/>
        </w:rPr>
        <w:t xml:space="preserve">, </w:t>
      </w:r>
      <w:r w:rsidR="00C12B40">
        <w:rPr>
          <w:rFonts w:ascii="Times New Roman" w:hAnsi="Times New Roman" w:cs="Times New Roman"/>
          <w:sz w:val="24"/>
          <w:szCs w:val="24"/>
          <w:lang w:val="en-US"/>
        </w:rPr>
        <w:t xml:space="preserve">5 received funding from </w:t>
      </w:r>
      <w:r w:rsidR="00C337F5">
        <w:rPr>
          <w:rFonts w:ascii="Times New Roman" w:hAnsi="Times New Roman" w:cs="Times New Roman"/>
          <w:sz w:val="24"/>
          <w:szCs w:val="24"/>
          <w:lang w:val="en-US"/>
        </w:rPr>
        <w:t xml:space="preserve">their </w:t>
      </w:r>
      <w:r w:rsidR="00C12B40">
        <w:rPr>
          <w:rFonts w:ascii="Times New Roman" w:hAnsi="Times New Roman" w:cs="Times New Roman"/>
          <w:sz w:val="24"/>
          <w:szCs w:val="24"/>
          <w:lang w:val="en-US"/>
        </w:rPr>
        <w:t xml:space="preserve">government only, and 5 received </w:t>
      </w:r>
      <w:r w:rsidR="00C337F5">
        <w:rPr>
          <w:rFonts w:ascii="Times New Roman" w:hAnsi="Times New Roman" w:cs="Times New Roman"/>
          <w:sz w:val="24"/>
          <w:szCs w:val="24"/>
          <w:lang w:val="en-US"/>
        </w:rPr>
        <w:t xml:space="preserve">funding </w:t>
      </w:r>
      <w:r w:rsidR="00C12B40">
        <w:rPr>
          <w:rFonts w:ascii="Times New Roman" w:hAnsi="Times New Roman" w:cs="Times New Roman"/>
          <w:sz w:val="24"/>
          <w:szCs w:val="24"/>
          <w:lang w:val="en-US"/>
        </w:rPr>
        <w:t>from private companies or individuals</w:t>
      </w:r>
      <w:r w:rsidR="00C337F5">
        <w:rPr>
          <w:rFonts w:ascii="Times New Roman" w:hAnsi="Times New Roman" w:cs="Times New Roman"/>
          <w:sz w:val="24"/>
          <w:szCs w:val="24"/>
          <w:lang w:val="en-US"/>
        </w:rPr>
        <w:t xml:space="preserve">. </w:t>
      </w:r>
      <w:r w:rsidR="008417E1">
        <w:rPr>
          <w:rFonts w:ascii="Times New Roman" w:hAnsi="Times New Roman" w:cs="Times New Roman"/>
          <w:sz w:val="24"/>
          <w:szCs w:val="24"/>
          <w:lang w:val="en-US"/>
        </w:rPr>
        <w:t xml:space="preserve">Seven </w:t>
      </w:r>
      <w:r w:rsidR="00C12B40">
        <w:rPr>
          <w:rFonts w:ascii="Times New Roman" w:hAnsi="Times New Roman" w:cs="Times New Roman"/>
          <w:sz w:val="24"/>
          <w:szCs w:val="24"/>
          <w:lang w:val="en-US"/>
        </w:rPr>
        <w:t xml:space="preserve">companies received funding from both government and private companies or individuals. </w:t>
      </w:r>
      <w:r w:rsidR="008417E1">
        <w:rPr>
          <w:rFonts w:ascii="Times New Roman" w:hAnsi="Times New Roman" w:cs="Times New Roman"/>
          <w:sz w:val="24"/>
          <w:szCs w:val="24"/>
          <w:lang w:val="en-US"/>
        </w:rPr>
        <w:t xml:space="preserve">On </w:t>
      </w:r>
      <w:r w:rsidR="008D7AC2">
        <w:rPr>
          <w:rFonts w:ascii="Times New Roman" w:hAnsi="Times New Roman" w:cs="Times New Roman"/>
          <w:sz w:val="24"/>
          <w:szCs w:val="24"/>
          <w:lang w:val="en-US"/>
        </w:rPr>
        <w:t xml:space="preserve">5 startup companies no </w:t>
      </w:r>
      <w:r w:rsidR="00C12B40">
        <w:rPr>
          <w:rFonts w:ascii="Times New Roman" w:hAnsi="Times New Roman" w:cs="Times New Roman"/>
          <w:sz w:val="24"/>
          <w:szCs w:val="24"/>
          <w:lang w:val="en-US"/>
        </w:rPr>
        <w:t xml:space="preserve">information </w:t>
      </w:r>
      <w:r w:rsidR="008D7AC2">
        <w:rPr>
          <w:rFonts w:ascii="Times New Roman" w:hAnsi="Times New Roman" w:cs="Times New Roman"/>
          <w:sz w:val="24"/>
          <w:szCs w:val="24"/>
          <w:lang w:val="en-US"/>
        </w:rPr>
        <w:t xml:space="preserve">on </w:t>
      </w:r>
      <w:r w:rsidR="00C12B40">
        <w:rPr>
          <w:rFonts w:ascii="Times New Roman" w:hAnsi="Times New Roman" w:cs="Times New Roman"/>
          <w:sz w:val="24"/>
          <w:szCs w:val="24"/>
          <w:lang w:val="en-US"/>
        </w:rPr>
        <w:t xml:space="preserve">investors </w:t>
      </w:r>
      <w:r w:rsidR="008D7AC2">
        <w:rPr>
          <w:rFonts w:ascii="Times New Roman" w:hAnsi="Times New Roman" w:cs="Times New Roman"/>
          <w:sz w:val="24"/>
          <w:szCs w:val="24"/>
          <w:lang w:val="en-US"/>
        </w:rPr>
        <w:t>was available</w:t>
      </w:r>
      <w:r w:rsidR="00C12B40">
        <w:rPr>
          <w:rFonts w:ascii="Times New Roman" w:hAnsi="Times New Roman" w:cs="Times New Roman"/>
          <w:sz w:val="24"/>
          <w:szCs w:val="24"/>
          <w:lang w:val="en-US"/>
        </w:rPr>
        <w:t>.</w:t>
      </w:r>
      <w:r w:rsidR="00C7253A">
        <w:rPr>
          <w:rFonts w:ascii="Times New Roman" w:hAnsi="Times New Roman" w:cs="Times New Roman"/>
          <w:sz w:val="24"/>
          <w:szCs w:val="24"/>
          <w:lang w:val="en-US"/>
        </w:rPr>
        <w:t xml:space="preserve"> Among fusion startup companies</w:t>
      </w:r>
      <w:r w:rsidR="00AD64F6">
        <w:rPr>
          <w:rFonts w:ascii="Times New Roman" w:hAnsi="Times New Roman" w:cs="Times New Roman"/>
          <w:sz w:val="24"/>
          <w:szCs w:val="24"/>
          <w:lang w:val="en-US"/>
        </w:rPr>
        <w:t>,</w:t>
      </w:r>
      <w:r w:rsidR="00C7253A">
        <w:rPr>
          <w:rFonts w:ascii="Times New Roman" w:hAnsi="Times New Roman" w:cs="Times New Roman"/>
          <w:sz w:val="24"/>
          <w:szCs w:val="24"/>
          <w:lang w:val="en-US"/>
        </w:rPr>
        <w:t xml:space="preserve"> </w:t>
      </w:r>
      <w:r w:rsidR="00E8758E">
        <w:rPr>
          <w:rFonts w:ascii="Times New Roman" w:hAnsi="Times New Roman" w:cs="Times New Roman"/>
          <w:sz w:val="24"/>
          <w:szCs w:val="24"/>
          <w:lang w:val="en-US"/>
        </w:rPr>
        <w:t xml:space="preserve">only </w:t>
      </w:r>
      <w:r w:rsidR="00C7253A">
        <w:rPr>
          <w:rFonts w:ascii="Times New Roman" w:hAnsi="Times New Roman" w:cs="Times New Roman"/>
          <w:sz w:val="24"/>
          <w:szCs w:val="24"/>
          <w:lang w:val="en-US"/>
        </w:rPr>
        <w:t xml:space="preserve">3 received </w:t>
      </w:r>
      <w:r w:rsidR="00AC0A7E">
        <w:rPr>
          <w:rFonts w:ascii="Times New Roman" w:hAnsi="Times New Roman" w:cs="Times New Roman"/>
          <w:sz w:val="24"/>
          <w:szCs w:val="24"/>
          <w:lang w:val="en-US"/>
        </w:rPr>
        <w:t xml:space="preserve">pure government </w:t>
      </w:r>
      <w:r w:rsidR="00C7253A">
        <w:rPr>
          <w:rFonts w:ascii="Times New Roman" w:hAnsi="Times New Roman" w:cs="Times New Roman"/>
          <w:sz w:val="24"/>
          <w:szCs w:val="24"/>
          <w:lang w:val="en-US"/>
        </w:rPr>
        <w:t xml:space="preserve">funding, </w:t>
      </w:r>
      <w:r w:rsidR="00AD64F6">
        <w:rPr>
          <w:rFonts w:ascii="Times New Roman" w:hAnsi="Times New Roman" w:cs="Times New Roman"/>
          <w:sz w:val="24"/>
          <w:szCs w:val="24"/>
          <w:lang w:val="en-US"/>
        </w:rPr>
        <w:t xml:space="preserve">and </w:t>
      </w:r>
      <w:r w:rsidR="00C7253A">
        <w:rPr>
          <w:rFonts w:ascii="Times New Roman" w:hAnsi="Times New Roman" w:cs="Times New Roman"/>
          <w:sz w:val="24"/>
          <w:szCs w:val="24"/>
          <w:lang w:val="en-US"/>
        </w:rPr>
        <w:t>9 received funding from private companies or individuals</w:t>
      </w:r>
      <w:r w:rsidR="00AD64F6">
        <w:rPr>
          <w:rFonts w:ascii="Times New Roman" w:hAnsi="Times New Roman" w:cs="Times New Roman"/>
          <w:sz w:val="24"/>
          <w:szCs w:val="24"/>
          <w:lang w:val="en-US"/>
        </w:rPr>
        <w:t xml:space="preserve">. Seven </w:t>
      </w:r>
      <w:r w:rsidR="00C7253A">
        <w:rPr>
          <w:rFonts w:ascii="Times New Roman" w:hAnsi="Times New Roman" w:cs="Times New Roman"/>
          <w:sz w:val="24"/>
          <w:szCs w:val="24"/>
          <w:lang w:val="en-US"/>
        </w:rPr>
        <w:t xml:space="preserve">received funding from both government </w:t>
      </w:r>
      <w:r w:rsidR="00477D52">
        <w:rPr>
          <w:rFonts w:ascii="Times New Roman" w:hAnsi="Times New Roman" w:cs="Times New Roman"/>
          <w:sz w:val="24"/>
          <w:szCs w:val="24"/>
          <w:lang w:val="en-US"/>
        </w:rPr>
        <w:t>and</w:t>
      </w:r>
      <w:r w:rsidR="00C7253A">
        <w:rPr>
          <w:rFonts w:ascii="Times New Roman" w:hAnsi="Times New Roman" w:cs="Times New Roman"/>
          <w:sz w:val="24"/>
          <w:szCs w:val="24"/>
          <w:lang w:val="en-US"/>
        </w:rPr>
        <w:t xml:space="preserve"> private companies. </w:t>
      </w:r>
    </w:p>
    <w:p w14:paraId="77B74A2A" w14:textId="77777777" w:rsidR="005E0B84" w:rsidRPr="0013677B" w:rsidRDefault="005E0B84" w:rsidP="005E0B84">
      <w:pPr>
        <w:jc w:val="both"/>
        <w:rPr>
          <w:rFonts w:ascii="Times New Roman" w:hAnsi="Times New Roman" w:cs="Times New Roman"/>
          <w:sz w:val="24"/>
          <w:szCs w:val="24"/>
          <w:lang w:val="en-US"/>
        </w:rPr>
      </w:pPr>
    </w:p>
    <w:p w14:paraId="006AD6F2" w14:textId="10381AB4" w:rsidR="005E0B84" w:rsidRDefault="00065BE0" w:rsidP="005E0B84">
      <w:pPr>
        <w:spacing w:after="280"/>
        <w:ind w:left="720" w:hanging="720"/>
        <w:jc w:val="center"/>
        <w:rPr>
          <w:rFonts w:ascii="Times New Roman" w:hAnsi="Times New Roman" w:cs="Times New Roman"/>
          <w:i/>
          <w:iCs/>
          <w:sz w:val="24"/>
          <w:szCs w:val="24"/>
          <w:lang w:val="en-US"/>
        </w:rPr>
      </w:pPr>
      <w:r>
        <w:rPr>
          <w:noProof/>
        </w:rPr>
        <w:drawing>
          <wp:inline distT="0" distB="0" distL="0" distR="0" wp14:anchorId="7BC7D0E4" wp14:editId="7F31B258">
            <wp:extent cx="2139535" cy="1977727"/>
            <wp:effectExtent l="0" t="0" r="0" b="3810"/>
            <wp:docPr id="4" name="Chart 4">
              <a:extLst xmlns:a="http://schemas.openxmlformats.org/drawingml/2006/main">
                <a:ext uri="{FF2B5EF4-FFF2-40B4-BE49-F238E27FC236}">
                  <a16:creationId xmlns:a16="http://schemas.microsoft.com/office/drawing/2014/main" id="{4B8F4C5F-7A38-4212-B16B-9BDE054011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E0B84">
        <w:rPr>
          <w:noProof/>
        </w:rPr>
        <w:drawing>
          <wp:inline distT="0" distB="0" distL="0" distR="0" wp14:anchorId="1EA50AF3" wp14:editId="4DA52EA9">
            <wp:extent cx="3488677" cy="1996025"/>
            <wp:effectExtent l="0" t="0" r="0" b="4445"/>
            <wp:docPr id="6" name="Chart 6">
              <a:extLst xmlns:a="http://schemas.openxmlformats.org/drawingml/2006/main">
                <a:ext uri="{FF2B5EF4-FFF2-40B4-BE49-F238E27FC236}">
                  <a16:creationId xmlns:a16="http://schemas.microsoft.com/office/drawing/2014/main" id="{EBE66FAC-668D-46DF-87DB-756002F4C4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63338E8" w14:textId="6DE2059E" w:rsidR="004F25D1" w:rsidRDefault="004F25D1" w:rsidP="004F25D1">
      <w:pPr>
        <w:spacing w:after="280"/>
        <w:ind w:left="720" w:hanging="720"/>
        <w:jc w:val="center"/>
        <w:rPr>
          <w:rFonts w:ascii="Times New Roman" w:hAnsi="Times New Roman" w:cs="Times New Roman"/>
          <w:i/>
          <w:iCs/>
          <w:sz w:val="24"/>
          <w:szCs w:val="24"/>
          <w:lang w:val="en-US"/>
        </w:rPr>
      </w:pPr>
      <w:r w:rsidRPr="004F25D1">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 xml:space="preserve">FIG. 4. </w:t>
      </w:r>
      <w:r w:rsidR="00297FEA">
        <w:rPr>
          <w:rFonts w:ascii="Times New Roman" w:hAnsi="Times New Roman" w:cs="Times New Roman"/>
          <w:i/>
          <w:iCs/>
          <w:sz w:val="24"/>
          <w:szCs w:val="24"/>
          <w:lang w:val="en-US"/>
        </w:rPr>
        <w:t>Origin of i</w:t>
      </w:r>
      <w:r>
        <w:rPr>
          <w:rFonts w:ascii="Times New Roman" w:hAnsi="Times New Roman" w:cs="Times New Roman"/>
          <w:i/>
          <w:iCs/>
          <w:sz w:val="24"/>
          <w:szCs w:val="24"/>
          <w:lang w:val="en-US"/>
        </w:rPr>
        <w:t>nvest</w:t>
      </w:r>
      <w:r w:rsidR="002C3756">
        <w:rPr>
          <w:rFonts w:ascii="Times New Roman" w:hAnsi="Times New Roman" w:cs="Times New Roman"/>
          <w:i/>
          <w:iCs/>
          <w:sz w:val="24"/>
          <w:szCs w:val="24"/>
          <w:lang w:val="en-US"/>
        </w:rPr>
        <w:t>ments</w:t>
      </w:r>
      <w:r>
        <w:rPr>
          <w:rFonts w:ascii="Times New Roman" w:hAnsi="Times New Roman" w:cs="Times New Roman"/>
          <w:i/>
          <w:iCs/>
          <w:sz w:val="24"/>
          <w:szCs w:val="24"/>
          <w:lang w:val="en-US"/>
        </w:rPr>
        <w:t xml:space="preserve"> on SMR</w:t>
      </w:r>
      <w:r w:rsidR="005E0B84">
        <w:rPr>
          <w:rFonts w:ascii="Times New Roman" w:hAnsi="Times New Roman" w:cs="Times New Roman"/>
          <w:i/>
          <w:iCs/>
          <w:sz w:val="24"/>
          <w:szCs w:val="24"/>
          <w:lang w:val="en-US"/>
        </w:rPr>
        <w:t xml:space="preserve"> and Nuclear Fusion</w:t>
      </w:r>
      <w:r>
        <w:rPr>
          <w:rFonts w:ascii="Times New Roman" w:hAnsi="Times New Roman" w:cs="Times New Roman"/>
          <w:i/>
          <w:iCs/>
          <w:sz w:val="24"/>
          <w:szCs w:val="24"/>
          <w:lang w:val="en-US"/>
        </w:rPr>
        <w:t xml:space="preserve"> Companies</w:t>
      </w:r>
    </w:p>
    <w:p w14:paraId="470DB4F1" w14:textId="7F8EB99C" w:rsidR="00EE39A6" w:rsidRPr="004208D4" w:rsidRDefault="00EE39A6" w:rsidP="00EE39A6">
      <w:pPr>
        <w:jc w:val="both"/>
        <w:rPr>
          <w:rFonts w:ascii="Times New Roman" w:hAnsi="Times New Roman" w:cs="Times New Roman"/>
          <w:sz w:val="24"/>
          <w:szCs w:val="24"/>
          <w:lang w:val="en-US"/>
        </w:rPr>
      </w:pPr>
      <w:r w:rsidRPr="004208D4">
        <w:rPr>
          <w:rFonts w:ascii="Times New Roman" w:hAnsi="Times New Roman" w:cs="Times New Roman"/>
          <w:sz w:val="24"/>
          <w:szCs w:val="24"/>
          <w:lang w:val="en-US"/>
        </w:rPr>
        <w:t>Types of funding rounds were sorted in the way that it was done in the Crunchbase website</w:t>
      </w:r>
      <w:r w:rsidR="00AC62EA">
        <w:rPr>
          <w:rFonts w:ascii="Times New Roman" w:hAnsi="Times New Roman" w:cs="Times New Roman"/>
          <w:sz w:val="24"/>
          <w:szCs w:val="24"/>
          <w:lang w:val="en-US"/>
        </w:rPr>
        <w:t xml:space="preserve"> [2]</w:t>
      </w:r>
      <w:r w:rsidRPr="004208D4">
        <w:rPr>
          <w:rFonts w:ascii="Times New Roman" w:hAnsi="Times New Roman" w:cs="Times New Roman"/>
          <w:sz w:val="24"/>
          <w:szCs w:val="24"/>
          <w:lang w:val="en-US"/>
        </w:rPr>
        <w:t xml:space="preserve">. </w:t>
      </w:r>
      <w:r w:rsidRPr="004208D4">
        <w:rPr>
          <w:rFonts w:ascii="Times New Roman" w:eastAsia="Times New Roman" w:hAnsi="Times New Roman" w:cs="Times New Roman"/>
          <w:sz w:val="24"/>
          <w:szCs w:val="24"/>
        </w:rPr>
        <w:t xml:space="preserve">A grant is when a company, investor, or government agency provides capital to a company without taking an equity stake in the company. An angel round is typically a small round designed to get a new company off the ground. Investors in an angel round include individual angel investors, angel investor groups, friends, and family. Seed rounds are among the first rounds of funding a company will receive, generally while the company is young and working to gain traction. Round sizes range between $10k–$2M, though larger seed rounds have become more common in recent years. A seed round typically comes after an angel round (if applicable) and before a company’s Series A round. Venture funding refers to an investment that comes from a venture capital firm and describes Series A, Series B, and later rounds. This funding type is used for any funding round that is clearly a venture round but where the series </w:t>
      </w:r>
      <w:r w:rsidRPr="004208D4">
        <w:rPr>
          <w:rFonts w:ascii="Times New Roman" w:eastAsia="Times New Roman" w:hAnsi="Times New Roman" w:cs="Times New Roman"/>
          <w:sz w:val="24"/>
          <w:szCs w:val="24"/>
        </w:rPr>
        <w:lastRenderedPageBreak/>
        <w:t>has not been specified. Corporate fundings are similar except it is done by companies, not venture investment firms. Equity crowdfunding platforms allow individual users to invest in companies in exchange for equity.</w:t>
      </w:r>
    </w:p>
    <w:p w14:paraId="4D114CEB" w14:textId="3430C998" w:rsidR="00C12B40" w:rsidRPr="00C12B40" w:rsidRDefault="00C12B40" w:rsidP="001A3BA2">
      <w:pPr>
        <w:jc w:val="both"/>
        <w:rPr>
          <w:rFonts w:ascii="Times New Roman" w:hAnsi="Times New Roman" w:cs="Times New Roman"/>
          <w:sz w:val="24"/>
          <w:szCs w:val="24"/>
          <w:lang w:val="en-US"/>
        </w:rPr>
      </w:pPr>
      <w:r>
        <w:rPr>
          <w:rFonts w:ascii="Times New Roman" w:hAnsi="Times New Roman" w:cs="Times New Roman"/>
          <w:sz w:val="24"/>
          <w:szCs w:val="24"/>
          <w:lang w:val="en-US"/>
        </w:rPr>
        <w:t>When sorted by number of fundings</w:t>
      </w:r>
      <w:r w:rsidR="00C7253A">
        <w:rPr>
          <w:rFonts w:ascii="Times New Roman" w:hAnsi="Times New Roman" w:cs="Times New Roman"/>
          <w:sz w:val="24"/>
          <w:szCs w:val="24"/>
          <w:lang w:val="en-US"/>
        </w:rPr>
        <w:t xml:space="preserve"> for SMR companies</w:t>
      </w:r>
      <w:r w:rsidR="00BB5504">
        <w:rPr>
          <w:rFonts w:ascii="Times New Roman" w:hAnsi="Times New Roman" w:cs="Times New Roman"/>
          <w:sz w:val="24"/>
          <w:szCs w:val="24"/>
          <w:lang w:val="en-US"/>
        </w:rPr>
        <w:t xml:space="preserve"> (Figure 5)</w:t>
      </w:r>
      <w:r>
        <w:rPr>
          <w:rFonts w:ascii="Times New Roman" w:hAnsi="Times New Roman" w:cs="Times New Roman"/>
          <w:sz w:val="24"/>
          <w:szCs w:val="24"/>
          <w:lang w:val="en-US"/>
        </w:rPr>
        <w:t xml:space="preserve">, grant by government had the highest </w:t>
      </w:r>
      <w:r w:rsidR="00DC0FF6">
        <w:rPr>
          <w:rFonts w:ascii="Times New Roman" w:hAnsi="Times New Roman" w:cs="Times New Roman"/>
          <w:sz w:val="24"/>
          <w:szCs w:val="24"/>
          <w:lang w:val="en-US"/>
        </w:rPr>
        <w:t>of 13</w:t>
      </w:r>
      <w:r>
        <w:rPr>
          <w:rFonts w:ascii="Times New Roman" w:hAnsi="Times New Roman" w:cs="Times New Roman"/>
          <w:sz w:val="24"/>
          <w:szCs w:val="24"/>
          <w:lang w:val="en-US"/>
        </w:rPr>
        <w:t xml:space="preserve">. </w:t>
      </w:r>
      <w:r w:rsidR="00DC0FF6">
        <w:rPr>
          <w:rFonts w:ascii="Times New Roman" w:hAnsi="Times New Roman" w:cs="Times New Roman"/>
          <w:sz w:val="24"/>
          <w:szCs w:val="24"/>
          <w:lang w:val="en-US"/>
        </w:rPr>
        <w:t xml:space="preserve">Next were </w:t>
      </w:r>
      <w:r w:rsidR="00A3721B">
        <w:rPr>
          <w:rFonts w:ascii="Times New Roman" w:hAnsi="Times New Roman" w:cs="Times New Roman"/>
          <w:sz w:val="24"/>
          <w:szCs w:val="24"/>
          <w:lang w:val="en-US"/>
        </w:rPr>
        <w:t>venture rounds that refer to investment from venture capital firms but not knowing which series funding it is</w:t>
      </w:r>
      <w:r w:rsidR="00540F03">
        <w:rPr>
          <w:rFonts w:ascii="Times New Roman" w:hAnsi="Times New Roman" w:cs="Times New Roman"/>
          <w:sz w:val="24"/>
          <w:szCs w:val="24"/>
          <w:lang w:val="en-US"/>
        </w:rPr>
        <w:t>,</w:t>
      </w:r>
      <w:r w:rsidR="00A3721B">
        <w:rPr>
          <w:rFonts w:ascii="Times New Roman" w:hAnsi="Times New Roman" w:cs="Times New Roman"/>
          <w:sz w:val="24"/>
          <w:szCs w:val="24"/>
          <w:lang w:val="en-US"/>
        </w:rPr>
        <w:t xml:space="preserve"> with a </w:t>
      </w:r>
      <w:r w:rsidR="003730B7">
        <w:rPr>
          <w:rFonts w:ascii="Times New Roman" w:hAnsi="Times New Roman" w:cs="Times New Roman"/>
          <w:sz w:val="24"/>
          <w:szCs w:val="24"/>
          <w:lang w:val="en-US"/>
        </w:rPr>
        <w:t>number</w:t>
      </w:r>
      <w:r w:rsidR="00A3721B">
        <w:rPr>
          <w:rFonts w:ascii="Times New Roman" w:hAnsi="Times New Roman" w:cs="Times New Roman"/>
          <w:sz w:val="24"/>
          <w:szCs w:val="24"/>
          <w:lang w:val="en-US"/>
        </w:rPr>
        <w:t xml:space="preserve"> of 12. </w:t>
      </w:r>
      <w:r w:rsidR="00540F03">
        <w:rPr>
          <w:rFonts w:ascii="Times New Roman" w:hAnsi="Times New Roman" w:cs="Times New Roman"/>
          <w:sz w:val="24"/>
          <w:szCs w:val="24"/>
          <w:lang w:val="en-US"/>
        </w:rPr>
        <w:t>There were 3 seed round investments, which is among the first rounds of funding of a company. There were two corporate rounds where a company invested and not a venture capital firm. There was one angel round where an individual invested a small amount to a starting company.</w:t>
      </w:r>
      <w:r w:rsidR="00C7253A">
        <w:rPr>
          <w:rFonts w:ascii="Times New Roman" w:hAnsi="Times New Roman" w:cs="Times New Roman"/>
          <w:sz w:val="24"/>
          <w:szCs w:val="24"/>
          <w:lang w:val="en-US"/>
        </w:rPr>
        <w:t xml:space="preserve"> </w:t>
      </w:r>
      <w:r w:rsidR="0091370D">
        <w:rPr>
          <w:rFonts w:ascii="Times New Roman" w:hAnsi="Times New Roman" w:cs="Times New Roman"/>
          <w:sz w:val="24"/>
          <w:szCs w:val="24"/>
          <w:lang w:val="en-US"/>
        </w:rPr>
        <w:t>For nuclear fusion companies there were 5 rounds of grant by government, 6 rounds of seed investments, and series funding of which one company lasted until series G. Two companies were financed through crowdfunding.</w:t>
      </w:r>
    </w:p>
    <w:p w14:paraId="5B35C990" w14:textId="132B3EBF" w:rsidR="00065BE0" w:rsidRDefault="00E115E4" w:rsidP="001D3275">
      <w:pPr>
        <w:spacing w:after="280"/>
        <w:ind w:left="720" w:hanging="720"/>
        <w:jc w:val="center"/>
        <w:rPr>
          <w:rFonts w:ascii="Times New Roman" w:hAnsi="Times New Roman" w:cs="Times New Roman"/>
          <w:i/>
          <w:iCs/>
          <w:sz w:val="24"/>
          <w:szCs w:val="24"/>
          <w:lang w:val="en-US"/>
        </w:rPr>
      </w:pPr>
      <w:r>
        <w:rPr>
          <w:noProof/>
        </w:rPr>
        <w:drawing>
          <wp:inline distT="0" distB="0" distL="0" distR="0" wp14:anchorId="7D12E6F2" wp14:editId="4DF48D7E">
            <wp:extent cx="5019870" cy="3054220"/>
            <wp:effectExtent l="0" t="0" r="0" b="0"/>
            <wp:docPr id="8" name="Chart 8">
              <a:extLst xmlns:a="http://schemas.openxmlformats.org/drawingml/2006/main">
                <a:ext uri="{FF2B5EF4-FFF2-40B4-BE49-F238E27FC236}">
                  <a16:creationId xmlns:a16="http://schemas.microsoft.com/office/drawing/2014/main" id="{F5F268CD-6EBF-4D52-B104-93BA2C0EAC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3257A8" w14:textId="53360B5A" w:rsidR="0091370D" w:rsidRPr="00E115E4" w:rsidRDefault="00065BE0" w:rsidP="00E115E4">
      <w:pPr>
        <w:spacing w:after="280"/>
        <w:ind w:left="720" w:hanging="720"/>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FIG. </w:t>
      </w:r>
      <w:r w:rsidR="00E115E4">
        <w:rPr>
          <w:rFonts w:ascii="Times New Roman" w:hAnsi="Times New Roman" w:cs="Times New Roman"/>
          <w:i/>
          <w:iCs/>
          <w:sz w:val="24"/>
          <w:szCs w:val="24"/>
          <w:lang w:val="en-US"/>
        </w:rPr>
        <w:t>5</w:t>
      </w:r>
      <w:r>
        <w:rPr>
          <w:rFonts w:ascii="Times New Roman" w:hAnsi="Times New Roman" w:cs="Times New Roman"/>
          <w:i/>
          <w:iCs/>
          <w:sz w:val="24"/>
          <w:szCs w:val="24"/>
          <w:lang w:val="en-US"/>
        </w:rPr>
        <w:t>. Funding Rounds</w:t>
      </w:r>
      <w:r w:rsidR="004F25D1">
        <w:rPr>
          <w:rFonts w:ascii="Times New Roman" w:hAnsi="Times New Roman" w:cs="Times New Roman"/>
          <w:i/>
          <w:iCs/>
          <w:sz w:val="24"/>
          <w:szCs w:val="24"/>
          <w:lang w:val="en-US"/>
        </w:rPr>
        <w:t xml:space="preserve"> on SMR</w:t>
      </w:r>
      <w:r w:rsidR="00E115E4">
        <w:rPr>
          <w:rFonts w:ascii="Times New Roman" w:hAnsi="Times New Roman" w:cs="Times New Roman"/>
          <w:i/>
          <w:iCs/>
          <w:sz w:val="24"/>
          <w:szCs w:val="24"/>
          <w:lang w:val="en-US"/>
        </w:rPr>
        <w:t xml:space="preserve"> and Nuclear Fusion Startup</w:t>
      </w:r>
      <w:r w:rsidR="004F25D1">
        <w:rPr>
          <w:rFonts w:ascii="Times New Roman" w:hAnsi="Times New Roman" w:cs="Times New Roman"/>
          <w:i/>
          <w:iCs/>
          <w:sz w:val="24"/>
          <w:szCs w:val="24"/>
          <w:lang w:val="en-US"/>
        </w:rPr>
        <w:t xml:space="preserve"> Companies</w:t>
      </w:r>
    </w:p>
    <w:p w14:paraId="4EB54FED" w14:textId="611BB0BC" w:rsidR="0091370D" w:rsidRDefault="0091370D" w:rsidP="001A3BA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Comparing SMR startups to nuclear fusion startups, recently there is a more rapid increase in nuclear fusion startup companies. SMR companies comparatively get more funding from governments while there are more private investors for nuclear fusion companies. The majority of the funding rounds for SMR companies are grants by government </w:t>
      </w:r>
      <w:r w:rsidR="001A3BA2">
        <w:rPr>
          <w:rFonts w:ascii="Times New Roman" w:hAnsi="Times New Roman" w:cs="Times New Roman"/>
          <w:sz w:val="24"/>
          <w:szCs w:val="24"/>
          <w:lang w:val="en-US"/>
        </w:rPr>
        <w:t>whereas nuclear fusion companies have more series funding and are also financed through crowdfunding.</w:t>
      </w:r>
    </w:p>
    <w:p w14:paraId="13F13BB2" w14:textId="77777777" w:rsidR="006E38ED" w:rsidRPr="00DF3A79" w:rsidRDefault="006E38ED" w:rsidP="006E38ED">
      <w:pPr>
        <w:spacing w:before="280" w:after="280"/>
        <w:jc w:val="both"/>
        <w:rPr>
          <w:rFonts w:eastAsiaTheme="minorHAnsi"/>
          <w:sz w:val="24"/>
          <w:szCs w:val="24"/>
          <w:lang w:eastAsia="ar-SA"/>
        </w:rPr>
      </w:pPr>
    </w:p>
    <w:p w14:paraId="288BCAA5" w14:textId="77777777" w:rsidR="006E38ED" w:rsidRPr="00DF3A79" w:rsidRDefault="006E38ED" w:rsidP="006E38ED">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t>References</w:t>
      </w:r>
    </w:p>
    <w:p w14:paraId="5DCA1708" w14:textId="2DFD1D23" w:rsidR="003433FF" w:rsidRPr="00397B3B" w:rsidRDefault="003433FF" w:rsidP="003433FF">
      <w:pPr>
        <w:pStyle w:val="Referencelist"/>
        <w:ind w:left="567" w:hanging="567"/>
        <w:jc w:val="left"/>
        <w:rPr>
          <w:rFonts w:eastAsiaTheme="minorHAnsi"/>
          <w:sz w:val="22"/>
          <w:szCs w:val="22"/>
          <w:lang w:eastAsia="ar-SA"/>
        </w:rPr>
      </w:pPr>
      <w:r w:rsidRPr="00434009">
        <w:rPr>
          <w:rFonts w:eastAsiaTheme="minorHAnsi"/>
          <w:sz w:val="22"/>
          <w:szCs w:val="20"/>
          <w:lang w:eastAsia="ar-SA"/>
        </w:rPr>
        <w:t>INTERNATIONAL ATOMIC ENERGY AGENCY</w:t>
      </w:r>
      <w:r w:rsidRPr="00397B3B">
        <w:rPr>
          <w:rFonts w:eastAsiaTheme="minorHAnsi"/>
          <w:sz w:val="22"/>
          <w:szCs w:val="22"/>
          <w:lang w:eastAsia="ar-SA"/>
        </w:rPr>
        <w:t xml:space="preserve">, </w:t>
      </w:r>
      <w:r w:rsidR="00746037" w:rsidRPr="00397B3B">
        <w:rPr>
          <w:sz w:val="22"/>
          <w:szCs w:val="22"/>
          <w:lang w:val="en-US"/>
        </w:rPr>
        <w:t>Advances in Small Modular Reactor Technology Developments. A Supplement to: IAEA Advanced Reactors information System 2020 Edition</w:t>
      </w:r>
      <w:r w:rsidRPr="00397B3B">
        <w:rPr>
          <w:rFonts w:eastAsiaTheme="minorHAnsi"/>
          <w:sz w:val="22"/>
          <w:szCs w:val="22"/>
          <w:lang w:eastAsia="ar-SA"/>
        </w:rPr>
        <w:t>, (20</w:t>
      </w:r>
      <w:r w:rsidR="00746037" w:rsidRPr="00397B3B">
        <w:rPr>
          <w:rFonts w:eastAsiaTheme="minorHAnsi"/>
          <w:sz w:val="22"/>
          <w:szCs w:val="22"/>
          <w:lang w:eastAsia="ar-SA"/>
        </w:rPr>
        <w:t>20</w:t>
      </w:r>
      <w:r w:rsidRPr="00397B3B">
        <w:rPr>
          <w:rFonts w:eastAsiaTheme="minorHAnsi"/>
          <w:sz w:val="22"/>
          <w:szCs w:val="22"/>
          <w:lang w:eastAsia="ar-SA"/>
        </w:rPr>
        <w:t>).</w:t>
      </w:r>
    </w:p>
    <w:p w14:paraId="6253A081" w14:textId="0BCE7DAC" w:rsidR="00C73ACC" w:rsidRPr="00434009" w:rsidRDefault="00C73ACC" w:rsidP="003433FF">
      <w:pPr>
        <w:pStyle w:val="Referencelist"/>
        <w:ind w:left="567" w:hanging="567"/>
        <w:jc w:val="left"/>
        <w:rPr>
          <w:rFonts w:eastAsiaTheme="minorHAnsi"/>
          <w:sz w:val="22"/>
          <w:szCs w:val="20"/>
          <w:lang w:eastAsia="ar-SA"/>
        </w:rPr>
      </w:pPr>
      <w:r w:rsidRPr="00397B3B">
        <w:rPr>
          <w:rFonts w:eastAsiaTheme="minorHAnsi"/>
          <w:sz w:val="22"/>
          <w:szCs w:val="20"/>
          <w:lang w:eastAsia="ar-SA"/>
        </w:rPr>
        <w:t>CRUNCHBASE KNOWLEDGE CENTER, Glossary of Funding Types (2021)</w:t>
      </w:r>
      <w:r w:rsidR="00AE71DD">
        <w:rPr>
          <w:rFonts w:eastAsiaTheme="minorHAnsi"/>
          <w:sz w:val="22"/>
          <w:szCs w:val="20"/>
          <w:lang w:eastAsia="ar-SA"/>
        </w:rPr>
        <w:t>.</w:t>
      </w:r>
    </w:p>
    <w:p w14:paraId="2CE26A12" w14:textId="77777777" w:rsidR="003433FF" w:rsidRPr="00DF3A79" w:rsidRDefault="003433FF" w:rsidP="003433FF">
      <w:pPr>
        <w:pStyle w:val="Referencelist"/>
        <w:numPr>
          <w:ilvl w:val="0"/>
          <w:numId w:val="0"/>
        </w:numPr>
        <w:ind w:left="720" w:hanging="360"/>
        <w:rPr>
          <w:rFonts w:eastAsiaTheme="minorHAnsi"/>
          <w:sz w:val="22"/>
          <w:szCs w:val="20"/>
          <w:lang w:eastAsia="ar-SA"/>
        </w:rPr>
      </w:pPr>
    </w:p>
    <w:sectPr w:rsidR="003433FF" w:rsidRPr="00DF3A7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7B5A" w14:textId="77777777" w:rsidR="00052E59" w:rsidRDefault="00052E59" w:rsidP="00EE39A6">
      <w:pPr>
        <w:spacing w:after="0" w:line="240" w:lineRule="auto"/>
      </w:pPr>
      <w:r>
        <w:separator/>
      </w:r>
    </w:p>
  </w:endnote>
  <w:endnote w:type="continuationSeparator" w:id="0">
    <w:p w14:paraId="6C89A29F" w14:textId="77777777" w:rsidR="00052E59" w:rsidRDefault="00052E59" w:rsidP="00EE3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707186"/>
      <w:docPartObj>
        <w:docPartGallery w:val="Page Numbers (Bottom of Page)"/>
        <w:docPartUnique/>
      </w:docPartObj>
    </w:sdtPr>
    <w:sdtEndPr>
      <w:rPr>
        <w:noProof/>
      </w:rPr>
    </w:sdtEndPr>
    <w:sdtContent>
      <w:p w14:paraId="656FB511" w14:textId="639519CD" w:rsidR="00E8710A" w:rsidRDefault="00E871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DB933F" w14:textId="77777777" w:rsidR="00E8710A" w:rsidRDefault="00E87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E5FA6" w14:textId="77777777" w:rsidR="00052E59" w:rsidRDefault="00052E59" w:rsidP="00EE39A6">
      <w:pPr>
        <w:spacing w:after="0" w:line="240" w:lineRule="auto"/>
      </w:pPr>
      <w:r>
        <w:separator/>
      </w:r>
    </w:p>
  </w:footnote>
  <w:footnote w:type="continuationSeparator" w:id="0">
    <w:p w14:paraId="4EFB80E2" w14:textId="77777777" w:rsidR="00052E59" w:rsidRDefault="00052E59" w:rsidP="00EE3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FD"/>
    <w:rsid w:val="000012EF"/>
    <w:rsid w:val="00052E59"/>
    <w:rsid w:val="000562C8"/>
    <w:rsid w:val="00060601"/>
    <w:rsid w:val="00065BE0"/>
    <w:rsid w:val="0007497A"/>
    <w:rsid w:val="00081372"/>
    <w:rsid w:val="00096816"/>
    <w:rsid w:val="000B7323"/>
    <w:rsid w:val="000C0E4C"/>
    <w:rsid w:val="000C74A1"/>
    <w:rsid w:val="000F2A1B"/>
    <w:rsid w:val="00113422"/>
    <w:rsid w:val="00123DEE"/>
    <w:rsid w:val="0013677B"/>
    <w:rsid w:val="00141DE7"/>
    <w:rsid w:val="0015037B"/>
    <w:rsid w:val="0015184D"/>
    <w:rsid w:val="00163CEF"/>
    <w:rsid w:val="001667B5"/>
    <w:rsid w:val="001846FB"/>
    <w:rsid w:val="0019268C"/>
    <w:rsid w:val="00195B21"/>
    <w:rsid w:val="001A3BA2"/>
    <w:rsid w:val="001A63E4"/>
    <w:rsid w:val="001A7EF1"/>
    <w:rsid w:val="001B7C22"/>
    <w:rsid w:val="001C1E22"/>
    <w:rsid w:val="001D3275"/>
    <w:rsid w:val="001E2A35"/>
    <w:rsid w:val="001E3E62"/>
    <w:rsid w:val="001E4627"/>
    <w:rsid w:val="001F02D4"/>
    <w:rsid w:val="001F6717"/>
    <w:rsid w:val="00200084"/>
    <w:rsid w:val="00207989"/>
    <w:rsid w:val="00260F73"/>
    <w:rsid w:val="0027378A"/>
    <w:rsid w:val="002804AF"/>
    <w:rsid w:val="00281B56"/>
    <w:rsid w:val="00297B7E"/>
    <w:rsid w:val="00297FEA"/>
    <w:rsid w:val="002C3756"/>
    <w:rsid w:val="002D43E6"/>
    <w:rsid w:val="00315842"/>
    <w:rsid w:val="0032141B"/>
    <w:rsid w:val="00330162"/>
    <w:rsid w:val="003433FF"/>
    <w:rsid w:val="00366C13"/>
    <w:rsid w:val="003730B7"/>
    <w:rsid w:val="00373652"/>
    <w:rsid w:val="00381682"/>
    <w:rsid w:val="00385F7B"/>
    <w:rsid w:val="0038674A"/>
    <w:rsid w:val="00397B3B"/>
    <w:rsid w:val="003A7F0E"/>
    <w:rsid w:val="003B57EF"/>
    <w:rsid w:val="003C764B"/>
    <w:rsid w:val="003D43B2"/>
    <w:rsid w:val="00402ED3"/>
    <w:rsid w:val="00414FEC"/>
    <w:rsid w:val="00422918"/>
    <w:rsid w:val="00477D52"/>
    <w:rsid w:val="004804BA"/>
    <w:rsid w:val="004C6E32"/>
    <w:rsid w:val="004E2B77"/>
    <w:rsid w:val="004E631D"/>
    <w:rsid w:val="004F25D1"/>
    <w:rsid w:val="00526FD0"/>
    <w:rsid w:val="00532F8E"/>
    <w:rsid w:val="00540F03"/>
    <w:rsid w:val="00544F9B"/>
    <w:rsid w:val="005569F4"/>
    <w:rsid w:val="00570453"/>
    <w:rsid w:val="00592052"/>
    <w:rsid w:val="005E0B84"/>
    <w:rsid w:val="005F2628"/>
    <w:rsid w:val="005F734E"/>
    <w:rsid w:val="006014B4"/>
    <w:rsid w:val="006025F5"/>
    <w:rsid w:val="006235C9"/>
    <w:rsid w:val="00635D56"/>
    <w:rsid w:val="00661258"/>
    <w:rsid w:val="00697BF3"/>
    <w:rsid w:val="006D5FB6"/>
    <w:rsid w:val="006E38ED"/>
    <w:rsid w:val="006F413E"/>
    <w:rsid w:val="00721C68"/>
    <w:rsid w:val="00731640"/>
    <w:rsid w:val="00746037"/>
    <w:rsid w:val="00761834"/>
    <w:rsid w:val="00772C56"/>
    <w:rsid w:val="00781590"/>
    <w:rsid w:val="00781C5F"/>
    <w:rsid w:val="00791B99"/>
    <w:rsid w:val="007B0B44"/>
    <w:rsid w:val="007B0B59"/>
    <w:rsid w:val="007F245C"/>
    <w:rsid w:val="00801A72"/>
    <w:rsid w:val="00805664"/>
    <w:rsid w:val="00827FA9"/>
    <w:rsid w:val="008417E1"/>
    <w:rsid w:val="00897E9C"/>
    <w:rsid w:val="008D7AC2"/>
    <w:rsid w:val="008E748C"/>
    <w:rsid w:val="008F2DC8"/>
    <w:rsid w:val="008F5324"/>
    <w:rsid w:val="0091370D"/>
    <w:rsid w:val="0092227D"/>
    <w:rsid w:val="00927637"/>
    <w:rsid w:val="00930F97"/>
    <w:rsid w:val="00973EC4"/>
    <w:rsid w:val="009A269A"/>
    <w:rsid w:val="009B11D4"/>
    <w:rsid w:val="009F1C9F"/>
    <w:rsid w:val="009F6795"/>
    <w:rsid w:val="00A0222E"/>
    <w:rsid w:val="00A31D52"/>
    <w:rsid w:val="00A3721B"/>
    <w:rsid w:val="00A52C73"/>
    <w:rsid w:val="00A76F85"/>
    <w:rsid w:val="00A91911"/>
    <w:rsid w:val="00AB03CF"/>
    <w:rsid w:val="00AB7B21"/>
    <w:rsid w:val="00AC0A7E"/>
    <w:rsid w:val="00AC62EA"/>
    <w:rsid w:val="00AD528A"/>
    <w:rsid w:val="00AD64F6"/>
    <w:rsid w:val="00AE0AFA"/>
    <w:rsid w:val="00AE0C21"/>
    <w:rsid w:val="00AE1F54"/>
    <w:rsid w:val="00AE71DD"/>
    <w:rsid w:val="00AF3780"/>
    <w:rsid w:val="00B12F84"/>
    <w:rsid w:val="00B17F7F"/>
    <w:rsid w:val="00B30A80"/>
    <w:rsid w:val="00B42F3E"/>
    <w:rsid w:val="00B458AA"/>
    <w:rsid w:val="00B751A3"/>
    <w:rsid w:val="00B77AFB"/>
    <w:rsid w:val="00B81BEA"/>
    <w:rsid w:val="00B93349"/>
    <w:rsid w:val="00BB5504"/>
    <w:rsid w:val="00BB639D"/>
    <w:rsid w:val="00BD69CD"/>
    <w:rsid w:val="00C0707B"/>
    <w:rsid w:val="00C12B40"/>
    <w:rsid w:val="00C337F5"/>
    <w:rsid w:val="00C62837"/>
    <w:rsid w:val="00C66E2C"/>
    <w:rsid w:val="00C7253A"/>
    <w:rsid w:val="00C73ACC"/>
    <w:rsid w:val="00CA12B9"/>
    <w:rsid w:val="00CD4313"/>
    <w:rsid w:val="00CE15FD"/>
    <w:rsid w:val="00CE7C3C"/>
    <w:rsid w:val="00D37C5A"/>
    <w:rsid w:val="00DA2377"/>
    <w:rsid w:val="00DC0FF6"/>
    <w:rsid w:val="00DD791A"/>
    <w:rsid w:val="00E10E04"/>
    <w:rsid w:val="00E115E4"/>
    <w:rsid w:val="00E206CB"/>
    <w:rsid w:val="00E367D1"/>
    <w:rsid w:val="00E8710A"/>
    <w:rsid w:val="00E8758E"/>
    <w:rsid w:val="00E90895"/>
    <w:rsid w:val="00EA100F"/>
    <w:rsid w:val="00EC5515"/>
    <w:rsid w:val="00ED04C9"/>
    <w:rsid w:val="00ED4F5E"/>
    <w:rsid w:val="00ED58A3"/>
    <w:rsid w:val="00EE39A6"/>
    <w:rsid w:val="00EE5A9C"/>
    <w:rsid w:val="00F0688F"/>
    <w:rsid w:val="00F11E4A"/>
    <w:rsid w:val="00F430B3"/>
    <w:rsid w:val="00F45F98"/>
    <w:rsid w:val="00F613C7"/>
    <w:rsid w:val="00F74473"/>
    <w:rsid w:val="00FB336C"/>
    <w:rsid w:val="00FC675B"/>
    <w:rsid w:val="00FD3433"/>
    <w:rsid w:val="00FE07B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C1227"/>
  <w15:chartTrackingRefBased/>
  <w15:docId w15:val="{747C98D1-9C3D-4D6D-957C-182DD97D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andaffiliation">
    <w:name w:val="Author name and affiliation"/>
    <w:link w:val="AuthornameandaffiliationChar"/>
    <w:uiPriority w:val="49"/>
    <w:qFormat/>
    <w:rsid w:val="00AB7B21"/>
    <w:pPr>
      <w:spacing w:after="0" w:line="240" w:lineRule="auto"/>
      <w:ind w:left="567"/>
      <w:contextualSpacing/>
    </w:pPr>
    <w:rPr>
      <w:rFonts w:ascii="Times New Roman" w:eastAsia="Times New Roman" w:hAnsi="Times New Roman" w:cs="Times New Roman"/>
      <w:sz w:val="20"/>
      <w:szCs w:val="20"/>
      <w:lang w:val="en-US" w:eastAsia="en-US"/>
    </w:rPr>
  </w:style>
  <w:style w:type="character" w:customStyle="1" w:styleId="AuthornameandaffiliationChar">
    <w:name w:val="Author name and affiliation Char"/>
    <w:basedOn w:val="DefaultParagraphFont"/>
    <w:link w:val="Authornameandaffiliation"/>
    <w:uiPriority w:val="49"/>
    <w:rsid w:val="00AB7B21"/>
    <w:rPr>
      <w:rFonts w:ascii="Times New Roman" w:eastAsia="Times New Roman" w:hAnsi="Times New Roman" w:cs="Times New Roman"/>
      <w:sz w:val="20"/>
      <w:szCs w:val="20"/>
      <w:lang w:val="en-US" w:eastAsia="en-US"/>
    </w:rPr>
  </w:style>
  <w:style w:type="paragraph" w:customStyle="1" w:styleId="Otherunnumberedheadings">
    <w:name w:val="Other unnumbered headings"/>
    <w:next w:val="BodyText"/>
    <w:link w:val="OtherunnumberedheadingsChar"/>
    <w:uiPriority w:val="49"/>
    <w:qFormat/>
    <w:locked/>
    <w:rsid w:val="006E38ED"/>
    <w:pPr>
      <w:spacing w:before="100" w:beforeAutospacing="1" w:after="100" w:afterAutospacing="1" w:line="260" w:lineRule="atLeast"/>
      <w:jc w:val="center"/>
    </w:pPr>
    <w:rPr>
      <w:rFonts w:ascii="Times New Roman Bold" w:eastAsia="Times New Roman" w:hAnsi="Times New Roman Bold" w:cs="Times New Roman"/>
      <w:b/>
      <w:caps/>
      <w:sz w:val="20"/>
      <w:szCs w:val="20"/>
      <w:lang w:eastAsia="en-US"/>
    </w:rPr>
  </w:style>
  <w:style w:type="character" w:customStyle="1" w:styleId="OtherunnumberedheadingsChar">
    <w:name w:val="Other unnumbered headings Char"/>
    <w:basedOn w:val="BodyTextChar"/>
    <w:link w:val="Otherunnumberedheadings"/>
    <w:uiPriority w:val="49"/>
    <w:rsid w:val="006E38ED"/>
    <w:rPr>
      <w:rFonts w:ascii="Times New Roman Bold" w:eastAsia="Times New Roman" w:hAnsi="Times New Roman Bold" w:cs="Times New Roman"/>
      <w:b/>
      <w:caps/>
      <w:sz w:val="20"/>
      <w:szCs w:val="20"/>
      <w:lang w:eastAsia="en-US"/>
    </w:rPr>
  </w:style>
  <w:style w:type="paragraph" w:styleId="BodyText">
    <w:name w:val="Body Text"/>
    <w:basedOn w:val="Normal"/>
    <w:link w:val="BodyTextChar"/>
    <w:uiPriority w:val="99"/>
    <w:semiHidden/>
    <w:unhideWhenUsed/>
    <w:rsid w:val="006E38ED"/>
    <w:pPr>
      <w:spacing w:after="120"/>
    </w:pPr>
  </w:style>
  <w:style w:type="character" w:customStyle="1" w:styleId="BodyTextChar">
    <w:name w:val="Body Text Char"/>
    <w:basedOn w:val="DefaultParagraphFont"/>
    <w:link w:val="BodyText"/>
    <w:uiPriority w:val="99"/>
    <w:semiHidden/>
    <w:rsid w:val="006E38ED"/>
  </w:style>
  <w:style w:type="paragraph" w:customStyle="1" w:styleId="Referencelist">
    <w:name w:val="Reference list"/>
    <w:basedOn w:val="BodyText"/>
    <w:link w:val="ReferencelistChar"/>
    <w:uiPriority w:val="49"/>
    <w:qFormat/>
    <w:rsid w:val="003433FF"/>
    <w:pPr>
      <w:numPr>
        <w:numId w:val="1"/>
      </w:numPr>
      <w:spacing w:after="0" w:line="260" w:lineRule="atLeast"/>
      <w:contextualSpacing/>
      <w:jc w:val="both"/>
    </w:pPr>
    <w:rPr>
      <w:rFonts w:ascii="Times New Roman" w:eastAsia="Times New Roman" w:hAnsi="Times New Roman" w:cs="Times New Roman"/>
      <w:sz w:val="18"/>
      <w:szCs w:val="18"/>
      <w:lang w:eastAsia="en-US"/>
    </w:rPr>
  </w:style>
  <w:style w:type="character" w:customStyle="1" w:styleId="ReferencelistChar">
    <w:name w:val="Reference list Char"/>
    <w:basedOn w:val="BodyTextChar"/>
    <w:link w:val="Referencelist"/>
    <w:uiPriority w:val="49"/>
    <w:rsid w:val="003433FF"/>
    <w:rPr>
      <w:rFonts w:ascii="Times New Roman" w:eastAsia="Times New Roman" w:hAnsi="Times New Roman" w:cs="Times New Roman"/>
      <w:sz w:val="18"/>
      <w:szCs w:val="18"/>
      <w:lang w:eastAsia="en-US"/>
    </w:rPr>
  </w:style>
  <w:style w:type="paragraph" w:styleId="FootnoteText">
    <w:name w:val="footnote text"/>
    <w:basedOn w:val="Normal"/>
    <w:link w:val="FootnoteTextChar"/>
    <w:uiPriority w:val="99"/>
    <w:semiHidden/>
    <w:unhideWhenUsed/>
    <w:rsid w:val="00EE3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9A6"/>
    <w:rPr>
      <w:sz w:val="20"/>
      <w:szCs w:val="20"/>
    </w:rPr>
  </w:style>
  <w:style w:type="character" w:styleId="FootnoteReference">
    <w:name w:val="footnote reference"/>
    <w:basedOn w:val="DefaultParagraphFont"/>
    <w:uiPriority w:val="99"/>
    <w:semiHidden/>
    <w:unhideWhenUsed/>
    <w:rsid w:val="00EE39A6"/>
    <w:rPr>
      <w:vertAlign w:val="superscript"/>
    </w:rPr>
  </w:style>
  <w:style w:type="paragraph" w:styleId="Header">
    <w:name w:val="header"/>
    <w:basedOn w:val="Normal"/>
    <w:link w:val="HeaderChar"/>
    <w:uiPriority w:val="99"/>
    <w:unhideWhenUsed/>
    <w:rsid w:val="00E87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10A"/>
  </w:style>
  <w:style w:type="paragraph" w:styleId="Footer">
    <w:name w:val="footer"/>
    <w:basedOn w:val="Normal"/>
    <w:link w:val="FooterChar"/>
    <w:uiPriority w:val="99"/>
    <w:unhideWhenUsed/>
    <w:rsid w:val="00E87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06492">
      <w:bodyDiv w:val="1"/>
      <w:marLeft w:val="0"/>
      <w:marRight w:val="0"/>
      <w:marTop w:val="0"/>
      <w:marBottom w:val="0"/>
      <w:divBdr>
        <w:top w:val="none" w:sz="0" w:space="0" w:color="auto"/>
        <w:left w:val="none" w:sz="0" w:space="0" w:color="auto"/>
        <w:bottom w:val="none" w:sz="0" w:space="0" w:color="auto"/>
        <w:right w:val="none" w:sz="0" w:space="0" w:color="auto"/>
      </w:divBdr>
    </w:div>
    <w:div w:id="1256816375">
      <w:bodyDiv w:val="1"/>
      <w:marLeft w:val="0"/>
      <w:marRight w:val="0"/>
      <w:marTop w:val="0"/>
      <w:marBottom w:val="0"/>
      <w:divBdr>
        <w:top w:val="none" w:sz="0" w:space="0" w:color="auto"/>
        <w:left w:val="none" w:sz="0" w:space="0" w:color="auto"/>
        <w:bottom w:val="none" w:sz="0" w:space="0" w:color="auto"/>
        <w:right w:val="none" w:sz="0" w:space="0" w:color="auto"/>
      </w:divBdr>
    </w:div>
    <w:div w:id="14133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HOIS\OneDrive%20-%20IAEA\Desktop\SMR%20and%20Fusion%20Nuclear%20Reactor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HOIS\OneDrive%20-%20IAEA\Desktop\SMR%20and%20Fusion%20Nuclear%20Reactor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HOIS\OneDrive%20-%20IAEA\Desktop\SMR%20and%20Fusion%20Nuclear%20Reactor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HOIS\OneDrive%20-%20IAEA\Desktop\SMR%20and%20Fusion%20Nuclear%20Reactor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HOIS\OneDrive%20-%20IAEA\Desktop\SMR%20and%20Fusion%20Nuclear%20Reactor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HOIS\OneDrive%20-%20IAEA\Desktop\SMR%20and%20Fusion%20Nuclear%20Reactor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v>SMR</c:v>
          </c:tx>
          <c:spPr>
            <a:solidFill>
              <a:schemeClr val="accent1">
                <a:shade val="76000"/>
              </a:schemeClr>
            </a:solidFill>
            <a:ln>
              <a:noFill/>
            </a:ln>
            <a:effectLst/>
          </c:spPr>
          <c:invertIfNegative val="0"/>
          <c:cat>
            <c:strRef>
              <c:f>'Charts Fusion'!$S$3:$S$8</c:f>
              <c:strCache>
                <c:ptCount val="6"/>
                <c:pt idx="0">
                  <c:v>~2000</c:v>
                </c:pt>
                <c:pt idx="1">
                  <c:v>2001~2005</c:v>
                </c:pt>
                <c:pt idx="2">
                  <c:v>2006~2010</c:v>
                </c:pt>
                <c:pt idx="3">
                  <c:v>2011~2015</c:v>
                </c:pt>
                <c:pt idx="4">
                  <c:v>2016~2020</c:v>
                </c:pt>
                <c:pt idx="5">
                  <c:v>2021~</c:v>
                </c:pt>
              </c:strCache>
            </c:strRef>
          </c:cat>
          <c:val>
            <c:numRef>
              <c:f>'Charts Fusion'!$T$3:$T$8</c:f>
              <c:numCache>
                <c:formatCode>General</c:formatCode>
                <c:ptCount val="6"/>
                <c:pt idx="0">
                  <c:v>0</c:v>
                </c:pt>
                <c:pt idx="1">
                  <c:v>0</c:v>
                </c:pt>
                <c:pt idx="2">
                  <c:v>6</c:v>
                </c:pt>
                <c:pt idx="3">
                  <c:v>11</c:v>
                </c:pt>
                <c:pt idx="4">
                  <c:v>2</c:v>
                </c:pt>
                <c:pt idx="5">
                  <c:v>2</c:v>
                </c:pt>
              </c:numCache>
            </c:numRef>
          </c:val>
          <c:extLst>
            <c:ext xmlns:c16="http://schemas.microsoft.com/office/drawing/2014/chart" uri="{C3380CC4-5D6E-409C-BE32-E72D297353CC}">
              <c16:uniqueId val="{00000000-404A-41FC-8FFF-ACF20C3AB1B1}"/>
            </c:ext>
          </c:extLst>
        </c:ser>
        <c:ser>
          <c:idx val="1"/>
          <c:order val="1"/>
          <c:tx>
            <c:v>Nuclear Fusion</c:v>
          </c:tx>
          <c:spPr>
            <a:solidFill>
              <a:schemeClr val="accent1">
                <a:tint val="77000"/>
              </a:schemeClr>
            </a:solidFill>
            <a:ln>
              <a:noFill/>
            </a:ln>
            <a:effectLst/>
          </c:spPr>
          <c:invertIfNegative val="0"/>
          <c:cat>
            <c:strRef>
              <c:f>'Charts Fusion'!$S$3:$S$8</c:f>
              <c:strCache>
                <c:ptCount val="6"/>
                <c:pt idx="0">
                  <c:v>~2000</c:v>
                </c:pt>
                <c:pt idx="1">
                  <c:v>2001~2005</c:v>
                </c:pt>
                <c:pt idx="2">
                  <c:v>2006~2010</c:v>
                </c:pt>
                <c:pt idx="3">
                  <c:v>2011~2015</c:v>
                </c:pt>
                <c:pt idx="4">
                  <c:v>2016~2020</c:v>
                </c:pt>
                <c:pt idx="5">
                  <c:v>2021~</c:v>
                </c:pt>
              </c:strCache>
            </c:strRef>
          </c:cat>
          <c:val>
            <c:numRef>
              <c:f>'Charts Fusion'!$U$3:$U$8</c:f>
              <c:numCache>
                <c:formatCode>General</c:formatCode>
                <c:ptCount val="6"/>
                <c:pt idx="0">
                  <c:v>2</c:v>
                </c:pt>
                <c:pt idx="1">
                  <c:v>2</c:v>
                </c:pt>
                <c:pt idx="2">
                  <c:v>4</c:v>
                </c:pt>
                <c:pt idx="3">
                  <c:v>6</c:v>
                </c:pt>
                <c:pt idx="4">
                  <c:v>17</c:v>
                </c:pt>
                <c:pt idx="5">
                  <c:v>0</c:v>
                </c:pt>
              </c:numCache>
            </c:numRef>
          </c:val>
          <c:extLst>
            <c:ext xmlns:c16="http://schemas.microsoft.com/office/drawing/2014/chart" uri="{C3380CC4-5D6E-409C-BE32-E72D297353CC}">
              <c16:uniqueId val="{00000001-404A-41FC-8FFF-ACF20C3AB1B1}"/>
            </c:ext>
          </c:extLst>
        </c:ser>
        <c:dLbls>
          <c:showLegendKey val="0"/>
          <c:showVal val="0"/>
          <c:showCatName val="0"/>
          <c:showSerName val="0"/>
          <c:showPercent val="0"/>
          <c:showBubbleSize val="0"/>
        </c:dLbls>
        <c:gapWidth val="219"/>
        <c:overlap val="-27"/>
        <c:axId val="450513512"/>
        <c:axId val="450513840"/>
      </c:barChart>
      <c:catAx>
        <c:axId val="450513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513840"/>
        <c:crosses val="autoZero"/>
        <c:auto val="1"/>
        <c:lblAlgn val="ctr"/>
        <c:lblOffset val="100"/>
        <c:noMultiLvlLbl val="0"/>
      </c:catAx>
      <c:valAx>
        <c:axId val="450513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513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3000"/>
                </a:schemeClr>
              </a:solidFill>
              <a:ln w="19050">
                <a:solidFill>
                  <a:schemeClr val="lt1"/>
                </a:solidFill>
              </a:ln>
              <a:effectLst/>
            </c:spPr>
            <c:extLst>
              <c:ext xmlns:c16="http://schemas.microsoft.com/office/drawing/2014/chart" uri="{C3380CC4-5D6E-409C-BE32-E72D297353CC}">
                <c16:uniqueId val="{00000001-C263-4DF1-BA3E-A0220B497A9A}"/>
              </c:ext>
            </c:extLst>
          </c:dPt>
          <c:dPt>
            <c:idx val="1"/>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3-C263-4DF1-BA3E-A0220B497A9A}"/>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C263-4DF1-BA3E-A0220B497A9A}"/>
              </c:ext>
            </c:extLst>
          </c:dPt>
          <c:dPt>
            <c:idx val="3"/>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7-C263-4DF1-BA3E-A0220B497A9A}"/>
              </c:ext>
            </c:extLst>
          </c:dPt>
          <c:dPt>
            <c:idx val="4"/>
            <c:bubble3D val="0"/>
            <c:spPr>
              <a:solidFill>
                <a:schemeClr val="accent1">
                  <a:tint val="54000"/>
                </a:schemeClr>
              </a:solidFill>
              <a:ln w="19050">
                <a:solidFill>
                  <a:schemeClr val="lt1"/>
                </a:solidFill>
              </a:ln>
              <a:effectLst/>
            </c:spPr>
            <c:extLst>
              <c:ext xmlns:c16="http://schemas.microsoft.com/office/drawing/2014/chart" uri="{C3380CC4-5D6E-409C-BE32-E72D297353CC}">
                <c16:uniqueId val="{00000009-C263-4DF1-BA3E-A0220B497A9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'Charts SMR'!$B$53:$B$57</c:f>
              <c:strCache>
                <c:ptCount val="5"/>
                <c:pt idx="0">
                  <c:v>PWR</c:v>
                </c:pt>
                <c:pt idx="1">
                  <c:v>HTGR</c:v>
                </c:pt>
                <c:pt idx="2">
                  <c:v>MSR</c:v>
                </c:pt>
                <c:pt idx="3">
                  <c:v>LMFR</c:v>
                </c:pt>
                <c:pt idx="4">
                  <c:v>Other</c:v>
                </c:pt>
              </c:strCache>
            </c:strRef>
          </c:cat>
          <c:val>
            <c:numRef>
              <c:f>'Charts SMR'!$C$53:$C$57</c:f>
              <c:numCache>
                <c:formatCode>General</c:formatCode>
                <c:ptCount val="5"/>
                <c:pt idx="0">
                  <c:v>1</c:v>
                </c:pt>
                <c:pt idx="1">
                  <c:v>5</c:v>
                </c:pt>
                <c:pt idx="2">
                  <c:v>8</c:v>
                </c:pt>
                <c:pt idx="3">
                  <c:v>4</c:v>
                </c:pt>
                <c:pt idx="4">
                  <c:v>3</c:v>
                </c:pt>
              </c:numCache>
            </c:numRef>
          </c:val>
          <c:extLst>
            <c:ext xmlns:c16="http://schemas.microsoft.com/office/drawing/2014/chart" uri="{C3380CC4-5D6E-409C-BE32-E72D297353CC}">
              <c16:uniqueId val="{0000000A-C263-4DF1-BA3E-A0220B497A9A}"/>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3000"/>
                </a:schemeClr>
              </a:solidFill>
              <a:ln w="19050">
                <a:solidFill>
                  <a:schemeClr val="lt1"/>
                </a:solidFill>
              </a:ln>
              <a:effectLst/>
            </c:spPr>
            <c:extLst>
              <c:ext xmlns:c16="http://schemas.microsoft.com/office/drawing/2014/chart" uri="{C3380CC4-5D6E-409C-BE32-E72D297353CC}">
                <c16:uniqueId val="{00000001-EDD9-407B-989F-6F8AAA789B98}"/>
              </c:ext>
            </c:extLst>
          </c:dPt>
          <c:dPt>
            <c:idx val="1"/>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3-EDD9-407B-989F-6F8AAA789B98}"/>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EDD9-407B-989F-6F8AAA789B98}"/>
              </c:ext>
            </c:extLst>
          </c:dPt>
          <c:dPt>
            <c:idx val="3"/>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7-EDD9-407B-989F-6F8AAA789B98}"/>
              </c:ext>
            </c:extLst>
          </c:dPt>
          <c:dPt>
            <c:idx val="4"/>
            <c:bubble3D val="0"/>
            <c:spPr>
              <a:solidFill>
                <a:schemeClr val="accent1">
                  <a:tint val="54000"/>
                </a:schemeClr>
              </a:solidFill>
              <a:ln w="19050">
                <a:solidFill>
                  <a:schemeClr val="lt1"/>
                </a:solidFill>
              </a:ln>
              <a:effectLst/>
            </c:spPr>
            <c:extLst>
              <c:ext xmlns:c16="http://schemas.microsoft.com/office/drawing/2014/chart" uri="{C3380CC4-5D6E-409C-BE32-E72D297353CC}">
                <c16:uniqueId val="{00000009-EDD9-407B-989F-6F8AAA789B9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Charts!$B$71:$B$75</c:f>
              <c:strCache>
                <c:ptCount val="5"/>
                <c:pt idx="0">
                  <c:v>0~50</c:v>
                </c:pt>
                <c:pt idx="1">
                  <c:v>51~100</c:v>
                </c:pt>
                <c:pt idx="2">
                  <c:v>101~200</c:v>
                </c:pt>
                <c:pt idx="3">
                  <c:v>201~300</c:v>
                </c:pt>
                <c:pt idx="4">
                  <c:v>300~</c:v>
                </c:pt>
              </c:strCache>
            </c:strRef>
          </c:cat>
          <c:val>
            <c:numRef>
              <c:f>Charts!$C$71:$C$75</c:f>
              <c:numCache>
                <c:formatCode>General</c:formatCode>
                <c:ptCount val="5"/>
                <c:pt idx="0">
                  <c:v>5</c:v>
                </c:pt>
                <c:pt idx="1">
                  <c:v>5</c:v>
                </c:pt>
                <c:pt idx="2">
                  <c:v>3</c:v>
                </c:pt>
                <c:pt idx="3">
                  <c:v>3</c:v>
                </c:pt>
                <c:pt idx="4">
                  <c:v>1</c:v>
                </c:pt>
              </c:numCache>
            </c:numRef>
          </c:val>
          <c:extLst>
            <c:ext xmlns:c16="http://schemas.microsoft.com/office/drawing/2014/chart" uri="{C3380CC4-5D6E-409C-BE32-E72D297353CC}">
              <c16:uniqueId val="{0000000A-EDD9-407B-989F-6F8AAA789B98}"/>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latin typeface="Times New Roman" panose="02020603050405020304" pitchFamily="18" charset="0"/>
                <a:cs typeface="Times New Roman" panose="02020603050405020304" pitchFamily="18" charset="0"/>
              </a:rPr>
              <a:t>SMR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72FF-44D4-98EA-1513323535D0}"/>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72FF-44D4-98EA-1513323535D0}"/>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72FF-44D4-98EA-1513323535D0}"/>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72FF-44D4-98EA-1513323535D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Charts!$B$36:$B$39</c:f>
              <c:strCache>
                <c:ptCount val="4"/>
                <c:pt idx="0">
                  <c:v>Government Only</c:v>
                </c:pt>
                <c:pt idx="1">
                  <c:v>Private Only</c:v>
                </c:pt>
                <c:pt idx="2">
                  <c:v>Both Governemnt and Private</c:v>
                </c:pt>
                <c:pt idx="3">
                  <c:v>No investments or No Information</c:v>
                </c:pt>
              </c:strCache>
            </c:strRef>
          </c:cat>
          <c:val>
            <c:numRef>
              <c:f>Charts!$C$36:$C$39</c:f>
              <c:numCache>
                <c:formatCode>General</c:formatCode>
                <c:ptCount val="4"/>
                <c:pt idx="0">
                  <c:v>5</c:v>
                </c:pt>
                <c:pt idx="1">
                  <c:v>5</c:v>
                </c:pt>
                <c:pt idx="2">
                  <c:v>7</c:v>
                </c:pt>
                <c:pt idx="3">
                  <c:v>5</c:v>
                </c:pt>
              </c:numCache>
            </c:numRef>
          </c:val>
          <c:extLst>
            <c:ext xmlns:c16="http://schemas.microsoft.com/office/drawing/2014/chart" uri="{C3380CC4-5D6E-409C-BE32-E72D297353CC}">
              <c16:uniqueId val="{00000008-72FF-44D4-98EA-1513323535D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latin typeface="Times New Roman" panose="02020603050405020304" pitchFamily="18" charset="0"/>
                <a:cs typeface="Times New Roman" panose="02020603050405020304" pitchFamily="18" charset="0"/>
              </a:rPr>
              <a:t>Nuclear Fusion</a:t>
            </a:r>
          </a:p>
        </c:rich>
      </c:tx>
      <c:layout>
        <c:manualLayout>
          <c:xMode val="edge"/>
          <c:yMode val="edge"/>
          <c:x val="0.19140724558529035"/>
          <c:y val="3.818008272351256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F8B1-4D24-9067-820C3A5CD5E1}"/>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F8B1-4D24-9067-820C3A5CD5E1}"/>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F8B1-4D24-9067-820C3A5CD5E1}"/>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F8B1-4D24-9067-820C3A5CD5E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'Charts Fusion'!$B$38:$B$41</c:f>
              <c:strCache>
                <c:ptCount val="4"/>
                <c:pt idx="0">
                  <c:v>Government Only</c:v>
                </c:pt>
                <c:pt idx="1">
                  <c:v>Private Only</c:v>
                </c:pt>
                <c:pt idx="2">
                  <c:v>Both Government and Private</c:v>
                </c:pt>
                <c:pt idx="3">
                  <c:v>No Investments or No Information</c:v>
                </c:pt>
              </c:strCache>
            </c:strRef>
          </c:cat>
          <c:val>
            <c:numRef>
              <c:f>'Charts Fusion'!$C$38:$C$41</c:f>
              <c:numCache>
                <c:formatCode>General</c:formatCode>
                <c:ptCount val="4"/>
                <c:pt idx="0">
                  <c:v>3</c:v>
                </c:pt>
                <c:pt idx="1">
                  <c:v>9</c:v>
                </c:pt>
                <c:pt idx="2">
                  <c:v>7</c:v>
                </c:pt>
                <c:pt idx="3">
                  <c:v>10</c:v>
                </c:pt>
              </c:numCache>
            </c:numRef>
          </c:val>
          <c:extLst>
            <c:ext xmlns:c16="http://schemas.microsoft.com/office/drawing/2014/chart" uri="{C3380CC4-5D6E-409C-BE32-E72D297353CC}">
              <c16:uniqueId val="{00000008-F8B1-4D24-9067-820C3A5CD5E1}"/>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8607275330253137"/>
          <c:y val="0.18078385095762234"/>
          <c:w val="0.30637947116114617"/>
          <c:h val="0.736080536352054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'Charts Fusion'!$T$19</c:f>
              <c:strCache>
                <c:ptCount val="1"/>
                <c:pt idx="0">
                  <c:v>SMR</c:v>
                </c:pt>
              </c:strCache>
            </c:strRef>
          </c:tx>
          <c:spPr>
            <a:solidFill>
              <a:schemeClr val="accent1">
                <a:shade val="76000"/>
              </a:schemeClr>
            </a:solidFill>
            <a:ln>
              <a:noFill/>
            </a:ln>
            <a:effectLst/>
          </c:spPr>
          <c:invertIfNegative val="0"/>
          <c:cat>
            <c:strRef>
              <c:f>'Charts Fusion'!$S$20:$S$24</c:f>
              <c:strCache>
                <c:ptCount val="5"/>
                <c:pt idx="0">
                  <c:v>Grant by Government</c:v>
                </c:pt>
                <c:pt idx="1">
                  <c:v>Angel Round</c:v>
                </c:pt>
                <c:pt idx="2">
                  <c:v>Seed Round</c:v>
                </c:pt>
                <c:pt idx="3">
                  <c:v>Venture/Corporate Round</c:v>
                </c:pt>
                <c:pt idx="4">
                  <c:v>Crowdfunding</c:v>
                </c:pt>
              </c:strCache>
            </c:strRef>
          </c:cat>
          <c:val>
            <c:numRef>
              <c:f>'Charts Fusion'!$T$20:$T$24</c:f>
              <c:numCache>
                <c:formatCode>General</c:formatCode>
                <c:ptCount val="5"/>
                <c:pt idx="0">
                  <c:v>13</c:v>
                </c:pt>
                <c:pt idx="1">
                  <c:v>1</c:v>
                </c:pt>
                <c:pt idx="2">
                  <c:v>3</c:v>
                </c:pt>
                <c:pt idx="3">
                  <c:v>15</c:v>
                </c:pt>
                <c:pt idx="4">
                  <c:v>0</c:v>
                </c:pt>
              </c:numCache>
            </c:numRef>
          </c:val>
          <c:extLst>
            <c:ext xmlns:c16="http://schemas.microsoft.com/office/drawing/2014/chart" uri="{C3380CC4-5D6E-409C-BE32-E72D297353CC}">
              <c16:uniqueId val="{00000000-F3A2-42F6-9E7F-2D17FE343E3B}"/>
            </c:ext>
          </c:extLst>
        </c:ser>
        <c:ser>
          <c:idx val="1"/>
          <c:order val="1"/>
          <c:tx>
            <c:strRef>
              <c:f>'Charts Fusion'!$U$19</c:f>
              <c:strCache>
                <c:ptCount val="1"/>
                <c:pt idx="0">
                  <c:v>Nuclear Fusion</c:v>
                </c:pt>
              </c:strCache>
            </c:strRef>
          </c:tx>
          <c:spPr>
            <a:solidFill>
              <a:schemeClr val="accent1">
                <a:tint val="77000"/>
              </a:schemeClr>
            </a:solidFill>
            <a:ln>
              <a:noFill/>
            </a:ln>
            <a:effectLst/>
          </c:spPr>
          <c:invertIfNegative val="0"/>
          <c:cat>
            <c:strRef>
              <c:f>'Charts Fusion'!$S$20:$S$24</c:f>
              <c:strCache>
                <c:ptCount val="5"/>
                <c:pt idx="0">
                  <c:v>Grant by Government</c:v>
                </c:pt>
                <c:pt idx="1">
                  <c:v>Angel Round</c:v>
                </c:pt>
                <c:pt idx="2">
                  <c:v>Seed Round</c:v>
                </c:pt>
                <c:pt idx="3">
                  <c:v>Venture/Corporate Round</c:v>
                </c:pt>
                <c:pt idx="4">
                  <c:v>Crowdfunding</c:v>
                </c:pt>
              </c:strCache>
            </c:strRef>
          </c:cat>
          <c:val>
            <c:numRef>
              <c:f>'Charts Fusion'!$U$20:$U$24</c:f>
              <c:numCache>
                <c:formatCode>General</c:formatCode>
                <c:ptCount val="5"/>
                <c:pt idx="0">
                  <c:v>8</c:v>
                </c:pt>
                <c:pt idx="1">
                  <c:v>0</c:v>
                </c:pt>
                <c:pt idx="2">
                  <c:v>6</c:v>
                </c:pt>
                <c:pt idx="3">
                  <c:v>24</c:v>
                </c:pt>
                <c:pt idx="4">
                  <c:v>2</c:v>
                </c:pt>
              </c:numCache>
            </c:numRef>
          </c:val>
          <c:extLst>
            <c:ext xmlns:c16="http://schemas.microsoft.com/office/drawing/2014/chart" uri="{C3380CC4-5D6E-409C-BE32-E72D297353CC}">
              <c16:uniqueId val="{00000001-F3A2-42F6-9E7F-2D17FE343E3B}"/>
            </c:ext>
          </c:extLst>
        </c:ser>
        <c:dLbls>
          <c:showLegendKey val="0"/>
          <c:showVal val="0"/>
          <c:showCatName val="0"/>
          <c:showSerName val="0"/>
          <c:showPercent val="0"/>
          <c:showBubbleSize val="0"/>
        </c:dLbls>
        <c:gapWidth val="219"/>
        <c:overlap val="-27"/>
        <c:axId val="650643232"/>
        <c:axId val="650647496"/>
      </c:barChart>
      <c:catAx>
        <c:axId val="65064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0647496"/>
        <c:crosses val="autoZero"/>
        <c:auto val="1"/>
        <c:lblAlgn val="ctr"/>
        <c:lblOffset val="100"/>
        <c:noMultiLvlLbl val="0"/>
      </c:catAx>
      <c:valAx>
        <c:axId val="650647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0643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616EE-8C55-4186-B031-7CD87C01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Suyoun</dc:creator>
  <cp:keywords/>
  <dc:description/>
  <cp:lastModifiedBy>van HEEK, Aliki</cp:lastModifiedBy>
  <cp:revision>99</cp:revision>
  <cp:lastPrinted>2022-03-18T13:27:00Z</cp:lastPrinted>
  <dcterms:created xsi:type="dcterms:W3CDTF">2022-03-18T11:07:00Z</dcterms:created>
  <dcterms:modified xsi:type="dcterms:W3CDTF">2022-03-21T15:10:00Z</dcterms:modified>
</cp:coreProperties>
</file>