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31BC2" w14:textId="7E4CBFCC" w:rsidR="00216EAA" w:rsidRPr="00581966" w:rsidRDefault="00756123">
      <w:pPr>
        <w:pStyle w:val="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0" w:right="0" w:firstLine="0"/>
        <w:rPr>
          <w:rFonts w:ascii="Times New Roman" w:eastAsia="Times New Roman" w:hAnsi="Times New Roman" w:cs="Times New Roman"/>
        </w:rPr>
      </w:pPr>
      <w:r w:rsidRPr="00581966">
        <w:rPr>
          <w:rFonts w:ascii="Times New Roman" w:eastAsia="Times New Roman" w:hAnsi="Times New Roman" w:cs="Times New Roman"/>
        </w:rPr>
        <w:t xml:space="preserve">THE CONCEPT OF TRITIUM FUEL CYCLE FOR A TOKAMAK-BASED FUSION NEUTRON SOURCES IN THE RUSSIAN FEDERATION </w:t>
      </w:r>
    </w:p>
    <w:p w14:paraId="00DC9B1A" w14:textId="77777777" w:rsidR="00216EAA" w:rsidRPr="00581966" w:rsidRDefault="00216EAA">
      <w:pPr>
        <w:pBdr>
          <w:top w:val="nil"/>
          <w:left w:val="nil"/>
          <w:bottom w:val="nil"/>
          <w:right w:val="nil"/>
          <w:between w:val="nil"/>
        </w:pBdr>
        <w:jc w:val="both"/>
        <w:rPr>
          <w:color w:val="000000"/>
          <w:sz w:val="24"/>
          <w:szCs w:val="24"/>
        </w:rPr>
      </w:pPr>
    </w:p>
    <w:p w14:paraId="2A36DBB6" w14:textId="20D802A0" w:rsidR="00216EAA" w:rsidRPr="00581966" w:rsidRDefault="000F2172">
      <w:pPr>
        <w:pBdr>
          <w:top w:val="nil"/>
          <w:left w:val="nil"/>
          <w:bottom w:val="nil"/>
          <w:right w:val="nil"/>
          <w:between w:val="nil"/>
        </w:pBdr>
        <w:jc w:val="both"/>
        <w:rPr>
          <w:color w:val="000000"/>
          <w:sz w:val="24"/>
          <w:szCs w:val="24"/>
        </w:rPr>
      </w:pPr>
      <w:r w:rsidRPr="00581966">
        <w:rPr>
          <w:color w:val="000000"/>
          <w:sz w:val="24"/>
          <w:szCs w:val="24"/>
        </w:rPr>
        <w:t>S.S</w:t>
      </w:r>
      <w:r w:rsidR="00A544F6" w:rsidRPr="00581966">
        <w:rPr>
          <w:color w:val="000000"/>
          <w:sz w:val="24"/>
          <w:szCs w:val="24"/>
        </w:rPr>
        <w:t>. </w:t>
      </w:r>
      <w:proofErr w:type="spellStart"/>
      <w:r w:rsidRPr="00581966">
        <w:rPr>
          <w:color w:val="000000"/>
          <w:sz w:val="24"/>
          <w:szCs w:val="24"/>
        </w:rPr>
        <w:t>ANANYEV</w:t>
      </w:r>
      <w:r w:rsidRPr="00581966">
        <w:rPr>
          <w:color w:val="000000"/>
          <w:sz w:val="24"/>
          <w:szCs w:val="24"/>
          <w:vertAlign w:val="superscript"/>
        </w:rPr>
        <w:t>a</w:t>
      </w:r>
      <w:proofErr w:type="spellEnd"/>
      <w:r w:rsidRPr="00581966">
        <w:rPr>
          <w:color w:val="000000"/>
          <w:sz w:val="24"/>
          <w:szCs w:val="24"/>
        </w:rPr>
        <w:t>, B.V</w:t>
      </w:r>
      <w:r w:rsidR="00A544F6" w:rsidRPr="00581966">
        <w:rPr>
          <w:color w:val="000000"/>
          <w:sz w:val="24"/>
          <w:szCs w:val="24"/>
        </w:rPr>
        <w:t>. </w:t>
      </w:r>
      <w:proofErr w:type="spellStart"/>
      <w:r w:rsidRPr="00581966">
        <w:rPr>
          <w:color w:val="000000"/>
          <w:sz w:val="24"/>
          <w:szCs w:val="24"/>
        </w:rPr>
        <w:t>IVANOV</w:t>
      </w:r>
      <w:r w:rsidRPr="00581966">
        <w:rPr>
          <w:color w:val="000000"/>
          <w:sz w:val="24"/>
          <w:szCs w:val="24"/>
          <w:vertAlign w:val="superscript"/>
        </w:rPr>
        <w:t>a</w:t>
      </w:r>
      <w:proofErr w:type="spellEnd"/>
      <w:r w:rsidRPr="00581966">
        <w:rPr>
          <w:color w:val="000000"/>
          <w:sz w:val="24"/>
          <w:szCs w:val="24"/>
        </w:rPr>
        <w:t>, A.S</w:t>
      </w:r>
      <w:r w:rsidR="00A544F6" w:rsidRPr="00581966">
        <w:rPr>
          <w:color w:val="000000"/>
          <w:sz w:val="24"/>
          <w:szCs w:val="24"/>
        </w:rPr>
        <w:t>. </w:t>
      </w:r>
      <w:proofErr w:type="spellStart"/>
      <w:r w:rsidRPr="00581966">
        <w:rPr>
          <w:color w:val="000000"/>
          <w:sz w:val="24"/>
          <w:szCs w:val="24"/>
        </w:rPr>
        <w:t>KUKUSHKIN</w:t>
      </w:r>
      <w:r w:rsidRPr="00581966">
        <w:rPr>
          <w:color w:val="000000"/>
          <w:sz w:val="24"/>
          <w:szCs w:val="24"/>
          <w:vertAlign w:val="superscript"/>
        </w:rPr>
        <w:t>a</w:t>
      </w:r>
      <w:proofErr w:type="gramStart"/>
      <w:r w:rsidRPr="00581966">
        <w:rPr>
          <w:color w:val="000000"/>
          <w:sz w:val="24"/>
          <w:szCs w:val="24"/>
          <w:vertAlign w:val="superscript"/>
        </w:rPr>
        <w:t>,b</w:t>
      </w:r>
      <w:proofErr w:type="spellEnd"/>
      <w:proofErr w:type="gramEnd"/>
      <w:r w:rsidRPr="00581966">
        <w:rPr>
          <w:color w:val="000000"/>
          <w:sz w:val="24"/>
          <w:szCs w:val="24"/>
        </w:rPr>
        <w:t>, M.R</w:t>
      </w:r>
      <w:r w:rsidR="00A544F6" w:rsidRPr="00581966">
        <w:rPr>
          <w:color w:val="000000"/>
          <w:sz w:val="24"/>
          <w:szCs w:val="24"/>
        </w:rPr>
        <w:t>. </w:t>
      </w:r>
      <w:proofErr w:type="spellStart"/>
      <w:r w:rsidRPr="00581966">
        <w:rPr>
          <w:color w:val="000000"/>
          <w:sz w:val="24"/>
          <w:szCs w:val="24"/>
        </w:rPr>
        <w:t>NURGALIEV</w:t>
      </w:r>
      <w:r w:rsidRPr="00581966">
        <w:rPr>
          <w:color w:val="000000"/>
          <w:sz w:val="24"/>
          <w:szCs w:val="24"/>
          <w:vertAlign w:val="superscript"/>
        </w:rPr>
        <w:t>a</w:t>
      </w:r>
      <w:proofErr w:type="spellEnd"/>
      <w:r w:rsidRPr="00581966">
        <w:rPr>
          <w:color w:val="000000"/>
          <w:sz w:val="24"/>
          <w:szCs w:val="24"/>
        </w:rPr>
        <w:t>, B.V</w:t>
      </w:r>
      <w:r w:rsidR="00A544F6" w:rsidRPr="00581966">
        <w:rPr>
          <w:color w:val="000000"/>
          <w:sz w:val="24"/>
          <w:szCs w:val="24"/>
        </w:rPr>
        <w:t>. </w:t>
      </w:r>
      <w:proofErr w:type="spellStart"/>
      <w:r w:rsidRPr="00581966">
        <w:rPr>
          <w:color w:val="000000"/>
          <w:sz w:val="24"/>
          <w:szCs w:val="24"/>
        </w:rPr>
        <w:t>KUTEEV</w:t>
      </w:r>
      <w:r w:rsidRPr="00581966">
        <w:rPr>
          <w:color w:val="000000"/>
          <w:sz w:val="24"/>
          <w:szCs w:val="24"/>
          <w:vertAlign w:val="superscript"/>
        </w:rPr>
        <w:t>a,b</w:t>
      </w:r>
      <w:proofErr w:type="spellEnd"/>
    </w:p>
    <w:p w14:paraId="15978F7E" w14:textId="77777777" w:rsidR="00216EAA" w:rsidRPr="00581966" w:rsidRDefault="000F2172">
      <w:pPr>
        <w:pBdr>
          <w:top w:val="nil"/>
          <w:left w:val="nil"/>
          <w:bottom w:val="nil"/>
          <w:right w:val="nil"/>
          <w:between w:val="nil"/>
        </w:pBdr>
        <w:jc w:val="both"/>
        <w:rPr>
          <w:color w:val="000000"/>
          <w:sz w:val="24"/>
          <w:szCs w:val="24"/>
        </w:rPr>
      </w:pPr>
      <w:proofErr w:type="gramStart"/>
      <w:r w:rsidRPr="00581966">
        <w:rPr>
          <w:color w:val="000000"/>
          <w:sz w:val="24"/>
          <w:szCs w:val="24"/>
          <w:vertAlign w:val="superscript"/>
        </w:rPr>
        <w:t>a</w:t>
      </w:r>
      <w:proofErr w:type="gramEnd"/>
      <w:r w:rsidRPr="00581966">
        <w:rPr>
          <w:color w:val="000000"/>
          <w:sz w:val="24"/>
          <w:szCs w:val="24"/>
        </w:rPr>
        <w:t xml:space="preserve"> NRC “Kurchatov Institute”, Moscow, Russian Federation</w:t>
      </w:r>
    </w:p>
    <w:p w14:paraId="7268807E" w14:textId="77777777" w:rsidR="00216EAA" w:rsidRPr="00581966" w:rsidRDefault="000F2172">
      <w:pPr>
        <w:pBdr>
          <w:top w:val="nil"/>
          <w:left w:val="nil"/>
          <w:bottom w:val="nil"/>
          <w:right w:val="nil"/>
          <w:between w:val="nil"/>
        </w:pBdr>
        <w:jc w:val="both"/>
        <w:rPr>
          <w:color w:val="000000"/>
          <w:sz w:val="24"/>
          <w:szCs w:val="24"/>
        </w:rPr>
      </w:pPr>
      <w:proofErr w:type="gramStart"/>
      <w:r w:rsidRPr="00581966">
        <w:rPr>
          <w:color w:val="000000"/>
          <w:sz w:val="24"/>
          <w:szCs w:val="24"/>
          <w:vertAlign w:val="superscript"/>
        </w:rPr>
        <w:t>b</w:t>
      </w:r>
      <w:proofErr w:type="gramEnd"/>
      <w:r w:rsidRPr="00581966">
        <w:rPr>
          <w:color w:val="000000"/>
          <w:sz w:val="24"/>
          <w:szCs w:val="24"/>
          <w:vertAlign w:val="superscript"/>
        </w:rPr>
        <w:t xml:space="preserve"> </w:t>
      </w:r>
      <w:r w:rsidRPr="00581966">
        <w:rPr>
          <w:color w:val="000000"/>
          <w:sz w:val="24"/>
          <w:szCs w:val="24"/>
        </w:rPr>
        <w:t xml:space="preserve">NRNU </w:t>
      </w:r>
      <w:proofErr w:type="spellStart"/>
      <w:r w:rsidRPr="00581966">
        <w:rPr>
          <w:color w:val="000000"/>
          <w:sz w:val="24"/>
          <w:szCs w:val="24"/>
        </w:rPr>
        <w:t>MEPhI</w:t>
      </w:r>
      <w:proofErr w:type="spellEnd"/>
      <w:r w:rsidRPr="00581966">
        <w:rPr>
          <w:color w:val="000000"/>
          <w:sz w:val="24"/>
          <w:szCs w:val="24"/>
        </w:rPr>
        <w:t xml:space="preserve"> , Moscow, Russian Federation</w:t>
      </w:r>
    </w:p>
    <w:p w14:paraId="2E164E4F" w14:textId="77777777" w:rsidR="00216EAA" w:rsidRPr="00581966" w:rsidRDefault="00216EAA">
      <w:pPr>
        <w:pBdr>
          <w:top w:val="nil"/>
          <w:left w:val="nil"/>
          <w:bottom w:val="nil"/>
          <w:right w:val="nil"/>
          <w:between w:val="nil"/>
        </w:pBdr>
        <w:jc w:val="both"/>
        <w:rPr>
          <w:color w:val="000000"/>
          <w:sz w:val="24"/>
          <w:szCs w:val="24"/>
        </w:rPr>
      </w:pPr>
    </w:p>
    <w:p w14:paraId="28C6F78E" w14:textId="77777777" w:rsidR="00216EAA" w:rsidRPr="00581966" w:rsidRDefault="000F2172">
      <w:pPr>
        <w:pBdr>
          <w:top w:val="nil"/>
          <w:left w:val="nil"/>
          <w:bottom w:val="nil"/>
          <w:right w:val="nil"/>
          <w:between w:val="nil"/>
        </w:pBdr>
        <w:jc w:val="both"/>
        <w:rPr>
          <w:color w:val="000000"/>
          <w:sz w:val="24"/>
          <w:szCs w:val="24"/>
        </w:rPr>
      </w:pPr>
      <w:r w:rsidRPr="00581966">
        <w:rPr>
          <w:color w:val="000000"/>
          <w:sz w:val="24"/>
          <w:szCs w:val="24"/>
        </w:rPr>
        <w:t>Email contact of corresponding author: Ananyev_SS@nrcki.ru</w:t>
      </w:r>
    </w:p>
    <w:p w14:paraId="7413C7AB" w14:textId="77777777" w:rsidR="00216EAA" w:rsidRPr="00581966" w:rsidRDefault="00216EAA">
      <w:pPr>
        <w:pBdr>
          <w:top w:val="nil"/>
          <w:left w:val="nil"/>
          <w:bottom w:val="nil"/>
          <w:right w:val="nil"/>
          <w:between w:val="nil"/>
        </w:pBdr>
        <w:jc w:val="both"/>
        <w:rPr>
          <w:color w:val="000000"/>
          <w:sz w:val="24"/>
          <w:szCs w:val="24"/>
        </w:rPr>
      </w:pPr>
    </w:p>
    <w:p w14:paraId="35DFD718" w14:textId="77777777" w:rsidR="00216EAA" w:rsidRPr="00581966" w:rsidRDefault="000F2172">
      <w:pPr>
        <w:pBdr>
          <w:top w:val="nil"/>
          <w:left w:val="nil"/>
          <w:bottom w:val="nil"/>
          <w:right w:val="nil"/>
          <w:between w:val="nil"/>
        </w:pBdr>
        <w:spacing w:line="276" w:lineRule="auto"/>
        <w:jc w:val="both"/>
        <w:rPr>
          <w:b/>
          <w:color w:val="000000"/>
          <w:sz w:val="24"/>
          <w:szCs w:val="24"/>
        </w:rPr>
      </w:pPr>
      <w:r w:rsidRPr="00581966">
        <w:rPr>
          <w:b/>
          <w:color w:val="000000"/>
          <w:sz w:val="24"/>
          <w:szCs w:val="24"/>
        </w:rPr>
        <w:t>Abstract</w:t>
      </w:r>
    </w:p>
    <w:p w14:paraId="674B83D1" w14:textId="166DA7EF" w:rsidR="00216EAA" w:rsidRPr="00581966" w:rsidRDefault="000F2172">
      <w:pPr>
        <w:pBdr>
          <w:top w:val="nil"/>
          <w:left w:val="nil"/>
          <w:bottom w:val="nil"/>
          <w:right w:val="nil"/>
          <w:between w:val="nil"/>
        </w:pBdr>
        <w:spacing w:line="276" w:lineRule="auto"/>
        <w:jc w:val="both"/>
        <w:rPr>
          <w:color w:val="000000"/>
          <w:sz w:val="24"/>
          <w:szCs w:val="24"/>
        </w:rPr>
      </w:pPr>
      <w:r w:rsidRPr="00581966">
        <w:rPr>
          <w:color w:val="000000"/>
          <w:sz w:val="24"/>
          <w:szCs w:val="24"/>
        </w:rPr>
        <w:t xml:space="preserve">The paper describes contemporary development results and novel applications of the integrated model for simulating processes in the plasma fueling </w:t>
      </w:r>
      <w:r w:rsidR="00B7452D" w:rsidRPr="00581966">
        <w:rPr>
          <w:color w:val="000000"/>
          <w:sz w:val="24"/>
          <w:szCs w:val="24"/>
        </w:rPr>
        <w:t xml:space="preserve">cycle </w:t>
      </w:r>
      <w:r w:rsidR="0045303A" w:rsidRPr="00581966">
        <w:rPr>
          <w:color w:val="000000"/>
          <w:sz w:val="24"/>
          <w:szCs w:val="24"/>
        </w:rPr>
        <w:t xml:space="preserve">(FC) </w:t>
      </w:r>
      <w:r w:rsidRPr="00581966">
        <w:rPr>
          <w:color w:val="000000"/>
          <w:sz w:val="24"/>
          <w:szCs w:val="24"/>
        </w:rPr>
        <w:t xml:space="preserve">systems of </w:t>
      </w:r>
      <w:r w:rsidR="00884CB3" w:rsidRPr="00581966">
        <w:rPr>
          <w:color w:val="000000"/>
          <w:sz w:val="24"/>
          <w:szCs w:val="24"/>
        </w:rPr>
        <w:t>tokamak based fusion neutron source (</w:t>
      </w:r>
      <w:r w:rsidRPr="00581966">
        <w:rPr>
          <w:color w:val="000000"/>
          <w:sz w:val="24"/>
          <w:szCs w:val="24"/>
        </w:rPr>
        <w:t>FNS</w:t>
      </w:r>
      <w:r w:rsidR="00884CB3" w:rsidRPr="00581966">
        <w:rPr>
          <w:color w:val="000000"/>
          <w:sz w:val="24"/>
          <w:szCs w:val="24"/>
        </w:rPr>
        <w:t>)</w:t>
      </w:r>
      <w:r w:rsidRPr="00581966">
        <w:rPr>
          <w:color w:val="000000"/>
          <w:sz w:val="24"/>
          <w:szCs w:val="24"/>
        </w:rPr>
        <w:t xml:space="preserve">. </w:t>
      </w:r>
      <w:r w:rsidR="0045303A" w:rsidRPr="00581966">
        <w:rPr>
          <w:color w:val="000000"/>
          <w:sz w:val="24"/>
          <w:szCs w:val="24"/>
        </w:rPr>
        <w:t xml:space="preserve">The integrated model </w:t>
      </w:r>
      <w:r w:rsidRPr="00581966">
        <w:rPr>
          <w:color w:val="000000"/>
          <w:sz w:val="24"/>
          <w:szCs w:val="24"/>
        </w:rPr>
        <w:t xml:space="preserve">of </w:t>
      </w:r>
      <w:r w:rsidR="0045303A" w:rsidRPr="00581966">
        <w:rPr>
          <w:color w:val="000000"/>
          <w:sz w:val="24"/>
          <w:szCs w:val="24"/>
        </w:rPr>
        <w:t xml:space="preserve">the </w:t>
      </w:r>
      <w:r w:rsidRPr="00581966">
        <w:rPr>
          <w:color w:val="000000"/>
          <w:sz w:val="24"/>
          <w:szCs w:val="24"/>
        </w:rPr>
        <w:t>F</w:t>
      </w:r>
      <w:r w:rsidR="00B7452D" w:rsidRPr="00581966">
        <w:rPr>
          <w:color w:val="000000"/>
          <w:sz w:val="24"/>
          <w:szCs w:val="24"/>
        </w:rPr>
        <w:t>C</w:t>
      </w:r>
      <w:r w:rsidRPr="00581966">
        <w:rPr>
          <w:color w:val="000000"/>
          <w:sz w:val="24"/>
          <w:szCs w:val="24"/>
        </w:rPr>
        <w:t xml:space="preserve"> with core and divertor plasmas employs the SOLPS, ASTRA, and FC-FNS codes. The range of operation parameters is found for the core plasma, in which the tritium fraction is controlled by pellet injection with a different T/D isotopic composition. Impact of neutral beam heating and fueling by </w:t>
      </w:r>
      <w:r w:rsidR="0045303A" w:rsidRPr="00581966">
        <w:rPr>
          <w:color w:val="000000"/>
          <w:sz w:val="24"/>
          <w:szCs w:val="24"/>
        </w:rPr>
        <w:t>the</w:t>
      </w:r>
      <w:r w:rsidRPr="00581966">
        <w:rPr>
          <w:color w:val="000000"/>
          <w:sz w:val="24"/>
          <w:szCs w:val="24"/>
        </w:rPr>
        <w:t xml:space="preserve"> neutral flow from </w:t>
      </w:r>
      <w:r w:rsidR="0045303A" w:rsidRPr="00581966">
        <w:rPr>
          <w:color w:val="000000"/>
          <w:sz w:val="24"/>
          <w:szCs w:val="24"/>
        </w:rPr>
        <w:t xml:space="preserve">the </w:t>
      </w:r>
      <w:r w:rsidRPr="00581966">
        <w:rPr>
          <w:color w:val="000000"/>
          <w:sz w:val="24"/>
          <w:szCs w:val="24"/>
        </w:rPr>
        <w:t xml:space="preserve">divertor </w:t>
      </w:r>
      <w:r w:rsidR="0045303A" w:rsidRPr="00581966">
        <w:rPr>
          <w:color w:val="000000"/>
          <w:sz w:val="24"/>
          <w:szCs w:val="24"/>
        </w:rPr>
        <w:t xml:space="preserve">is allowed </w:t>
      </w:r>
      <w:r w:rsidRPr="00581966">
        <w:rPr>
          <w:color w:val="000000"/>
          <w:sz w:val="24"/>
          <w:szCs w:val="24"/>
        </w:rPr>
        <w:t xml:space="preserve">for as well. The neutral beams with different D/T composition and the core plasma </w:t>
      </w:r>
      <w:r w:rsidR="0045303A" w:rsidRPr="00581966">
        <w:rPr>
          <w:color w:val="000000"/>
          <w:sz w:val="24"/>
          <w:szCs w:val="24"/>
        </w:rPr>
        <w:t xml:space="preserve">are </w:t>
      </w:r>
      <w:r w:rsidRPr="00581966">
        <w:rPr>
          <w:color w:val="000000"/>
          <w:sz w:val="24"/>
          <w:szCs w:val="24"/>
        </w:rPr>
        <w:t xml:space="preserve">studied, as well as the total inventory at the facility site and the localization of tritium in </w:t>
      </w:r>
      <w:r w:rsidR="0045303A" w:rsidRPr="00581966">
        <w:rPr>
          <w:color w:val="000000"/>
          <w:sz w:val="24"/>
          <w:szCs w:val="24"/>
        </w:rPr>
        <w:t xml:space="preserve">the </w:t>
      </w:r>
      <w:r w:rsidRPr="00581966">
        <w:rPr>
          <w:color w:val="000000"/>
          <w:sz w:val="24"/>
          <w:szCs w:val="24"/>
        </w:rPr>
        <w:t>F</w:t>
      </w:r>
      <w:r w:rsidR="00B7452D" w:rsidRPr="00581966">
        <w:rPr>
          <w:color w:val="000000"/>
          <w:sz w:val="24"/>
          <w:szCs w:val="24"/>
        </w:rPr>
        <w:t>C</w:t>
      </w:r>
      <w:r w:rsidRPr="00581966">
        <w:rPr>
          <w:color w:val="000000"/>
          <w:sz w:val="24"/>
          <w:szCs w:val="24"/>
        </w:rPr>
        <w:t xml:space="preserve">. The influence of HFS and LFS pellet injection on the plasma core fueling and ELM </w:t>
      </w:r>
      <w:proofErr w:type="spellStart"/>
      <w:r w:rsidR="0066398E" w:rsidRPr="00581966">
        <w:rPr>
          <w:color w:val="000000"/>
          <w:sz w:val="24"/>
          <w:szCs w:val="24"/>
        </w:rPr>
        <w:t>pacemaking</w:t>
      </w:r>
      <w:proofErr w:type="spellEnd"/>
      <w:r w:rsidR="0066398E" w:rsidRPr="00581966">
        <w:rPr>
          <w:color w:val="000000"/>
          <w:sz w:val="24"/>
          <w:szCs w:val="24"/>
        </w:rPr>
        <w:t xml:space="preserve"> </w:t>
      </w:r>
      <w:r w:rsidRPr="00581966">
        <w:rPr>
          <w:color w:val="000000"/>
          <w:sz w:val="24"/>
          <w:szCs w:val="24"/>
        </w:rPr>
        <w:t xml:space="preserve">in DEMO-FNS is considered. These results will be used for further </w:t>
      </w:r>
      <w:r w:rsidR="0045303A" w:rsidRPr="00581966">
        <w:rPr>
          <w:color w:val="000000"/>
          <w:sz w:val="24"/>
          <w:szCs w:val="24"/>
        </w:rPr>
        <w:t xml:space="preserve">optimization of </w:t>
      </w:r>
      <w:r w:rsidRPr="00581966">
        <w:rPr>
          <w:color w:val="000000"/>
          <w:sz w:val="24"/>
          <w:szCs w:val="24"/>
        </w:rPr>
        <w:t xml:space="preserve">the FC of the FNS-C neutron source and hybrid reactor facility HRF, which are considered as a part of the comprehensive program of the State Corporation </w:t>
      </w:r>
      <w:proofErr w:type="spellStart"/>
      <w:r w:rsidRPr="00581966">
        <w:rPr>
          <w:color w:val="000000"/>
          <w:sz w:val="24"/>
          <w:szCs w:val="24"/>
        </w:rPr>
        <w:t>Rosatom</w:t>
      </w:r>
      <w:proofErr w:type="spellEnd"/>
      <w:r w:rsidRPr="00581966">
        <w:rPr>
          <w:color w:val="000000"/>
          <w:sz w:val="24"/>
          <w:szCs w:val="24"/>
        </w:rPr>
        <w:t xml:space="preserve"> "Development of engineering, technology and scientific research in the field of using atomic energy in the Russian Federation for the time period up to 2030" and further up to 2040.</w:t>
      </w:r>
    </w:p>
    <w:p w14:paraId="570CC96F" w14:textId="77777777" w:rsidR="00216EAA" w:rsidRPr="00581966" w:rsidRDefault="00216EAA">
      <w:pPr>
        <w:pBdr>
          <w:top w:val="nil"/>
          <w:left w:val="nil"/>
          <w:bottom w:val="nil"/>
          <w:right w:val="nil"/>
          <w:between w:val="nil"/>
        </w:pBdr>
        <w:spacing w:line="276" w:lineRule="auto"/>
        <w:jc w:val="both"/>
        <w:rPr>
          <w:color w:val="000000"/>
          <w:sz w:val="24"/>
          <w:szCs w:val="24"/>
        </w:rPr>
      </w:pPr>
    </w:p>
    <w:p w14:paraId="20987F5E" w14:textId="77777777" w:rsidR="00216EAA" w:rsidRPr="00581966" w:rsidRDefault="000F2172">
      <w:pPr>
        <w:pBdr>
          <w:top w:val="nil"/>
          <w:left w:val="nil"/>
          <w:bottom w:val="nil"/>
          <w:right w:val="nil"/>
          <w:between w:val="nil"/>
        </w:pBdr>
        <w:spacing w:line="276" w:lineRule="auto"/>
        <w:jc w:val="both"/>
        <w:rPr>
          <w:color w:val="000000"/>
          <w:sz w:val="24"/>
          <w:szCs w:val="24"/>
        </w:rPr>
      </w:pPr>
      <w:r w:rsidRPr="00581966">
        <w:rPr>
          <w:color w:val="000000"/>
          <w:sz w:val="24"/>
          <w:szCs w:val="24"/>
        </w:rPr>
        <w:t>1.</w:t>
      </w:r>
      <w:r w:rsidRPr="00581966">
        <w:rPr>
          <w:color w:val="000000"/>
          <w:sz w:val="24"/>
          <w:szCs w:val="24"/>
        </w:rPr>
        <w:tab/>
        <w:t>INTRODUCTION</w:t>
      </w:r>
    </w:p>
    <w:p w14:paraId="155AFD09" w14:textId="77777777" w:rsidR="00216EAA" w:rsidRPr="00581966" w:rsidRDefault="00216EAA">
      <w:pPr>
        <w:pBdr>
          <w:top w:val="nil"/>
          <w:left w:val="nil"/>
          <w:bottom w:val="nil"/>
          <w:right w:val="nil"/>
          <w:between w:val="nil"/>
        </w:pBdr>
        <w:spacing w:line="276" w:lineRule="auto"/>
        <w:jc w:val="both"/>
        <w:rPr>
          <w:color w:val="000000"/>
          <w:sz w:val="24"/>
          <w:szCs w:val="24"/>
        </w:rPr>
      </w:pPr>
    </w:p>
    <w:p w14:paraId="0D418014" w14:textId="5C237F66" w:rsidR="00230CBC" w:rsidRPr="00581966" w:rsidRDefault="00230CBC" w:rsidP="00230CBC">
      <w:pPr>
        <w:pBdr>
          <w:top w:val="nil"/>
          <w:left w:val="nil"/>
          <w:bottom w:val="nil"/>
          <w:right w:val="nil"/>
          <w:between w:val="nil"/>
        </w:pBdr>
        <w:spacing w:line="276" w:lineRule="auto"/>
        <w:ind w:firstLine="284"/>
        <w:jc w:val="both"/>
        <w:rPr>
          <w:color w:val="000000"/>
          <w:sz w:val="24"/>
          <w:szCs w:val="24"/>
        </w:rPr>
      </w:pPr>
      <w:r w:rsidRPr="00581966">
        <w:rPr>
          <w:color w:val="000000"/>
          <w:sz w:val="24"/>
          <w:szCs w:val="24"/>
        </w:rPr>
        <w:t>One of the scenarios for the nuclear power development in the Russian Federation is associated with an open uranium-thorium (</w:t>
      </w:r>
      <w:r w:rsidRPr="00581966">
        <w:rPr>
          <w:color w:val="000000"/>
          <w:sz w:val="24"/>
          <w:szCs w:val="24"/>
          <w:vertAlign w:val="superscript"/>
        </w:rPr>
        <w:t>233</w:t>
      </w:r>
      <w:r w:rsidRPr="00581966">
        <w:rPr>
          <w:color w:val="000000"/>
          <w:sz w:val="24"/>
          <w:szCs w:val="24"/>
        </w:rPr>
        <w:t xml:space="preserve">U - </w:t>
      </w:r>
      <w:r w:rsidRPr="00581966">
        <w:rPr>
          <w:color w:val="000000"/>
          <w:sz w:val="24"/>
          <w:szCs w:val="24"/>
          <w:vertAlign w:val="superscript"/>
        </w:rPr>
        <w:t>232</w:t>
      </w:r>
      <w:r w:rsidRPr="00581966">
        <w:rPr>
          <w:color w:val="000000"/>
          <w:sz w:val="24"/>
          <w:szCs w:val="24"/>
        </w:rPr>
        <w:t xml:space="preserve">Th) fuel cycle. This scenario was also considered from the beginning of the nuclear energy development, but its practical implementation was hampered by the absence of external neutron sources, since there are not enough neutrons to produce </w:t>
      </w:r>
      <w:r w:rsidRPr="00581966">
        <w:rPr>
          <w:color w:val="000000"/>
          <w:sz w:val="24"/>
          <w:szCs w:val="24"/>
          <w:vertAlign w:val="superscript"/>
        </w:rPr>
        <w:t>233</w:t>
      </w:r>
      <w:r w:rsidRPr="00581966">
        <w:rPr>
          <w:color w:val="000000"/>
          <w:sz w:val="24"/>
          <w:szCs w:val="24"/>
        </w:rPr>
        <w:t xml:space="preserve">U within the uranium-plutonium cycle. If the functions of such </w:t>
      </w:r>
      <w:r w:rsidRPr="00581966">
        <w:rPr>
          <w:color w:val="000000"/>
          <w:sz w:val="24"/>
          <w:szCs w:val="24"/>
        </w:rPr>
        <w:lastRenderedPageBreak/>
        <w:t>source are performed by the fusion neutron source (FST), then such a concept will receive an undeniable advantage. In this scenario, the development of nuclear energy will be accompanied by the creation of reactors with thermal neutrons (TR)</w:t>
      </w:r>
      <w:r w:rsidR="00A91B68" w:rsidRPr="00581966">
        <w:rPr>
          <w:color w:val="000000"/>
          <w:sz w:val="24"/>
          <w:szCs w:val="24"/>
        </w:rPr>
        <w:t xml:space="preserve"> [1]</w:t>
      </w:r>
      <w:r w:rsidRPr="00581966">
        <w:rPr>
          <w:color w:val="000000"/>
          <w:sz w:val="24"/>
          <w:szCs w:val="24"/>
        </w:rPr>
        <w:t xml:space="preserve">. </w:t>
      </w:r>
    </w:p>
    <w:p w14:paraId="24DB45DA" w14:textId="76E8A3D6" w:rsidR="00230CBC" w:rsidRPr="00581966" w:rsidRDefault="00230CBC" w:rsidP="00230CBC">
      <w:pPr>
        <w:pBdr>
          <w:top w:val="nil"/>
          <w:left w:val="nil"/>
          <w:bottom w:val="nil"/>
          <w:right w:val="nil"/>
          <w:between w:val="nil"/>
        </w:pBdr>
        <w:spacing w:line="276" w:lineRule="auto"/>
        <w:ind w:firstLine="284"/>
        <w:jc w:val="both"/>
        <w:rPr>
          <w:color w:val="000000"/>
          <w:sz w:val="24"/>
          <w:szCs w:val="24"/>
        </w:rPr>
      </w:pPr>
      <w:r w:rsidRPr="00581966">
        <w:rPr>
          <w:color w:val="000000"/>
          <w:sz w:val="24"/>
          <w:szCs w:val="24"/>
        </w:rPr>
        <w:t xml:space="preserve">The main advantage of this approach is that there is no need to separate SNF for fuel nuclides extraction - spent fuel elements will be removed from the reactor core and sent for long-term storage. In the uranium-thorium cycle, chemical processing must also be carried out to separate </w:t>
      </w:r>
      <w:r w:rsidRPr="00581966">
        <w:rPr>
          <w:color w:val="000000"/>
          <w:sz w:val="24"/>
          <w:szCs w:val="24"/>
          <w:vertAlign w:val="superscript"/>
        </w:rPr>
        <w:t>233</w:t>
      </w:r>
      <w:r w:rsidRPr="00581966">
        <w:rPr>
          <w:color w:val="000000"/>
          <w:sz w:val="24"/>
          <w:szCs w:val="24"/>
        </w:rPr>
        <w:t xml:space="preserve">U from the raw nuclide. Due to the significantly lower activity of the </w:t>
      </w:r>
      <w:r w:rsidR="00884CB3" w:rsidRPr="00581966">
        <w:rPr>
          <w:color w:val="000000"/>
          <w:sz w:val="24"/>
          <w:szCs w:val="24"/>
        </w:rPr>
        <w:t>fusion-fission hybrid system (</w:t>
      </w:r>
      <w:r w:rsidRPr="00581966">
        <w:rPr>
          <w:color w:val="000000"/>
          <w:sz w:val="24"/>
          <w:szCs w:val="24"/>
        </w:rPr>
        <w:t>FFHS</w:t>
      </w:r>
      <w:r w:rsidR="00884CB3" w:rsidRPr="00581966">
        <w:rPr>
          <w:color w:val="000000"/>
          <w:sz w:val="24"/>
          <w:szCs w:val="24"/>
        </w:rPr>
        <w:t>)</w:t>
      </w:r>
      <w:r w:rsidRPr="00581966">
        <w:rPr>
          <w:color w:val="000000"/>
          <w:sz w:val="24"/>
          <w:szCs w:val="24"/>
        </w:rPr>
        <w:t xml:space="preserve"> blanket contents, such reprocessing can be accompanied by significantly lower losses of radioactive materials - due to the complete absence of minor actinides and an insignificant fraction of fission products compared to SNF from fast reactors (FR). In view of the fact that the </w:t>
      </w:r>
      <w:proofErr w:type="spellStart"/>
      <w:r w:rsidRPr="00581966">
        <w:rPr>
          <w:color w:val="000000"/>
          <w:sz w:val="24"/>
          <w:szCs w:val="24"/>
        </w:rPr>
        <w:t>Th</w:t>
      </w:r>
      <w:proofErr w:type="spellEnd"/>
      <w:r w:rsidRPr="00581966">
        <w:rPr>
          <w:color w:val="000000"/>
          <w:sz w:val="24"/>
          <w:szCs w:val="24"/>
        </w:rPr>
        <w:t xml:space="preserve"> reserves are much greater than the reserves of natural U, such a concept will ensure a longer development of nuclear energy.</w:t>
      </w:r>
    </w:p>
    <w:p w14:paraId="757E5089" w14:textId="044B242D" w:rsidR="00230CBC" w:rsidRPr="00581966" w:rsidRDefault="00230CBC" w:rsidP="00230CBC">
      <w:pPr>
        <w:pBdr>
          <w:top w:val="nil"/>
          <w:left w:val="nil"/>
          <w:bottom w:val="nil"/>
          <w:right w:val="nil"/>
          <w:between w:val="nil"/>
        </w:pBdr>
        <w:spacing w:line="276" w:lineRule="auto"/>
        <w:ind w:firstLine="284"/>
        <w:jc w:val="both"/>
        <w:rPr>
          <w:color w:val="000000"/>
          <w:sz w:val="24"/>
          <w:szCs w:val="24"/>
        </w:rPr>
      </w:pPr>
      <w:r w:rsidRPr="00581966">
        <w:rPr>
          <w:color w:val="000000"/>
          <w:sz w:val="24"/>
          <w:szCs w:val="24"/>
        </w:rPr>
        <w:t>The tritium (</w:t>
      </w:r>
      <w:r w:rsidRPr="00581966">
        <w:rPr>
          <w:color w:val="000000"/>
          <w:sz w:val="24"/>
          <w:szCs w:val="24"/>
          <w:vertAlign w:val="superscript"/>
        </w:rPr>
        <w:t>3</w:t>
      </w:r>
      <w:r w:rsidRPr="00581966">
        <w:rPr>
          <w:color w:val="000000"/>
          <w:sz w:val="24"/>
          <w:szCs w:val="24"/>
        </w:rPr>
        <w:t>H) production as a FNS fuel can be provided in thermal reactors, where the 6Li isotope will be used as a burnable absorber. When optimizing the TR core, it is possible to ensure the production of a sufficient tritium amount to close the TR+FNS tandem fuel cycle for fusion fuel.</w:t>
      </w:r>
    </w:p>
    <w:p w14:paraId="2B102064" w14:textId="4202D296" w:rsidR="00884CB3" w:rsidRPr="00581966" w:rsidRDefault="00884CB3" w:rsidP="00884CB3">
      <w:pPr>
        <w:pBdr>
          <w:top w:val="nil"/>
          <w:left w:val="nil"/>
          <w:bottom w:val="nil"/>
          <w:right w:val="nil"/>
          <w:between w:val="nil"/>
        </w:pBdr>
        <w:spacing w:line="276" w:lineRule="auto"/>
        <w:ind w:firstLine="284"/>
        <w:jc w:val="both"/>
        <w:rPr>
          <w:color w:val="000000"/>
          <w:sz w:val="24"/>
          <w:szCs w:val="24"/>
        </w:rPr>
      </w:pPr>
      <w:r w:rsidRPr="00581966">
        <w:rPr>
          <w:color w:val="000000"/>
          <w:sz w:val="24"/>
          <w:szCs w:val="24"/>
        </w:rPr>
        <w:t>The development of the FFHS is being actively discussed at the National Research Center "Kurchatov Institute" for over 10 years. These R&amp;D work was associated with fusion neutron source technical design and neutrons generation optimization in FFHS and the use of these neutrons for nuclide transmutation and breeding. It should be noticed that the tritium breeding in FFHSs for start-up loading of future thermonuclear power plants opportunities were considered also.</w:t>
      </w:r>
    </w:p>
    <w:p w14:paraId="1E1B5366" w14:textId="77777777" w:rsidR="00A91B68" w:rsidRPr="00581966" w:rsidRDefault="00A91B68" w:rsidP="00A91B68">
      <w:pPr>
        <w:pBdr>
          <w:top w:val="nil"/>
          <w:left w:val="nil"/>
          <w:bottom w:val="nil"/>
          <w:right w:val="nil"/>
          <w:between w:val="nil"/>
        </w:pBdr>
        <w:spacing w:line="276" w:lineRule="auto"/>
        <w:ind w:firstLine="284"/>
        <w:jc w:val="both"/>
        <w:rPr>
          <w:color w:val="000000"/>
          <w:sz w:val="24"/>
          <w:szCs w:val="24"/>
        </w:rPr>
      </w:pPr>
      <w:r w:rsidRPr="00581966">
        <w:rPr>
          <w:color w:val="000000"/>
          <w:sz w:val="24"/>
          <w:szCs w:val="24"/>
        </w:rPr>
        <w:t xml:space="preserve">Current views including those reflected in the Federal project “Development of Fusion and Innovative Plasma Technologies” (which is a part of the comprehensive program of the State Corporation </w:t>
      </w:r>
      <w:proofErr w:type="spellStart"/>
      <w:r w:rsidRPr="00581966">
        <w:rPr>
          <w:color w:val="000000"/>
          <w:sz w:val="24"/>
          <w:szCs w:val="24"/>
        </w:rPr>
        <w:t>Rosatom</w:t>
      </w:r>
      <w:proofErr w:type="spellEnd"/>
      <w:r w:rsidRPr="00581966">
        <w:rPr>
          <w:color w:val="000000"/>
          <w:sz w:val="24"/>
          <w:szCs w:val="24"/>
        </w:rPr>
        <w:t xml:space="preserve"> "Development of engineering, technology and scientific research in the field of using atomic energy in the Russian Federation for the time period up to 2030") foresee the feasibility of industrial FFHSs by 2050.</w:t>
      </w:r>
    </w:p>
    <w:p w14:paraId="31970B4D" w14:textId="77777777" w:rsidR="00087F90" w:rsidRPr="00581966" w:rsidRDefault="00087F90" w:rsidP="00087F90">
      <w:pPr>
        <w:pBdr>
          <w:top w:val="nil"/>
          <w:left w:val="nil"/>
          <w:bottom w:val="nil"/>
          <w:right w:val="nil"/>
          <w:between w:val="nil"/>
        </w:pBdr>
        <w:spacing w:line="276" w:lineRule="auto"/>
        <w:jc w:val="both"/>
        <w:rPr>
          <w:color w:val="000000"/>
          <w:sz w:val="24"/>
          <w:szCs w:val="24"/>
        </w:rPr>
      </w:pPr>
    </w:p>
    <w:p w14:paraId="0A99540F" w14:textId="1DE1B58A" w:rsidR="00087F90" w:rsidRPr="00581966" w:rsidRDefault="00087F90" w:rsidP="00087F90">
      <w:pPr>
        <w:pBdr>
          <w:top w:val="nil"/>
          <w:left w:val="nil"/>
          <w:bottom w:val="nil"/>
          <w:right w:val="nil"/>
          <w:between w:val="nil"/>
        </w:pBdr>
        <w:spacing w:line="276" w:lineRule="auto"/>
        <w:jc w:val="both"/>
        <w:rPr>
          <w:color w:val="000000"/>
          <w:sz w:val="24"/>
          <w:szCs w:val="24"/>
        </w:rPr>
      </w:pPr>
      <w:r w:rsidRPr="00581966">
        <w:rPr>
          <w:color w:val="000000"/>
          <w:sz w:val="24"/>
          <w:szCs w:val="24"/>
        </w:rPr>
        <w:t>2</w:t>
      </w:r>
      <w:r w:rsidRPr="00581966">
        <w:rPr>
          <w:color w:val="000000"/>
          <w:sz w:val="24"/>
          <w:szCs w:val="24"/>
        </w:rPr>
        <w:t>.</w:t>
      </w:r>
      <w:r w:rsidRPr="00581966">
        <w:rPr>
          <w:color w:val="000000"/>
          <w:sz w:val="24"/>
          <w:szCs w:val="24"/>
        </w:rPr>
        <w:tab/>
      </w:r>
      <w:r w:rsidR="00786571" w:rsidRPr="00581966">
        <w:t>TRITIUM</w:t>
      </w:r>
      <w:r w:rsidR="00786571" w:rsidRPr="00581966">
        <w:rPr>
          <w:color w:val="000000"/>
          <w:sz w:val="24"/>
          <w:szCs w:val="24"/>
        </w:rPr>
        <w:t xml:space="preserve"> </w:t>
      </w:r>
      <w:r w:rsidR="00786571" w:rsidRPr="00581966">
        <w:t>FUEL CYCLE FOR A FUSION NEUTRON SOURCE</w:t>
      </w:r>
      <w:r w:rsidR="00786571" w:rsidRPr="00581966">
        <w:t xml:space="preserve"> DEVEPLPMENTS</w:t>
      </w:r>
    </w:p>
    <w:p w14:paraId="373A67B7" w14:textId="77777777" w:rsidR="00087F90" w:rsidRPr="00581966" w:rsidRDefault="00087F90" w:rsidP="00087F90">
      <w:pPr>
        <w:pBdr>
          <w:top w:val="nil"/>
          <w:left w:val="nil"/>
          <w:bottom w:val="nil"/>
          <w:right w:val="nil"/>
          <w:between w:val="nil"/>
        </w:pBdr>
        <w:spacing w:line="276" w:lineRule="auto"/>
        <w:jc w:val="both"/>
        <w:rPr>
          <w:color w:val="000000"/>
          <w:sz w:val="24"/>
          <w:szCs w:val="24"/>
        </w:rPr>
      </w:pPr>
    </w:p>
    <w:p w14:paraId="23F97722" w14:textId="018ABEA7" w:rsidR="00216EAA" w:rsidRPr="00581966" w:rsidRDefault="000F2172">
      <w:pPr>
        <w:pBdr>
          <w:top w:val="nil"/>
          <w:left w:val="nil"/>
          <w:bottom w:val="nil"/>
          <w:right w:val="nil"/>
          <w:between w:val="nil"/>
        </w:pBdr>
        <w:spacing w:line="276" w:lineRule="auto"/>
        <w:ind w:firstLine="284"/>
        <w:jc w:val="both"/>
        <w:rPr>
          <w:color w:val="000000"/>
          <w:sz w:val="24"/>
          <w:szCs w:val="24"/>
        </w:rPr>
      </w:pPr>
      <w:r w:rsidRPr="00581966">
        <w:rPr>
          <w:color w:val="000000"/>
          <w:sz w:val="24"/>
          <w:szCs w:val="24"/>
        </w:rPr>
        <w:t xml:space="preserve">The National Research Center "Kurchatov Institute" is planning to carry out a broad applied research within the framework of </w:t>
      </w:r>
      <w:r w:rsidR="00A91B68" w:rsidRPr="00581966">
        <w:rPr>
          <w:color w:val="000000"/>
          <w:sz w:val="24"/>
          <w:szCs w:val="24"/>
        </w:rPr>
        <w:t xml:space="preserve">this </w:t>
      </w:r>
      <w:r w:rsidRPr="00581966">
        <w:rPr>
          <w:color w:val="000000"/>
          <w:sz w:val="24"/>
          <w:szCs w:val="24"/>
        </w:rPr>
        <w:t>federal project</w:t>
      </w:r>
      <w:r w:rsidR="00A91B68" w:rsidRPr="00581966">
        <w:rPr>
          <w:color w:val="000000"/>
          <w:sz w:val="24"/>
          <w:szCs w:val="24"/>
        </w:rPr>
        <w:t>.</w:t>
      </w:r>
      <w:r w:rsidR="00DF528A" w:rsidRPr="00581966">
        <w:rPr>
          <w:color w:val="000000"/>
          <w:sz w:val="24"/>
          <w:szCs w:val="24"/>
        </w:rPr>
        <w:t xml:space="preserve"> </w:t>
      </w:r>
      <w:r w:rsidR="00087F90" w:rsidRPr="00581966">
        <w:rPr>
          <w:sz w:val="24"/>
          <w:szCs w:val="24"/>
        </w:rPr>
        <w:t>Previously, the conceptual design of the FNS fuel cycle was carried out. The fuel cycle design for FNS was selected and described in detail, and the differences from fusion reactor were analyzed [</w:t>
      </w:r>
      <w:r w:rsidR="00087F90" w:rsidRPr="00581966">
        <w:rPr>
          <w:sz w:val="24"/>
          <w:szCs w:val="24"/>
        </w:rPr>
        <w:t>2</w:t>
      </w:r>
      <w:r w:rsidR="00087F90" w:rsidRPr="00581966">
        <w:rPr>
          <w:sz w:val="24"/>
          <w:szCs w:val="24"/>
        </w:rPr>
        <w:t xml:space="preserve">, </w:t>
      </w:r>
      <w:r w:rsidR="00087F90" w:rsidRPr="00581966">
        <w:rPr>
          <w:sz w:val="24"/>
          <w:szCs w:val="24"/>
        </w:rPr>
        <w:t>3</w:t>
      </w:r>
      <w:r w:rsidR="00087F90" w:rsidRPr="00581966">
        <w:rPr>
          <w:sz w:val="24"/>
          <w:szCs w:val="24"/>
        </w:rPr>
        <w:t xml:space="preserve">]. Calculations of hydrogen isotope fluxes in the facility systems was carried out for the chosen fuel systems design, based on the previous results obtained. Candidate technologies for operation with tritium are selected, and a complex for neutral beams injection (NBI) was developed </w:t>
      </w:r>
      <w:r w:rsidR="00087F90" w:rsidRPr="00581966">
        <w:t>[</w:t>
      </w:r>
      <w:r w:rsidR="00087F90" w:rsidRPr="00581966">
        <w:t>2</w:t>
      </w:r>
      <w:r w:rsidR="00087F90" w:rsidRPr="00581966">
        <w:t>-</w:t>
      </w:r>
      <w:r w:rsidR="00087F90" w:rsidRPr="00581966">
        <w:t>5</w:t>
      </w:r>
      <w:r w:rsidR="00087F90" w:rsidRPr="00581966">
        <w:t>]</w:t>
      </w:r>
      <w:r w:rsidR="00087F90" w:rsidRPr="00581966">
        <w:rPr>
          <w:sz w:val="24"/>
          <w:szCs w:val="24"/>
        </w:rPr>
        <w:t xml:space="preserve">. </w:t>
      </w:r>
      <w:r w:rsidRPr="00581966">
        <w:rPr>
          <w:color w:val="000000"/>
          <w:sz w:val="24"/>
          <w:szCs w:val="24"/>
        </w:rPr>
        <w:t xml:space="preserve">The current period tasks include substantiation of </w:t>
      </w:r>
      <w:r w:rsidR="0045303A" w:rsidRPr="00581966">
        <w:rPr>
          <w:color w:val="000000"/>
          <w:sz w:val="24"/>
          <w:szCs w:val="24"/>
        </w:rPr>
        <w:t xml:space="preserve">the </w:t>
      </w:r>
      <w:r w:rsidRPr="00581966">
        <w:rPr>
          <w:color w:val="000000"/>
          <w:sz w:val="24"/>
          <w:szCs w:val="24"/>
        </w:rPr>
        <w:t xml:space="preserve">DT-fuel cycle and </w:t>
      </w:r>
      <w:r w:rsidR="0045303A" w:rsidRPr="00581966">
        <w:rPr>
          <w:color w:val="000000"/>
          <w:sz w:val="24"/>
          <w:szCs w:val="24"/>
        </w:rPr>
        <w:t xml:space="preserve">the </w:t>
      </w:r>
      <w:r w:rsidRPr="00581966">
        <w:rPr>
          <w:color w:val="000000"/>
          <w:sz w:val="24"/>
          <w:szCs w:val="24"/>
        </w:rPr>
        <w:t xml:space="preserve">choice of hybrid blanket technologies, as well as </w:t>
      </w:r>
      <w:r w:rsidR="0045303A" w:rsidRPr="00581966">
        <w:rPr>
          <w:color w:val="000000"/>
          <w:sz w:val="24"/>
          <w:szCs w:val="24"/>
        </w:rPr>
        <w:t xml:space="preserve">the </w:t>
      </w:r>
      <w:r w:rsidRPr="00581966">
        <w:rPr>
          <w:color w:val="000000"/>
          <w:sz w:val="24"/>
          <w:szCs w:val="24"/>
        </w:rPr>
        <w:t>engineering design of the FNS-</w:t>
      </w:r>
      <w:r w:rsidR="006143FC" w:rsidRPr="00581966">
        <w:rPr>
          <w:color w:val="000000"/>
          <w:sz w:val="24"/>
          <w:szCs w:val="24"/>
          <w:lang w:val="ru-RU"/>
        </w:rPr>
        <w:t>С</w:t>
      </w:r>
      <w:r w:rsidRPr="00581966">
        <w:rPr>
          <w:color w:val="000000"/>
          <w:sz w:val="24"/>
          <w:szCs w:val="24"/>
        </w:rPr>
        <w:t xml:space="preserve"> </w:t>
      </w:r>
      <w:r w:rsidR="00251697" w:rsidRPr="00581966">
        <w:rPr>
          <w:color w:val="000000"/>
          <w:sz w:val="24"/>
          <w:szCs w:val="24"/>
        </w:rPr>
        <w:t xml:space="preserve">compact </w:t>
      </w:r>
      <w:r w:rsidRPr="00581966">
        <w:rPr>
          <w:color w:val="000000"/>
          <w:sz w:val="24"/>
          <w:szCs w:val="24"/>
        </w:rPr>
        <w:t xml:space="preserve">fusion neutron source and hybrid reactor facility (HRF) for testing </w:t>
      </w:r>
      <w:r w:rsidR="0045303A" w:rsidRPr="00581966">
        <w:rPr>
          <w:color w:val="000000"/>
          <w:sz w:val="24"/>
          <w:szCs w:val="24"/>
        </w:rPr>
        <w:t xml:space="preserve">the </w:t>
      </w:r>
      <w:r w:rsidRPr="00581966">
        <w:rPr>
          <w:color w:val="000000"/>
          <w:sz w:val="24"/>
          <w:szCs w:val="24"/>
        </w:rPr>
        <w:t>steady state technologies, materials and components [</w:t>
      </w:r>
      <w:r w:rsidR="00087F90" w:rsidRPr="00581966">
        <w:rPr>
          <w:color w:val="000000"/>
          <w:sz w:val="24"/>
          <w:szCs w:val="24"/>
        </w:rPr>
        <w:t>6</w:t>
      </w:r>
      <w:r w:rsidRPr="00581966">
        <w:rPr>
          <w:color w:val="000000"/>
          <w:sz w:val="24"/>
          <w:szCs w:val="24"/>
        </w:rPr>
        <w:t>].</w:t>
      </w:r>
      <w:r w:rsidR="00087F90" w:rsidRPr="00581966">
        <w:rPr>
          <w:color w:val="000000"/>
          <w:sz w:val="24"/>
          <w:szCs w:val="24"/>
        </w:rPr>
        <w:t xml:space="preserve"> </w:t>
      </w:r>
      <w:r w:rsidRPr="00581966">
        <w:rPr>
          <w:color w:val="000000"/>
          <w:sz w:val="24"/>
          <w:szCs w:val="24"/>
        </w:rPr>
        <w:t xml:space="preserve">Timely provision of specialized </w:t>
      </w:r>
      <w:r w:rsidR="0045303A" w:rsidRPr="00581966">
        <w:rPr>
          <w:color w:val="000000"/>
          <w:sz w:val="24"/>
          <w:szCs w:val="24"/>
        </w:rPr>
        <w:t xml:space="preserve">test benches </w:t>
      </w:r>
      <w:r w:rsidRPr="00581966">
        <w:rPr>
          <w:color w:val="000000"/>
          <w:sz w:val="24"/>
          <w:szCs w:val="24"/>
        </w:rPr>
        <w:t xml:space="preserve">and qualified personnel will make it possible to implement </w:t>
      </w:r>
      <w:r w:rsidR="0045303A" w:rsidRPr="00581966">
        <w:rPr>
          <w:color w:val="000000"/>
          <w:sz w:val="24"/>
          <w:szCs w:val="24"/>
        </w:rPr>
        <w:t xml:space="preserve">efficiently </w:t>
      </w:r>
      <w:r w:rsidRPr="00581966">
        <w:rPr>
          <w:color w:val="000000"/>
          <w:sz w:val="24"/>
          <w:szCs w:val="24"/>
        </w:rPr>
        <w:t xml:space="preserve">the project for the construction of a HRF with </w:t>
      </w:r>
      <w:r w:rsidR="00A91B68" w:rsidRPr="00581966">
        <w:rPr>
          <w:color w:val="000000"/>
          <w:sz w:val="24"/>
          <w:szCs w:val="24"/>
        </w:rPr>
        <w:t xml:space="preserve">commercially </w:t>
      </w:r>
      <w:proofErr w:type="gramStart"/>
      <w:r w:rsidR="00A91B68" w:rsidRPr="00581966">
        <w:rPr>
          <w:color w:val="000000"/>
          <w:sz w:val="24"/>
          <w:szCs w:val="24"/>
        </w:rPr>
        <w:t xml:space="preserve">interesting </w:t>
      </w:r>
      <w:r w:rsidRPr="00581966">
        <w:rPr>
          <w:color w:val="000000"/>
          <w:sz w:val="24"/>
          <w:szCs w:val="24"/>
        </w:rPr>
        <w:t xml:space="preserve"> thermal</w:t>
      </w:r>
      <w:proofErr w:type="gramEnd"/>
      <w:r w:rsidRPr="00581966">
        <w:rPr>
          <w:color w:val="000000"/>
          <w:sz w:val="24"/>
          <w:szCs w:val="24"/>
        </w:rPr>
        <w:t xml:space="preserve"> power.</w:t>
      </w:r>
    </w:p>
    <w:p w14:paraId="345C1B22" w14:textId="00463F05" w:rsidR="00216EAA" w:rsidRPr="00581966" w:rsidRDefault="000F2172">
      <w:pPr>
        <w:pBdr>
          <w:top w:val="nil"/>
          <w:left w:val="nil"/>
          <w:bottom w:val="nil"/>
          <w:right w:val="nil"/>
          <w:between w:val="nil"/>
        </w:pBdr>
        <w:spacing w:line="276" w:lineRule="auto"/>
        <w:ind w:firstLine="284"/>
        <w:jc w:val="both"/>
        <w:rPr>
          <w:color w:val="000000"/>
          <w:sz w:val="24"/>
          <w:szCs w:val="24"/>
        </w:rPr>
      </w:pPr>
      <w:r w:rsidRPr="00581966">
        <w:rPr>
          <w:color w:val="000000"/>
          <w:sz w:val="24"/>
          <w:szCs w:val="24"/>
        </w:rPr>
        <w:t xml:space="preserve">A mockup facility of the tritium-deuterium fuel cycle (FC) should be designed, developed and put into operation for research aimed at determining and clarifying the system operational parameters, productivity, amount of tritium at the site and other characteristics of </w:t>
      </w:r>
      <w:r w:rsidR="0045303A" w:rsidRPr="00581966">
        <w:rPr>
          <w:color w:val="000000"/>
          <w:sz w:val="24"/>
          <w:szCs w:val="24"/>
        </w:rPr>
        <w:t xml:space="preserve">the </w:t>
      </w:r>
      <w:r w:rsidRPr="00581966">
        <w:rPr>
          <w:color w:val="000000"/>
          <w:sz w:val="24"/>
          <w:szCs w:val="24"/>
        </w:rPr>
        <w:t>FC systems supporting the DEMO-FNS [</w:t>
      </w:r>
      <w:r w:rsidR="00087F90" w:rsidRPr="00581966">
        <w:rPr>
          <w:color w:val="000000"/>
          <w:sz w:val="24"/>
          <w:szCs w:val="24"/>
        </w:rPr>
        <w:t>7</w:t>
      </w:r>
      <w:r w:rsidRPr="00581966">
        <w:rPr>
          <w:color w:val="000000"/>
          <w:sz w:val="24"/>
          <w:szCs w:val="24"/>
        </w:rPr>
        <w:t>] and FNS-ST [</w:t>
      </w:r>
      <w:r w:rsidR="00087F90" w:rsidRPr="00581966">
        <w:rPr>
          <w:color w:val="000000"/>
          <w:sz w:val="24"/>
          <w:szCs w:val="24"/>
        </w:rPr>
        <w:t>8</w:t>
      </w:r>
      <w:r w:rsidRPr="00581966">
        <w:rPr>
          <w:color w:val="000000"/>
          <w:sz w:val="24"/>
          <w:szCs w:val="24"/>
        </w:rPr>
        <w:t xml:space="preserve">] </w:t>
      </w:r>
      <w:r w:rsidR="0045303A" w:rsidRPr="00581966">
        <w:rPr>
          <w:color w:val="000000"/>
          <w:sz w:val="24"/>
          <w:szCs w:val="24"/>
        </w:rPr>
        <w:t xml:space="preserve">projects </w:t>
      </w:r>
      <w:r w:rsidRPr="00581966">
        <w:rPr>
          <w:color w:val="000000"/>
          <w:sz w:val="24"/>
          <w:szCs w:val="24"/>
        </w:rPr>
        <w:t xml:space="preserve">as the basis for the design of FNS-C and HRF. It is planned to justify the safety of </w:t>
      </w:r>
      <w:r w:rsidR="0045303A" w:rsidRPr="00581966">
        <w:rPr>
          <w:color w:val="000000"/>
          <w:sz w:val="24"/>
          <w:szCs w:val="24"/>
        </w:rPr>
        <w:t xml:space="preserve">the </w:t>
      </w:r>
      <w:r w:rsidRPr="00581966">
        <w:rPr>
          <w:color w:val="000000"/>
          <w:sz w:val="24"/>
          <w:szCs w:val="24"/>
        </w:rPr>
        <w:t xml:space="preserve">technological systems and </w:t>
      </w:r>
      <w:r w:rsidR="0045303A" w:rsidRPr="00581966">
        <w:rPr>
          <w:color w:val="000000"/>
          <w:sz w:val="24"/>
          <w:szCs w:val="24"/>
        </w:rPr>
        <w:t xml:space="preserve">to </w:t>
      </w:r>
      <w:r w:rsidRPr="00581966">
        <w:rPr>
          <w:color w:val="000000"/>
          <w:sz w:val="24"/>
          <w:szCs w:val="24"/>
        </w:rPr>
        <w:t xml:space="preserve">train personnel for the operation of these systems in the </w:t>
      </w:r>
      <w:r w:rsidR="0045303A" w:rsidRPr="00581966">
        <w:rPr>
          <w:color w:val="000000"/>
          <w:sz w:val="24"/>
          <w:szCs w:val="24"/>
        </w:rPr>
        <w:t xml:space="preserve">HRF </w:t>
      </w:r>
      <w:r w:rsidRPr="00581966">
        <w:rPr>
          <w:color w:val="000000"/>
          <w:sz w:val="24"/>
          <w:szCs w:val="24"/>
        </w:rPr>
        <w:t xml:space="preserve">with </w:t>
      </w:r>
      <w:r w:rsidR="0045303A" w:rsidRPr="00581966">
        <w:rPr>
          <w:color w:val="000000"/>
          <w:sz w:val="24"/>
          <w:szCs w:val="24"/>
        </w:rPr>
        <w:t xml:space="preserve">the </w:t>
      </w:r>
      <w:r w:rsidRPr="00581966">
        <w:rPr>
          <w:color w:val="000000"/>
          <w:sz w:val="24"/>
          <w:szCs w:val="24"/>
        </w:rPr>
        <w:t xml:space="preserve">tritium </w:t>
      </w:r>
      <w:r w:rsidR="0045303A" w:rsidRPr="00581966">
        <w:rPr>
          <w:color w:val="000000"/>
          <w:sz w:val="24"/>
          <w:szCs w:val="24"/>
        </w:rPr>
        <w:t xml:space="preserve">inventory </w:t>
      </w:r>
      <w:r w:rsidRPr="00581966">
        <w:rPr>
          <w:color w:val="000000"/>
          <w:sz w:val="24"/>
          <w:szCs w:val="24"/>
        </w:rPr>
        <w:t xml:space="preserve">at the facility site </w:t>
      </w:r>
      <w:r w:rsidR="00196B15" w:rsidRPr="00581966">
        <w:rPr>
          <w:color w:val="000000"/>
          <w:sz w:val="24"/>
          <w:szCs w:val="24"/>
        </w:rPr>
        <w:t>up</w:t>
      </w:r>
      <w:r w:rsidRPr="00581966">
        <w:rPr>
          <w:color w:val="000000"/>
          <w:sz w:val="24"/>
          <w:szCs w:val="24"/>
        </w:rPr>
        <w:t xml:space="preserve"> to </w:t>
      </w:r>
      <w:r w:rsidR="00196B15" w:rsidRPr="00581966">
        <w:rPr>
          <w:color w:val="000000"/>
          <w:sz w:val="24"/>
          <w:szCs w:val="24"/>
        </w:rPr>
        <w:t>1</w:t>
      </w:r>
      <w:r w:rsidRPr="00581966">
        <w:rPr>
          <w:color w:val="000000"/>
          <w:sz w:val="24"/>
          <w:szCs w:val="24"/>
        </w:rPr>
        <w:t xml:space="preserve"> kg. At later stages, </w:t>
      </w:r>
      <w:r w:rsidR="00727C0B" w:rsidRPr="00581966">
        <w:rPr>
          <w:color w:val="000000"/>
          <w:sz w:val="24"/>
          <w:szCs w:val="24"/>
        </w:rPr>
        <w:t xml:space="preserve">the </w:t>
      </w:r>
      <w:r w:rsidRPr="00581966">
        <w:rPr>
          <w:color w:val="000000"/>
          <w:sz w:val="24"/>
          <w:szCs w:val="24"/>
        </w:rPr>
        <w:t xml:space="preserve">engineering projects of the FC systems for FNS-C and HRF should be developed, </w:t>
      </w:r>
      <w:r w:rsidR="00727C0B" w:rsidRPr="00581966">
        <w:rPr>
          <w:color w:val="000000"/>
          <w:sz w:val="24"/>
          <w:szCs w:val="24"/>
        </w:rPr>
        <w:t xml:space="preserve">the </w:t>
      </w:r>
      <w:r w:rsidRPr="00581966">
        <w:rPr>
          <w:color w:val="000000"/>
          <w:sz w:val="24"/>
          <w:szCs w:val="24"/>
        </w:rPr>
        <w:t>mock-ups produced</w:t>
      </w:r>
      <w:r w:rsidR="00727C0B" w:rsidRPr="00581966">
        <w:rPr>
          <w:color w:val="000000"/>
          <w:sz w:val="24"/>
          <w:szCs w:val="24"/>
        </w:rPr>
        <w:t>,</w:t>
      </w:r>
      <w:r w:rsidRPr="00581966">
        <w:rPr>
          <w:color w:val="000000"/>
          <w:sz w:val="24"/>
          <w:szCs w:val="24"/>
        </w:rPr>
        <w:t xml:space="preserve"> and their joint operation carried out in accordance with the research program. Research and selection of the optimal technologies for tritium breeding and extraction in blankets, improvement and optimization of specific fuel cycle technologies, justification of the radiation safety of the FC-facility</w:t>
      </w:r>
      <w:r w:rsidR="00727C0B" w:rsidRPr="00581966">
        <w:rPr>
          <w:color w:val="000000"/>
          <w:sz w:val="24"/>
          <w:szCs w:val="24"/>
        </w:rPr>
        <w:t xml:space="preserve"> will be done</w:t>
      </w:r>
      <w:r w:rsidRPr="00581966">
        <w:rPr>
          <w:color w:val="000000"/>
          <w:sz w:val="24"/>
          <w:szCs w:val="24"/>
        </w:rPr>
        <w:t>.</w:t>
      </w:r>
    </w:p>
    <w:p w14:paraId="4C89C1A4" w14:textId="3C4D814B" w:rsidR="00216EAA" w:rsidRPr="00581966" w:rsidRDefault="000F2172">
      <w:pPr>
        <w:spacing w:line="276" w:lineRule="auto"/>
        <w:ind w:firstLine="284"/>
        <w:jc w:val="both"/>
        <w:rPr>
          <w:sz w:val="24"/>
          <w:szCs w:val="24"/>
        </w:rPr>
      </w:pPr>
      <w:r w:rsidRPr="00581966">
        <w:rPr>
          <w:sz w:val="24"/>
          <w:szCs w:val="24"/>
        </w:rPr>
        <w:t>This report descri</w:t>
      </w:r>
      <w:r w:rsidR="00727C0B" w:rsidRPr="00581966">
        <w:rPr>
          <w:sz w:val="24"/>
          <w:szCs w:val="24"/>
        </w:rPr>
        <w:t>bes</w:t>
      </w:r>
      <w:r w:rsidRPr="00581966">
        <w:rPr>
          <w:sz w:val="24"/>
          <w:szCs w:val="24"/>
        </w:rPr>
        <w:t xml:space="preserve"> the recent results for </w:t>
      </w:r>
      <w:r w:rsidR="00727C0B" w:rsidRPr="00581966">
        <w:rPr>
          <w:sz w:val="24"/>
          <w:szCs w:val="24"/>
        </w:rPr>
        <w:t xml:space="preserve">the </w:t>
      </w:r>
      <w:r w:rsidRPr="00581966">
        <w:rPr>
          <w:sz w:val="24"/>
          <w:szCs w:val="24"/>
        </w:rPr>
        <w:t>FC of the FNS-ST and DEMO-FNS projects under various plasma scenarios.</w:t>
      </w:r>
    </w:p>
    <w:p w14:paraId="5BD685B2" w14:textId="77777777" w:rsidR="00216EAA" w:rsidRPr="00581966" w:rsidRDefault="00216EAA">
      <w:pPr>
        <w:spacing w:line="276" w:lineRule="auto"/>
        <w:ind w:firstLine="284"/>
        <w:jc w:val="both"/>
        <w:rPr>
          <w:sz w:val="24"/>
          <w:szCs w:val="24"/>
        </w:rPr>
      </w:pPr>
    </w:p>
    <w:p w14:paraId="4FD3E4B1" w14:textId="0465FDD4" w:rsidR="00216EAA" w:rsidRPr="00581966" w:rsidRDefault="00786571">
      <w:pPr>
        <w:spacing w:line="276" w:lineRule="auto"/>
        <w:jc w:val="both"/>
        <w:rPr>
          <w:sz w:val="24"/>
          <w:szCs w:val="24"/>
        </w:rPr>
      </w:pPr>
      <w:r w:rsidRPr="00581966">
        <w:rPr>
          <w:sz w:val="24"/>
          <w:szCs w:val="24"/>
        </w:rPr>
        <w:t>3</w:t>
      </w:r>
      <w:r w:rsidR="000F2172" w:rsidRPr="00581966">
        <w:rPr>
          <w:sz w:val="24"/>
          <w:szCs w:val="24"/>
        </w:rPr>
        <w:t>.</w:t>
      </w:r>
      <w:r w:rsidR="000F2172" w:rsidRPr="00581966">
        <w:rPr>
          <w:sz w:val="24"/>
          <w:szCs w:val="24"/>
        </w:rPr>
        <w:tab/>
        <w:t>NEUTRON FLUX AND TRITIUM INVENTORY VS D/T COMPOSITION OF THE CORE PLASMA AND NEUTRAL BEAMS</w:t>
      </w:r>
    </w:p>
    <w:p w14:paraId="0EF92AC7" w14:textId="77777777" w:rsidR="00216EAA" w:rsidRPr="00581966" w:rsidRDefault="00216EAA">
      <w:pPr>
        <w:spacing w:line="276" w:lineRule="auto"/>
        <w:ind w:firstLine="284"/>
        <w:jc w:val="both"/>
        <w:rPr>
          <w:sz w:val="24"/>
          <w:szCs w:val="24"/>
        </w:rPr>
      </w:pPr>
    </w:p>
    <w:p w14:paraId="07EACAEB" w14:textId="75BEEA63" w:rsidR="00216EAA" w:rsidRPr="00581966" w:rsidRDefault="000F2172">
      <w:pPr>
        <w:spacing w:line="276" w:lineRule="auto"/>
        <w:ind w:firstLine="284"/>
        <w:jc w:val="both"/>
        <w:rPr>
          <w:sz w:val="24"/>
          <w:szCs w:val="24"/>
        </w:rPr>
      </w:pPr>
      <w:r w:rsidRPr="00581966">
        <w:rPr>
          <w:sz w:val="24"/>
          <w:szCs w:val="24"/>
        </w:rPr>
        <w:t>The injection of beams of fast atoms of hydrogen isotopes into the tokamak plasma considerably affects the plasma isotopic composition and the neutron yield [</w:t>
      </w:r>
      <w:r w:rsidR="00087F90" w:rsidRPr="00581966">
        <w:rPr>
          <w:sz w:val="24"/>
          <w:szCs w:val="24"/>
        </w:rPr>
        <w:t>2</w:t>
      </w:r>
      <w:r w:rsidRPr="00581966">
        <w:rPr>
          <w:sz w:val="24"/>
          <w:szCs w:val="24"/>
        </w:rPr>
        <w:t xml:space="preserve">, </w:t>
      </w:r>
      <w:r w:rsidR="00087F90" w:rsidRPr="00581966">
        <w:rPr>
          <w:sz w:val="24"/>
          <w:szCs w:val="24"/>
        </w:rPr>
        <w:t>3</w:t>
      </w:r>
      <w:r w:rsidRPr="00581966">
        <w:rPr>
          <w:sz w:val="24"/>
          <w:szCs w:val="24"/>
        </w:rPr>
        <w:t xml:space="preserve">, etc.]. For </w:t>
      </w:r>
      <w:r w:rsidR="00727C0B" w:rsidRPr="00581966">
        <w:rPr>
          <w:sz w:val="24"/>
          <w:szCs w:val="24"/>
        </w:rPr>
        <w:t xml:space="preserve">the </w:t>
      </w:r>
      <w:r w:rsidRPr="00581966">
        <w:rPr>
          <w:sz w:val="24"/>
          <w:szCs w:val="24"/>
        </w:rPr>
        <w:t>FNS-C/FNS-ST compact tokamaks, the effect of the beam composition on the neutron yield is most significant [</w:t>
      </w:r>
      <w:r w:rsidR="000A119D" w:rsidRPr="00581966">
        <w:rPr>
          <w:sz w:val="24"/>
          <w:szCs w:val="24"/>
        </w:rPr>
        <w:t>9</w:t>
      </w:r>
      <w:r w:rsidRPr="00581966">
        <w:rPr>
          <w:sz w:val="24"/>
          <w:szCs w:val="24"/>
        </w:rPr>
        <w:t xml:space="preserve">]. Therefore, the NBI system is considered currently as the key subsystem of the FC. Accordingly, the self-consistent calculations of the fueling hydrogen isotope fluxes in the core and divertor plasmas and FC systems are performed using the FC-FNS </w:t>
      </w:r>
      <w:r w:rsidR="00727C0B" w:rsidRPr="00581966">
        <w:rPr>
          <w:sz w:val="24"/>
          <w:szCs w:val="24"/>
        </w:rPr>
        <w:t xml:space="preserve">computer </w:t>
      </w:r>
      <w:r w:rsidRPr="00581966">
        <w:rPr>
          <w:sz w:val="24"/>
          <w:szCs w:val="24"/>
        </w:rPr>
        <w:t>model</w:t>
      </w:r>
      <w:r w:rsidR="00727C0B" w:rsidRPr="00581966">
        <w:rPr>
          <w:sz w:val="24"/>
          <w:szCs w:val="24"/>
        </w:rPr>
        <w:t xml:space="preserve"> developed</w:t>
      </w:r>
      <w:r w:rsidRPr="00581966">
        <w:rPr>
          <w:sz w:val="24"/>
          <w:szCs w:val="24"/>
        </w:rPr>
        <w:t>.</w:t>
      </w:r>
    </w:p>
    <w:p w14:paraId="55775CCE" w14:textId="3832CCA1" w:rsidR="00216EAA" w:rsidRPr="00581966" w:rsidRDefault="000F2172">
      <w:pPr>
        <w:spacing w:line="276" w:lineRule="auto"/>
        <w:ind w:firstLine="284"/>
        <w:jc w:val="both"/>
        <w:rPr>
          <w:sz w:val="24"/>
          <w:szCs w:val="24"/>
        </w:rPr>
      </w:pPr>
      <w:r w:rsidRPr="00581966">
        <w:rPr>
          <w:sz w:val="24"/>
          <w:szCs w:val="24"/>
        </w:rPr>
        <w:t>Simulation of FNS-ST operating modes with heating by D+T, D or T</w:t>
      </w:r>
      <w:r w:rsidR="00727C0B" w:rsidRPr="00581966">
        <w:rPr>
          <w:sz w:val="24"/>
          <w:szCs w:val="24"/>
        </w:rPr>
        <w:t xml:space="preserve"> </w:t>
      </w:r>
      <w:r w:rsidRPr="00581966">
        <w:rPr>
          <w:sz w:val="24"/>
          <w:szCs w:val="24"/>
        </w:rPr>
        <w:t xml:space="preserve">injectors </w:t>
      </w:r>
      <w:r w:rsidR="00727C0B" w:rsidRPr="00581966">
        <w:rPr>
          <w:sz w:val="24"/>
          <w:szCs w:val="24"/>
        </w:rPr>
        <w:t xml:space="preserve">with </w:t>
      </w:r>
      <w:r w:rsidRPr="00581966">
        <w:rPr>
          <w:sz w:val="24"/>
          <w:szCs w:val="24"/>
        </w:rPr>
        <w:t xml:space="preserve">6 MW for various values of the main plasma density and ion diffusion coefficients </w:t>
      </w:r>
      <w:r w:rsidR="00573E1E" w:rsidRPr="00581966">
        <w:rPr>
          <w:sz w:val="24"/>
          <w:szCs w:val="24"/>
        </w:rPr>
        <w:t xml:space="preserve">makes </w:t>
      </w:r>
      <w:r w:rsidRPr="00581966">
        <w:rPr>
          <w:sz w:val="24"/>
          <w:szCs w:val="24"/>
        </w:rPr>
        <w:t>it possible to find the neutron flux (</w:t>
      </w:r>
      <w:r w:rsidR="00727C0B" w:rsidRPr="00581966">
        <w:rPr>
          <w:sz w:val="24"/>
          <w:szCs w:val="24"/>
        </w:rPr>
        <w:t>including</w:t>
      </w:r>
      <w:r w:rsidRPr="00581966">
        <w:rPr>
          <w:sz w:val="24"/>
          <w:szCs w:val="24"/>
        </w:rPr>
        <w:t xml:space="preserve"> the beam</w:t>
      </w:r>
      <w:r w:rsidR="00727C0B" w:rsidRPr="00581966">
        <w:rPr>
          <w:sz w:val="24"/>
          <w:szCs w:val="24"/>
        </w:rPr>
        <w:t>-plasma</w:t>
      </w:r>
      <w:r w:rsidRPr="00581966">
        <w:rPr>
          <w:sz w:val="24"/>
          <w:szCs w:val="24"/>
        </w:rPr>
        <w:t xml:space="preserve"> </w:t>
      </w:r>
      <w:r w:rsidR="00727C0B" w:rsidRPr="00581966">
        <w:rPr>
          <w:sz w:val="24"/>
          <w:szCs w:val="24"/>
        </w:rPr>
        <w:t>reactions</w:t>
      </w:r>
      <w:r w:rsidRPr="00581966">
        <w:rPr>
          <w:sz w:val="24"/>
          <w:szCs w:val="24"/>
        </w:rPr>
        <w:t xml:space="preserve">) </w:t>
      </w:r>
      <w:r w:rsidR="00727C0B" w:rsidRPr="00581966">
        <w:rPr>
          <w:sz w:val="24"/>
          <w:szCs w:val="24"/>
        </w:rPr>
        <w:t xml:space="preserve">as a function of </w:t>
      </w:r>
      <w:r w:rsidRPr="00581966">
        <w:rPr>
          <w:sz w:val="24"/>
          <w:szCs w:val="24"/>
        </w:rPr>
        <w:t xml:space="preserve">the tritium fraction in the plasma core. The fuel flow components in the facility fuel cycle systems </w:t>
      </w:r>
      <w:r w:rsidR="00573E1E" w:rsidRPr="00581966">
        <w:rPr>
          <w:sz w:val="24"/>
          <w:szCs w:val="24"/>
        </w:rPr>
        <w:t xml:space="preserve">are </w:t>
      </w:r>
      <w:r w:rsidRPr="00581966">
        <w:rPr>
          <w:sz w:val="24"/>
          <w:szCs w:val="24"/>
        </w:rPr>
        <w:t xml:space="preserve">calculated by </w:t>
      </w:r>
      <w:r w:rsidR="00573E1E" w:rsidRPr="00581966">
        <w:rPr>
          <w:sz w:val="24"/>
          <w:szCs w:val="24"/>
        </w:rPr>
        <w:t xml:space="preserve">the </w:t>
      </w:r>
      <w:r w:rsidRPr="00581966">
        <w:rPr>
          <w:sz w:val="24"/>
          <w:szCs w:val="24"/>
        </w:rPr>
        <w:t xml:space="preserve">SOLPS, ASTRA, and FC-FNS codes, being provided by various injection systems - pellet injectors, fast atom beams, and gas puff </w:t>
      </w:r>
      <w:r w:rsidR="00573E1E" w:rsidRPr="00581966">
        <w:rPr>
          <w:sz w:val="24"/>
          <w:szCs w:val="24"/>
        </w:rPr>
        <w:t>in</w:t>
      </w:r>
      <w:r w:rsidRPr="00581966">
        <w:rPr>
          <w:sz w:val="24"/>
          <w:szCs w:val="24"/>
        </w:rPr>
        <w:t xml:space="preserve">to the vacuum chamber. It was shown </w:t>
      </w:r>
      <w:r w:rsidR="006143FC" w:rsidRPr="00581966">
        <w:rPr>
          <w:sz w:val="24"/>
          <w:szCs w:val="24"/>
        </w:rPr>
        <w:t>[</w:t>
      </w:r>
      <w:r w:rsidR="000A119D" w:rsidRPr="00581966">
        <w:rPr>
          <w:sz w:val="24"/>
          <w:szCs w:val="24"/>
        </w:rPr>
        <w:t>9</w:t>
      </w:r>
      <w:r w:rsidR="006143FC" w:rsidRPr="00581966">
        <w:rPr>
          <w:sz w:val="24"/>
          <w:szCs w:val="24"/>
        </w:rPr>
        <w:t xml:space="preserve">] </w:t>
      </w:r>
      <w:r w:rsidRPr="00581966">
        <w:rPr>
          <w:sz w:val="24"/>
          <w:szCs w:val="24"/>
        </w:rPr>
        <w:t>that the plasma core fueling by neutral beams and neutral fluxes from the divertor is not sufficient to maintain the required plasma density level.</w:t>
      </w:r>
    </w:p>
    <w:p w14:paraId="5F3036F5" w14:textId="75096FBB" w:rsidR="00216EAA" w:rsidRPr="00581966" w:rsidRDefault="000F2172">
      <w:pPr>
        <w:spacing w:line="276" w:lineRule="auto"/>
        <w:ind w:firstLine="284"/>
        <w:jc w:val="both"/>
        <w:rPr>
          <w:sz w:val="24"/>
          <w:szCs w:val="24"/>
        </w:rPr>
      </w:pPr>
      <w:r w:rsidRPr="00581966">
        <w:rPr>
          <w:sz w:val="24"/>
          <w:szCs w:val="24"/>
        </w:rPr>
        <w:t xml:space="preserve">In the </w:t>
      </w:r>
      <w:r w:rsidR="00573E1E" w:rsidRPr="00581966">
        <w:rPr>
          <w:sz w:val="24"/>
          <w:szCs w:val="24"/>
        </w:rPr>
        <w:t xml:space="preserve">working </w:t>
      </w:r>
      <w:r w:rsidRPr="00581966">
        <w:rPr>
          <w:sz w:val="24"/>
          <w:szCs w:val="24"/>
        </w:rPr>
        <w:t xml:space="preserve">window of the plasma core density </w:t>
      </w:r>
      <w:r w:rsidRPr="00581966">
        <w:rPr>
          <w:i/>
          <w:sz w:val="24"/>
          <w:szCs w:val="24"/>
        </w:rPr>
        <w:t>n</w:t>
      </w:r>
      <w:r w:rsidRPr="00581966">
        <w:rPr>
          <w:i/>
          <w:sz w:val="24"/>
          <w:szCs w:val="24"/>
          <w:vertAlign w:val="subscript"/>
        </w:rPr>
        <w:t>e</w:t>
      </w:r>
      <w:r w:rsidRPr="00581966">
        <w:rPr>
          <w:sz w:val="24"/>
          <w:szCs w:val="24"/>
        </w:rPr>
        <w:t xml:space="preserve"> and particle</w:t>
      </w:r>
      <w:r w:rsidR="00573E1E" w:rsidRPr="00581966">
        <w:rPr>
          <w:sz w:val="24"/>
          <w:szCs w:val="24"/>
        </w:rPr>
        <w:t xml:space="preserve"> to heat</w:t>
      </w:r>
      <w:r w:rsidRPr="00581966">
        <w:rPr>
          <w:sz w:val="24"/>
          <w:szCs w:val="24"/>
        </w:rPr>
        <w:t xml:space="preserve"> </w:t>
      </w:r>
      <w:r w:rsidR="00573E1E" w:rsidRPr="00581966">
        <w:rPr>
          <w:sz w:val="24"/>
          <w:szCs w:val="24"/>
        </w:rPr>
        <w:t xml:space="preserve">diffusivity ratio </w:t>
      </w:r>
      <w:r w:rsidRPr="00581966">
        <w:rPr>
          <w:i/>
          <w:sz w:val="24"/>
          <w:szCs w:val="24"/>
        </w:rPr>
        <w:t>D/</w:t>
      </w:r>
      <w:proofErr w:type="spellStart"/>
      <w:r w:rsidRPr="00581966">
        <w:rPr>
          <w:i/>
          <w:sz w:val="24"/>
          <w:szCs w:val="24"/>
        </w:rPr>
        <w:t>χ</w:t>
      </w:r>
      <w:r w:rsidRPr="00581966">
        <w:rPr>
          <w:i/>
          <w:sz w:val="24"/>
          <w:szCs w:val="24"/>
          <w:vertAlign w:val="subscript"/>
        </w:rPr>
        <w:t>е</w:t>
      </w:r>
      <w:proofErr w:type="spellEnd"/>
      <w:r w:rsidR="00573E1E" w:rsidRPr="00581966">
        <w:rPr>
          <w:sz w:val="24"/>
          <w:szCs w:val="24"/>
        </w:rPr>
        <w:t>,</w:t>
      </w:r>
      <w:r w:rsidRPr="00581966">
        <w:rPr>
          <w:i/>
          <w:sz w:val="24"/>
          <w:szCs w:val="24"/>
        </w:rPr>
        <w:t xml:space="preserve"> </w:t>
      </w:r>
      <w:r w:rsidR="00573E1E" w:rsidRPr="00581966">
        <w:rPr>
          <w:sz w:val="24"/>
          <w:szCs w:val="24"/>
        </w:rPr>
        <w:t xml:space="preserve">the </w:t>
      </w:r>
      <w:r w:rsidRPr="00581966">
        <w:rPr>
          <w:sz w:val="24"/>
          <w:szCs w:val="24"/>
        </w:rPr>
        <w:t xml:space="preserve">D/T composition </w:t>
      </w:r>
      <w:r w:rsidR="00573E1E" w:rsidRPr="00581966">
        <w:rPr>
          <w:sz w:val="24"/>
          <w:szCs w:val="24"/>
        </w:rPr>
        <w:t xml:space="preserve">of the plasma is </w:t>
      </w:r>
      <w:r w:rsidRPr="00581966">
        <w:rPr>
          <w:sz w:val="24"/>
          <w:szCs w:val="24"/>
        </w:rPr>
        <w:t xml:space="preserve">calculated, at which the maximum neutron yield is expected. It is shown that with the chosen approach to the fuel cycle architecture (with partial </w:t>
      </w:r>
      <w:r w:rsidR="00573E1E" w:rsidRPr="00581966">
        <w:rPr>
          <w:sz w:val="24"/>
          <w:szCs w:val="24"/>
        </w:rPr>
        <w:t xml:space="preserve">separation of the </w:t>
      </w:r>
      <w:r w:rsidRPr="00581966">
        <w:rPr>
          <w:sz w:val="24"/>
          <w:szCs w:val="24"/>
        </w:rPr>
        <w:t>gas exhaust</w:t>
      </w:r>
      <w:r w:rsidR="00573E1E" w:rsidRPr="00581966">
        <w:rPr>
          <w:sz w:val="24"/>
          <w:szCs w:val="24"/>
        </w:rPr>
        <w:t>ed</w:t>
      </w:r>
      <w:r w:rsidRPr="00581966">
        <w:rPr>
          <w:sz w:val="24"/>
          <w:szCs w:val="24"/>
        </w:rPr>
        <w:t xml:space="preserve"> from the vacuum chamber – 20-60%)</w:t>
      </w:r>
      <w:r w:rsidR="00573E1E" w:rsidRPr="00581966">
        <w:rPr>
          <w:sz w:val="24"/>
          <w:szCs w:val="24"/>
        </w:rPr>
        <w:t>,</w:t>
      </w:r>
      <w:r w:rsidRPr="00581966">
        <w:rPr>
          <w:sz w:val="24"/>
          <w:szCs w:val="24"/>
        </w:rPr>
        <w:t xml:space="preserve"> for all considered beam regimes, the neutron yield is limited by the </w:t>
      </w:r>
      <w:r w:rsidR="00573E1E" w:rsidRPr="00581966">
        <w:rPr>
          <w:sz w:val="24"/>
          <w:szCs w:val="24"/>
        </w:rPr>
        <w:t xml:space="preserve">isotopic composition of the </w:t>
      </w:r>
      <w:r w:rsidRPr="00581966">
        <w:rPr>
          <w:sz w:val="24"/>
          <w:szCs w:val="24"/>
        </w:rPr>
        <w:t>plasma core</w:t>
      </w:r>
      <w:r w:rsidR="00573E1E" w:rsidRPr="00581966">
        <w:rPr>
          <w:sz w:val="24"/>
          <w:szCs w:val="24"/>
        </w:rPr>
        <w:t>,</w:t>
      </w:r>
      <w:r w:rsidRPr="00581966">
        <w:rPr>
          <w:sz w:val="24"/>
          <w:szCs w:val="24"/>
        </w:rPr>
        <w:t xml:space="preserve"> </w:t>
      </w:r>
      <w:r w:rsidR="00573E1E" w:rsidRPr="00581966">
        <w:rPr>
          <w:sz w:val="24"/>
          <w:szCs w:val="24"/>
        </w:rPr>
        <w:t>which</w:t>
      </w:r>
      <w:r w:rsidRPr="00581966">
        <w:rPr>
          <w:sz w:val="24"/>
          <w:szCs w:val="24"/>
        </w:rPr>
        <w:t xml:space="preserve"> depends on the divertor plasma composition. A</w:t>
      </w:r>
      <w:r w:rsidR="00573E1E" w:rsidRPr="00581966">
        <w:rPr>
          <w:sz w:val="24"/>
          <w:szCs w:val="24"/>
        </w:rPr>
        <w:t xml:space="preserve"> new</w:t>
      </w:r>
      <w:r w:rsidRPr="00581966">
        <w:rPr>
          <w:sz w:val="24"/>
          <w:szCs w:val="24"/>
        </w:rPr>
        <w:t xml:space="preserve"> approach </w:t>
      </w:r>
      <w:r w:rsidR="00573E1E" w:rsidRPr="00581966">
        <w:rPr>
          <w:sz w:val="24"/>
          <w:szCs w:val="24"/>
        </w:rPr>
        <w:t xml:space="preserve">is proposed </w:t>
      </w:r>
      <w:r w:rsidRPr="00581966">
        <w:rPr>
          <w:sz w:val="24"/>
          <w:szCs w:val="24"/>
        </w:rPr>
        <w:t xml:space="preserve">for controlling the isotopic composition in </w:t>
      </w:r>
      <w:r w:rsidR="00573E1E" w:rsidRPr="00581966">
        <w:rPr>
          <w:sz w:val="24"/>
          <w:szCs w:val="24"/>
        </w:rPr>
        <w:t xml:space="preserve">the </w:t>
      </w:r>
      <w:r w:rsidRPr="00581966">
        <w:rPr>
          <w:sz w:val="24"/>
          <w:szCs w:val="24"/>
        </w:rPr>
        <w:t>divertor plasma using monoisotopic gas puffing into the vacuum chamber</w:t>
      </w:r>
      <w:r w:rsidR="00573E1E" w:rsidRPr="00581966">
        <w:rPr>
          <w:sz w:val="24"/>
          <w:szCs w:val="24"/>
        </w:rPr>
        <w:t>, which relies on</w:t>
      </w:r>
      <w:r w:rsidRPr="00581966">
        <w:rPr>
          <w:sz w:val="24"/>
          <w:szCs w:val="24"/>
        </w:rPr>
        <w:t xml:space="preserve"> the hydrogen isotopes separation </w:t>
      </w:r>
      <w:r w:rsidR="00573E1E" w:rsidRPr="00581966">
        <w:rPr>
          <w:sz w:val="24"/>
          <w:szCs w:val="24"/>
        </w:rPr>
        <w:t xml:space="preserve">in the whole </w:t>
      </w:r>
      <w:r w:rsidRPr="00581966">
        <w:rPr>
          <w:sz w:val="24"/>
          <w:szCs w:val="24"/>
        </w:rPr>
        <w:t>exhaust gas flow pumped out from the divertor.</w:t>
      </w:r>
    </w:p>
    <w:p w14:paraId="57B932F6" w14:textId="0FE10F4A" w:rsidR="00216EAA" w:rsidRPr="00581966" w:rsidRDefault="000F2172">
      <w:pPr>
        <w:spacing w:line="276" w:lineRule="auto"/>
        <w:ind w:firstLine="284"/>
        <w:jc w:val="both"/>
        <w:rPr>
          <w:sz w:val="24"/>
          <w:szCs w:val="24"/>
        </w:rPr>
      </w:pPr>
      <w:r w:rsidRPr="00581966">
        <w:rPr>
          <w:sz w:val="24"/>
          <w:szCs w:val="24"/>
        </w:rPr>
        <w:t xml:space="preserve">It was shown </w:t>
      </w:r>
      <w:r w:rsidR="006143FC" w:rsidRPr="00581966">
        <w:rPr>
          <w:sz w:val="24"/>
          <w:szCs w:val="24"/>
        </w:rPr>
        <w:t>[</w:t>
      </w:r>
      <w:r w:rsidR="000A119D" w:rsidRPr="00581966">
        <w:rPr>
          <w:sz w:val="24"/>
          <w:szCs w:val="24"/>
        </w:rPr>
        <w:t>9</w:t>
      </w:r>
      <w:r w:rsidR="006143FC" w:rsidRPr="00581966">
        <w:rPr>
          <w:sz w:val="24"/>
          <w:szCs w:val="24"/>
        </w:rPr>
        <w:t xml:space="preserve">] </w:t>
      </w:r>
      <w:r w:rsidRPr="00581966">
        <w:rPr>
          <w:sz w:val="24"/>
          <w:szCs w:val="24"/>
        </w:rPr>
        <w:t>that for the D+T beam</w:t>
      </w:r>
      <w:r w:rsidR="00573E1E" w:rsidRPr="00581966">
        <w:rPr>
          <w:sz w:val="24"/>
          <w:szCs w:val="24"/>
        </w:rPr>
        <w:t>,</w:t>
      </w:r>
      <w:r w:rsidRPr="00581966">
        <w:rPr>
          <w:sz w:val="24"/>
          <w:szCs w:val="24"/>
        </w:rPr>
        <w:t xml:space="preserve"> the neutron yield of 4</w:t>
      </w:r>
      <w:r w:rsidR="002E0A27" w:rsidRPr="00581966">
        <w:rPr>
          <w:sz w:val="24"/>
          <w:szCs w:val="24"/>
        </w:rPr>
        <w:t>.5</w:t>
      </w:r>
      <w:r w:rsidRPr="00581966">
        <w:rPr>
          <w:sz w:val="24"/>
          <w:szCs w:val="24"/>
        </w:rPr>
        <w:t>-5</w:t>
      </w:r>
      <w:r w:rsidR="002E0A27" w:rsidRPr="00581966">
        <w:rPr>
          <w:sz w:val="24"/>
          <w:szCs w:val="24"/>
        </w:rPr>
        <w:t>.5</w:t>
      </w:r>
      <w:r w:rsidRPr="00581966">
        <w:rPr>
          <w:sz w:val="24"/>
          <w:szCs w:val="24"/>
        </w:rPr>
        <w:t>·10</w:t>
      </w:r>
      <w:r w:rsidRPr="00581966">
        <w:rPr>
          <w:sz w:val="24"/>
          <w:szCs w:val="24"/>
          <w:vertAlign w:val="superscript"/>
        </w:rPr>
        <w:t>17</w:t>
      </w:r>
      <w:r w:rsidRPr="00581966">
        <w:rPr>
          <w:sz w:val="24"/>
          <w:szCs w:val="24"/>
        </w:rPr>
        <w:t xml:space="preserve"> 1/s is achievable at the plasma core density </w:t>
      </w:r>
      <w:r w:rsidRPr="00581966">
        <w:rPr>
          <w:i/>
          <w:sz w:val="24"/>
          <w:szCs w:val="24"/>
        </w:rPr>
        <w:t>n</w:t>
      </w:r>
      <w:r w:rsidRPr="00581966">
        <w:rPr>
          <w:i/>
          <w:sz w:val="24"/>
          <w:szCs w:val="24"/>
          <w:vertAlign w:val="subscript"/>
        </w:rPr>
        <w:t>e </w:t>
      </w:r>
      <w:r w:rsidRPr="00581966">
        <w:rPr>
          <w:sz w:val="24"/>
          <w:szCs w:val="24"/>
        </w:rPr>
        <w:t>= 7</w:t>
      </w:r>
      <w:r w:rsidR="002E0A27" w:rsidRPr="00581966">
        <w:rPr>
          <w:sz w:val="24"/>
          <w:szCs w:val="24"/>
        </w:rPr>
        <w:t>.0</w:t>
      </w:r>
      <w:r w:rsidRPr="00581966">
        <w:rPr>
          <w:sz w:val="24"/>
          <w:szCs w:val="24"/>
        </w:rPr>
        <w:t>-8</w:t>
      </w:r>
      <w:r w:rsidR="002E0A27" w:rsidRPr="00581966">
        <w:rPr>
          <w:sz w:val="24"/>
          <w:szCs w:val="24"/>
        </w:rPr>
        <w:t>.5</w:t>
      </w:r>
      <w:r w:rsidRPr="00581966">
        <w:rPr>
          <w:sz w:val="24"/>
          <w:szCs w:val="24"/>
        </w:rPr>
        <w:t>·10</w:t>
      </w:r>
      <w:r w:rsidRPr="00581966">
        <w:rPr>
          <w:sz w:val="24"/>
          <w:szCs w:val="24"/>
          <w:vertAlign w:val="superscript"/>
        </w:rPr>
        <w:t>19</w:t>
      </w:r>
      <w:r w:rsidRPr="00581966">
        <w:rPr>
          <w:sz w:val="24"/>
          <w:szCs w:val="24"/>
        </w:rPr>
        <w:t> 1/m</w:t>
      </w:r>
      <w:r w:rsidRPr="00581966">
        <w:rPr>
          <w:sz w:val="24"/>
          <w:szCs w:val="24"/>
          <w:vertAlign w:val="superscript"/>
        </w:rPr>
        <w:t xml:space="preserve">3 </w:t>
      </w:r>
      <w:r w:rsidRPr="00581966">
        <w:rPr>
          <w:sz w:val="24"/>
          <w:szCs w:val="24"/>
        </w:rPr>
        <w:t xml:space="preserve">and </w:t>
      </w:r>
      <w:r w:rsidRPr="00581966">
        <w:rPr>
          <w:i/>
          <w:sz w:val="24"/>
          <w:szCs w:val="24"/>
        </w:rPr>
        <w:t>D/</w:t>
      </w:r>
      <w:proofErr w:type="spellStart"/>
      <w:r w:rsidRPr="00581966">
        <w:rPr>
          <w:i/>
          <w:sz w:val="24"/>
          <w:szCs w:val="24"/>
        </w:rPr>
        <w:t>χ</w:t>
      </w:r>
      <w:r w:rsidRPr="00581966">
        <w:rPr>
          <w:i/>
          <w:sz w:val="24"/>
          <w:szCs w:val="24"/>
          <w:vertAlign w:val="subscript"/>
        </w:rPr>
        <w:t>е</w:t>
      </w:r>
      <w:proofErr w:type="spellEnd"/>
      <w:r w:rsidRPr="00581966">
        <w:rPr>
          <w:i/>
          <w:sz w:val="24"/>
          <w:szCs w:val="24"/>
        </w:rPr>
        <w:t> </w:t>
      </w:r>
      <w:r w:rsidRPr="00581966">
        <w:rPr>
          <w:sz w:val="24"/>
          <w:szCs w:val="24"/>
        </w:rPr>
        <w:t>= 0</w:t>
      </w:r>
      <w:r w:rsidR="00A544F6" w:rsidRPr="00581966">
        <w:rPr>
          <w:sz w:val="24"/>
          <w:szCs w:val="24"/>
        </w:rPr>
        <w:t>.2</w:t>
      </w:r>
      <w:r w:rsidRPr="00581966">
        <w:rPr>
          <w:sz w:val="24"/>
          <w:szCs w:val="24"/>
        </w:rPr>
        <w:t>-0</w:t>
      </w:r>
      <w:r w:rsidR="00A544F6" w:rsidRPr="00581966">
        <w:rPr>
          <w:sz w:val="24"/>
          <w:szCs w:val="24"/>
        </w:rPr>
        <w:t>.4</w:t>
      </w:r>
      <w:r w:rsidRPr="00581966">
        <w:rPr>
          <w:sz w:val="24"/>
          <w:szCs w:val="24"/>
        </w:rPr>
        <w:t xml:space="preserve"> - that is</w:t>
      </w:r>
      <w:r w:rsidR="00573E1E" w:rsidRPr="00581966">
        <w:rPr>
          <w:sz w:val="24"/>
          <w:szCs w:val="24"/>
        </w:rPr>
        <w:t>,</w:t>
      </w:r>
      <w:r w:rsidRPr="00581966">
        <w:rPr>
          <w:sz w:val="24"/>
          <w:szCs w:val="24"/>
        </w:rPr>
        <w:t xml:space="preserve"> </w:t>
      </w:r>
      <w:r w:rsidR="006636B4" w:rsidRPr="00581966">
        <w:rPr>
          <w:sz w:val="24"/>
          <w:szCs w:val="24"/>
        </w:rPr>
        <w:t xml:space="preserve">at </w:t>
      </w:r>
      <w:r w:rsidRPr="00581966">
        <w:rPr>
          <w:sz w:val="24"/>
          <w:szCs w:val="24"/>
        </w:rPr>
        <w:t>good particles retention in the plasma. For the D</w:t>
      </w:r>
      <w:r w:rsidR="006636B4" w:rsidRPr="00581966">
        <w:rPr>
          <w:sz w:val="24"/>
          <w:szCs w:val="24"/>
        </w:rPr>
        <w:t xml:space="preserve"> </w:t>
      </w:r>
      <w:r w:rsidRPr="00581966">
        <w:rPr>
          <w:sz w:val="24"/>
          <w:szCs w:val="24"/>
        </w:rPr>
        <w:t xml:space="preserve">beam, the highest neutron yield </w:t>
      </w:r>
      <w:r w:rsidR="006636B4" w:rsidRPr="00581966">
        <w:rPr>
          <w:sz w:val="24"/>
          <w:szCs w:val="24"/>
        </w:rPr>
        <w:t xml:space="preserve">of </w:t>
      </w:r>
      <w:r w:rsidRPr="00581966">
        <w:rPr>
          <w:sz w:val="24"/>
          <w:szCs w:val="24"/>
        </w:rPr>
        <w:t>4</w:t>
      </w:r>
      <w:r w:rsidR="002E0A27" w:rsidRPr="00581966">
        <w:rPr>
          <w:sz w:val="24"/>
          <w:szCs w:val="24"/>
        </w:rPr>
        <w:t>.5</w:t>
      </w:r>
      <w:r w:rsidRPr="00581966">
        <w:rPr>
          <w:sz w:val="24"/>
          <w:szCs w:val="24"/>
        </w:rPr>
        <w:t>-5</w:t>
      </w:r>
      <w:r w:rsidR="002E0A27" w:rsidRPr="00581966">
        <w:rPr>
          <w:sz w:val="24"/>
          <w:szCs w:val="24"/>
        </w:rPr>
        <w:t>.5</w:t>
      </w:r>
      <w:r w:rsidRPr="00581966">
        <w:rPr>
          <w:sz w:val="24"/>
          <w:szCs w:val="24"/>
        </w:rPr>
        <w:t>·10</w:t>
      </w:r>
      <w:r w:rsidRPr="00581966">
        <w:rPr>
          <w:sz w:val="24"/>
          <w:szCs w:val="24"/>
          <w:vertAlign w:val="superscript"/>
        </w:rPr>
        <w:t>17</w:t>
      </w:r>
      <w:r w:rsidRPr="00581966">
        <w:rPr>
          <w:sz w:val="24"/>
          <w:szCs w:val="24"/>
        </w:rPr>
        <w:t xml:space="preserve"> 1/s is achieved in the density range </w:t>
      </w:r>
      <w:r w:rsidRPr="00581966">
        <w:rPr>
          <w:i/>
          <w:sz w:val="24"/>
          <w:szCs w:val="24"/>
        </w:rPr>
        <w:t>n</w:t>
      </w:r>
      <w:r w:rsidRPr="00581966">
        <w:rPr>
          <w:i/>
          <w:sz w:val="24"/>
          <w:szCs w:val="24"/>
          <w:vertAlign w:val="subscript"/>
        </w:rPr>
        <w:t>e </w:t>
      </w:r>
      <w:r w:rsidRPr="00581966">
        <w:rPr>
          <w:sz w:val="24"/>
          <w:szCs w:val="24"/>
        </w:rPr>
        <w:t>= 7</w:t>
      </w:r>
      <w:r w:rsidR="002E0A27" w:rsidRPr="00581966">
        <w:rPr>
          <w:sz w:val="24"/>
          <w:szCs w:val="24"/>
        </w:rPr>
        <w:t>.0</w:t>
      </w:r>
      <w:r w:rsidRPr="00581966">
        <w:rPr>
          <w:sz w:val="24"/>
          <w:szCs w:val="24"/>
        </w:rPr>
        <w:t>-10</w:t>
      </w:r>
      <w:r w:rsidR="002E0A27" w:rsidRPr="00581966">
        <w:rPr>
          <w:sz w:val="24"/>
          <w:szCs w:val="24"/>
        </w:rPr>
        <w:t>.0</w:t>
      </w:r>
      <w:r w:rsidRPr="00581966">
        <w:rPr>
          <w:sz w:val="24"/>
          <w:szCs w:val="24"/>
        </w:rPr>
        <w:t>·10</w:t>
      </w:r>
      <w:r w:rsidRPr="00581966">
        <w:rPr>
          <w:sz w:val="24"/>
          <w:szCs w:val="24"/>
          <w:vertAlign w:val="superscript"/>
        </w:rPr>
        <w:t>19</w:t>
      </w:r>
      <w:r w:rsidRPr="00581966">
        <w:rPr>
          <w:sz w:val="24"/>
          <w:szCs w:val="24"/>
        </w:rPr>
        <w:t> 1/m</w:t>
      </w:r>
      <w:r w:rsidRPr="00581966">
        <w:rPr>
          <w:sz w:val="24"/>
          <w:szCs w:val="24"/>
          <w:vertAlign w:val="superscript"/>
        </w:rPr>
        <w:t xml:space="preserve">3 </w:t>
      </w:r>
      <w:r w:rsidR="006636B4" w:rsidRPr="00581966">
        <w:rPr>
          <w:sz w:val="24"/>
          <w:szCs w:val="24"/>
        </w:rPr>
        <w:t>if</w:t>
      </w:r>
      <w:r w:rsidRPr="00581966">
        <w:rPr>
          <w:sz w:val="24"/>
          <w:szCs w:val="24"/>
        </w:rPr>
        <w:t xml:space="preserve"> </w:t>
      </w:r>
      <w:r w:rsidRPr="00581966">
        <w:rPr>
          <w:i/>
          <w:sz w:val="24"/>
          <w:szCs w:val="24"/>
        </w:rPr>
        <w:t>D/</w:t>
      </w:r>
      <w:proofErr w:type="spellStart"/>
      <w:r w:rsidRPr="00581966">
        <w:rPr>
          <w:i/>
          <w:sz w:val="24"/>
          <w:szCs w:val="24"/>
        </w:rPr>
        <w:t>χ</w:t>
      </w:r>
      <w:r w:rsidRPr="00581966">
        <w:rPr>
          <w:i/>
          <w:sz w:val="24"/>
          <w:szCs w:val="24"/>
          <w:vertAlign w:val="subscript"/>
        </w:rPr>
        <w:t>е</w:t>
      </w:r>
      <w:proofErr w:type="spellEnd"/>
      <w:r w:rsidRPr="00581966">
        <w:rPr>
          <w:i/>
          <w:sz w:val="24"/>
          <w:szCs w:val="24"/>
        </w:rPr>
        <w:t> </w:t>
      </w:r>
      <w:r w:rsidRPr="00581966">
        <w:rPr>
          <w:sz w:val="24"/>
          <w:szCs w:val="24"/>
        </w:rPr>
        <w:t>= 0</w:t>
      </w:r>
      <w:r w:rsidR="00A544F6" w:rsidRPr="00581966">
        <w:rPr>
          <w:sz w:val="24"/>
          <w:szCs w:val="24"/>
        </w:rPr>
        <w:t>.4</w:t>
      </w:r>
      <w:r w:rsidRPr="00581966">
        <w:rPr>
          <w:sz w:val="24"/>
          <w:szCs w:val="24"/>
        </w:rPr>
        <w:t>-0</w:t>
      </w:r>
      <w:r w:rsidR="00A544F6" w:rsidRPr="00581966">
        <w:rPr>
          <w:sz w:val="24"/>
          <w:szCs w:val="24"/>
        </w:rPr>
        <w:t>.6</w:t>
      </w:r>
      <w:r w:rsidRPr="00581966">
        <w:rPr>
          <w:sz w:val="24"/>
          <w:szCs w:val="24"/>
        </w:rPr>
        <w:t xml:space="preserve">. An increase of the neutron yield </w:t>
      </w:r>
      <w:r w:rsidR="006636B4" w:rsidRPr="00581966">
        <w:rPr>
          <w:sz w:val="24"/>
          <w:szCs w:val="24"/>
        </w:rPr>
        <w:t xml:space="preserve">to </w:t>
      </w:r>
      <w:r w:rsidRPr="00581966">
        <w:rPr>
          <w:sz w:val="24"/>
          <w:szCs w:val="24"/>
        </w:rPr>
        <w:t>4</w:t>
      </w:r>
      <w:r w:rsidR="002E0A27" w:rsidRPr="00581966">
        <w:rPr>
          <w:sz w:val="24"/>
          <w:szCs w:val="24"/>
        </w:rPr>
        <w:t>.5</w:t>
      </w:r>
      <w:r w:rsidRPr="00581966">
        <w:rPr>
          <w:sz w:val="24"/>
          <w:szCs w:val="24"/>
        </w:rPr>
        <w:t>-6</w:t>
      </w:r>
      <w:r w:rsidR="002E0A27" w:rsidRPr="00581966">
        <w:rPr>
          <w:sz w:val="24"/>
          <w:szCs w:val="24"/>
        </w:rPr>
        <w:t>.0</w:t>
      </w:r>
      <w:r w:rsidRPr="00581966">
        <w:rPr>
          <w:sz w:val="24"/>
          <w:szCs w:val="24"/>
        </w:rPr>
        <w:t>·10</w:t>
      </w:r>
      <w:r w:rsidRPr="00581966">
        <w:rPr>
          <w:sz w:val="24"/>
          <w:szCs w:val="24"/>
          <w:vertAlign w:val="superscript"/>
        </w:rPr>
        <w:t>17</w:t>
      </w:r>
      <w:r w:rsidRPr="00581966">
        <w:rPr>
          <w:sz w:val="24"/>
          <w:szCs w:val="24"/>
        </w:rPr>
        <w:t> 1/s occurs for the T</w:t>
      </w:r>
      <w:r w:rsidR="006636B4" w:rsidRPr="00581966">
        <w:rPr>
          <w:sz w:val="24"/>
          <w:szCs w:val="24"/>
        </w:rPr>
        <w:t xml:space="preserve"> </w:t>
      </w:r>
      <w:r w:rsidRPr="00581966">
        <w:rPr>
          <w:sz w:val="24"/>
          <w:szCs w:val="24"/>
        </w:rPr>
        <w:t xml:space="preserve">beam </w:t>
      </w:r>
      <w:r w:rsidR="006636B4" w:rsidRPr="00581966">
        <w:rPr>
          <w:sz w:val="24"/>
          <w:szCs w:val="24"/>
        </w:rPr>
        <w:t>by</w:t>
      </w:r>
      <w:r w:rsidRPr="00581966">
        <w:rPr>
          <w:sz w:val="24"/>
          <w:szCs w:val="24"/>
        </w:rPr>
        <w:t xml:space="preserve"> decreasing the T fraction in the plasma core, that is, </w:t>
      </w:r>
      <w:r w:rsidRPr="00581966">
        <w:rPr>
          <w:i/>
          <w:sz w:val="24"/>
          <w:szCs w:val="24"/>
        </w:rPr>
        <w:t>n</w:t>
      </w:r>
      <w:r w:rsidRPr="00581966">
        <w:rPr>
          <w:i/>
          <w:sz w:val="24"/>
          <w:szCs w:val="24"/>
          <w:vertAlign w:val="subscript"/>
        </w:rPr>
        <w:t>e </w:t>
      </w:r>
      <w:r w:rsidRPr="00581966">
        <w:rPr>
          <w:sz w:val="24"/>
          <w:szCs w:val="24"/>
        </w:rPr>
        <w:t>= 9</w:t>
      </w:r>
      <w:r w:rsidR="002E0A27" w:rsidRPr="00581966">
        <w:rPr>
          <w:sz w:val="24"/>
          <w:szCs w:val="24"/>
        </w:rPr>
        <w:t>.0</w:t>
      </w:r>
      <w:r w:rsidRPr="00581966">
        <w:rPr>
          <w:sz w:val="24"/>
          <w:szCs w:val="24"/>
        </w:rPr>
        <w:t>-10</w:t>
      </w:r>
      <w:r w:rsidR="002E0A27" w:rsidRPr="00581966">
        <w:rPr>
          <w:sz w:val="24"/>
          <w:szCs w:val="24"/>
        </w:rPr>
        <w:t>.0</w:t>
      </w:r>
      <w:r w:rsidRPr="00581966">
        <w:rPr>
          <w:sz w:val="24"/>
          <w:szCs w:val="24"/>
        </w:rPr>
        <w:t>·10</w:t>
      </w:r>
      <w:r w:rsidRPr="00581966">
        <w:rPr>
          <w:sz w:val="24"/>
          <w:szCs w:val="24"/>
          <w:vertAlign w:val="superscript"/>
        </w:rPr>
        <w:t>19</w:t>
      </w:r>
      <w:r w:rsidRPr="00581966">
        <w:rPr>
          <w:sz w:val="24"/>
          <w:szCs w:val="24"/>
        </w:rPr>
        <w:t> 1/m</w:t>
      </w:r>
      <w:r w:rsidRPr="00581966">
        <w:rPr>
          <w:sz w:val="24"/>
          <w:szCs w:val="24"/>
          <w:vertAlign w:val="superscript"/>
        </w:rPr>
        <w:t>3</w:t>
      </w:r>
      <w:r w:rsidRPr="00581966">
        <w:rPr>
          <w:sz w:val="24"/>
          <w:szCs w:val="24"/>
        </w:rPr>
        <w:t xml:space="preserve"> and </w:t>
      </w:r>
      <w:r w:rsidRPr="00581966">
        <w:rPr>
          <w:i/>
          <w:sz w:val="24"/>
          <w:szCs w:val="24"/>
        </w:rPr>
        <w:t>D/</w:t>
      </w:r>
      <w:proofErr w:type="spellStart"/>
      <w:r w:rsidRPr="00581966">
        <w:rPr>
          <w:i/>
          <w:sz w:val="24"/>
          <w:szCs w:val="24"/>
        </w:rPr>
        <w:t>χ</w:t>
      </w:r>
      <w:r w:rsidRPr="00581966">
        <w:rPr>
          <w:i/>
          <w:sz w:val="24"/>
          <w:szCs w:val="24"/>
          <w:vertAlign w:val="subscript"/>
        </w:rPr>
        <w:t>е</w:t>
      </w:r>
      <w:proofErr w:type="spellEnd"/>
      <w:r w:rsidRPr="00581966">
        <w:rPr>
          <w:i/>
          <w:sz w:val="24"/>
          <w:szCs w:val="24"/>
        </w:rPr>
        <w:t> </w:t>
      </w:r>
      <w:r w:rsidRPr="00581966">
        <w:rPr>
          <w:sz w:val="24"/>
          <w:szCs w:val="24"/>
        </w:rPr>
        <w:t>= 0</w:t>
      </w:r>
      <w:r w:rsidR="00A544F6" w:rsidRPr="00581966">
        <w:rPr>
          <w:sz w:val="24"/>
          <w:szCs w:val="24"/>
        </w:rPr>
        <w:t>.4</w:t>
      </w:r>
      <w:r w:rsidRPr="00581966">
        <w:rPr>
          <w:sz w:val="24"/>
          <w:szCs w:val="24"/>
        </w:rPr>
        <w:t>-0</w:t>
      </w:r>
      <w:r w:rsidR="00A544F6" w:rsidRPr="00581966">
        <w:rPr>
          <w:sz w:val="24"/>
          <w:szCs w:val="24"/>
        </w:rPr>
        <w:t>.6</w:t>
      </w:r>
      <w:r w:rsidRPr="00581966">
        <w:rPr>
          <w:sz w:val="24"/>
          <w:szCs w:val="24"/>
        </w:rPr>
        <w:t>.</w:t>
      </w:r>
    </w:p>
    <w:p w14:paraId="76E4FF06" w14:textId="13383C16" w:rsidR="00216EAA" w:rsidRPr="00581966" w:rsidRDefault="000F2172">
      <w:pPr>
        <w:spacing w:line="276" w:lineRule="auto"/>
        <w:ind w:firstLine="284"/>
        <w:jc w:val="both"/>
        <w:rPr>
          <w:sz w:val="24"/>
          <w:szCs w:val="24"/>
        </w:rPr>
      </w:pPr>
      <w:r w:rsidRPr="00581966">
        <w:rPr>
          <w:sz w:val="24"/>
          <w:szCs w:val="24"/>
        </w:rPr>
        <w:t>For the proposed new approach to the FC architecture (with separation of the entire gas flow evacuated from the vacuum chamber) the highest neutron flux (up to 6</w:t>
      </w:r>
      <w:r w:rsidR="002E0A27" w:rsidRPr="00581966">
        <w:rPr>
          <w:sz w:val="24"/>
          <w:szCs w:val="24"/>
        </w:rPr>
        <w:t>.5</w:t>
      </w:r>
      <w:r w:rsidRPr="00581966">
        <w:rPr>
          <w:sz w:val="24"/>
          <w:szCs w:val="24"/>
        </w:rPr>
        <w:t>·10</w:t>
      </w:r>
      <w:r w:rsidRPr="00581966">
        <w:rPr>
          <w:sz w:val="24"/>
          <w:szCs w:val="24"/>
          <w:vertAlign w:val="superscript"/>
        </w:rPr>
        <w:t>17</w:t>
      </w:r>
      <w:r w:rsidRPr="00581966">
        <w:rPr>
          <w:sz w:val="24"/>
          <w:szCs w:val="24"/>
        </w:rPr>
        <w:t xml:space="preserve"> 1/s) for </w:t>
      </w:r>
      <w:r w:rsidR="006636B4" w:rsidRPr="00581966">
        <w:rPr>
          <w:sz w:val="24"/>
          <w:szCs w:val="24"/>
        </w:rPr>
        <w:t xml:space="preserve">the </w:t>
      </w:r>
      <w:r w:rsidRPr="00581966">
        <w:rPr>
          <w:sz w:val="24"/>
          <w:szCs w:val="24"/>
        </w:rPr>
        <w:t>T</w:t>
      </w:r>
      <w:r w:rsidR="006636B4" w:rsidRPr="00581966">
        <w:rPr>
          <w:sz w:val="24"/>
          <w:szCs w:val="24"/>
        </w:rPr>
        <w:t xml:space="preserve"> </w:t>
      </w:r>
      <w:r w:rsidRPr="00581966">
        <w:rPr>
          <w:sz w:val="24"/>
          <w:szCs w:val="24"/>
        </w:rPr>
        <w:t>beam corresponds to the region of higher density and better confinement (</w:t>
      </w:r>
      <w:r w:rsidRPr="00581966">
        <w:rPr>
          <w:i/>
          <w:sz w:val="24"/>
          <w:szCs w:val="24"/>
        </w:rPr>
        <w:t>n</w:t>
      </w:r>
      <w:r w:rsidRPr="00581966">
        <w:rPr>
          <w:i/>
          <w:sz w:val="24"/>
          <w:szCs w:val="24"/>
          <w:vertAlign w:val="subscript"/>
        </w:rPr>
        <w:t>e</w:t>
      </w:r>
      <w:r w:rsidRPr="00581966">
        <w:rPr>
          <w:sz w:val="24"/>
          <w:szCs w:val="24"/>
        </w:rPr>
        <w:t> &gt; 8</w:t>
      </w:r>
      <w:r w:rsidR="002E0A27" w:rsidRPr="00581966">
        <w:rPr>
          <w:sz w:val="24"/>
          <w:szCs w:val="24"/>
        </w:rPr>
        <w:t>.5</w:t>
      </w:r>
      <w:r w:rsidRPr="00581966">
        <w:rPr>
          <w:sz w:val="24"/>
          <w:szCs w:val="24"/>
        </w:rPr>
        <w:t>·10</w:t>
      </w:r>
      <w:r w:rsidRPr="00581966">
        <w:rPr>
          <w:sz w:val="24"/>
          <w:szCs w:val="24"/>
          <w:vertAlign w:val="superscript"/>
        </w:rPr>
        <w:t>19</w:t>
      </w:r>
      <w:r w:rsidRPr="00581966">
        <w:rPr>
          <w:sz w:val="24"/>
          <w:szCs w:val="24"/>
        </w:rPr>
        <w:t> m</w:t>
      </w:r>
      <w:r w:rsidRPr="00581966">
        <w:rPr>
          <w:sz w:val="24"/>
          <w:szCs w:val="24"/>
          <w:vertAlign w:val="superscript"/>
        </w:rPr>
        <w:t>-3</w:t>
      </w:r>
      <w:r w:rsidRPr="00581966">
        <w:rPr>
          <w:sz w:val="24"/>
          <w:szCs w:val="24"/>
        </w:rPr>
        <w:t xml:space="preserve"> </w:t>
      </w:r>
      <w:r w:rsidR="00D00E7F" w:rsidRPr="00581966">
        <w:rPr>
          <w:sz w:val="24"/>
          <w:szCs w:val="24"/>
        </w:rPr>
        <w:t xml:space="preserve">and </w:t>
      </w:r>
      <w:r w:rsidRPr="00581966">
        <w:rPr>
          <w:i/>
          <w:sz w:val="24"/>
          <w:szCs w:val="24"/>
        </w:rPr>
        <w:t>D/</w:t>
      </w:r>
      <w:proofErr w:type="spellStart"/>
      <w:r w:rsidRPr="00581966">
        <w:rPr>
          <w:i/>
          <w:sz w:val="24"/>
          <w:szCs w:val="24"/>
        </w:rPr>
        <w:t>χ</w:t>
      </w:r>
      <w:r w:rsidRPr="00581966">
        <w:rPr>
          <w:i/>
          <w:sz w:val="24"/>
          <w:szCs w:val="24"/>
          <w:vertAlign w:val="subscript"/>
        </w:rPr>
        <w:t>е</w:t>
      </w:r>
      <w:proofErr w:type="spellEnd"/>
      <w:r w:rsidRPr="00581966">
        <w:rPr>
          <w:i/>
          <w:sz w:val="24"/>
          <w:szCs w:val="24"/>
          <w:vertAlign w:val="subscript"/>
        </w:rPr>
        <w:t> </w:t>
      </w:r>
      <w:r w:rsidRPr="00581966">
        <w:rPr>
          <w:sz w:val="24"/>
          <w:szCs w:val="24"/>
        </w:rPr>
        <w:t>&lt; 0</w:t>
      </w:r>
      <w:r w:rsidR="00A544F6" w:rsidRPr="00581966">
        <w:rPr>
          <w:sz w:val="24"/>
          <w:szCs w:val="24"/>
        </w:rPr>
        <w:t>.4</w:t>
      </w:r>
      <w:r w:rsidRPr="00581966">
        <w:rPr>
          <w:sz w:val="24"/>
          <w:szCs w:val="24"/>
        </w:rPr>
        <w:t>). Application of this approach to the pure D</w:t>
      </w:r>
      <w:r w:rsidR="006636B4" w:rsidRPr="00581966">
        <w:rPr>
          <w:sz w:val="24"/>
          <w:szCs w:val="24"/>
        </w:rPr>
        <w:t xml:space="preserve"> </w:t>
      </w:r>
      <w:r w:rsidRPr="00581966">
        <w:rPr>
          <w:sz w:val="24"/>
          <w:szCs w:val="24"/>
        </w:rPr>
        <w:t>beam makes it possible to raise the neutron yield up to 7</w:t>
      </w:r>
      <w:r w:rsidR="002E0A27" w:rsidRPr="00581966">
        <w:rPr>
          <w:sz w:val="24"/>
          <w:szCs w:val="24"/>
        </w:rPr>
        <w:t>.0</w:t>
      </w:r>
      <w:r w:rsidRPr="00581966">
        <w:rPr>
          <w:sz w:val="24"/>
          <w:szCs w:val="24"/>
        </w:rPr>
        <w:t>·10</w:t>
      </w:r>
      <w:r w:rsidRPr="00581966">
        <w:rPr>
          <w:sz w:val="24"/>
          <w:szCs w:val="24"/>
          <w:vertAlign w:val="superscript"/>
        </w:rPr>
        <w:t>17</w:t>
      </w:r>
      <w:r w:rsidRPr="00581966">
        <w:rPr>
          <w:sz w:val="24"/>
          <w:szCs w:val="24"/>
        </w:rPr>
        <w:t> 1/s. In this case, the region of lower density and worse confinement (</w:t>
      </w:r>
      <w:r w:rsidRPr="00581966">
        <w:rPr>
          <w:i/>
          <w:sz w:val="24"/>
          <w:szCs w:val="24"/>
        </w:rPr>
        <w:t>n</w:t>
      </w:r>
      <w:r w:rsidRPr="00581966">
        <w:rPr>
          <w:i/>
          <w:sz w:val="24"/>
          <w:szCs w:val="24"/>
          <w:vertAlign w:val="subscript"/>
        </w:rPr>
        <w:t>e</w:t>
      </w:r>
      <w:r w:rsidRPr="00581966">
        <w:rPr>
          <w:sz w:val="24"/>
          <w:szCs w:val="24"/>
        </w:rPr>
        <w:t> &lt; 8</w:t>
      </w:r>
      <w:r w:rsidR="002E0A27" w:rsidRPr="00581966">
        <w:rPr>
          <w:sz w:val="24"/>
          <w:szCs w:val="24"/>
        </w:rPr>
        <w:t>.5</w:t>
      </w:r>
      <w:r w:rsidRPr="00581966">
        <w:rPr>
          <w:sz w:val="24"/>
          <w:szCs w:val="24"/>
        </w:rPr>
        <w:t>·10</w:t>
      </w:r>
      <w:r w:rsidRPr="00581966">
        <w:rPr>
          <w:sz w:val="24"/>
          <w:szCs w:val="24"/>
          <w:vertAlign w:val="superscript"/>
        </w:rPr>
        <w:t>19</w:t>
      </w:r>
      <w:r w:rsidRPr="00581966">
        <w:rPr>
          <w:sz w:val="24"/>
          <w:szCs w:val="24"/>
        </w:rPr>
        <w:t> m</w:t>
      </w:r>
      <w:r w:rsidRPr="00581966">
        <w:rPr>
          <w:sz w:val="24"/>
          <w:szCs w:val="24"/>
          <w:vertAlign w:val="superscript"/>
        </w:rPr>
        <w:t>-3</w:t>
      </w:r>
      <w:r w:rsidRPr="00581966">
        <w:rPr>
          <w:sz w:val="24"/>
          <w:szCs w:val="24"/>
        </w:rPr>
        <w:t xml:space="preserve"> и </w:t>
      </w:r>
      <w:r w:rsidRPr="00581966">
        <w:rPr>
          <w:i/>
          <w:sz w:val="24"/>
          <w:szCs w:val="24"/>
        </w:rPr>
        <w:t>D/</w:t>
      </w:r>
      <w:proofErr w:type="spellStart"/>
      <w:r w:rsidRPr="00581966">
        <w:rPr>
          <w:i/>
          <w:sz w:val="24"/>
          <w:szCs w:val="24"/>
        </w:rPr>
        <w:t>χ</w:t>
      </w:r>
      <w:r w:rsidRPr="00581966">
        <w:rPr>
          <w:i/>
          <w:sz w:val="24"/>
          <w:szCs w:val="24"/>
          <w:vertAlign w:val="subscript"/>
        </w:rPr>
        <w:t>е</w:t>
      </w:r>
      <w:proofErr w:type="spellEnd"/>
      <w:r w:rsidRPr="00581966">
        <w:rPr>
          <w:i/>
          <w:sz w:val="24"/>
          <w:szCs w:val="24"/>
          <w:vertAlign w:val="subscript"/>
        </w:rPr>
        <w:t> </w:t>
      </w:r>
      <w:r w:rsidRPr="00581966">
        <w:rPr>
          <w:sz w:val="24"/>
          <w:szCs w:val="24"/>
        </w:rPr>
        <w:t>&gt; 0</w:t>
      </w:r>
      <w:r w:rsidR="00A544F6" w:rsidRPr="00581966">
        <w:rPr>
          <w:sz w:val="24"/>
          <w:szCs w:val="24"/>
        </w:rPr>
        <w:t>.3</w:t>
      </w:r>
      <w:r w:rsidRPr="00581966">
        <w:rPr>
          <w:sz w:val="24"/>
          <w:szCs w:val="24"/>
        </w:rPr>
        <w:t>) corresponds to the highest values of the neutron flux.</w:t>
      </w:r>
    </w:p>
    <w:p w14:paraId="4A188C74" w14:textId="5F7328B2" w:rsidR="00216EAA" w:rsidRPr="00581966" w:rsidRDefault="000F2172">
      <w:pPr>
        <w:spacing w:line="276" w:lineRule="auto"/>
        <w:ind w:firstLine="284"/>
        <w:jc w:val="both"/>
        <w:rPr>
          <w:sz w:val="24"/>
          <w:szCs w:val="24"/>
        </w:rPr>
      </w:pPr>
      <w:r w:rsidRPr="00581966">
        <w:rPr>
          <w:sz w:val="24"/>
          <w:szCs w:val="24"/>
        </w:rPr>
        <w:t>The required Т inventory at the facility site (in the fuel cycle system) for Т and D</w:t>
      </w:r>
      <w:r w:rsidR="006636B4" w:rsidRPr="00581966">
        <w:rPr>
          <w:sz w:val="24"/>
          <w:szCs w:val="24"/>
        </w:rPr>
        <w:t xml:space="preserve"> </w:t>
      </w:r>
      <w:r w:rsidRPr="00581966">
        <w:rPr>
          <w:sz w:val="24"/>
          <w:szCs w:val="24"/>
        </w:rPr>
        <w:t xml:space="preserve">beams </w:t>
      </w:r>
      <w:r w:rsidR="006636B4" w:rsidRPr="00581966">
        <w:rPr>
          <w:sz w:val="24"/>
          <w:szCs w:val="24"/>
        </w:rPr>
        <w:t xml:space="preserve">is </w:t>
      </w:r>
      <w:r w:rsidRPr="00581966">
        <w:rPr>
          <w:sz w:val="24"/>
          <w:szCs w:val="24"/>
        </w:rPr>
        <w:t xml:space="preserve">calculated for </w:t>
      </w:r>
      <w:r w:rsidR="006636B4" w:rsidRPr="00581966">
        <w:rPr>
          <w:sz w:val="24"/>
          <w:szCs w:val="24"/>
        </w:rPr>
        <w:t xml:space="preserve">the </w:t>
      </w:r>
      <w:r w:rsidRPr="00581966">
        <w:rPr>
          <w:sz w:val="24"/>
          <w:szCs w:val="24"/>
        </w:rPr>
        <w:t xml:space="preserve">regimes with the maximum neutron yield. The total </w:t>
      </w:r>
      <w:r w:rsidR="006636B4" w:rsidRPr="00581966">
        <w:rPr>
          <w:sz w:val="24"/>
          <w:szCs w:val="24"/>
        </w:rPr>
        <w:t>T</w:t>
      </w:r>
      <w:r w:rsidR="006636B4" w:rsidRPr="00581966">
        <w:rPr>
          <w:sz w:val="24"/>
          <w:szCs w:val="24"/>
          <w:vertAlign w:val="subscript"/>
        </w:rPr>
        <w:t>2</w:t>
      </w:r>
      <w:r w:rsidR="006636B4" w:rsidRPr="00581966">
        <w:rPr>
          <w:sz w:val="24"/>
          <w:szCs w:val="24"/>
        </w:rPr>
        <w:t xml:space="preserve"> </w:t>
      </w:r>
      <w:r w:rsidRPr="00581966">
        <w:rPr>
          <w:sz w:val="24"/>
          <w:szCs w:val="24"/>
        </w:rPr>
        <w:t xml:space="preserve">amount in the FC of the facility </w:t>
      </w:r>
      <w:r w:rsidR="006636B4" w:rsidRPr="00581966">
        <w:rPr>
          <w:sz w:val="24"/>
          <w:szCs w:val="24"/>
        </w:rPr>
        <w:t>is,</w:t>
      </w:r>
      <w:r w:rsidRPr="00581966">
        <w:rPr>
          <w:sz w:val="24"/>
          <w:szCs w:val="24"/>
        </w:rPr>
        <w:t xml:space="preserve"> in all </w:t>
      </w:r>
      <w:r w:rsidR="006636B4" w:rsidRPr="00581966">
        <w:rPr>
          <w:sz w:val="24"/>
          <w:szCs w:val="24"/>
        </w:rPr>
        <w:t xml:space="preserve">the cases </w:t>
      </w:r>
      <w:r w:rsidRPr="00581966">
        <w:rPr>
          <w:sz w:val="24"/>
          <w:szCs w:val="24"/>
        </w:rPr>
        <w:t>considered</w:t>
      </w:r>
      <w:r w:rsidR="006636B4" w:rsidRPr="00581966">
        <w:rPr>
          <w:sz w:val="24"/>
          <w:szCs w:val="24"/>
        </w:rPr>
        <w:t>,</w:t>
      </w:r>
      <w:r w:rsidRPr="00581966">
        <w:rPr>
          <w:sz w:val="24"/>
          <w:szCs w:val="24"/>
        </w:rPr>
        <w:t xml:space="preserve"> </w:t>
      </w:r>
      <w:r w:rsidR="00D00E7F" w:rsidRPr="00581966">
        <w:rPr>
          <w:sz w:val="24"/>
          <w:szCs w:val="24"/>
        </w:rPr>
        <w:t>in the range of 150-250 g</w:t>
      </w:r>
      <w:r w:rsidRPr="00581966">
        <w:rPr>
          <w:sz w:val="24"/>
          <w:szCs w:val="24"/>
        </w:rPr>
        <w:t xml:space="preserve">, distributed </w:t>
      </w:r>
      <w:r w:rsidR="006636B4" w:rsidRPr="00581966">
        <w:rPr>
          <w:sz w:val="24"/>
          <w:szCs w:val="24"/>
        </w:rPr>
        <w:t xml:space="preserve">unevenly among </w:t>
      </w:r>
      <w:r w:rsidRPr="00581966">
        <w:rPr>
          <w:sz w:val="24"/>
          <w:szCs w:val="24"/>
        </w:rPr>
        <w:t>the FC systems (at the facility site) - see Table 1. FC systems optimization with the goal to reduce the Т inventory is a promising task that is not fully resolved</w:t>
      </w:r>
      <w:r w:rsidR="006636B4" w:rsidRPr="00581966">
        <w:rPr>
          <w:sz w:val="24"/>
          <w:szCs w:val="24"/>
        </w:rPr>
        <w:t xml:space="preserve"> yet</w:t>
      </w:r>
      <w:r w:rsidRPr="00581966">
        <w:rPr>
          <w:sz w:val="24"/>
          <w:szCs w:val="24"/>
        </w:rPr>
        <w:t>.</w:t>
      </w:r>
    </w:p>
    <w:p w14:paraId="2AD120F9" w14:textId="26B0C140" w:rsidR="00216EAA" w:rsidRPr="00581966" w:rsidRDefault="000F2172">
      <w:pPr>
        <w:pBdr>
          <w:top w:val="nil"/>
          <w:left w:val="nil"/>
          <w:bottom w:val="nil"/>
          <w:right w:val="nil"/>
          <w:between w:val="nil"/>
        </w:pBdr>
        <w:spacing w:before="280"/>
        <w:jc w:val="both"/>
        <w:rPr>
          <w:color w:val="000000"/>
          <w:sz w:val="24"/>
          <w:szCs w:val="24"/>
        </w:rPr>
      </w:pPr>
      <w:proofErr w:type="gramStart"/>
      <w:r w:rsidRPr="00581966">
        <w:rPr>
          <w:color w:val="000000"/>
          <w:sz w:val="24"/>
          <w:szCs w:val="24"/>
        </w:rPr>
        <w:t>TABLE 1.</w:t>
      </w:r>
      <w:proofErr w:type="gramEnd"/>
      <w:r w:rsidRPr="00581966">
        <w:rPr>
          <w:color w:val="000000"/>
          <w:sz w:val="24"/>
          <w:szCs w:val="24"/>
        </w:rPr>
        <w:tab/>
        <w:t xml:space="preserve">TRITIUM </w:t>
      </w:r>
      <w:r w:rsidR="006636B4" w:rsidRPr="00581966">
        <w:rPr>
          <w:color w:val="000000"/>
          <w:sz w:val="24"/>
          <w:szCs w:val="24"/>
        </w:rPr>
        <w:t xml:space="preserve">INVENTORY </w:t>
      </w:r>
      <w:r w:rsidRPr="00581966">
        <w:rPr>
          <w:color w:val="000000"/>
          <w:sz w:val="24"/>
          <w:szCs w:val="24"/>
        </w:rPr>
        <w:t xml:space="preserve">IN </w:t>
      </w:r>
      <w:r w:rsidR="006636B4" w:rsidRPr="00581966">
        <w:rPr>
          <w:color w:val="000000"/>
          <w:sz w:val="24"/>
          <w:szCs w:val="24"/>
        </w:rPr>
        <w:t xml:space="preserve">DIFFERENT </w:t>
      </w:r>
      <w:r w:rsidRPr="00581966">
        <w:rPr>
          <w:color w:val="000000"/>
          <w:sz w:val="24"/>
          <w:szCs w:val="24"/>
        </w:rPr>
        <w:t xml:space="preserve">FC SYSTEMS AND THE TOTAL INVENTORY FOR VARIOUS NBI GAS </w:t>
      </w:r>
      <w:r w:rsidR="006636B4" w:rsidRPr="00581966">
        <w:rPr>
          <w:color w:val="000000"/>
          <w:sz w:val="24"/>
          <w:szCs w:val="24"/>
        </w:rPr>
        <w:t xml:space="preserve">SUPLY </w:t>
      </w:r>
      <w:r w:rsidRPr="00581966">
        <w:rPr>
          <w:color w:val="000000"/>
          <w:sz w:val="24"/>
          <w:szCs w:val="24"/>
        </w:rPr>
        <w:t>SCENARIOS (in gram)</w:t>
      </w:r>
    </w:p>
    <w:p w14:paraId="33EABA56" w14:textId="77777777" w:rsidR="00216EAA" w:rsidRPr="00581966" w:rsidRDefault="00216EAA">
      <w:pPr>
        <w:pBdr>
          <w:top w:val="nil"/>
          <w:left w:val="nil"/>
          <w:bottom w:val="nil"/>
          <w:right w:val="nil"/>
          <w:between w:val="nil"/>
        </w:pBdr>
        <w:ind w:firstLine="567"/>
        <w:jc w:val="both"/>
        <w:rPr>
          <w:color w:val="000000"/>
          <w:sz w:val="24"/>
          <w:szCs w:val="24"/>
        </w:rPr>
      </w:pPr>
    </w:p>
    <w:tbl>
      <w:tblPr>
        <w:tblStyle w:val="a5"/>
        <w:tblW w:w="8744"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010"/>
        <w:gridCol w:w="965"/>
        <w:gridCol w:w="1142"/>
        <w:gridCol w:w="2268"/>
        <w:gridCol w:w="1359"/>
      </w:tblGrid>
      <w:tr w:rsidR="00216EAA" w:rsidRPr="00581966" w14:paraId="4356A8C5" w14:textId="77777777" w:rsidTr="00F356E3">
        <w:trPr>
          <w:jc w:val="center"/>
        </w:trPr>
        <w:tc>
          <w:tcPr>
            <w:tcW w:w="3010" w:type="dxa"/>
            <w:tcBorders>
              <w:top w:val="single" w:sz="4" w:space="0" w:color="000000"/>
              <w:bottom w:val="single" w:sz="4" w:space="0" w:color="000000"/>
            </w:tcBorders>
          </w:tcPr>
          <w:p w14:paraId="4EFB52D4" w14:textId="77777777" w:rsidR="00216EAA" w:rsidRPr="00581966" w:rsidRDefault="000F2172">
            <w:pPr>
              <w:pBdr>
                <w:top w:val="nil"/>
                <w:left w:val="nil"/>
                <w:bottom w:val="nil"/>
                <w:right w:val="nil"/>
                <w:between w:val="nil"/>
              </w:pBdr>
              <w:jc w:val="both"/>
              <w:rPr>
                <w:color w:val="000000"/>
              </w:rPr>
            </w:pPr>
            <w:r w:rsidRPr="00581966">
              <w:rPr>
                <w:color w:val="000000"/>
              </w:rPr>
              <w:t xml:space="preserve">Beam isotope composition </w:t>
            </w:r>
          </w:p>
        </w:tc>
        <w:tc>
          <w:tcPr>
            <w:tcW w:w="965" w:type="dxa"/>
            <w:tcBorders>
              <w:top w:val="single" w:sz="4" w:space="0" w:color="000000"/>
              <w:bottom w:val="single" w:sz="4" w:space="0" w:color="000000"/>
            </w:tcBorders>
          </w:tcPr>
          <w:p w14:paraId="1AA563D6" w14:textId="77777777" w:rsidR="00216EAA" w:rsidRPr="00581966" w:rsidRDefault="000F2172">
            <w:pPr>
              <w:pBdr>
                <w:top w:val="nil"/>
                <w:left w:val="nil"/>
                <w:bottom w:val="nil"/>
                <w:right w:val="nil"/>
                <w:between w:val="nil"/>
              </w:pBdr>
              <w:jc w:val="center"/>
              <w:rPr>
                <w:color w:val="000000"/>
              </w:rPr>
            </w:pPr>
            <w:r w:rsidRPr="00581966">
              <w:rPr>
                <w:color w:val="000000"/>
              </w:rPr>
              <w:t>Tritium plant, g</w:t>
            </w:r>
          </w:p>
        </w:tc>
        <w:tc>
          <w:tcPr>
            <w:tcW w:w="1142" w:type="dxa"/>
            <w:tcBorders>
              <w:top w:val="single" w:sz="4" w:space="0" w:color="000000"/>
              <w:bottom w:val="single" w:sz="4" w:space="0" w:color="000000"/>
            </w:tcBorders>
          </w:tcPr>
          <w:p w14:paraId="55F3D3E5" w14:textId="77777777" w:rsidR="00216EAA" w:rsidRPr="00581966" w:rsidRDefault="000F2172">
            <w:pPr>
              <w:pBdr>
                <w:top w:val="nil"/>
                <w:left w:val="nil"/>
                <w:bottom w:val="nil"/>
                <w:right w:val="nil"/>
                <w:between w:val="nil"/>
              </w:pBdr>
              <w:jc w:val="center"/>
              <w:rPr>
                <w:color w:val="000000"/>
              </w:rPr>
            </w:pPr>
            <w:r w:rsidRPr="00581966">
              <w:rPr>
                <w:color w:val="000000"/>
              </w:rPr>
              <w:t>NBI-system, g</w:t>
            </w:r>
          </w:p>
        </w:tc>
        <w:tc>
          <w:tcPr>
            <w:tcW w:w="2268" w:type="dxa"/>
            <w:tcBorders>
              <w:top w:val="single" w:sz="4" w:space="0" w:color="000000"/>
              <w:bottom w:val="single" w:sz="4" w:space="0" w:color="000000"/>
            </w:tcBorders>
          </w:tcPr>
          <w:p w14:paraId="0614D927" w14:textId="77777777" w:rsidR="00216EAA" w:rsidRPr="00581966" w:rsidRDefault="000F2172">
            <w:pPr>
              <w:pBdr>
                <w:top w:val="nil"/>
                <w:left w:val="nil"/>
                <w:bottom w:val="nil"/>
                <w:right w:val="nil"/>
                <w:between w:val="nil"/>
              </w:pBdr>
              <w:jc w:val="center"/>
              <w:rPr>
                <w:color w:val="000000"/>
              </w:rPr>
            </w:pPr>
            <w:r w:rsidRPr="00581966">
              <w:rPr>
                <w:color w:val="000000"/>
              </w:rPr>
              <w:t>Fueling systems and vacuum chamber, g</w:t>
            </w:r>
          </w:p>
        </w:tc>
        <w:tc>
          <w:tcPr>
            <w:tcW w:w="1359" w:type="dxa"/>
            <w:tcBorders>
              <w:top w:val="single" w:sz="4" w:space="0" w:color="000000"/>
              <w:bottom w:val="single" w:sz="4" w:space="0" w:color="000000"/>
            </w:tcBorders>
          </w:tcPr>
          <w:p w14:paraId="68DB624A" w14:textId="77777777" w:rsidR="00216EAA" w:rsidRPr="00581966" w:rsidRDefault="000F2172">
            <w:pPr>
              <w:pBdr>
                <w:top w:val="nil"/>
                <w:left w:val="nil"/>
                <w:bottom w:val="nil"/>
                <w:right w:val="nil"/>
                <w:between w:val="nil"/>
              </w:pBdr>
              <w:jc w:val="center"/>
              <w:rPr>
                <w:color w:val="000000"/>
              </w:rPr>
            </w:pPr>
            <w:r w:rsidRPr="00581966">
              <w:rPr>
                <w:color w:val="000000"/>
              </w:rPr>
              <w:t>Total inventory, g</w:t>
            </w:r>
          </w:p>
        </w:tc>
      </w:tr>
      <w:tr w:rsidR="00216EAA" w:rsidRPr="00581966" w14:paraId="4E7CCC6A" w14:textId="77777777" w:rsidTr="00F356E3">
        <w:trPr>
          <w:jc w:val="center"/>
        </w:trPr>
        <w:tc>
          <w:tcPr>
            <w:tcW w:w="3010" w:type="dxa"/>
            <w:tcBorders>
              <w:top w:val="single" w:sz="4" w:space="0" w:color="000000"/>
              <w:bottom w:val="nil"/>
            </w:tcBorders>
          </w:tcPr>
          <w:p w14:paraId="6E955904" w14:textId="77777777" w:rsidR="00216EAA" w:rsidRPr="00581966" w:rsidRDefault="000F2172">
            <w:pPr>
              <w:pBdr>
                <w:top w:val="nil"/>
                <w:left w:val="nil"/>
                <w:bottom w:val="nil"/>
                <w:right w:val="nil"/>
                <w:between w:val="nil"/>
              </w:pBdr>
              <w:jc w:val="both"/>
              <w:rPr>
                <w:color w:val="000000"/>
              </w:rPr>
            </w:pPr>
            <w:r w:rsidRPr="00581966">
              <w:rPr>
                <w:color w:val="000000"/>
              </w:rPr>
              <w:t>D+T (current FC architecture)</w:t>
            </w:r>
          </w:p>
        </w:tc>
        <w:tc>
          <w:tcPr>
            <w:tcW w:w="965" w:type="dxa"/>
            <w:tcBorders>
              <w:top w:val="single" w:sz="4" w:space="0" w:color="000000"/>
              <w:bottom w:val="nil"/>
            </w:tcBorders>
          </w:tcPr>
          <w:p w14:paraId="7284EB48" w14:textId="77777777" w:rsidR="00216EAA" w:rsidRPr="00581966" w:rsidRDefault="000F2172">
            <w:pPr>
              <w:pBdr>
                <w:top w:val="nil"/>
                <w:left w:val="nil"/>
                <w:bottom w:val="nil"/>
                <w:right w:val="nil"/>
                <w:between w:val="nil"/>
              </w:pBdr>
              <w:jc w:val="center"/>
              <w:rPr>
                <w:color w:val="000000"/>
              </w:rPr>
            </w:pPr>
            <w:r w:rsidRPr="00581966">
              <w:rPr>
                <w:color w:val="000000"/>
              </w:rPr>
              <w:t>25</w:t>
            </w:r>
          </w:p>
        </w:tc>
        <w:tc>
          <w:tcPr>
            <w:tcW w:w="1142" w:type="dxa"/>
            <w:tcBorders>
              <w:top w:val="single" w:sz="4" w:space="0" w:color="000000"/>
              <w:bottom w:val="nil"/>
            </w:tcBorders>
          </w:tcPr>
          <w:p w14:paraId="70431AAC" w14:textId="77777777" w:rsidR="00216EAA" w:rsidRPr="00581966" w:rsidRDefault="000F2172">
            <w:pPr>
              <w:pBdr>
                <w:top w:val="nil"/>
                <w:left w:val="nil"/>
                <w:bottom w:val="nil"/>
                <w:right w:val="nil"/>
                <w:between w:val="nil"/>
              </w:pBdr>
              <w:jc w:val="center"/>
              <w:rPr>
                <w:color w:val="000000"/>
              </w:rPr>
            </w:pPr>
            <w:r w:rsidRPr="00581966">
              <w:rPr>
                <w:color w:val="000000"/>
              </w:rPr>
              <w:t>20</w:t>
            </w:r>
          </w:p>
        </w:tc>
        <w:tc>
          <w:tcPr>
            <w:tcW w:w="2268" w:type="dxa"/>
            <w:tcBorders>
              <w:top w:val="single" w:sz="4" w:space="0" w:color="000000"/>
              <w:bottom w:val="nil"/>
            </w:tcBorders>
          </w:tcPr>
          <w:p w14:paraId="59631984" w14:textId="77777777" w:rsidR="00216EAA" w:rsidRPr="00581966" w:rsidRDefault="000F2172">
            <w:pPr>
              <w:pBdr>
                <w:top w:val="nil"/>
                <w:left w:val="nil"/>
                <w:bottom w:val="nil"/>
                <w:right w:val="nil"/>
                <w:between w:val="nil"/>
              </w:pBdr>
              <w:jc w:val="center"/>
              <w:rPr>
                <w:color w:val="000000"/>
              </w:rPr>
            </w:pPr>
            <w:r w:rsidRPr="00581966">
              <w:rPr>
                <w:color w:val="000000"/>
              </w:rPr>
              <w:t>180</w:t>
            </w:r>
          </w:p>
        </w:tc>
        <w:tc>
          <w:tcPr>
            <w:tcW w:w="1359" w:type="dxa"/>
            <w:tcBorders>
              <w:top w:val="single" w:sz="4" w:space="0" w:color="000000"/>
              <w:bottom w:val="nil"/>
            </w:tcBorders>
          </w:tcPr>
          <w:p w14:paraId="49D6BF7C" w14:textId="77777777" w:rsidR="00216EAA" w:rsidRPr="00581966" w:rsidRDefault="000F2172">
            <w:pPr>
              <w:pBdr>
                <w:top w:val="nil"/>
                <w:left w:val="nil"/>
                <w:bottom w:val="nil"/>
                <w:right w:val="nil"/>
                <w:between w:val="nil"/>
              </w:pBdr>
              <w:jc w:val="center"/>
              <w:rPr>
                <w:color w:val="000000"/>
              </w:rPr>
            </w:pPr>
            <w:r w:rsidRPr="00581966">
              <w:rPr>
                <w:color w:val="000000"/>
              </w:rPr>
              <w:t>180-220</w:t>
            </w:r>
          </w:p>
        </w:tc>
      </w:tr>
      <w:tr w:rsidR="00216EAA" w:rsidRPr="00581966" w14:paraId="16902C37" w14:textId="77777777" w:rsidTr="00F356E3">
        <w:trPr>
          <w:jc w:val="center"/>
        </w:trPr>
        <w:tc>
          <w:tcPr>
            <w:tcW w:w="3010" w:type="dxa"/>
            <w:tcBorders>
              <w:top w:val="nil"/>
              <w:bottom w:val="nil"/>
            </w:tcBorders>
          </w:tcPr>
          <w:p w14:paraId="24BAEC94" w14:textId="77777777" w:rsidR="00216EAA" w:rsidRPr="00581966" w:rsidRDefault="000F2172">
            <w:pPr>
              <w:pBdr>
                <w:top w:val="nil"/>
                <w:left w:val="nil"/>
                <w:bottom w:val="nil"/>
                <w:right w:val="nil"/>
                <w:between w:val="nil"/>
              </w:pBdr>
              <w:jc w:val="both"/>
              <w:rPr>
                <w:color w:val="000000"/>
              </w:rPr>
            </w:pPr>
            <w:r w:rsidRPr="00581966">
              <w:rPr>
                <w:color w:val="000000"/>
              </w:rPr>
              <w:t>D (current FC architecture)</w:t>
            </w:r>
          </w:p>
        </w:tc>
        <w:tc>
          <w:tcPr>
            <w:tcW w:w="965" w:type="dxa"/>
            <w:tcBorders>
              <w:top w:val="nil"/>
              <w:bottom w:val="nil"/>
            </w:tcBorders>
          </w:tcPr>
          <w:p w14:paraId="3212BD16" w14:textId="77777777" w:rsidR="00216EAA" w:rsidRPr="00581966" w:rsidRDefault="000F2172">
            <w:pPr>
              <w:pBdr>
                <w:top w:val="nil"/>
                <w:left w:val="nil"/>
                <w:bottom w:val="nil"/>
                <w:right w:val="nil"/>
                <w:between w:val="nil"/>
              </w:pBdr>
              <w:jc w:val="center"/>
              <w:rPr>
                <w:color w:val="000000"/>
              </w:rPr>
            </w:pPr>
            <w:r w:rsidRPr="00581966">
              <w:rPr>
                <w:color w:val="000000"/>
              </w:rPr>
              <w:t>30</w:t>
            </w:r>
          </w:p>
        </w:tc>
        <w:tc>
          <w:tcPr>
            <w:tcW w:w="1142" w:type="dxa"/>
            <w:tcBorders>
              <w:top w:val="nil"/>
              <w:bottom w:val="nil"/>
            </w:tcBorders>
          </w:tcPr>
          <w:p w14:paraId="13ECCE3C" w14:textId="77777777" w:rsidR="00216EAA" w:rsidRPr="00581966" w:rsidRDefault="000F2172">
            <w:pPr>
              <w:pBdr>
                <w:top w:val="nil"/>
                <w:left w:val="nil"/>
                <w:bottom w:val="nil"/>
                <w:right w:val="nil"/>
                <w:between w:val="nil"/>
              </w:pBdr>
              <w:jc w:val="center"/>
              <w:rPr>
                <w:color w:val="000000"/>
              </w:rPr>
            </w:pPr>
            <w:r w:rsidRPr="00581966">
              <w:rPr>
                <w:color w:val="000000"/>
              </w:rPr>
              <w:t>0</w:t>
            </w:r>
          </w:p>
        </w:tc>
        <w:tc>
          <w:tcPr>
            <w:tcW w:w="2268" w:type="dxa"/>
            <w:tcBorders>
              <w:top w:val="nil"/>
              <w:bottom w:val="nil"/>
            </w:tcBorders>
          </w:tcPr>
          <w:p w14:paraId="7EB09415" w14:textId="77777777" w:rsidR="00216EAA" w:rsidRPr="00581966" w:rsidRDefault="000F2172">
            <w:pPr>
              <w:pBdr>
                <w:top w:val="nil"/>
                <w:left w:val="nil"/>
                <w:bottom w:val="nil"/>
                <w:right w:val="nil"/>
                <w:between w:val="nil"/>
              </w:pBdr>
              <w:jc w:val="center"/>
              <w:rPr>
                <w:color w:val="000000"/>
              </w:rPr>
            </w:pPr>
            <w:r w:rsidRPr="00581966">
              <w:rPr>
                <w:color w:val="000000"/>
              </w:rPr>
              <w:t>160</w:t>
            </w:r>
          </w:p>
        </w:tc>
        <w:tc>
          <w:tcPr>
            <w:tcW w:w="1359" w:type="dxa"/>
            <w:tcBorders>
              <w:top w:val="nil"/>
              <w:bottom w:val="nil"/>
            </w:tcBorders>
          </w:tcPr>
          <w:p w14:paraId="572DE3FC" w14:textId="77777777" w:rsidR="00216EAA" w:rsidRPr="00581966" w:rsidRDefault="000F2172">
            <w:pPr>
              <w:pBdr>
                <w:top w:val="nil"/>
                <w:left w:val="nil"/>
                <w:bottom w:val="nil"/>
                <w:right w:val="nil"/>
                <w:between w:val="nil"/>
              </w:pBdr>
              <w:jc w:val="center"/>
              <w:rPr>
                <w:color w:val="000000"/>
              </w:rPr>
            </w:pPr>
            <w:r w:rsidRPr="00581966">
              <w:rPr>
                <w:color w:val="000000"/>
              </w:rPr>
              <w:t>160-190</w:t>
            </w:r>
          </w:p>
        </w:tc>
      </w:tr>
      <w:tr w:rsidR="00216EAA" w:rsidRPr="00581966" w14:paraId="4FAB2708" w14:textId="77777777" w:rsidTr="00F356E3">
        <w:trPr>
          <w:jc w:val="center"/>
        </w:trPr>
        <w:tc>
          <w:tcPr>
            <w:tcW w:w="3010" w:type="dxa"/>
            <w:tcBorders>
              <w:top w:val="nil"/>
              <w:bottom w:val="nil"/>
            </w:tcBorders>
          </w:tcPr>
          <w:p w14:paraId="33FD0283" w14:textId="77777777" w:rsidR="00216EAA" w:rsidRPr="00581966" w:rsidRDefault="000F2172">
            <w:pPr>
              <w:pBdr>
                <w:top w:val="nil"/>
                <w:left w:val="nil"/>
                <w:bottom w:val="nil"/>
                <w:right w:val="nil"/>
                <w:between w:val="nil"/>
              </w:pBdr>
              <w:jc w:val="both"/>
              <w:rPr>
                <w:color w:val="000000"/>
              </w:rPr>
            </w:pPr>
            <w:r w:rsidRPr="00581966">
              <w:rPr>
                <w:color w:val="000000"/>
              </w:rPr>
              <w:t>D (full exhaust separation)</w:t>
            </w:r>
          </w:p>
        </w:tc>
        <w:tc>
          <w:tcPr>
            <w:tcW w:w="965" w:type="dxa"/>
            <w:tcBorders>
              <w:top w:val="nil"/>
              <w:bottom w:val="nil"/>
            </w:tcBorders>
          </w:tcPr>
          <w:p w14:paraId="0C562ED7" w14:textId="77777777" w:rsidR="00216EAA" w:rsidRPr="00581966" w:rsidRDefault="000F2172">
            <w:pPr>
              <w:pBdr>
                <w:top w:val="nil"/>
                <w:left w:val="nil"/>
                <w:bottom w:val="nil"/>
                <w:right w:val="nil"/>
                <w:between w:val="nil"/>
              </w:pBdr>
              <w:jc w:val="center"/>
              <w:rPr>
                <w:color w:val="000000"/>
              </w:rPr>
            </w:pPr>
            <w:r w:rsidRPr="00581966">
              <w:rPr>
                <w:color w:val="000000"/>
              </w:rPr>
              <w:t>35</w:t>
            </w:r>
          </w:p>
        </w:tc>
        <w:tc>
          <w:tcPr>
            <w:tcW w:w="1142" w:type="dxa"/>
            <w:tcBorders>
              <w:top w:val="nil"/>
              <w:bottom w:val="nil"/>
            </w:tcBorders>
          </w:tcPr>
          <w:p w14:paraId="614F9A03" w14:textId="77777777" w:rsidR="00216EAA" w:rsidRPr="00581966" w:rsidRDefault="000F2172">
            <w:pPr>
              <w:pBdr>
                <w:top w:val="nil"/>
                <w:left w:val="nil"/>
                <w:bottom w:val="nil"/>
                <w:right w:val="nil"/>
                <w:between w:val="nil"/>
              </w:pBdr>
              <w:jc w:val="center"/>
              <w:rPr>
                <w:color w:val="000000"/>
              </w:rPr>
            </w:pPr>
            <w:r w:rsidRPr="00581966">
              <w:rPr>
                <w:color w:val="000000"/>
              </w:rPr>
              <w:t>0</w:t>
            </w:r>
          </w:p>
        </w:tc>
        <w:tc>
          <w:tcPr>
            <w:tcW w:w="2268" w:type="dxa"/>
            <w:tcBorders>
              <w:top w:val="nil"/>
              <w:bottom w:val="nil"/>
            </w:tcBorders>
          </w:tcPr>
          <w:p w14:paraId="45D44FDD" w14:textId="77777777" w:rsidR="00216EAA" w:rsidRPr="00581966" w:rsidRDefault="000F2172">
            <w:pPr>
              <w:pBdr>
                <w:top w:val="nil"/>
                <w:left w:val="nil"/>
                <w:bottom w:val="nil"/>
                <w:right w:val="nil"/>
                <w:between w:val="nil"/>
              </w:pBdr>
              <w:jc w:val="center"/>
              <w:rPr>
                <w:color w:val="000000"/>
              </w:rPr>
            </w:pPr>
            <w:r w:rsidRPr="00581966">
              <w:rPr>
                <w:color w:val="000000"/>
              </w:rPr>
              <w:t>180</w:t>
            </w:r>
          </w:p>
        </w:tc>
        <w:tc>
          <w:tcPr>
            <w:tcW w:w="1359" w:type="dxa"/>
            <w:tcBorders>
              <w:top w:val="nil"/>
              <w:bottom w:val="nil"/>
            </w:tcBorders>
          </w:tcPr>
          <w:p w14:paraId="7D08A4E7" w14:textId="77777777" w:rsidR="00216EAA" w:rsidRPr="00581966" w:rsidRDefault="000F2172">
            <w:pPr>
              <w:pBdr>
                <w:top w:val="nil"/>
                <w:left w:val="nil"/>
                <w:bottom w:val="nil"/>
                <w:right w:val="nil"/>
                <w:between w:val="nil"/>
              </w:pBdr>
              <w:jc w:val="center"/>
              <w:rPr>
                <w:color w:val="000000"/>
              </w:rPr>
            </w:pPr>
            <w:r w:rsidRPr="00581966">
              <w:rPr>
                <w:color w:val="000000"/>
              </w:rPr>
              <w:t>215</w:t>
            </w:r>
          </w:p>
        </w:tc>
      </w:tr>
      <w:tr w:rsidR="00216EAA" w:rsidRPr="00581966" w14:paraId="7164A98A" w14:textId="77777777" w:rsidTr="00F356E3">
        <w:trPr>
          <w:jc w:val="center"/>
        </w:trPr>
        <w:tc>
          <w:tcPr>
            <w:tcW w:w="3010" w:type="dxa"/>
            <w:tcBorders>
              <w:top w:val="nil"/>
              <w:bottom w:val="nil"/>
            </w:tcBorders>
          </w:tcPr>
          <w:p w14:paraId="74053425" w14:textId="77777777" w:rsidR="00216EAA" w:rsidRPr="00581966" w:rsidRDefault="000F2172">
            <w:pPr>
              <w:pBdr>
                <w:top w:val="nil"/>
                <w:left w:val="nil"/>
                <w:bottom w:val="nil"/>
                <w:right w:val="nil"/>
                <w:between w:val="nil"/>
              </w:pBdr>
              <w:jc w:val="both"/>
              <w:rPr>
                <w:color w:val="000000"/>
              </w:rPr>
            </w:pPr>
            <w:r w:rsidRPr="00581966">
              <w:rPr>
                <w:color w:val="000000"/>
              </w:rPr>
              <w:t>T (current FC architecture)</w:t>
            </w:r>
          </w:p>
        </w:tc>
        <w:tc>
          <w:tcPr>
            <w:tcW w:w="965" w:type="dxa"/>
            <w:tcBorders>
              <w:top w:val="nil"/>
              <w:bottom w:val="nil"/>
            </w:tcBorders>
          </w:tcPr>
          <w:p w14:paraId="06AE7245" w14:textId="77777777" w:rsidR="00216EAA" w:rsidRPr="00581966" w:rsidRDefault="000F2172">
            <w:pPr>
              <w:pBdr>
                <w:top w:val="nil"/>
                <w:left w:val="nil"/>
                <w:bottom w:val="nil"/>
                <w:right w:val="nil"/>
                <w:between w:val="nil"/>
              </w:pBdr>
              <w:jc w:val="center"/>
              <w:rPr>
                <w:color w:val="000000"/>
              </w:rPr>
            </w:pPr>
            <w:r w:rsidRPr="00581966">
              <w:rPr>
                <w:color w:val="000000"/>
              </w:rPr>
              <w:t>40</w:t>
            </w:r>
          </w:p>
        </w:tc>
        <w:tc>
          <w:tcPr>
            <w:tcW w:w="1142" w:type="dxa"/>
            <w:tcBorders>
              <w:top w:val="nil"/>
              <w:bottom w:val="nil"/>
            </w:tcBorders>
          </w:tcPr>
          <w:p w14:paraId="6D627A3C" w14:textId="77777777" w:rsidR="00216EAA" w:rsidRPr="00581966" w:rsidRDefault="000F2172">
            <w:pPr>
              <w:pBdr>
                <w:top w:val="nil"/>
                <w:left w:val="nil"/>
                <w:bottom w:val="nil"/>
                <w:right w:val="nil"/>
                <w:between w:val="nil"/>
              </w:pBdr>
              <w:jc w:val="center"/>
              <w:rPr>
                <w:color w:val="000000"/>
              </w:rPr>
            </w:pPr>
            <w:r w:rsidRPr="00581966">
              <w:rPr>
                <w:color w:val="000000"/>
              </w:rPr>
              <w:t>40</w:t>
            </w:r>
          </w:p>
        </w:tc>
        <w:tc>
          <w:tcPr>
            <w:tcW w:w="2268" w:type="dxa"/>
            <w:tcBorders>
              <w:top w:val="nil"/>
              <w:bottom w:val="nil"/>
            </w:tcBorders>
          </w:tcPr>
          <w:p w14:paraId="75F84056" w14:textId="77777777" w:rsidR="00216EAA" w:rsidRPr="00581966" w:rsidRDefault="000F2172">
            <w:pPr>
              <w:pBdr>
                <w:top w:val="nil"/>
                <w:left w:val="nil"/>
                <w:bottom w:val="nil"/>
                <w:right w:val="nil"/>
                <w:between w:val="nil"/>
              </w:pBdr>
              <w:jc w:val="center"/>
              <w:rPr>
                <w:color w:val="000000"/>
              </w:rPr>
            </w:pPr>
            <w:r w:rsidRPr="00581966">
              <w:rPr>
                <w:color w:val="000000"/>
              </w:rPr>
              <w:t>40</w:t>
            </w:r>
          </w:p>
        </w:tc>
        <w:tc>
          <w:tcPr>
            <w:tcW w:w="1359" w:type="dxa"/>
            <w:tcBorders>
              <w:top w:val="nil"/>
              <w:bottom w:val="nil"/>
            </w:tcBorders>
          </w:tcPr>
          <w:p w14:paraId="4FC91CDA" w14:textId="77777777" w:rsidR="00216EAA" w:rsidRPr="00581966" w:rsidRDefault="000F2172">
            <w:pPr>
              <w:pBdr>
                <w:top w:val="nil"/>
                <w:left w:val="nil"/>
                <w:bottom w:val="nil"/>
                <w:right w:val="nil"/>
                <w:between w:val="nil"/>
              </w:pBdr>
              <w:jc w:val="center"/>
              <w:rPr>
                <w:color w:val="000000"/>
              </w:rPr>
            </w:pPr>
            <w:r w:rsidRPr="00581966">
              <w:rPr>
                <w:color w:val="000000"/>
              </w:rPr>
              <w:t>145-170</w:t>
            </w:r>
          </w:p>
        </w:tc>
      </w:tr>
      <w:tr w:rsidR="00216EAA" w:rsidRPr="00581966" w14:paraId="2D53416B" w14:textId="77777777" w:rsidTr="00F356E3">
        <w:trPr>
          <w:jc w:val="center"/>
        </w:trPr>
        <w:tc>
          <w:tcPr>
            <w:tcW w:w="3010" w:type="dxa"/>
            <w:tcBorders>
              <w:top w:val="nil"/>
              <w:bottom w:val="nil"/>
            </w:tcBorders>
          </w:tcPr>
          <w:p w14:paraId="3DC904E0" w14:textId="77777777" w:rsidR="00216EAA" w:rsidRPr="00581966" w:rsidRDefault="000F2172">
            <w:pPr>
              <w:pBdr>
                <w:top w:val="nil"/>
                <w:left w:val="nil"/>
                <w:bottom w:val="nil"/>
                <w:right w:val="nil"/>
                <w:between w:val="nil"/>
              </w:pBdr>
              <w:jc w:val="both"/>
              <w:rPr>
                <w:color w:val="000000"/>
              </w:rPr>
            </w:pPr>
            <w:r w:rsidRPr="00581966">
              <w:rPr>
                <w:color w:val="000000"/>
              </w:rPr>
              <w:t>T (full exhaust separation)</w:t>
            </w:r>
          </w:p>
        </w:tc>
        <w:tc>
          <w:tcPr>
            <w:tcW w:w="965" w:type="dxa"/>
            <w:tcBorders>
              <w:top w:val="nil"/>
              <w:bottom w:val="nil"/>
            </w:tcBorders>
          </w:tcPr>
          <w:p w14:paraId="63CCD506" w14:textId="77777777" w:rsidR="00216EAA" w:rsidRPr="00581966" w:rsidRDefault="000F2172">
            <w:pPr>
              <w:pBdr>
                <w:top w:val="nil"/>
                <w:left w:val="nil"/>
                <w:bottom w:val="nil"/>
                <w:right w:val="nil"/>
                <w:between w:val="nil"/>
              </w:pBdr>
              <w:jc w:val="center"/>
              <w:rPr>
                <w:color w:val="000000"/>
              </w:rPr>
            </w:pPr>
            <w:r w:rsidRPr="00581966">
              <w:rPr>
                <w:color w:val="000000"/>
              </w:rPr>
              <w:t>100</w:t>
            </w:r>
          </w:p>
        </w:tc>
        <w:tc>
          <w:tcPr>
            <w:tcW w:w="1142" w:type="dxa"/>
            <w:tcBorders>
              <w:top w:val="nil"/>
              <w:bottom w:val="nil"/>
            </w:tcBorders>
          </w:tcPr>
          <w:p w14:paraId="4415243E" w14:textId="77777777" w:rsidR="00216EAA" w:rsidRPr="00581966" w:rsidRDefault="000F2172">
            <w:pPr>
              <w:pBdr>
                <w:top w:val="nil"/>
                <w:left w:val="nil"/>
                <w:bottom w:val="nil"/>
                <w:right w:val="nil"/>
                <w:between w:val="nil"/>
              </w:pBdr>
              <w:jc w:val="center"/>
              <w:rPr>
                <w:color w:val="000000"/>
              </w:rPr>
            </w:pPr>
            <w:r w:rsidRPr="00581966">
              <w:rPr>
                <w:color w:val="000000"/>
              </w:rPr>
              <w:t>40</w:t>
            </w:r>
          </w:p>
        </w:tc>
        <w:tc>
          <w:tcPr>
            <w:tcW w:w="2268" w:type="dxa"/>
            <w:tcBorders>
              <w:top w:val="nil"/>
              <w:bottom w:val="nil"/>
            </w:tcBorders>
          </w:tcPr>
          <w:p w14:paraId="7A1C28ED" w14:textId="77777777" w:rsidR="00216EAA" w:rsidRPr="00581966" w:rsidRDefault="000F2172">
            <w:pPr>
              <w:pBdr>
                <w:top w:val="nil"/>
                <w:left w:val="nil"/>
                <w:bottom w:val="nil"/>
                <w:right w:val="nil"/>
                <w:between w:val="nil"/>
              </w:pBdr>
              <w:jc w:val="center"/>
              <w:rPr>
                <w:color w:val="000000"/>
              </w:rPr>
            </w:pPr>
            <w:r w:rsidRPr="00581966">
              <w:rPr>
                <w:color w:val="000000"/>
              </w:rPr>
              <w:t>30</w:t>
            </w:r>
          </w:p>
        </w:tc>
        <w:tc>
          <w:tcPr>
            <w:tcW w:w="1359" w:type="dxa"/>
            <w:tcBorders>
              <w:top w:val="nil"/>
              <w:bottom w:val="nil"/>
            </w:tcBorders>
          </w:tcPr>
          <w:p w14:paraId="255AF41A" w14:textId="77777777" w:rsidR="00216EAA" w:rsidRPr="00581966" w:rsidRDefault="000F2172">
            <w:pPr>
              <w:pBdr>
                <w:top w:val="nil"/>
                <w:left w:val="nil"/>
                <w:bottom w:val="nil"/>
                <w:right w:val="nil"/>
                <w:between w:val="nil"/>
              </w:pBdr>
              <w:jc w:val="center"/>
              <w:rPr>
                <w:color w:val="000000"/>
              </w:rPr>
            </w:pPr>
            <w:r w:rsidRPr="00581966">
              <w:rPr>
                <w:color w:val="000000"/>
              </w:rPr>
              <w:t>175</w:t>
            </w:r>
          </w:p>
        </w:tc>
      </w:tr>
      <w:tr w:rsidR="00216EAA" w:rsidRPr="00581966" w14:paraId="4D3914C3" w14:textId="77777777" w:rsidTr="00F356E3">
        <w:trPr>
          <w:jc w:val="center"/>
        </w:trPr>
        <w:tc>
          <w:tcPr>
            <w:tcW w:w="3010" w:type="dxa"/>
            <w:tcBorders>
              <w:top w:val="nil"/>
            </w:tcBorders>
          </w:tcPr>
          <w:p w14:paraId="6E0173A5" w14:textId="215C66E8" w:rsidR="00216EAA" w:rsidRPr="00581966" w:rsidRDefault="000F2172">
            <w:pPr>
              <w:pBdr>
                <w:top w:val="nil"/>
                <w:left w:val="nil"/>
                <w:bottom w:val="nil"/>
                <w:right w:val="nil"/>
                <w:between w:val="nil"/>
              </w:pBdr>
              <w:jc w:val="both"/>
              <w:rPr>
                <w:color w:val="000000"/>
              </w:rPr>
            </w:pPr>
            <w:r w:rsidRPr="00581966">
              <w:rPr>
                <w:color w:val="000000"/>
              </w:rPr>
              <w:t xml:space="preserve">T (NBI gas </w:t>
            </w:r>
            <w:r w:rsidR="006636B4" w:rsidRPr="00581966">
              <w:rPr>
                <w:color w:val="000000"/>
              </w:rPr>
              <w:t>feed optimization</w:t>
            </w:r>
            <w:r w:rsidRPr="00581966">
              <w:rPr>
                <w:color w:val="000000"/>
              </w:rPr>
              <w:t>)</w:t>
            </w:r>
          </w:p>
        </w:tc>
        <w:tc>
          <w:tcPr>
            <w:tcW w:w="965" w:type="dxa"/>
            <w:tcBorders>
              <w:top w:val="nil"/>
            </w:tcBorders>
          </w:tcPr>
          <w:p w14:paraId="48BE6F9C" w14:textId="77777777" w:rsidR="00216EAA" w:rsidRPr="00581966" w:rsidRDefault="000F2172">
            <w:pPr>
              <w:pBdr>
                <w:top w:val="nil"/>
                <w:left w:val="nil"/>
                <w:bottom w:val="nil"/>
                <w:right w:val="nil"/>
                <w:between w:val="nil"/>
              </w:pBdr>
              <w:jc w:val="center"/>
              <w:rPr>
                <w:color w:val="000000"/>
              </w:rPr>
            </w:pPr>
            <w:r w:rsidRPr="00581966">
              <w:rPr>
                <w:color w:val="000000"/>
              </w:rPr>
              <w:t>165</w:t>
            </w:r>
          </w:p>
        </w:tc>
        <w:tc>
          <w:tcPr>
            <w:tcW w:w="1142" w:type="dxa"/>
            <w:tcBorders>
              <w:top w:val="nil"/>
            </w:tcBorders>
          </w:tcPr>
          <w:p w14:paraId="4CCC9873" w14:textId="77777777" w:rsidR="00216EAA" w:rsidRPr="00581966" w:rsidRDefault="000F2172">
            <w:pPr>
              <w:pBdr>
                <w:top w:val="nil"/>
                <w:left w:val="nil"/>
                <w:bottom w:val="nil"/>
                <w:right w:val="nil"/>
                <w:between w:val="nil"/>
              </w:pBdr>
              <w:jc w:val="center"/>
              <w:rPr>
                <w:color w:val="000000"/>
              </w:rPr>
            </w:pPr>
            <w:r w:rsidRPr="00581966">
              <w:rPr>
                <w:color w:val="000000"/>
              </w:rPr>
              <w:t>15</w:t>
            </w:r>
          </w:p>
        </w:tc>
        <w:tc>
          <w:tcPr>
            <w:tcW w:w="2268" w:type="dxa"/>
            <w:tcBorders>
              <w:top w:val="nil"/>
            </w:tcBorders>
          </w:tcPr>
          <w:p w14:paraId="60015961" w14:textId="77777777" w:rsidR="00216EAA" w:rsidRPr="00581966" w:rsidRDefault="000F2172">
            <w:pPr>
              <w:pBdr>
                <w:top w:val="nil"/>
                <w:left w:val="nil"/>
                <w:bottom w:val="nil"/>
                <w:right w:val="nil"/>
                <w:between w:val="nil"/>
              </w:pBdr>
              <w:jc w:val="center"/>
              <w:rPr>
                <w:color w:val="000000"/>
              </w:rPr>
            </w:pPr>
            <w:r w:rsidRPr="00581966">
              <w:rPr>
                <w:color w:val="000000"/>
              </w:rPr>
              <w:t>30</w:t>
            </w:r>
          </w:p>
        </w:tc>
        <w:tc>
          <w:tcPr>
            <w:tcW w:w="1359" w:type="dxa"/>
            <w:tcBorders>
              <w:top w:val="nil"/>
            </w:tcBorders>
          </w:tcPr>
          <w:p w14:paraId="2ECEC3C4" w14:textId="77777777" w:rsidR="00216EAA" w:rsidRPr="00581966" w:rsidRDefault="000F2172">
            <w:pPr>
              <w:pBdr>
                <w:top w:val="nil"/>
                <w:left w:val="nil"/>
                <w:bottom w:val="nil"/>
                <w:right w:val="nil"/>
                <w:between w:val="nil"/>
              </w:pBdr>
              <w:jc w:val="center"/>
              <w:rPr>
                <w:color w:val="000000"/>
              </w:rPr>
            </w:pPr>
            <w:r w:rsidRPr="00581966">
              <w:rPr>
                <w:color w:val="000000"/>
              </w:rPr>
              <w:t>215-220</w:t>
            </w:r>
          </w:p>
        </w:tc>
      </w:tr>
    </w:tbl>
    <w:p w14:paraId="21DE5F86" w14:textId="77777777" w:rsidR="00216EAA" w:rsidRPr="00581966" w:rsidRDefault="00216EAA">
      <w:pPr>
        <w:spacing w:line="276" w:lineRule="auto"/>
        <w:ind w:firstLine="284"/>
        <w:jc w:val="both"/>
        <w:rPr>
          <w:sz w:val="24"/>
          <w:szCs w:val="24"/>
        </w:rPr>
      </w:pPr>
    </w:p>
    <w:p w14:paraId="6B03539F" w14:textId="7A85F5FC" w:rsidR="00216EAA" w:rsidRPr="00581966" w:rsidRDefault="000F2172">
      <w:pPr>
        <w:spacing w:line="276" w:lineRule="auto"/>
        <w:ind w:firstLine="284"/>
        <w:jc w:val="both"/>
        <w:rPr>
          <w:sz w:val="24"/>
          <w:szCs w:val="24"/>
        </w:rPr>
      </w:pPr>
      <w:r w:rsidRPr="00581966">
        <w:rPr>
          <w:sz w:val="24"/>
          <w:szCs w:val="24"/>
        </w:rPr>
        <w:t xml:space="preserve">For example, with separate gas </w:t>
      </w:r>
      <w:r w:rsidR="006636B4" w:rsidRPr="00581966">
        <w:rPr>
          <w:sz w:val="24"/>
          <w:szCs w:val="24"/>
        </w:rPr>
        <w:t xml:space="preserve">feeds </w:t>
      </w:r>
      <w:r w:rsidRPr="00581966">
        <w:rPr>
          <w:sz w:val="24"/>
          <w:szCs w:val="24"/>
        </w:rPr>
        <w:t>for the ion source (T</w:t>
      </w:r>
      <w:r w:rsidRPr="00581966">
        <w:rPr>
          <w:sz w:val="24"/>
          <w:szCs w:val="24"/>
          <w:vertAlign w:val="subscript"/>
        </w:rPr>
        <w:t>2</w:t>
      </w:r>
      <w:r w:rsidRPr="00581966">
        <w:rPr>
          <w:sz w:val="24"/>
          <w:szCs w:val="24"/>
        </w:rPr>
        <w:t>) and neutralizer (D</w:t>
      </w:r>
      <w:r w:rsidRPr="00581966">
        <w:rPr>
          <w:sz w:val="24"/>
          <w:szCs w:val="24"/>
          <w:vertAlign w:val="subscript"/>
        </w:rPr>
        <w:t>2</w:t>
      </w:r>
      <w:r w:rsidRPr="00581966">
        <w:rPr>
          <w:sz w:val="24"/>
          <w:szCs w:val="24"/>
        </w:rPr>
        <w:t>), the T inventory in the hydrogen isotope separation system will increase up to 160 g (relative to the variant with T</w:t>
      </w:r>
      <w:r w:rsidRPr="00581966">
        <w:rPr>
          <w:sz w:val="24"/>
          <w:szCs w:val="24"/>
          <w:vertAlign w:val="subscript"/>
        </w:rPr>
        <w:t>2</w:t>
      </w:r>
      <w:r w:rsidRPr="00581966">
        <w:rPr>
          <w:sz w:val="24"/>
          <w:szCs w:val="24"/>
        </w:rPr>
        <w:t xml:space="preserve"> </w:t>
      </w:r>
      <w:r w:rsidR="006636B4" w:rsidRPr="00581966">
        <w:rPr>
          <w:sz w:val="24"/>
          <w:szCs w:val="24"/>
        </w:rPr>
        <w:t xml:space="preserve">feed </w:t>
      </w:r>
      <w:r w:rsidRPr="00581966">
        <w:rPr>
          <w:sz w:val="24"/>
          <w:szCs w:val="24"/>
        </w:rPr>
        <w:t xml:space="preserve">to all injector </w:t>
      </w:r>
      <w:r w:rsidR="006636B4" w:rsidRPr="00581966">
        <w:rPr>
          <w:sz w:val="24"/>
          <w:szCs w:val="24"/>
        </w:rPr>
        <w:t xml:space="preserve">components </w:t>
      </w:r>
      <w:r w:rsidRPr="00581966">
        <w:rPr>
          <w:sz w:val="24"/>
          <w:szCs w:val="24"/>
        </w:rPr>
        <w:t>and partial gas separation to remove the D</w:t>
      </w:r>
      <w:r w:rsidRPr="00581966">
        <w:rPr>
          <w:sz w:val="24"/>
          <w:szCs w:val="24"/>
          <w:vertAlign w:val="subscript"/>
        </w:rPr>
        <w:t>2</w:t>
      </w:r>
      <w:r w:rsidRPr="00581966">
        <w:rPr>
          <w:sz w:val="24"/>
          <w:szCs w:val="24"/>
        </w:rPr>
        <w:t xml:space="preserve"> impurity). This leads to an increase of the T</w:t>
      </w:r>
      <w:r w:rsidRPr="00581966">
        <w:rPr>
          <w:sz w:val="24"/>
          <w:szCs w:val="24"/>
          <w:vertAlign w:val="subscript"/>
        </w:rPr>
        <w:t>2</w:t>
      </w:r>
      <w:r w:rsidRPr="00581966">
        <w:rPr>
          <w:sz w:val="24"/>
          <w:szCs w:val="24"/>
        </w:rPr>
        <w:t xml:space="preserve"> inventory in the FC by 40 g within the working window. Meanwhile, such </w:t>
      </w:r>
      <w:r w:rsidR="006636B4" w:rsidRPr="00581966">
        <w:rPr>
          <w:sz w:val="24"/>
          <w:szCs w:val="24"/>
        </w:rPr>
        <w:t xml:space="preserve">a </w:t>
      </w:r>
      <w:r w:rsidRPr="00581966">
        <w:rPr>
          <w:sz w:val="24"/>
          <w:szCs w:val="24"/>
        </w:rPr>
        <w:t>procedure reduces the T</w:t>
      </w:r>
      <w:r w:rsidRPr="00581966">
        <w:rPr>
          <w:sz w:val="24"/>
          <w:szCs w:val="24"/>
          <w:vertAlign w:val="subscript"/>
        </w:rPr>
        <w:t>2</w:t>
      </w:r>
      <w:r w:rsidRPr="00581966">
        <w:rPr>
          <w:sz w:val="24"/>
          <w:szCs w:val="24"/>
        </w:rPr>
        <w:t xml:space="preserve"> inventory in </w:t>
      </w:r>
      <w:r w:rsidR="006636B4" w:rsidRPr="00581966">
        <w:rPr>
          <w:sz w:val="24"/>
          <w:szCs w:val="24"/>
        </w:rPr>
        <w:t xml:space="preserve">the </w:t>
      </w:r>
      <w:r w:rsidRPr="00581966">
        <w:rPr>
          <w:sz w:val="24"/>
          <w:szCs w:val="24"/>
        </w:rPr>
        <w:t xml:space="preserve">injectors by a factor of three. This should be taken into account in comprehensive assessment of various options for the </w:t>
      </w:r>
      <w:r w:rsidR="006270D8" w:rsidRPr="00581966">
        <w:rPr>
          <w:sz w:val="24"/>
          <w:szCs w:val="24"/>
        </w:rPr>
        <w:t xml:space="preserve">choice of the </w:t>
      </w:r>
      <w:r w:rsidRPr="00581966">
        <w:rPr>
          <w:sz w:val="24"/>
          <w:szCs w:val="24"/>
        </w:rPr>
        <w:t xml:space="preserve">isotopic </w:t>
      </w:r>
      <w:r w:rsidR="006270D8" w:rsidRPr="00581966">
        <w:rPr>
          <w:sz w:val="24"/>
          <w:szCs w:val="24"/>
        </w:rPr>
        <w:t xml:space="preserve">gas </w:t>
      </w:r>
      <w:r w:rsidRPr="00581966">
        <w:rPr>
          <w:sz w:val="24"/>
          <w:szCs w:val="24"/>
        </w:rPr>
        <w:t xml:space="preserve">composition in </w:t>
      </w:r>
      <w:r w:rsidR="006270D8" w:rsidRPr="00581966">
        <w:rPr>
          <w:sz w:val="24"/>
          <w:szCs w:val="24"/>
        </w:rPr>
        <w:t xml:space="preserve">the </w:t>
      </w:r>
      <w:r w:rsidRPr="00581966">
        <w:rPr>
          <w:sz w:val="24"/>
          <w:szCs w:val="24"/>
        </w:rPr>
        <w:t xml:space="preserve">heating injectors. </w:t>
      </w:r>
      <w:r w:rsidR="006270D8" w:rsidRPr="00581966">
        <w:rPr>
          <w:sz w:val="24"/>
          <w:szCs w:val="24"/>
        </w:rPr>
        <w:t>Note</w:t>
      </w:r>
      <w:r w:rsidRPr="00581966">
        <w:rPr>
          <w:sz w:val="24"/>
          <w:szCs w:val="24"/>
        </w:rPr>
        <w:t xml:space="preserve"> that </w:t>
      </w:r>
      <w:r w:rsidR="006270D8" w:rsidRPr="00581966">
        <w:rPr>
          <w:sz w:val="24"/>
          <w:szCs w:val="24"/>
        </w:rPr>
        <w:t>for</w:t>
      </w:r>
      <w:r w:rsidRPr="00581966">
        <w:rPr>
          <w:sz w:val="24"/>
          <w:szCs w:val="24"/>
        </w:rPr>
        <w:t xml:space="preserve"> </w:t>
      </w:r>
      <w:r w:rsidR="006270D8" w:rsidRPr="00581966">
        <w:rPr>
          <w:sz w:val="24"/>
          <w:szCs w:val="24"/>
        </w:rPr>
        <w:t xml:space="preserve">making </w:t>
      </w:r>
      <w:r w:rsidRPr="00581966">
        <w:rPr>
          <w:sz w:val="24"/>
          <w:szCs w:val="24"/>
        </w:rPr>
        <w:t xml:space="preserve">a balanced decision </w:t>
      </w:r>
      <w:r w:rsidR="006270D8" w:rsidRPr="00581966">
        <w:rPr>
          <w:sz w:val="24"/>
          <w:szCs w:val="24"/>
        </w:rPr>
        <w:t xml:space="preserve">on implementation of </w:t>
      </w:r>
      <w:r w:rsidRPr="00581966">
        <w:rPr>
          <w:sz w:val="24"/>
          <w:szCs w:val="24"/>
        </w:rPr>
        <w:t>a particular scenario</w:t>
      </w:r>
      <w:r w:rsidR="006270D8" w:rsidRPr="00581966">
        <w:rPr>
          <w:sz w:val="24"/>
          <w:szCs w:val="24"/>
        </w:rPr>
        <w:t>,</w:t>
      </w:r>
      <w:r w:rsidRPr="00581966">
        <w:rPr>
          <w:sz w:val="24"/>
          <w:szCs w:val="24"/>
        </w:rPr>
        <w:t xml:space="preserve"> the T</w:t>
      </w:r>
      <w:r w:rsidRPr="00581966">
        <w:rPr>
          <w:sz w:val="24"/>
          <w:szCs w:val="24"/>
          <w:vertAlign w:val="subscript"/>
        </w:rPr>
        <w:t>2</w:t>
      </w:r>
      <w:r w:rsidRPr="00581966">
        <w:rPr>
          <w:sz w:val="24"/>
          <w:szCs w:val="24"/>
        </w:rPr>
        <w:t xml:space="preserve"> inventory in the FC is not the </w:t>
      </w:r>
      <w:r w:rsidR="00B7452D" w:rsidRPr="00581966">
        <w:rPr>
          <w:sz w:val="24"/>
          <w:szCs w:val="24"/>
        </w:rPr>
        <w:t>only criterion</w:t>
      </w:r>
      <w:r w:rsidRPr="00581966">
        <w:rPr>
          <w:sz w:val="24"/>
          <w:szCs w:val="24"/>
        </w:rPr>
        <w:t>. We should also take into account several subsystems with significant T</w:t>
      </w:r>
      <w:r w:rsidRPr="00581966">
        <w:rPr>
          <w:sz w:val="24"/>
          <w:szCs w:val="24"/>
          <w:vertAlign w:val="subscript"/>
        </w:rPr>
        <w:t>2</w:t>
      </w:r>
      <w:r w:rsidRPr="00581966">
        <w:rPr>
          <w:sz w:val="24"/>
          <w:szCs w:val="24"/>
        </w:rPr>
        <w:t xml:space="preserve"> inventory, as well as technological difficulties in implementing the T-beam injection, operating the additional heating system and etc.</w:t>
      </w:r>
    </w:p>
    <w:p w14:paraId="79ABE096" w14:textId="77777777" w:rsidR="00216EAA" w:rsidRPr="00581966" w:rsidRDefault="00216EAA">
      <w:pPr>
        <w:spacing w:line="276" w:lineRule="auto"/>
        <w:jc w:val="both"/>
        <w:rPr>
          <w:sz w:val="24"/>
          <w:szCs w:val="24"/>
        </w:rPr>
      </w:pPr>
    </w:p>
    <w:p w14:paraId="51D3D500" w14:textId="48143258" w:rsidR="00216EAA" w:rsidRPr="00581966" w:rsidRDefault="00786571">
      <w:pPr>
        <w:spacing w:line="276" w:lineRule="auto"/>
        <w:jc w:val="both"/>
        <w:rPr>
          <w:sz w:val="24"/>
          <w:szCs w:val="24"/>
        </w:rPr>
      </w:pPr>
      <w:r w:rsidRPr="00581966">
        <w:rPr>
          <w:sz w:val="24"/>
          <w:szCs w:val="24"/>
        </w:rPr>
        <w:t>4</w:t>
      </w:r>
      <w:r w:rsidR="000F2172" w:rsidRPr="00581966">
        <w:rPr>
          <w:sz w:val="24"/>
          <w:szCs w:val="24"/>
        </w:rPr>
        <w:t>.</w:t>
      </w:r>
      <w:r w:rsidR="000F2172" w:rsidRPr="00581966">
        <w:rPr>
          <w:sz w:val="24"/>
          <w:szCs w:val="24"/>
        </w:rPr>
        <w:tab/>
        <w:t xml:space="preserve">FUEL COMPONENT FLUXES IN DEMO-FNS FUEL CYCLE SYSTEMS AND TRITIUM INVENTORY WITH ALLOWANCE </w:t>
      </w:r>
      <w:r w:rsidR="006270D8" w:rsidRPr="00581966">
        <w:rPr>
          <w:sz w:val="24"/>
          <w:szCs w:val="24"/>
        </w:rPr>
        <w:t xml:space="preserve">FOR </w:t>
      </w:r>
      <w:r w:rsidR="000F2172" w:rsidRPr="00581966">
        <w:rPr>
          <w:sz w:val="24"/>
          <w:szCs w:val="24"/>
        </w:rPr>
        <w:t xml:space="preserve">ELM </w:t>
      </w:r>
      <w:r w:rsidR="006270D8" w:rsidRPr="00581966">
        <w:rPr>
          <w:sz w:val="24"/>
          <w:szCs w:val="24"/>
        </w:rPr>
        <w:t>PACEMAKING</w:t>
      </w:r>
    </w:p>
    <w:p w14:paraId="469F3A3D" w14:textId="77777777" w:rsidR="00216EAA" w:rsidRPr="00581966" w:rsidRDefault="00216EAA">
      <w:pPr>
        <w:spacing w:line="276" w:lineRule="auto"/>
        <w:ind w:firstLine="284"/>
        <w:jc w:val="both"/>
        <w:rPr>
          <w:sz w:val="24"/>
          <w:szCs w:val="24"/>
        </w:rPr>
      </w:pPr>
    </w:p>
    <w:p w14:paraId="658A1CCF" w14:textId="49DC371B" w:rsidR="00216EAA" w:rsidRPr="00581966" w:rsidRDefault="000F2172">
      <w:pPr>
        <w:spacing w:line="276" w:lineRule="auto"/>
        <w:ind w:firstLine="284"/>
        <w:jc w:val="both"/>
        <w:rPr>
          <w:sz w:val="24"/>
          <w:szCs w:val="24"/>
        </w:rPr>
      </w:pPr>
      <w:r w:rsidRPr="00581966">
        <w:rPr>
          <w:sz w:val="24"/>
          <w:szCs w:val="24"/>
        </w:rPr>
        <w:t>In [</w:t>
      </w:r>
      <w:r w:rsidR="00087F90" w:rsidRPr="00581966">
        <w:rPr>
          <w:sz w:val="24"/>
          <w:szCs w:val="24"/>
        </w:rPr>
        <w:t>3</w:t>
      </w:r>
      <w:r w:rsidRPr="00581966">
        <w:rPr>
          <w:sz w:val="24"/>
          <w:szCs w:val="24"/>
        </w:rPr>
        <w:t xml:space="preserve">] we considered the effect of pellet injection (from the HFS for the core plasma fueling and the LFS for driving ELMs) on the fluxes of D and T particles in the FC systems of DEMO-FNS. The further development is </w:t>
      </w:r>
      <w:r w:rsidR="006270D8" w:rsidRPr="00581966">
        <w:rPr>
          <w:sz w:val="24"/>
          <w:szCs w:val="24"/>
        </w:rPr>
        <w:t xml:space="preserve">consideration </w:t>
      </w:r>
      <w:r w:rsidRPr="00581966">
        <w:rPr>
          <w:sz w:val="24"/>
          <w:szCs w:val="24"/>
        </w:rPr>
        <w:t xml:space="preserve">of ions, instead of electrons, in </w:t>
      </w:r>
      <w:r w:rsidR="006270D8" w:rsidRPr="00581966">
        <w:rPr>
          <w:sz w:val="24"/>
          <w:szCs w:val="24"/>
        </w:rPr>
        <w:t xml:space="preserve">the </w:t>
      </w:r>
      <w:r w:rsidRPr="00581966">
        <w:rPr>
          <w:sz w:val="24"/>
          <w:szCs w:val="24"/>
        </w:rPr>
        <w:t xml:space="preserve">particle transport equations in ASTRA. This allows a more accurate estimation of the partial confinement times for </w:t>
      </w:r>
      <w:r w:rsidR="006270D8" w:rsidRPr="00581966">
        <w:rPr>
          <w:sz w:val="24"/>
          <w:szCs w:val="24"/>
        </w:rPr>
        <w:t xml:space="preserve">the </w:t>
      </w:r>
      <w:r w:rsidRPr="00581966">
        <w:rPr>
          <w:sz w:val="24"/>
          <w:szCs w:val="24"/>
        </w:rPr>
        <w:t>ions originating from different sources (NBI, pellets, gas puff, recycling).</w:t>
      </w:r>
    </w:p>
    <w:p w14:paraId="7E802B8E" w14:textId="1BA245B1" w:rsidR="00216EAA" w:rsidRPr="00581966" w:rsidRDefault="000F2172">
      <w:pPr>
        <w:spacing w:line="276" w:lineRule="auto"/>
        <w:ind w:firstLine="284"/>
        <w:jc w:val="both"/>
        <w:rPr>
          <w:sz w:val="24"/>
          <w:szCs w:val="24"/>
        </w:rPr>
      </w:pPr>
      <w:r w:rsidRPr="00581966">
        <w:rPr>
          <w:sz w:val="24"/>
          <w:szCs w:val="24"/>
        </w:rPr>
        <w:t xml:space="preserve">As a result of simulations performed using the ASTRA + SOLPS and FC-FNS codes, it </w:t>
      </w:r>
      <w:r w:rsidR="006270D8" w:rsidRPr="00581966">
        <w:rPr>
          <w:sz w:val="24"/>
          <w:szCs w:val="24"/>
        </w:rPr>
        <w:t xml:space="preserve">is </w:t>
      </w:r>
      <w:r w:rsidRPr="00581966">
        <w:rPr>
          <w:sz w:val="24"/>
          <w:szCs w:val="24"/>
        </w:rPr>
        <w:t xml:space="preserve">shown that in the parameter ranges </w:t>
      </w:r>
      <w:r w:rsidR="006270D8" w:rsidRPr="00581966">
        <w:rPr>
          <w:sz w:val="24"/>
          <w:szCs w:val="24"/>
        </w:rPr>
        <w:t xml:space="preserve">of </w:t>
      </w:r>
      <w:r w:rsidRPr="00581966">
        <w:rPr>
          <w:sz w:val="24"/>
          <w:szCs w:val="24"/>
        </w:rPr>
        <w:t xml:space="preserve">1.5 &lt; </w:t>
      </w:r>
      <w:proofErr w:type="spellStart"/>
      <w:r w:rsidRPr="00581966">
        <w:rPr>
          <w:sz w:val="24"/>
          <w:szCs w:val="24"/>
        </w:rPr>
        <w:t>τ</w:t>
      </w:r>
      <w:r w:rsidRPr="00581966">
        <w:rPr>
          <w:i/>
          <w:sz w:val="24"/>
          <w:szCs w:val="24"/>
          <w:vertAlign w:val="subscript"/>
        </w:rPr>
        <w:t>p</w:t>
      </w:r>
      <w:proofErr w:type="spellEnd"/>
      <w:r w:rsidRPr="00581966">
        <w:rPr>
          <w:sz w:val="24"/>
          <w:szCs w:val="24"/>
        </w:rPr>
        <w:t>/</w:t>
      </w:r>
      <w:proofErr w:type="spellStart"/>
      <w:r w:rsidRPr="00581966">
        <w:rPr>
          <w:sz w:val="24"/>
          <w:szCs w:val="24"/>
        </w:rPr>
        <w:t>τ</w:t>
      </w:r>
      <w:r w:rsidRPr="00581966">
        <w:rPr>
          <w:i/>
          <w:sz w:val="24"/>
          <w:szCs w:val="24"/>
          <w:vertAlign w:val="subscript"/>
        </w:rPr>
        <w:t>E</w:t>
      </w:r>
      <w:proofErr w:type="spellEnd"/>
      <w:r w:rsidRPr="00581966">
        <w:rPr>
          <w:i/>
          <w:sz w:val="24"/>
          <w:szCs w:val="24"/>
        </w:rPr>
        <w:t xml:space="preserve"> </w:t>
      </w:r>
      <w:r w:rsidRPr="00581966">
        <w:rPr>
          <w:sz w:val="24"/>
          <w:szCs w:val="24"/>
        </w:rPr>
        <w:t xml:space="preserve">&lt;3.0 and </w:t>
      </w:r>
      <w:r w:rsidRPr="00581966">
        <w:rPr>
          <w:rFonts w:ascii="Cambria Math" w:eastAsia="Cambria Math" w:hAnsi="Cambria Math" w:cs="Cambria Math"/>
          <w:sz w:val="24"/>
          <w:szCs w:val="24"/>
        </w:rPr>
        <w:t>〈</w:t>
      </w:r>
      <w:r w:rsidRPr="00581966">
        <w:rPr>
          <w:i/>
          <w:sz w:val="24"/>
          <w:szCs w:val="24"/>
        </w:rPr>
        <w:t>n</w:t>
      </w:r>
      <w:r w:rsidRPr="00581966">
        <w:rPr>
          <w:i/>
          <w:sz w:val="24"/>
          <w:szCs w:val="24"/>
          <w:vertAlign w:val="subscript"/>
        </w:rPr>
        <w:t>e</w:t>
      </w:r>
      <w:r w:rsidRPr="00581966">
        <w:rPr>
          <w:rFonts w:ascii="Cambria Math" w:eastAsia="Cambria Math" w:hAnsi="Cambria Math" w:cs="Cambria Math"/>
          <w:sz w:val="24"/>
          <w:szCs w:val="24"/>
        </w:rPr>
        <w:t>〉</w:t>
      </w:r>
      <w:r w:rsidRPr="00581966">
        <w:rPr>
          <w:sz w:val="24"/>
          <w:szCs w:val="24"/>
        </w:rPr>
        <w:t xml:space="preserve"> = 6.0–8.0 × 10</w:t>
      </w:r>
      <w:r w:rsidRPr="00581966">
        <w:rPr>
          <w:sz w:val="24"/>
          <w:szCs w:val="24"/>
          <w:vertAlign w:val="superscript"/>
        </w:rPr>
        <w:t>19</w:t>
      </w:r>
      <w:r w:rsidRPr="00581966">
        <w:rPr>
          <w:sz w:val="24"/>
          <w:szCs w:val="24"/>
        </w:rPr>
        <w:t xml:space="preserve"> m</w:t>
      </w:r>
      <w:r w:rsidRPr="00581966">
        <w:rPr>
          <w:sz w:val="24"/>
          <w:szCs w:val="24"/>
          <w:vertAlign w:val="superscript"/>
        </w:rPr>
        <w:t>–3</w:t>
      </w:r>
      <w:r w:rsidRPr="00581966">
        <w:rPr>
          <w:sz w:val="24"/>
          <w:szCs w:val="24"/>
        </w:rPr>
        <w:t xml:space="preserve">, the injection of pellets of different isotopic composition can provide the required fraction of tritium = 0.5 in the core plasma of DEMO-FNS. In the operating window of plasma parameters, the fluxes of the fuel components </w:t>
      </w:r>
      <w:r w:rsidR="006270D8" w:rsidRPr="00581966">
        <w:rPr>
          <w:sz w:val="24"/>
          <w:szCs w:val="24"/>
        </w:rPr>
        <w:t xml:space="preserve">are </w:t>
      </w:r>
      <w:r w:rsidRPr="00581966">
        <w:rPr>
          <w:sz w:val="24"/>
          <w:szCs w:val="24"/>
        </w:rPr>
        <w:t xml:space="preserve">analyzed as functions of the </w:t>
      </w:r>
      <w:proofErr w:type="spellStart"/>
      <w:r w:rsidRPr="00581966">
        <w:rPr>
          <w:sz w:val="24"/>
          <w:szCs w:val="24"/>
        </w:rPr>
        <w:t>τ</w:t>
      </w:r>
      <w:r w:rsidRPr="00581966">
        <w:rPr>
          <w:i/>
          <w:sz w:val="24"/>
          <w:szCs w:val="24"/>
          <w:vertAlign w:val="subscript"/>
        </w:rPr>
        <w:t>p</w:t>
      </w:r>
      <w:proofErr w:type="spellEnd"/>
      <w:r w:rsidRPr="00581966">
        <w:rPr>
          <w:sz w:val="24"/>
          <w:szCs w:val="24"/>
        </w:rPr>
        <w:t>/</w:t>
      </w:r>
      <w:proofErr w:type="spellStart"/>
      <w:r w:rsidRPr="00581966">
        <w:rPr>
          <w:sz w:val="24"/>
          <w:szCs w:val="24"/>
        </w:rPr>
        <w:t>τ</w:t>
      </w:r>
      <w:r w:rsidRPr="00581966">
        <w:rPr>
          <w:i/>
          <w:sz w:val="24"/>
          <w:szCs w:val="24"/>
          <w:vertAlign w:val="subscript"/>
        </w:rPr>
        <w:t>E</w:t>
      </w:r>
      <w:proofErr w:type="spellEnd"/>
      <w:r w:rsidRPr="00581966">
        <w:rPr>
          <w:i/>
          <w:sz w:val="24"/>
          <w:szCs w:val="24"/>
        </w:rPr>
        <w:t xml:space="preserve"> </w:t>
      </w:r>
      <w:r w:rsidRPr="00581966">
        <w:rPr>
          <w:sz w:val="24"/>
          <w:szCs w:val="24"/>
        </w:rPr>
        <w:t xml:space="preserve">and </w:t>
      </w:r>
      <w:r w:rsidRPr="00581966">
        <w:rPr>
          <w:rFonts w:ascii="Cambria Math" w:eastAsia="Cambria Math" w:hAnsi="Cambria Math" w:cs="Cambria Math"/>
          <w:sz w:val="24"/>
          <w:szCs w:val="24"/>
        </w:rPr>
        <w:t>〈</w:t>
      </w:r>
      <w:r w:rsidRPr="00581966">
        <w:rPr>
          <w:i/>
          <w:sz w:val="24"/>
          <w:szCs w:val="24"/>
        </w:rPr>
        <w:t>n</w:t>
      </w:r>
      <w:r w:rsidRPr="00581966">
        <w:rPr>
          <w:i/>
          <w:sz w:val="24"/>
          <w:szCs w:val="24"/>
          <w:vertAlign w:val="subscript"/>
        </w:rPr>
        <w:t>e</w:t>
      </w:r>
      <w:r w:rsidRPr="00581966">
        <w:rPr>
          <w:rFonts w:ascii="Cambria Math" w:eastAsia="Cambria Math" w:hAnsi="Cambria Math" w:cs="Cambria Math"/>
          <w:sz w:val="24"/>
          <w:szCs w:val="24"/>
        </w:rPr>
        <w:t>〉</w:t>
      </w:r>
      <w:r w:rsidRPr="00581966">
        <w:rPr>
          <w:sz w:val="24"/>
          <w:szCs w:val="24"/>
        </w:rPr>
        <w:t>. For the considered scenarios</w:t>
      </w:r>
      <w:r w:rsidR="006270D8" w:rsidRPr="00581966">
        <w:rPr>
          <w:sz w:val="24"/>
          <w:szCs w:val="24"/>
        </w:rPr>
        <w:t>,</w:t>
      </w:r>
      <w:r w:rsidRPr="00581966">
        <w:rPr>
          <w:sz w:val="24"/>
          <w:szCs w:val="24"/>
        </w:rPr>
        <w:t xml:space="preserve"> the neutron flux turns out to be about 1</w:t>
      </w:r>
      <w:r w:rsidR="00F83D13" w:rsidRPr="00581966">
        <w:rPr>
          <w:sz w:val="24"/>
          <w:szCs w:val="24"/>
        </w:rPr>
        <w:t>.</w:t>
      </w:r>
      <w:r w:rsidRPr="00581966">
        <w:rPr>
          <w:sz w:val="24"/>
          <w:szCs w:val="24"/>
        </w:rPr>
        <w:t>2·10</w:t>
      </w:r>
      <w:r w:rsidRPr="00581966">
        <w:rPr>
          <w:sz w:val="24"/>
          <w:szCs w:val="24"/>
          <w:vertAlign w:val="superscript"/>
        </w:rPr>
        <w:t>1</w:t>
      </w:r>
      <w:r w:rsidR="00F83D13" w:rsidRPr="00581966">
        <w:rPr>
          <w:sz w:val="24"/>
          <w:szCs w:val="24"/>
          <w:vertAlign w:val="superscript"/>
        </w:rPr>
        <w:t>9</w:t>
      </w:r>
      <w:r w:rsidRPr="00581966">
        <w:rPr>
          <w:sz w:val="24"/>
          <w:szCs w:val="24"/>
        </w:rPr>
        <w:t xml:space="preserve"> 1/s.</w:t>
      </w:r>
    </w:p>
    <w:p w14:paraId="1613D82E" w14:textId="5A2B6BBD" w:rsidR="00216EAA" w:rsidRPr="00581966" w:rsidRDefault="000F2172">
      <w:pPr>
        <w:spacing w:line="276" w:lineRule="auto"/>
        <w:ind w:firstLine="284"/>
        <w:jc w:val="both"/>
        <w:rPr>
          <w:sz w:val="24"/>
          <w:szCs w:val="24"/>
        </w:rPr>
      </w:pPr>
      <w:r w:rsidRPr="00581966">
        <w:rPr>
          <w:sz w:val="24"/>
          <w:szCs w:val="24"/>
        </w:rPr>
        <w:t xml:space="preserve">It is shown that taking into account the convective ELMs (the increased </w:t>
      </w:r>
      <w:r w:rsidRPr="00581966">
        <w:t xml:space="preserve">particle flux D+T to </w:t>
      </w:r>
      <w:r w:rsidR="006270D8" w:rsidRPr="00581966">
        <w:t xml:space="preserve">the </w:t>
      </w:r>
      <w:r w:rsidRPr="00581966">
        <w:t>plasma core as a source from pellets</w:t>
      </w:r>
      <w:r w:rsidRPr="00581966">
        <w:rPr>
          <w:i/>
        </w:rPr>
        <w:t xml:space="preserve"> </w:t>
      </w:r>
      <w:proofErr w:type="spellStart"/>
      <w:r w:rsidRPr="00581966">
        <w:rPr>
          <w:i/>
          <w:sz w:val="24"/>
          <w:szCs w:val="24"/>
        </w:rPr>
        <w:t>S</w:t>
      </w:r>
      <w:r w:rsidRPr="00581966">
        <w:rPr>
          <w:sz w:val="24"/>
          <w:szCs w:val="24"/>
          <w:vertAlign w:val="subscript"/>
        </w:rPr>
        <w:t>pel</w:t>
      </w:r>
      <w:proofErr w:type="spellEnd"/>
      <w:r w:rsidRPr="00581966">
        <w:rPr>
          <w:sz w:val="24"/>
          <w:szCs w:val="24"/>
        </w:rPr>
        <w:t xml:space="preserve"> rises), the required capacities of the systems for pellet injection and hydrogen isotope separation (and some other FC systems) increased by up to an order of magnitude as compared to the estimates made previously.</w:t>
      </w:r>
    </w:p>
    <w:p w14:paraId="12591E47" w14:textId="734DA804" w:rsidR="00216EAA" w:rsidRPr="00581966" w:rsidRDefault="000F2172">
      <w:pPr>
        <w:spacing w:line="276" w:lineRule="auto"/>
        <w:ind w:firstLine="284"/>
        <w:jc w:val="both"/>
        <w:rPr>
          <w:color w:val="000000"/>
          <w:sz w:val="24"/>
          <w:szCs w:val="24"/>
        </w:rPr>
      </w:pPr>
      <w:r w:rsidRPr="00581966">
        <w:rPr>
          <w:color w:val="000000"/>
          <w:sz w:val="24"/>
          <w:szCs w:val="24"/>
        </w:rPr>
        <w:t xml:space="preserve">Calculations of the hydrogen isotope inventories in the FC systems show that the </w:t>
      </w:r>
      <w:r w:rsidR="006270D8" w:rsidRPr="00581966">
        <w:rPr>
          <w:color w:val="000000"/>
          <w:sz w:val="24"/>
          <w:szCs w:val="24"/>
        </w:rPr>
        <w:t xml:space="preserve">initial </w:t>
      </w:r>
      <w:r w:rsidRPr="00581966">
        <w:rPr>
          <w:color w:val="000000"/>
          <w:sz w:val="24"/>
          <w:szCs w:val="24"/>
        </w:rPr>
        <w:t>inventory (</w:t>
      </w:r>
      <w:r w:rsidR="003150AB" w:rsidRPr="00581966">
        <w:rPr>
          <w:color w:val="000000"/>
          <w:sz w:val="24"/>
          <w:szCs w:val="24"/>
        </w:rPr>
        <w:t xml:space="preserve">not </w:t>
      </w:r>
      <w:r w:rsidRPr="00581966">
        <w:rPr>
          <w:color w:val="000000"/>
          <w:sz w:val="24"/>
          <w:szCs w:val="24"/>
        </w:rPr>
        <w:t xml:space="preserve">including </w:t>
      </w:r>
      <w:r w:rsidR="006270D8" w:rsidRPr="00581966">
        <w:rPr>
          <w:color w:val="000000"/>
          <w:sz w:val="24"/>
          <w:szCs w:val="24"/>
        </w:rPr>
        <w:t xml:space="preserve">the </w:t>
      </w:r>
      <w:r w:rsidRPr="00581966">
        <w:rPr>
          <w:color w:val="000000"/>
          <w:sz w:val="24"/>
          <w:szCs w:val="24"/>
        </w:rPr>
        <w:t>reserve supplies) should be from 500 g (for the D beam) to 800 g (for the D+T beam) of T</w:t>
      </w:r>
      <w:r w:rsidRPr="00581966">
        <w:rPr>
          <w:color w:val="000000"/>
          <w:sz w:val="24"/>
          <w:szCs w:val="24"/>
          <w:vertAlign w:val="subscript"/>
        </w:rPr>
        <w:t>2</w:t>
      </w:r>
      <w:r w:rsidRPr="00581966">
        <w:rPr>
          <w:color w:val="000000"/>
          <w:sz w:val="24"/>
          <w:szCs w:val="24"/>
        </w:rPr>
        <w:t xml:space="preserve"> and up to 850 g of D</w:t>
      </w:r>
      <w:r w:rsidRPr="00581966">
        <w:rPr>
          <w:color w:val="000000"/>
          <w:sz w:val="24"/>
          <w:szCs w:val="24"/>
          <w:vertAlign w:val="subscript"/>
        </w:rPr>
        <w:t>2</w:t>
      </w:r>
      <w:r w:rsidRPr="00581966">
        <w:rPr>
          <w:color w:val="000000"/>
          <w:sz w:val="24"/>
          <w:szCs w:val="24"/>
        </w:rPr>
        <w:t xml:space="preserve">. Figure 1 shows the total particle fluxes to </w:t>
      </w:r>
      <w:r w:rsidR="006270D8" w:rsidRPr="00581966">
        <w:rPr>
          <w:color w:val="000000"/>
          <w:sz w:val="24"/>
          <w:szCs w:val="24"/>
        </w:rPr>
        <w:t xml:space="preserve">the </w:t>
      </w:r>
      <w:r w:rsidRPr="00581966">
        <w:rPr>
          <w:color w:val="000000"/>
          <w:sz w:val="24"/>
          <w:szCs w:val="24"/>
        </w:rPr>
        <w:t>plasma core as a source from pellet</w:t>
      </w:r>
      <w:r w:rsidR="006270D8" w:rsidRPr="00581966">
        <w:rPr>
          <w:color w:val="000000"/>
          <w:sz w:val="24"/>
          <w:szCs w:val="24"/>
        </w:rPr>
        <w:t>s</w:t>
      </w:r>
      <w:r w:rsidRPr="00581966">
        <w:rPr>
          <w:color w:val="000000"/>
          <w:sz w:val="24"/>
          <w:szCs w:val="24"/>
        </w:rPr>
        <w:t xml:space="preserve">, as well as the tritium inventory in </w:t>
      </w:r>
      <w:r w:rsidR="006270D8" w:rsidRPr="00581966">
        <w:rPr>
          <w:color w:val="000000"/>
          <w:sz w:val="24"/>
          <w:szCs w:val="24"/>
        </w:rPr>
        <w:t xml:space="preserve">the </w:t>
      </w:r>
      <w:r w:rsidRPr="00581966">
        <w:rPr>
          <w:color w:val="000000"/>
          <w:sz w:val="24"/>
          <w:szCs w:val="24"/>
        </w:rPr>
        <w:t xml:space="preserve">FC systems for </w:t>
      </w:r>
      <w:r w:rsidR="006270D8" w:rsidRPr="00581966">
        <w:rPr>
          <w:color w:val="000000"/>
          <w:sz w:val="24"/>
          <w:szCs w:val="24"/>
        </w:rPr>
        <w:t xml:space="preserve">the </w:t>
      </w:r>
      <w:r w:rsidRPr="00581966">
        <w:rPr>
          <w:color w:val="000000"/>
          <w:sz w:val="24"/>
          <w:szCs w:val="24"/>
        </w:rPr>
        <w:t xml:space="preserve">natural and </w:t>
      </w:r>
      <w:r w:rsidR="006270D8" w:rsidRPr="00581966">
        <w:rPr>
          <w:color w:val="000000"/>
          <w:sz w:val="24"/>
          <w:szCs w:val="24"/>
        </w:rPr>
        <w:t xml:space="preserve">driven </w:t>
      </w:r>
      <w:r w:rsidRPr="00581966">
        <w:rPr>
          <w:color w:val="000000"/>
          <w:sz w:val="24"/>
          <w:szCs w:val="24"/>
        </w:rPr>
        <w:t>ELMs cases, given for the D</w:t>
      </w:r>
      <w:r w:rsidR="006270D8" w:rsidRPr="00581966">
        <w:rPr>
          <w:color w:val="000000"/>
          <w:sz w:val="24"/>
          <w:szCs w:val="24"/>
        </w:rPr>
        <w:t xml:space="preserve"> </w:t>
      </w:r>
      <w:r w:rsidRPr="00581966">
        <w:rPr>
          <w:color w:val="000000"/>
          <w:sz w:val="24"/>
          <w:szCs w:val="24"/>
        </w:rPr>
        <w:t>beam.</w:t>
      </w:r>
    </w:p>
    <w:p w14:paraId="7FEB3ACB" w14:textId="72DD769F" w:rsidR="00216EAA" w:rsidRPr="00581966" w:rsidRDefault="000F2172">
      <w:pPr>
        <w:spacing w:line="276" w:lineRule="auto"/>
        <w:ind w:firstLine="284"/>
        <w:jc w:val="both"/>
        <w:rPr>
          <w:sz w:val="24"/>
          <w:szCs w:val="24"/>
        </w:rPr>
      </w:pPr>
      <w:r w:rsidRPr="00581966">
        <w:rPr>
          <w:color w:val="000000"/>
          <w:sz w:val="24"/>
          <w:szCs w:val="24"/>
        </w:rPr>
        <w:t xml:space="preserve">The reserve supplies </w:t>
      </w:r>
      <w:r w:rsidR="006270D8" w:rsidRPr="00581966">
        <w:rPr>
          <w:color w:val="000000"/>
          <w:sz w:val="24"/>
          <w:szCs w:val="24"/>
        </w:rPr>
        <w:t xml:space="preserve">necessary </w:t>
      </w:r>
      <w:r w:rsidRPr="00581966">
        <w:rPr>
          <w:color w:val="000000"/>
          <w:sz w:val="24"/>
          <w:szCs w:val="24"/>
        </w:rPr>
        <w:t xml:space="preserve">to be able to work temporarily with the tritium breeding systems </w:t>
      </w:r>
      <w:r w:rsidR="006270D8" w:rsidRPr="00581966">
        <w:rPr>
          <w:color w:val="000000"/>
          <w:sz w:val="24"/>
          <w:szCs w:val="24"/>
        </w:rPr>
        <w:t xml:space="preserve">out of operation </w:t>
      </w:r>
      <w:r w:rsidRPr="00581966">
        <w:rPr>
          <w:color w:val="000000"/>
          <w:sz w:val="24"/>
          <w:szCs w:val="24"/>
        </w:rPr>
        <w:t>(repair or maintenance) make 80–120 g of T</w:t>
      </w:r>
      <w:r w:rsidRPr="00581966">
        <w:rPr>
          <w:color w:val="000000"/>
          <w:sz w:val="24"/>
          <w:szCs w:val="24"/>
          <w:vertAlign w:val="subscript"/>
        </w:rPr>
        <w:t>2</w:t>
      </w:r>
      <w:r w:rsidRPr="00581966">
        <w:rPr>
          <w:color w:val="000000"/>
          <w:sz w:val="24"/>
          <w:szCs w:val="24"/>
        </w:rPr>
        <w:t xml:space="preserve">. The long-term storage should </w:t>
      </w:r>
      <w:r w:rsidRPr="00581966">
        <w:rPr>
          <w:sz w:val="24"/>
          <w:szCs w:val="24"/>
        </w:rPr>
        <w:t>hold up to 350 g of T</w:t>
      </w:r>
      <w:r w:rsidRPr="00581966">
        <w:rPr>
          <w:sz w:val="24"/>
          <w:szCs w:val="24"/>
          <w:vertAlign w:val="subscript"/>
        </w:rPr>
        <w:t>2</w:t>
      </w:r>
      <w:r w:rsidRPr="00581966">
        <w:rPr>
          <w:sz w:val="24"/>
          <w:szCs w:val="24"/>
        </w:rPr>
        <w:t xml:space="preserve"> (</w:t>
      </w:r>
      <w:r w:rsidR="00251697" w:rsidRPr="00581966">
        <w:rPr>
          <w:sz w:val="24"/>
          <w:szCs w:val="24"/>
        </w:rPr>
        <w:t xml:space="preserve">tritium breeding ratio </w:t>
      </w:r>
      <w:r w:rsidRPr="00581966">
        <w:rPr>
          <w:sz w:val="24"/>
          <w:szCs w:val="24"/>
        </w:rPr>
        <w:t xml:space="preserve">TBR = 1.2, extraction of accumulated tritium once a year). Therefore, </w:t>
      </w:r>
      <w:r w:rsidR="00356B85" w:rsidRPr="00581966">
        <w:rPr>
          <w:sz w:val="24"/>
          <w:szCs w:val="24"/>
        </w:rPr>
        <w:t xml:space="preserve">the total inventory in </w:t>
      </w:r>
      <w:r w:rsidRPr="00581966">
        <w:rPr>
          <w:sz w:val="24"/>
          <w:szCs w:val="24"/>
        </w:rPr>
        <w:t xml:space="preserve">all </w:t>
      </w:r>
      <w:r w:rsidR="006270D8" w:rsidRPr="00581966">
        <w:rPr>
          <w:sz w:val="24"/>
          <w:szCs w:val="24"/>
        </w:rPr>
        <w:t xml:space="preserve">the </w:t>
      </w:r>
      <w:r w:rsidRPr="00581966">
        <w:rPr>
          <w:sz w:val="24"/>
          <w:szCs w:val="24"/>
        </w:rPr>
        <w:t xml:space="preserve">systems of the facility </w:t>
      </w:r>
      <w:r w:rsidR="00356B85" w:rsidRPr="00581966">
        <w:rPr>
          <w:sz w:val="24"/>
          <w:szCs w:val="24"/>
        </w:rPr>
        <w:t xml:space="preserve">can be estimated to be up to </w:t>
      </w:r>
      <w:r w:rsidRPr="00581966">
        <w:rPr>
          <w:sz w:val="24"/>
          <w:szCs w:val="24"/>
        </w:rPr>
        <w:t>900</w:t>
      </w:r>
      <w:r w:rsidR="00E54818" w:rsidRPr="00581966">
        <w:rPr>
          <w:sz w:val="24"/>
          <w:szCs w:val="24"/>
        </w:rPr>
        <w:t xml:space="preserve"> g</w:t>
      </w:r>
      <w:r w:rsidRPr="00581966">
        <w:rPr>
          <w:sz w:val="24"/>
          <w:szCs w:val="24"/>
        </w:rPr>
        <w:t xml:space="preserve"> (for </w:t>
      </w:r>
      <w:r w:rsidRPr="00581966">
        <w:rPr>
          <w:color w:val="000000"/>
          <w:sz w:val="24"/>
          <w:szCs w:val="24"/>
        </w:rPr>
        <w:t>D</w:t>
      </w:r>
      <w:r w:rsidR="00356B85" w:rsidRPr="00581966">
        <w:rPr>
          <w:color w:val="000000"/>
          <w:sz w:val="24"/>
          <w:szCs w:val="24"/>
        </w:rPr>
        <w:t xml:space="preserve"> </w:t>
      </w:r>
      <w:r w:rsidRPr="00581966">
        <w:rPr>
          <w:color w:val="000000"/>
          <w:sz w:val="24"/>
          <w:szCs w:val="24"/>
        </w:rPr>
        <w:t>beam</w:t>
      </w:r>
      <w:r w:rsidRPr="00581966">
        <w:rPr>
          <w:sz w:val="24"/>
          <w:szCs w:val="24"/>
        </w:rPr>
        <w:t xml:space="preserve">) to 1200 g </w:t>
      </w:r>
      <w:r w:rsidR="00E54818" w:rsidRPr="00581966">
        <w:rPr>
          <w:color w:val="000000"/>
          <w:sz w:val="24"/>
          <w:szCs w:val="24"/>
        </w:rPr>
        <w:t xml:space="preserve">(for the D+T beam) </w:t>
      </w:r>
      <w:r w:rsidRPr="00581966">
        <w:rPr>
          <w:sz w:val="24"/>
          <w:szCs w:val="24"/>
        </w:rPr>
        <w:t>of T</w:t>
      </w:r>
      <w:r w:rsidRPr="00581966">
        <w:rPr>
          <w:sz w:val="24"/>
          <w:szCs w:val="24"/>
          <w:vertAlign w:val="subscript"/>
        </w:rPr>
        <w:t>2</w:t>
      </w:r>
      <w:r w:rsidRPr="00581966">
        <w:rPr>
          <w:sz w:val="24"/>
          <w:szCs w:val="24"/>
        </w:rPr>
        <w:t>, taking into account the decay of accumulated T and including tritium in the long-term storage.</w:t>
      </w:r>
    </w:p>
    <w:p w14:paraId="7E3B7601" w14:textId="141444A7" w:rsidR="00216EAA" w:rsidRPr="00581966" w:rsidRDefault="00F356E3">
      <w:pPr>
        <w:spacing w:line="276" w:lineRule="auto"/>
        <w:jc w:val="both"/>
        <w:rPr>
          <w:color w:val="000000"/>
          <w:sz w:val="24"/>
          <w:szCs w:val="24"/>
        </w:rPr>
      </w:pPr>
      <w:r w:rsidRPr="00581966">
        <w:rPr>
          <w:noProof/>
          <w:color w:val="000000"/>
          <w:sz w:val="24"/>
          <w:szCs w:val="24"/>
          <w:lang w:val="ru-RU" w:eastAsia="ru-RU"/>
        </w:rPr>
        <w:drawing>
          <wp:inline distT="0" distB="0" distL="0" distR="0" wp14:anchorId="5162742E" wp14:editId="689A79D5">
            <wp:extent cx="5732145" cy="2150516"/>
            <wp:effectExtent l="0" t="0" r="190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2145" cy="2150516"/>
                    </a:xfrm>
                    <a:prstGeom prst="rect">
                      <a:avLst/>
                    </a:prstGeom>
                  </pic:spPr>
                </pic:pic>
              </a:graphicData>
            </a:graphic>
          </wp:inline>
        </w:drawing>
      </w:r>
    </w:p>
    <w:p w14:paraId="4A2AF2BB" w14:textId="1EA7527D" w:rsidR="00216EAA" w:rsidRPr="00581966" w:rsidRDefault="000F2172">
      <w:pPr>
        <w:pBdr>
          <w:top w:val="nil"/>
          <w:left w:val="nil"/>
          <w:bottom w:val="nil"/>
          <w:right w:val="nil"/>
          <w:between w:val="nil"/>
        </w:pBdr>
        <w:spacing w:before="240" w:after="480"/>
        <w:rPr>
          <w:i/>
          <w:color w:val="000000"/>
        </w:rPr>
      </w:pPr>
      <w:proofErr w:type="gramStart"/>
      <w:r w:rsidRPr="00581966">
        <w:rPr>
          <w:i/>
          <w:color w:val="000000"/>
        </w:rPr>
        <w:t>FIG. 3.</w:t>
      </w:r>
      <w:proofErr w:type="gramEnd"/>
      <w:r w:rsidRPr="00581966">
        <w:rPr>
          <w:i/>
          <w:color w:val="000000"/>
        </w:rPr>
        <w:t xml:space="preserve"> Total</w:t>
      </w:r>
      <w:r w:rsidR="00356B85" w:rsidRPr="00581966">
        <w:rPr>
          <w:i/>
          <w:color w:val="000000"/>
        </w:rPr>
        <w:t>,</w:t>
      </w:r>
      <w:r w:rsidRPr="00581966">
        <w:rPr>
          <w:i/>
          <w:color w:val="000000"/>
        </w:rPr>
        <w:t xml:space="preserve"> </w:t>
      </w:r>
      <w:r w:rsidR="00356B85" w:rsidRPr="00581966">
        <w:rPr>
          <w:i/>
          <w:color w:val="000000"/>
        </w:rPr>
        <w:t xml:space="preserve">D+T, </w:t>
      </w:r>
      <w:r w:rsidRPr="00581966">
        <w:rPr>
          <w:i/>
          <w:color w:val="000000"/>
        </w:rPr>
        <w:t>particle fluxes to</w:t>
      </w:r>
      <w:r w:rsidR="00356B85" w:rsidRPr="00581966">
        <w:rPr>
          <w:i/>
          <w:color w:val="000000"/>
        </w:rPr>
        <w:t xml:space="preserve"> the</w:t>
      </w:r>
      <w:r w:rsidRPr="00581966">
        <w:rPr>
          <w:i/>
          <w:color w:val="000000"/>
        </w:rPr>
        <w:t xml:space="preserve"> plasma core as </w:t>
      </w:r>
      <w:r w:rsidR="00356B85" w:rsidRPr="00581966">
        <w:rPr>
          <w:i/>
          <w:color w:val="000000"/>
        </w:rPr>
        <w:t xml:space="preserve">the </w:t>
      </w:r>
      <w:r w:rsidRPr="00581966">
        <w:rPr>
          <w:i/>
          <w:color w:val="000000"/>
        </w:rPr>
        <w:t xml:space="preserve">source from pellets </w:t>
      </w:r>
      <w:proofErr w:type="spellStart"/>
      <w:r w:rsidRPr="00581966">
        <w:rPr>
          <w:i/>
          <w:color w:val="000000"/>
        </w:rPr>
        <w:t>S</w:t>
      </w:r>
      <w:r w:rsidRPr="00581966">
        <w:rPr>
          <w:i/>
          <w:color w:val="000000"/>
          <w:vertAlign w:val="subscript"/>
        </w:rPr>
        <w:t>pel</w:t>
      </w:r>
      <w:proofErr w:type="spellEnd"/>
      <w:r w:rsidRPr="00581966">
        <w:rPr>
          <w:i/>
          <w:color w:val="000000"/>
        </w:rPr>
        <w:t xml:space="preserve">, as well as the tritium inventory </w:t>
      </w:r>
      <w:proofErr w:type="spellStart"/>
      <w:r w:rsidRPr="00581966">
        <w:rPr>
          <w:i/>
          <w:color w:val="000000"/>
        </w:rPr>
        <w:t>T</w:t>
      </w:r>
      <w:r w:rsidRPr="00581966">
        <w:rPr>
          <w:i/>
          <w:color w:val="000000"/>
          <w:vertAlign w:val="subscript"/>
        </w:rPr>
        <w:t>inv</w:t>
      </w:r>
      <w:proofErr w:type="spellEnd"/>
      <w:r w:rsidRPr="00581966">
        <w:rPr>
          <w:i/>
          <w:color w:val="000000"/>
        </w:rPr>
        <w:t xml:space="preserve"> in FC systems for </w:t>
      </w:r>
      <w:r w:rsidR="00356B85" w:rsidRPr="00581966">
        <w:rPr>
          <w:i/>
          <w:color w:val="000000"/>
        </w:rPr>
        <w:t xml:space="preserve">the </w:t>
      </w:r>
      <w:r w:rsidRPr="00581966">
        <w:rPr>
          <w:i/>
          <w:color w:val="000000"/>
        </w:rPr>
        <w:t>natural</w:t>
      </w:r>
      <w:r w:rsidR="00F356E3" w:rsidRPr="00581966">
        <w:rPr>
          <w:i/>
          <w:color w:val="000000"/>
        </w:rPr>
        <w:t xml:space="preserve"> (down)</w:t>
      </w:r>
      <w:r w:rsidRPr="00581966">
        <w:rPr>
          <w:i/>
          <w:color w:val="000000"/>
        </w:rPr>
        <w:t xml:space="preserve"> and </w:t>
      </w:r>
      <w:r w:rsidR="00356B85" w:rsidRPr="00581966">
        <w:rPr>
          <w:i/>
          <w:color w:val="000000"/>
        </w:rPr>
        <w:t>driven</w:t>
      </w:r>
      <w:r w:rsidR="00F356E3" w:rsidRPr="00581966">
        <w:rPr>
          <w:i/>
          <w:color w:val="000000"/>
        </w:rPr>
        <w:t xml:space="preserve"> (up)</w:t>
      </w:r>
      <w:r w:rsidR="00356B85" w:rsidRPr="00581966">
        <w:rPr>
          <w:i/>
          <w:color w:val="000000"/>
        </w:rPr>
        <w:t xml:space="preserve"> </w:t>
      </w:r>
      <w:r w:rsidRPr="00581966">
        <w:rPr>
          <w:i/>
          <w:color w:val="000000"/>
        </w:rPr>
        <w:t>ELM cases, given for the D</w:t>
      </w:r>
      <w:r w:rsidR="00356B85" w:rsidRPr="00581966">
        <w:rPr>
          <w:i/>
          <w:color w:val="000000"/>
        </w:rPr>
        <w:t xml:space="preserve"> </w:t>
      </w:r>
      <w:r w:rsidRPr="00581966">
        <w:rPr>
          <w:i/>
          <w:color w:val="000000"/>
        </w:rPr>
        <w:t xml:space="preserve">beam. </w:t>
      </w:r>
    </w:p>
    <w:p w14:paraId="6CAEDF33" w14:textId="3C27482C" w:rsidR="00216EAA" w:rsidRPr="00581966" w:rsidRDefault="000F2172">
      <w:pPr>
        <w:spacing w:line="276" w:lineRule="auto"/>
        <w:ind w:firstLine="284"/>
        <w:jc w:val="both"/>
        <w:rPr>
          <w:sz w:val="24"/>
          <w:szCs w:val="24"/>
        </w:rPr>
      </w:pPr>
      <w:r w:rsidRPr="00581966">
        <w:rPr>
          <w:sz w:val="24"/>
          <w:szCs w:val="24"/>
        </w:rPr>
        <w:t xml:space="preserve">Note that an increase in the fuel fluxes through the injection systems, hydrogen isotopes separation systems (and some other systems) in the case of the convective ELMs causes no noticeable increase in the T inventory in the fuel cycle. The hydrogen isotope inventory at the facility site in this case will reach </w:t>
      </w:r>
      <w:r w:rsidR="00356B85" w:rsidRPr="00581966">
        <w:rPr>
          <w:sz w:val="24"/>
          <w:szCs w:val="24"/>
        </w:rPr>
        <w:t xml:space="preserve">the </w:t>
      </w:r>
      <w:r w:rsidRPr="00581966">
        <w:rPr>
          <w:sz w:val="24"/>
          <w:szCs w:val="24"/>
        </w:rPr>
        <w:t xml:space="preserve">values from 1000 </w:t>
      </w:r>
      <w:r w:rsidR="00E54818" w:rsidRPr="00581966">
        <w:rPr>
          <w:sz w:val="24"/>
          <w:szCs w:val="24"/>
        </w:rPr>
        <w:t xml:space="preserve">g </w:t>
      </w:r>
      <w:r w:rsidRPr="00581966">
        <w:rPr>
          <w:sz w:val="24"/>
          <w:szCs w:val="24"/>
        </w:rPr>
        <w:t xml:space="preserve">(for </w:t>
      </w:r>
      <w:r w:rsidR="00356B85" w:rsidRPr="00581966">
        <w:rPr>
          <w:sz w:val="24"/>
          <w:szCs w:val="24"/>
        </w:rPr>
        <w:t xml:space="preserve">the </w:t>
      </w:r>
      <w:r w:rsidRPr="00581966">
        <w:rPr>
          <w:color w:val="000000"/>
          <w:sz w:val="24"/>
          <w:szCs w:val="24"/>
        </w:rPr>
        <w:t>D</w:t>
      </w:r>
      <w:r w:rsidR="00356B85" w:rsidRPr="00581966">
        <w:rPr>
          <w:color w:val="000000"/>
          <w:sz w:val="24"/>
          <w:szCs w:val="24"/>
        </w:rPr>
        <w:t xml:space="preserve"> </w:t>
      </w:r>
      <w:r w:rsidRPr="00581966">
        <w:rPr>
          <w:color w:val="000000"/>
          <w:sz w:val="24"/>
          <w:szCs w:val="24"/>
        </w:rPr>
        <w:t>beam</w:t>
      </w:r>
      <w:r w:rsidRPr="00581966">
        <w:rPr>
          <w:sz w:val="24"/>
          <w:szCs w:val="24"/>
        </w:rPr>
        <w:t xml:space="preserve">) to 1400 g </w:t>
      </w:r>
      <w:r w:rsidR="00E54818" w:rsidRPr="00581966">
        <w:rPr>
          <w:color w:val="000000"/>
          <w:sz w:val="24"/>
          <w:szCs w:val="24"/>
        </w:rPr>
        <w:t xml:space="preserve">(for the D+T beam) of </w:t>
      </w:r>
      <w:r w:rsidRPr="00581966">
        <w:rPr>
          <w:sz w:val="24"/>
          <w:szCs w:val="24"/>
        </w:rPr>
        <w:t>T</w:t>
      </w:r>
      <w:r w:rsidRPr="00581966">
        <w:rPr>
          <w:sz w:val="24"/>
          <w:szCs w:val="24"/>
          <w:vertAlign w:val="subscript"/>
        </w:rPr>
        <w:t>2</w:t>
      </w:r>
      <w:r w:rsidRPr="00581966">
        <w:rPr>
          <w:sz w:val="24"/>
          <w:szCs w:val="24"/>
        </w:rPr>
        <w:t xml:space="preserve"> and up to 1400 g D</w:t>
      </w:r>
      <w:r w:rsidRPr="00581966">
        <w:rPr>
          <w:sz w:val="24"/>
          <w:szCs w:val="24"/>
          <w:vertAlign w:val="subscript"/>
        </w:rPr>
        <w:t>2</w:t>
      </w:r>
      <w:r w:rsidRPr="00581966">
        <w:rPr>
          <w:sz w:val="24"/>
          <w:szCs w:val="24"/>
        </w:rPr>
        <w:t>.</w:t>
      </w:r>
    </w:p>
    <w:p w14:paraId="0BB59D9E" w14:textId="77777777" w:rsidR="00216EAA" w:rsidRPr="00581966" w:rsidRDefault="00216EAA">
      <w:pPr>
        <w:rPr>
          <w:sz w:val="24"/>
          <w:szCs w:val="24"/>
        </w:rPr>
      </w:pPr>
    </w:p>
    <w:p w14:paraId="516C7410" w14:textId="203AD82F" w:rsidR="00216EAA" w:rsidRPr="00581966" w:rsidRDefault="00786571">
      <w:pPr>
        <w:spacing w:line="276" w:lineRule="auto"/>
        <w:jc w:val="both"/>
        <w:rPr>
          <w:sz w:val="24"/>
          <w:szCs w:val="24"/>
        </w:rPr>
      </w:pPr>
      <w:r w:rsidRPr="00581966">
        <w:rPr>
          <w:sz w:val="24"/>
          <w:szCs w:val="24"/>
        </w:rPr>
        <w:t>5</w:t>
      </w:r>
      <w:r w:rsidR="000F2172" w:rsidRPr="00581966">
        <w:rPr>
          <w:sz w:val="24"/>
          <w:szCs w:val="24"/>
        </w:rPr>
        <w:t>.</w:t>
      </w:r>
      <w:r w:rsidR="000F2172" w:rsidRPr="00581966">
        <w:rPr>
          <w:sz w:val="24"/>
          <w:szCs w:val="24"/>
        </w:rPr>
        <w:tab/>
        <w:t xml:space="preserve">CONCLUSION </w:t>
      </w:r>
    </w:p>
    <w:p w14:paraId="48AD7675" w14:textId="77777777" w:rsidR="00216EAA" w:rsidRPr="00581966" w:rsidRDefault="00216EAA">
      <w:pPr>
        <w:rPr>
          <w:sz w:val="24"/>
          <w:szCs w:val="24"/>
        </w:rPr>
      </w:pPr>
    </w:p>
    <w:p w14:paraId="6DA5EDB6" w14:textId="77777777" w:rsidR="0065302C" w:rsidRPr="00581966" w:rsidRDefault="0065302C" w:rsidP="0065302C">
      <w:pPr>
        <w:spacing w:line="276" w:lineRule="auto"/>
        <w:ind w:firstLine="284"/>
        <w:jc w:val="both"/>
        <w:rPr>
          <w:sz w:val="24"/>
          <w:szCs w:val="24"/>
        </w:rPr>
      </w:pPr>
      <w:r w:rsidRPr="00581966">
        <w:rPr>
          <w:sz w:val="24"/>
          <w:szCs w:val="24"/>
        </w:rPr>
        <w:t xml:space="preserve">In the Russian Federation, a concept is being developed for the AE development with a fusion neutron source based on a tokamak for a fuel nuclide breeding in a FFHS blanket  and "closing the fuel cycle" of thermal reactors (in the </w:t>
      </w:r>
      <w:r w:rsidRPr="00581966">
        <w:rPr>
          <w:sz w:val="24"/>
          <w:szCs w:val="24"/>
          <w:vertAlign w:val="superscript"/>
        </w:rPr>
        <w:t>233</w:t>
      </w:r>
      <w:r w:rsidRPr="00581966">
        <w:rPr>
          <w:sz w:val="24"/>
          <w:szCs w:val="24"/>
        </w:rPr>
        <w:t xml:space="preserve">U - </w:t>
      </w:r>
      <w:r w:rsidRPr="00581966">
        <w:rPr>
          <w:sz w:val="24"/>
          <w:szCs w:val="24"/>
          <w:vertAlign w:val="superscript"/>
        </w:rPr>
        <w:t>232</w:t>
      </w:r>
      <w:r w:rsidRPr="00581966">
        <w:rPr>
          <w:sz w:val="24"/>
          <w:szCs w:val="24"/>
        </w:rPr>
        <w:t xml:space="preserve">Th fuel cycle). The main advantage of this approach is that there is no need to separate SNF for fuel nuclides extraction. Due to the significantly lower activity of the fusion-fission hybrid system blanket contents, such concept can be accompanied by significantly lower losses of radioactive materials compared to using fast reactors and processing SNF from them. </w:t>
      </w:r>
      <w:proofErr w:type="gramStart"/>
      <w:r w:rsidRPr="00581966">
        <w:rPr>
          <w:sz w:val="24"/>
          <w:szCs w:val="24"/>
        </w:rPr>
        <w:t>be</w:t>
      </w:r>
      <w:proofErr w:type="gramEnd"/>
      <w:r w:rsidRPr="00581966">
        <w:rPr>
          <w:sz w:val="24"/>
          <w:szCs w:val="24"/>
        </w:rPr>
        <w:t xml:space="preserve"> provided in thermal reactors, where the </w:t>
      </w:r>
      <w:r w:rsidRPr="00581966">
        <w:rPr>
          <w:sz w:val="24"/>
          <w:szCs w:val="24"/>
          <w:vertAlign w:val="superscript"/>
        </w:rPr>
        <w:t>6</w:t>
      </w:r>
      <w:r w:rsidRPr="00581966">
        <w:rPr>
          <w:sz w:val="24"/>
          <w:szCs w:val="24"/>
        </w:rPr>
        <w:t>Li isotope will be used as a burnable absorber.</w:t>
      </w:r>
    </w:p>
    <w:p w14:paraId="5DF9D78D" w14:textId="77777777" w:rsidR="0065302C" w:rsidRPr="00581966" w:rsidRDefault="0065302C" w:rsidP="0065302C">
      <w:pPr>
        <w:spacing w:line="276" w:lineRule="auto"/>
        <w:ind w:firstLine="284"/>
        <w:jc w:val="both"/>
        <w:rPr>
          <w:sz w:val="24"/>
          <w:szCs w:val="24"/>
        </w:rPr>
      </w:pPr>
      <w:r w:rsidRPr="00581966">
        <w:rPr>
          <w:sz w:val="24"/>
          <w:szCs w:val="24"/>
        </w:rPr>
        <w:t>It was shown that in order to create an energy efficient combination of TR+FFHS, it is necessary to ensure the fuel nuclide production in an amount that is sufficient for the operation of the TR and also to reduce the electricity consumption for the FFHS (taking into account the thermal energy produced in the blanket to electricity conversion). To do this, R&amp;D should be carried out to intensify the neutrons source production and the fuel nuclide breeding in blanket. These studies are carried out within the federal program framework "Development of technologies for controlled fusion and innovative plasma technologies".</w:t>
      </w:r>
    </w:p>
    <w:p w14:paraId="41A64EE1" w14:textId="4DB9547E" w:rsidR="00216EAA" w:rsidRPr="00581966" w:rsidRDefault="0065302C" w:rsidP="0065302C">
      <w:pPr>
        <w:spacing w:line="276" w:lineRule="auto"/>
        <w:ind w:firstLine="284"/>
        <w:jc w:val="both"/>
        <w:rPr>
          <w:sz w:val="24"/>
          <w:szCs w:val="24"/>
        </w:rPr>
      </w:pPr>
      <w:r w:rsidRPr="00581966">
        <w:rPr>
          <w:sz w:val="24"/>
          <w:szCs w:val="24"/>
        </w:rPr>
        <w:t>The concept of the DT fuel cycle for the tokamak-based fusion neutron sources is being intensively developed in the Russian Federation. Investigation of the neutron source operating modes and the fusion plasma isotope composition optimization is the most important task from the facility operation safety point of view.</w:t>
      </w:r>
      <w:r w:rsidR="00196B15" w:rsidRPr="00581966">
        <w:rPr>
          <w:sz w:val="24"/>
          <w:szCs w:val="24"/>
        </w:rPr>
        <w:t xml:space="preserve"> </w:t>
      </w:r>
      <w:r w:rsidR="000F2172" w:rsidRPr="00581966">
        <w:rPr>
          <w:sz w:val="24"/>
          <w:szCs w:val="24"/>
        </w:rPr>
        <w:t xml:space="preserve">Analysis of the FC operation is performed on the basis of </w:t>
      </w:r>
      <w:r w:rsidR="00356B85" w:rsidRPr="00581966">
        <w:rPr>
          <w:sz w:val="24"/>
          <w:szCs w:val="24"/>
        </w:rPr>
        <w:t xml:space="preserve">the </w:t>
      </w:r>
      <w:r w:rsidR="000F2172" w:rsidRPr="00581966">
        <w:rPr>
          <w:sz w:val="24"/>
          <w:szCs w:val="24"/>
        </w:rPr>
        <w:t>advanced SOLPS, ASTRA, and FC-FNS codes</w:t>
      </w:r>
      <w:r w:rsidR="00356B85" w:rsidRPr="00581966">
        <w:rPr>
          <w:sz w:val="24"/>
          <w:szCs w:val="24"/>
        </w:rPr>
        <w:t>,</w:t>
      </w:r>
      <w:r w:rsidR="000F2172" w:rsidRPr="00581966">
        <w:rPr>
          <w:sz w:val="24"/>
          <w:szCs w:val="24"/>
        </w:rPr>
        <w:t xml:space="preserve"> taking into account</w:t>
      </w:r>
      <w:r w:rsidR="00356B85" w:rsidRPr="00581966">
        <w:rPr>
          <w:sz w:val="24"/>
          <w:szCs w:val="24"/>
        </w:rPr>
        <w:t xml:space="preserve"> the</w:t>
      </w:r>
      <w:r w:rsidR="000F2172" w:rsidRPr="00581966">
        <w:rPr>
          <w:sz w:val="24"/>
          <w:szCs w:val="24"/>
        </w:rPr>
        <w:t xml:space="preserve"> interaction of </w:t>
      </w:r>
      <w:r w:rsidR="00356B85" w:rsidRPr="00581966">
        <w:rPr>
          <w:sz w:val="24"/>
          <w:szCs w:val="24"/>
        </w:rPr>
        <w:t xml:space="preserve">the </w:t>
      </w:r>
      <w:r w:rsidR="000F2172" w:rsidRPr="00581966">
        <w:rPr>
          <w:sz w:val="24"/>
          <w:szCs w:val="24"/>
        </w:rPr>
        <w:t xml:space="preserve">gas flows with </w:t>
      </w:r>
      <w:r w:rsidR="00356B85" w:rsidRPr="00581966">
        <w:rPr>
          <w:sz w:val="24"/>
          <w:szCs w:val="24"/>
        </w:rPr>
        <w:t xml:space="preserve">the </w:t>
      </w:r>
      <w:r w:rsidR="000F2172" w:rsidRPr="00581966">
        <w:rPr>
          <w:sz w:val="24"/>
          <w:szCs w:val="24"/>
        </w:rPr>
        <w:t>plasma. Effects of specific gas mixture flows on plasma optimization and minimizing the T inventory at the site are treated in detail.</w:t>
      </w:r>
    </w:p>
    <w:p w14:paraId="242CE88E" w14:textId="6F4F0DB5" w:rsidR="00216EAA" w:rsidRPr="00581966" w:rsidRDefault="000F2172">
      <w:pPr>
        <w:spacing w:line="276" w:lineRule="auto"/>
        <w:ind w:firstLine="284"/>
        <w:jc w:val="both"/>
        <w:rPr>
          <w:sz w:val="24"/>
          <w:szCs w:val="24"/>
        </w:rPr>
      </w:pPr>
      <w:r w:rsidRPr="00581966">
        <w:rPr>
          <w:sz w:val="24"/>
          <w:szCs w:val="24"/>
        </w:rPr>
        <w:t xml:space="preserve">For the considered cases of </w:t>
      </w:r>
      <w:r w:rsidR="00356B85" w:rsidRPr="00581966">
        <w:rPr>
          <w:sz w:val="24"/>
          <w:szCs w:val="24"/>
        </w:rPr>
        <w:t xml:space="preserve">the </w:t>
      </w:r>
      <w:r w:rsidRPr="00581966">
        <w:rPr>
          <w:sz w:val="24"/>
          <w:szCs w:val="24"/>
        </w:rPr>
        <w:t xml:space="preserve">heating beam isotope composition, corresponding to </w:t>
      </w:r>
      <w:r w:rsidR="00356B85" w:rsidRPr="00581966">
        <w:rPr>
          <w:sz w:val="24"/>
          <w:szCs w:val="24"/>
        </w:rPr>
        <w:t xml:space="preserve">the </w:t>
      </w:r>
      <w:r w:rsidRPr="00581966">
        <w:rPr>
          <w:sz w:val="24"/>
          <w:szCs w:val="24"/>
        </w:rPr>
        <w:t>operation</w:t>
      </w:r>
      <w:r w:rsidR="00356B85" w:rsidRPr="00581966">
        <w:rPr>
          <w:sz w:val="24"/>
          <w:szCs w:val="24"/>
        </w:rPr>
        <w:t>al</w:t>
      </w:r>
      <w:r w:rsidRPr="00581966">
        <w:rPr>
          <w:sz w:val="24"/>
          <w:szCs w:val="24"/>
        </w:rPr>
        <w:t xml:space="preserve"> conditions of </w:t>
      </w:r>
      <w:r w:rsidR="00356B85" w:rsidRPr="00581966">
        <w:rPr>
          <w:sz w:val="24"/>
          <w:szCs w:val="24"/>
        </w:rPr>
        <w:t xml:space="preserve">the </w:t>
      </w:r>
      <w:r w:rsidRPr="00581966">
        <w:rPr>
          <w:sz w:val="24"/>
          <w:szCs w:val="24"/>
        </w:rPr>
        <w:t xml:space="preserve">FNS, a neutron flux </w:t>
      </w:r>
      <w:r w:rsidR="00356B85" w:rsidRPr="00581966">
        <w:rPr>
          <w:sz w:val="24"/>
          <w:szCs w:val="24"/>
        </w:rPr>
        <w:t xml:space="preserve">of </w:t>
      </w:r>
      <w:r w:rsidRPr="00581966">
        <w:rPr>
          <w:sz w:val="24"/>
          <w:szCs w:val="24"/>
        </w:rPr>
        <w:t>up to 6</w:t>
      </w:r>
      <w:r w:rsidR="002E0A27" w:rsidRPr="00581966">
        <w:rPr>
          <w:sz w:val="24"/>
          <w:szCs w:val="24"/>
        </w:rPr>
        <w:t>.5</w:t>
      </w:r>
      <w:r w:rsidRPr="00581966">
        <w:rPr>
          <w:sz w:val="24"/>
          <w:szCs w:val="24"/>
        </w:rPr>
        <w:t>·10</w:t>
      </w:r>
      <w:r w:rsidRPr="00581966">
        <w:rPr>
          <w:sz w:val="24"/>
          <w:szCs w:val="24"/>
          <w:vertAlign w:val="superscript"/>
        </w:rPr>
        <w:t>17</w:t>
      </w:r>
      <w:r w:rsidRPr="00581966">
        <w:rPr>
          <w:sz w:val="24"/>
          <w:szCs w:val="24"/>
        </w:rPr>
        <w:t xml:space="preserve"> 1/s can be </w:t>
      </w:r>
      <w:r w:rsidR="00356B85" w:rsidRPr="00581966">
        <w:rPr>
          <w:sz w:val="24"/>
          <w:szCs w:val="24"/>
        </w:rPr>
        <w:t xml:space="preserve">expected in </w:t>
      </w:r>
      <w:r w:rsidRPr="00581966">
        <w:rPr>
          <w:sz w:val="24"/>
          <w:szCs w:val="24"/>
        </w:rPr>
        <w:t xml:space="preserve">the compact </w:t>
      </w:r>
      <w:r w:rsidR="00356B85" w:rsidRPr="00581966">
        <w:rPr>
          <w:sz w:val="24"/>
          <w:szCs w:val="24"/>
        </w:rPr>
        <w:t>tokamak-</w:t>
      </w:r>
      <w:r w:rsidRPr="00581966">
        <w:rPr>
          <w:sz w:val="24"/>
          <w:szCs w:val="24"/>
        </w:rPr>
        <w:t xml:space="preserve">based neutron source FNS-C. The tritium inventory in the fuel cycle systems of the facility in all </w:t>
      </w:r>
      <w:r w:rsidR="00356B85" w:rsidRPr="00581966">
        <w:rPr>
          <w:sz w:val="24"/>
          <w:szCs w:val="24"/>
        </w:rPr>
        <w:t xml:space="preserve">the </w:t>
      </w:r>
      <w:r w:rsidRPr="00581966">
        <w:rPr>
          <w:sz w:val="24"/>
          <w:szCs w:val="24"/>
        </w:rPr>
        <w:t xml:space="preserve">cases </w:t>
      </w:r>
      <w:r w:rsidR="00356B85" w:rsidRPr="00581966">
        <w:rPr>
          <w:sz w:val="24"/>
          <w:szCs w:val="24"/>
        </w:rPr>
        <w:t>considered is</w:t>
      </w:r>
      <w:r w:rsidRPr="00581966">
        <w:rPr>
          <w:sz w:val="24"/>
          <w:szCs w:val="24"/>
        </w:rPr>
        <w:t xml:space="preserve"> in the range of 150-250 g, distributed </w:t>
      </w:r>
      <w:r w:rsidR="00356B85" w:rsidRPr="00581966">
        <w:rPr>
          <w:sz w:val="24"/>
          <w:szCs w:val="24"/>
        </w:rPr>
        <w:t>unevenly among</w:t>
      </w:r>
      <w:r w:rsidRPr="00581966">
        <w:rPr>
          <w:sz w:val="24"/>
          <w:szCs w:val="24"/>
        </w:rPr>
        <w:t xml:space="preserve"> the systems on</w:t>
      </w:r>
      <w:r w:rsidR="00356B85" w:rsidRPr="00581966">
        <w:rPr>
          <w:sz w:val="24"/>
          <w:szCs w:val="24"/>
        </w:rPr>
        <w:t xml:space="preserve"> </w:t>
      </w:r>
      <w:r w:rsidRPr="00581966">
        <w:rPr>
          <w:sz w:val="24"/>
          <w:szCs w:val="24"/>
        </w:rPr>
        <w:t xml:space="preserve">site. </w:t>
      </w:r>
      <w:r w:rsidR="00356B85" w:rsidRPr="00581966">
        <w:rPr>
          <w:sz w:val="24"/>
          <w:szCs w:val="24"/>
        </w:rPr>
        <w:t xml:space="preserve">When choosing </w:t>
      </w:r>
      <w:r w:rsidRPr="00581966">
        <w:rPr>
          <w:sz w:val="24"/>
          <w:szCs w:val="24"/>
        </w:rPr>
        <w:t xml:space="preserve">the plasma core and heating beam composition, it is </w:t>
      </w:r>
      <w:r w:rsidR="00356B85" w:rsidRPr="00581966">
        <w:rPr>
          <w:sz w:val="24"/>
          <w:szCs w:val="24"/>
        </w:rPr>
        <w:t>desirable</w:t>
      </w:r>
      <w:r w:rsidRPr="00581966">
        <w:rPr>
          <w:sz w:val="24"/>
          <w:szCs w:val="24"/>
        </w:rPr>
        <w:t xml:space="preserve"> to minimize the tritium inventory in the vacuum chamber and injection systems adjacent to it</w:t>
      </w:r>
      <w:r w:rsidR="00356B85" w:rsidRPr="00581966">
        <w:rPr>
          <w:sz w:val="24"/>
          <w:szCs w:val="24"/>
        </w:rPr>
        <w:t>.</w:t>
      </w:r>
      <w:r w:rsidRPr="00581966">
        <w:rPr>
          <w:sz w:val="24"/>
          <w:szCs w:val="24"/>
        </w:rPr>
        <w:t xml:space="preserve"> </w:t>
      </w:r>
      <w:r w:rsidR="00356B85" w:rsidRPr="00581966">
        <w:rPr>
          <w:sz w:val="24"/>
          <w:szCs w:val="24"/>
        </w:rPr>
        <w:t>I</w:t>
      </w:r>
      <w:r w:rsidRPr="00581966">
        <w:rPr>
          <w:sz w:val="24"/>
          <w:szCs w:val="24"/>
        </w:rPr>
        <w:t xml:space="preserve">n this case, an increase in </w:t>
      </w:r>
      <w:r w:rsidR="00877266" w:rsidRPr="00581966">
        <w:rPr>
          <w:sz w:val="24"/>
          <w:szCs w:val="24"/>
        </w:rPr>
        <w:t xml:space="preserve">the T </w:t>
      </w:r>
      <w:r w:rsidRPr="00581966">
        <w:rPr>
          <w:sz w:val="24"/>
          <w:szCs w:val="24"/>
        </w:rPr>
        <w:t xml:space="preserve">inventory in the heating beams gas supply system and </w:t>
      </w:r>
      <w:r w:rsidR="00877266" w:rsidRPr="00581966">
        <w:rPr>
          <w:sz w:val="24"/>
          <w:szCs w:val="24"/>
        </w:rPr>
        <w:t xml:space="preserve">the </w:t>
      </w:r>
      <w:r w:rsidRPr="00581966">
        <w:rPr>
          <w:sz w:val="24"/>
          <w:szCs w:val="24"/>
        </w:rPr>
        <w:t xml:space="preserve">hydrogen isotope separation system can occur. The tritium inventory in the beam injectors can be reduced by </w:t>
      </w:r>
      <w:r w:rsidR="00877266" w:rsidRPr="00581966">
        <w:rPr>
          <w:sz w:val="24"/>
          <w:szCs w:val="24"/>
        </w:rPr>
        <w:t>separate feeds</w:t>
      </w:r>
      <w:r w:rsidRPr="00581966">
        <w:rPr>
          <w:sz w:val="24"/>
          <w:szCs w:val="24"/>
        </w:rPr>
        <w:t xml:space="preserve"> </w:t>
      </w:r>
      <w:r w:rsidR="00877266" w:rsidRPr="00581966">
        <w:rPr>
          <w:sz w:val="24"/>
          <w:szCs w:val="24"/>
        </w:rPr>
        <w:t xml:space="preserve">of gas with different </w:t>
      </w:r>
      <w:r w:rsidRPr="00581966">
        <w:rPr>
          <w:sz w:val="24"/>
          <w:szCs w:val="24"/>
        </w:rPr>
        <w:t xml:space="preserve">composition </w:t>
      </w:r>
      <w:r w:rsidR="00877266" w:rsidRPr="00581966">
        <w:rPr>
          <w:sz w:val="24"/>
          <w:szCs w:val="24"/>
        </w:rPr>
        <w:t>for</w:t>
      </w:r>
      <w:r w:rsidRPr="00581966">
        <w:rPr>
          <w:sz w:val="24"/>
          <w:szCs w:val="24"/>
        </w:rPr>
        <w:t xml:space="preserve"> the ion source and neutralizer. </w:t>
      </w:r>
      <w:r w:rsidR="00877266" w:rsidRPr="00581966">
        <w:rPr>
          <w:sz w:val="24"/>
          <w:szCs w:val="24"/>
        </w:rPr>
        <w:t xml:space="preserve">Although this </w:t>
      </w:r>
      <w:r w:rsidRPr="00581966">
        <w:rPr>
          <w:sz w:val="24"/>
          <w:szCs w:val="24"/>
        </w:rPr>
        <w:t xml:space="preserve">will </w:t>
      </w:r>
      <w:r w:rsidR="00877266" w:rsidRPr="00581966">
        <w:rPr>
          <w:sz w:val="24"/>
          <w:szCs w:val="24"/>
        </w:rPr>
        <w:t>cause</w:t>
      </w:r>
      <w:r w:rsidRPr="00581966">
        <w:rPr>
          <w:sz w:val="24"/>
          <w:szCs w:val="24"/>
        </w:rPr>
        <w:t xml:space="preserve"> an additional increase of the tritium inventory in the "tritium plant</w:t>
      </w:r>
      <w:r w:rsidR="00877266" w:rsidRPr="00581966">
        <w:rPr>
          <w:sz w:val="24"/>
          <w:szCs w:val="24"/>
        </w:rPr>
        <w:t xml:space="preserve">", such a decision may well </w:t>
      </w:r>
      <w:proofErr w:type="gramStart"/>
      <w:r w:rsidR="00877266" w:rsidRPr="00581966">
        <w:rPr>
          <w:sz w:val="24"/>
          <w:szCs w:val="24"/>
        </w:rPr>
        <w:t>be</w:t>
      </w:r>
      <w:proofErr w:type="gramEnd"/>
      <w:r w:rsidR="00877266" w:rsidRPr="00581966">
        <w:rPr>
          <w:sz w:val="24"/>
          <w:szCs w:val="24"/>
        </w:rPr>
        <w:t xml:space="preserve"> justified</w:t>
      </w:r>
      <w:r w:rsidR="00877266" w:rsidRPr="00581966" w:rsidDel="00877266">
        <w:rPr>
          <w:sz w:val="24"/>
          <w:szCs w:val="24"/>
        </w:rPr>
        <w:t xml:space="preserve"> </w:t>
      </w:r>
      <w:r w:rsidRPr="00581966">
        <w:rPr>
          <w:sz w:val="24"/>
          <w:szCs w:val="24"/>
        </w:rPr>
        <w:t xml:space="preserve">taking into account that it will be located in a separate building on </w:t>
      </w:r>
      <w:r w:rsidR="00877266" w:rsidRPr="00581966">
        <w:rPr>
          <w:sz w:val="24"/>
          <w:szCs w:val="24"/>
        </w:rPr>
        <w:t xml:space="preserve">the </w:t>
      </w:r>
      <w:r w:rsidRPr="00581966">
        <w:rPr>
          <w:sz w:val="24"/>
          <w:szCs w:val="24"/>
        </w:rPr>
        <w:t>site.</w:t>
      </w:r>
    </w:p>
    <w:p w14:paraId="69E248C1" w14:textId="286798CD" w:rsidR="00216EAA" w:rsidRPr="00581966" w:rsidRDefault="000F2172">
      <w:pPr>
        <w:spacing w:line="276" w:lineRule="auto"/>
        <w:ind w:firstLine="284"/>
        <w:jc w:val="both"/>
        <w:rPr>
          <w:sz w:val="24"/>
          <w:szCs w:val="24"/>
        </w:rPr>
      </w:pPr>
      <w:bookmarkStart w:id="0" w:name="_gjdgxs" w:colFirst="0" w:colLast="0"/>
      <w:bookmarkEnd w:id="0"/>
      <w:r w:rsidRPr="00581966">
        <w:rPr>
          <w:sz w:val="24"/>
          <w:szCs w:val="24"/>
        </w:rPr>
        <w:t xml:space="preserve">Calculations performed for </w:t>
      </w:r>
      <w:r w:rsidR="002E0A27" w:rsidRPr="00581966">
        <w:rPr>
          <w:sz w:val="24"/>
          <w:szCs w:val="24"/>
        </w:rPr>
        <w:t xml:space="preserve">the </w:t>
      </w:r>
      <w:r w:rsidRPr="00581966">
        <w:rPr>
          <w:sz w:val="24"/>
          <w:szCs w:val="24"/>
        </w:rPr>
        <w:t xml:space="preserve">core plasma with </w:t>
      </w:r>
      <w:r w:rsidR="002E0A27" w:rsidRPr="00581966">
        <w:rPr>
          <w:sz w:val="24"/>
          <w:szCs w:val="24"/>
        </w:rPr>
        <w:t xml:space="preserve">particle transport </w:t>
      </w:r>
      <w:r w:rsidRPr="00581966">
        <w:rPr>
          <w:sz w:val="24"/>
          <w:szCs w:val="24"/>
        </w:rPr>
        <w:t xml:space="preserve">equations </w:t>
      </w:r>
      <w:r w:rsidR="002E0A27" w:rsidRPr="00581966">
        <w:rPr>
          <w:sz w:val="24"/>
          <w:szCs w:val="24"/>
        </w:rPr>
        <w:t xml:space="preserve">for ions </w:t>
      </w:r>
      <w:r w:rsidRPr="00581966">
        <w:rPr>
          <w:sz w:val="24"/>
          <w:szCs w:val="24"/>
        </w:rPr>
        <w:t xml:space="preserve">instead of electrons </w:t>
      </w:r>
      <w:r w:rsidR="002E0A27" w:rsidRPr="00581966">
        <w:rPr>
          <w:sz w:val="24"/>
          <w:szCs w:val="24"/>
        </w:rPr>
        <w:t xml:space="preserve">shows lower </w:t>
      </w:r>
      <w:r w:rsidRPr="00581966">
        <w:rPr>
          <w:sz w:val="24"/>
          <w:szCs w:val="24"/>
        </w:rPr>
        <w:t xml:space="preserve">values of </w:t>
      </w:r>
      <w:r w:rsidR="002E0A27" w:rsidRPr="00581966">
        <w:rPr>
          <w:sz w:val="24"/>
          <w:szCs w:val="24"/>
        </w:rPr>
        <w:t xml:space="preserve">the </w:t>
      </w:r>
      <w:r w:rsidRPr="00581966">
        <w:rPr>
          <w:sz w:val="24"/>
          <w:szCs w:val="24"/>
        </w:rPr>
        <w:t xml:space="preserve">fuel particle fluxes for plasma fueling. This </w:t>
      </w:r>
      <w:r w:rsidR="002E0A27" w:rsidRPr="00581966">
        <w:rPr>
          <w:sz w:val="24"/>
          <w:szCs w:val="24"/>
        </w:rPr>
        <w:t xml:space="preserve">affects particle </w:t>
      </w:r>
      <w:r w:rsidRPr="00581966">
        <w:rPr>
          <w:sz w:val="24"/>
          <w:szCs w:val="24"/>
        </w:rPr>
        <w:t xml:space="preserve">balance in </w:t>
      </w:r>
      <w:r w:rsidR="002E0A27" w:rsidRPr="00581966">
        <w:rPr>
          <w:sz w:val="24"/>
          <w:szCs w:val="24"/>
        </w:rPr>
        <w:t xml:space="preserve">the </w:t>
      </w:r>
      <w:r w:rsidRPr="00581966">
        <w:rPr>
          <w:sz w:val="24"/>
          <w:szCs w:val="24"/>
        </w:rPr>
        <w:t xml:space="preserve">plasma and reduces the performance requirements </w:t>
      </w:r>
      <w:r w:rsidR="002E0A27" w:rsidRPr="00581966">
        <w:rPr>
          <w:sz w:val="24"/>
          <w:szCs w:val="24"/>
        </w:rPr>
        <w:t xml:space="preserve">on the </w:t>
      </w:r>
      <w:r w:rsidRPr="00581966">
        <w:rPr>
          <w:sz w:val="24"/>
          <w:szCs w:val="24"/>
        </w:rPr>
        <w:t>injection systems. For the plasma core scenarios</w:t>
      </w:r>
      <w:r w:rsidR="002E0A27" w:rsidRPr="00581966">
        <w:rPr>
          <w:sz w:val="24"/>
          <w:szCs w:val="24"/>
        </w:rPr>
        <w:t xml:space="preserve"> considered</w:t>
      </w:r>
      <w:r w:rsidRPr="00581966">
        <w:rPr>
          <w:sz w:val="24"/>
          <w:szCs w:val="24"/>
        </w:rPr>
        <w:t xml:space="preserve">, the neutron flux </w:t>
      </w:r>
      <w:r w:rsidR="002E0A27" w:rsidRPr="00581966">
        <w:rPr>
          <w:sz w:val="24"/>
          <w:szCs w:val="24"/>
        </w:rPr>
        <w:t>is</w:t>
      </w:r>
      <w:r w:rsidRPr="00581966">
        <w:rPr>
          <w:sz w:val="24"/>
          <w:szCs w:val="24"/>
        </w:rPr>
        <w:t xml:space="preserve"> about 1</w:t>
      </w:r>
      <w:r w:rsidR="003B568C" w:rsidRPr="00581966">
        <w:rPr>
          <w:sz w:val="24"/>
          <w:szCs w:val="24"/>
        </w:rPr>
        <w:t>.</w:t>
      </w:r>
      <w:r w:rsidRPr="00581966">
        <w:rPr>
          <w:sz w:val="24"/>
          <w:szCs w:val="24"/>
        </w:rPr>
        <w:t>2·10</w:t>
      </w:r>
      <w:r w:rsidRPr="00581966">
        <w:rPr>
          <w:sz w:val="24"/>
          <w:szCs w:val="24"/>
          <w:vertAlign w:val="superscript"/>
        </w:rPr>
        <w:t>1</w:t>
      </w:r>
      <w:r w:rsidR="003B568C" w:rsidRPr="00581966">
        <w:rPr>
          <w:sz w:val="24"/>
          <w:szCs w:val="24"/>
          <w:vertAlign w:val="superscript"/>
        </w:rPr>
        <w:t>9</w:t>
      </w:r>
      <w:r w:rsidRPr="00581966">
        <w:rPr>
          <w:sz w:val="24"/>
          <w:szCs w:val="24"/>
        </w:rPr>
        <w:t xml:space="preserve"> 1/s for </w:t>
      </w:r>
      <w:r w:rsidR="002E0A27" w:rsidRPr="00581966">
        <w:rPr>
          <w:sz w:val="24"/>
          <w:szCs w:val="24"/>
        </w:rPr>
        <w:t xml:space="preserve">the </w:t>
      </w:r>
      <w:r w:rsidRPr="00581966">
        <w:rPr>
          <w:sz w:val="24"/>
          <w:szCs w:val="24"/>
        </w:rPr>
        <w:t xml:space="preserve">DEMO-FNS </w:t>
      </w:r>
      <w:r w:rsidR="002E0A27" w:rsidRPr="00581966">
        <w:rPr>
          <w:sz w:val="24"/>
          <w:szCs w:val="24"/>
        </w:rPr>
        <w:t>tokamak-</w:t>
      </w:r>
      <w:r w:rsidRPr="00581966">
        <w:rPr>
          <w:sz w:val="24"/>
          <w:szCs w:val="24"/>
        </w:rPr>
        <w:t xml:space="preserve">based facility. The </w:t>
      </w:r>
      <w:r w:rsidR="002E0A27" w:rsidRPr="00581966">
        <w:rPr>
          <w:sz w:val="24"/>
          <w:szCs w:val="24"/>
        </w:rPr>
        <w:t xml:space="preserve">initial </w:t>
      </w:r>
      <w:r w:rsidRPr="00581966">
        <w:rPr>
          <w:sz w:val="24"/>
          <w:szCs w:val="24"/>
        </w:rPr>
        <w:t xml:space="preserve">inventory on site (including </w:t>
      </w:r>
      <w:r w:rsidR="002E0A27" w:rsidRPr="00581966">
        <w:rPr>
          <w:sz w:val="24"/>
          <w:szCs w:val="24"/>
        </w:rPr>
        <w:t xml:space="preserve">the </w:t>
      </w:r>
      <w:r w:rsidRPr="00581966">
        <w:rPr>
          <w:sz w:val="24"/>
          <w:szCs w:val="24"/>
        </w:rPr>
        <w:t xml:space="preserve">reserve supplies) should be about </w:t>
      </w:r>
      <w:r w:rsidR="00024BF7" w:rsidRPr="00581966">
        <w:rPr>
          <w:sz w:val="24"/>
          <w:szCs w:val="24"/>
        </w:rPr>
        <w:t>9</w:t>
      </w:r>
      <w:r w:rsidR="003150AB" w:rsidRPr="00581966">
        <w:rPr>
          <w:sz w:val="24"/>
          <w:szCs w:val="24"/>
        </w:rPr>
        <w:t>00 </w:t>
      </w:r>
      <w:r w:rsidRPr="00581966">
        <w:rPr>
          <w:sz w:val="24"/>
          <w:szCs w:val="24"/>
        </w:rPr>
        <w:t xml:space="preserve">g of </w:t>
      </w:r>
      <w:proofErr w:type="gramStart"/>
      <w:r w:rsidRPr="00581966">
        <w:rPr>
          <w:sz w:val="24"/>
          <w:szCs w:val="24"/>
        </w:rPr>
        <w:t>T</w:t>
      </w:r>
      <w:r w:rsidRPr="00581966">
        <w:rPr>
          <w:sz w:val="24"/>
          <w:szCs w:val="24"/>
          <w:vertAlign w:val="subscript"/>
        </w:rPr>
        <w:t>2</w:t>
      </w:r>
      <w:r w:rsidRPr="00581966">
        <w:rPr>
          <w:sz w:val="24"/>
          <w:szCs w:val="24"/>
        </w:rPr>
        <w:t xml:space="preserve"> </w:t>
      </w:r>
      <w:r w:rsidR="00E54818" w:rsidRPr="00581966">
        <w:rPr>
          <w:sz w:val="24"/>
          <w:szCs w:val="24"/>
        </w:rPr>
        <w:t xml:space="preserve"> </w:t>
      </w:r>
      <w:r w:rsidRPr="00581966">
        <w:rPr>
          <w:sz w:val="24"/>
          <w:szCs w:val="24"/>
        </w:rPr>
        <w:t>for</w:t>
      </w:r>
      <w:proofErr w:type="gramEnd"/>
      <w:r w:rsidRPr="00581966">
        <w:rPr>
          <w:sz w:val="24"/>
          <w:szCs w:val="24"/>
        </w:rPr>
        <w:t xml:space="preserve"> the D</w:t>
      </w:r>
      <w:r w:rsidR="002E0A27" w:rsidRPr="00581966">
        <w:rPr>
          <w:sz w:val="24"/>
          <w:szCs w:val="24"/>
        </w:rPr>
        <w:t xml:space="preserve"> </w:t>
      </w:r>
      <w:r w:rsidRPr="00581966">
        <w:rPr>
          <w:sz w:val="24"/>
          <w:szCs w:val="24"/>
        </w:rPr>
        <w:t>beam. In the case with ELM</w:t>
      </w:r>
      <w:r w:rsidR="002E0A27" w:rsidRPr="00581966">
        <w:rPr>
          <w:sz w:val="24"/>
          <w:szCs w:val="24"/>
        </w:rPr>
        <w:t xml:space="preserve"> pacing</w:t>
      </w:r>
      <w:r w:rsidRPr="00581966">
        <w:rPr>
          <w:sz w:val="24"/>
          <w:szCs w:val="24"/>
        </w:rPr>
        <w:t xml:space="preserve"> </w:t>
      </w:r>
      <w:r w:rsidR="002E0A27" w:rsidRPr="00581966">
        <w:rPr>
          <w:sz w:val="24"/>
          <w:szCs w:val="24"/>
        </w:rPr>
        <w:t>it increases</w:t>
      </w:r>
      <w:r w:rsidRPr="00581966">
        <w:rPr>
          <w:sz w:val="24"/>
          <w:szCs w:val="24"/>
        </w:rPr>
        <w:t xml:space="preserve"> up to </w:t>
      </w:r>
      <w:r w:rsidR="003150AB" w:rsidRPr="00581966">
        <w:rPr>
          <w:sz w:val="24"/>
          <w:szCs w:val="24"/>
        </w:rPr>
        <w:t>1000 </w:t>
      </w:r>
      <w:r w:rsidRPr="00581966">
        <w:rPr>
          <w:sz w:val="24"/>
          <w:szCs w:val="24"/>
        </w:rPr>
        <w:t>g of T</w:t>
      </w:r>
      <w:r w:rsidRPr="00581966">
        <w:rPr>
          <w:sz w:val="24"/>
          <w:szCs w:val="24"/>
          <w:vertAlign w:val="subscript"/>
        </w:rPr>
        <w:t>2</w:t>
      </w:r>
      <w:r w:rsidRPr="00581966">
        <w:rPr>
          <w:sz w:val="24"/>
          <w:szCs w:val="24"/>
        </w:rPr>
        <w:t xml:space="preserve"> for </w:t>
      </w:r>
      <w:r w:rsidR="002E0A27" w:rsidRPr="00581966">
        <w:rPr>
          <w:sz w:val="24"/>
          <w:szCs w:val="24"/>
        </w:rPr>
        <w:t xml:space="preserve">the </w:t>
      </w:r>
      <w:r w:rsidRPr="00581966">
        <w:rPr>
          <w:sz w:val="24"/>
          <w:szCs w:val="24"/>
        </w:rPr>
        <w:t>D</w:t>
      </w:r>
      <w:r w:rsidR="002E0A27" w:rsidRPr="00581966">
        <w:rPr>
          <w:sz w:val="24"/>
          <w:szCs w:val="24"/>
        </w:rPr>
        <w:t xml:space="preserve"> </w:t>
      </w:r>
      <w:r w:rsidRPr="00581966">
        <w:rPr>
          <w:sz w:val="24"/>
          <w:szCs w:val="24"/>
        </w:rPr>
        <w:t xml:space="preserve">beam, taking into account the radioactive decay and including the long-term storage. Further development should be the profile calculation from pellet ablation in </w:t>
      </w:r>
      <w:r w:rsidR="002E0A27" w:rsidRPr="00581966">
        <w:rPr>
          <w:sz w:val="24"/>
          <w:szCs w:val="24"/>
        </w:rPr>
        <w:t xml:space="preserve">the </w:t>
      </w:r>
      <w:r w:rsidRPr="00581966">
        <w:rPr>
          <w:sz w:val="24"/>
          <w:szCs w:val="24"/>
        </w:rPr>
        <w:t xml:space="preserve">plasma, as well as </w:t>
      </w:r>
      <w:r w:rsidR="002E0A27" w:rsidRPr="00581966">
        <w:rPr>
          <w:sz w:val="24"/>
          <w:szCs w:val="24"/>
        </w:rPr>
        <w:t xml:space="preserve">optimization of the </w:t>
      </w:r>
      <w:r w:rsidRPr="00581966">
        <w:rPr>
          <w:sz w:val="24"/>
          <w:szCs w:val="24"/>
        </w:rPr>
        <w:t xml:space="preserve">FC systems to reduce </w:t>
      </w:r>
      <w:r w:rsidR="002E0A27" w:rsidRPr="00581966">
        <w:rPr>
          <w:sz w:val="24"/>
          <w:szCs w:val="24"/>
        </w:rPr>
        <w:t xml:space="preserve">the </w:t>
      </w:r>
      <w:r w:rsidRPr="00581966">
        <w:rPr>
          <w:sz w:val="24"/>
          <w:szCs w:val="24"/>
        </w:rPr>
        <w:t>tritium inventories and the fuel mixture processing time.</w:t>
      </w:r>
    </w:p>
    <w:p w14:paraId="290E04A8" w14:textId="77777777" w:rsidR="00216EAA" w:rsidRPr="00581966" w:rsidRDefault="000F2172" w:rsidP="0039325E">
      <w:pPr>
        <w:pBdr>
          <w:top w:val="nil"/>
          <w:left w:val="nil"/>
          <w:bottom w:val="nil"/>
          <w:right w:val="nil"/>
          <w:between w:val="nil"/>
        </w:pBdr>
        <w:spacing w:before="280" w:after="280"/>
        <w:jc w:val="center"/>
        <w:rPr>
          <w:b/>
          <w:smallCaps/>
          <w:color w:val="000000"/>
          <w:sz w:val="24"/>
          <w:szCs w:val="24"/>
        </w:rPr>
      </w:pPr>
      <w:r w:rsidRPr="00581966">
        <w:rPr>
          <w:b/>
          <w:smallCaps/>
          <w:color w:val="000000"/>
          <w:sz w:val="24"/>
          <w:szCs w:val="24"/>
        </w:rPr>
        <w:t>References</w:t>
      </w:r>
    </w:p>
    <w:p w14:paraId="5CEE7A5B" w14:textId="3BA704AB" w:rsidR="00024BF7" w:rsidRPr="00581966" w:rsidRDefault="0039325E" w:rsidP="0039325E">
      <w:pPr>
        <w:pStyle w:val="Default"/>
        <w:numPr>
          <w:ilvl w:val="0"/>
          <w:numId w:val="1"/>
        </w:numPr>
        <w:pBdr>
          <w:top w:val="nil"/>
          <w:left w:val="nil"/>
          <w:bottom w:val="nil"/>
          <w:right w:val="nil"/>
          <w:between w:val="nil"/>
        </w:pBdr>
        <w:ind w:left="0" w:firstLine="0"/>
        <w:rPr>
          <w:sz w:val="22"/>
          <w:szCs w:val="22"/>
        </w:rPr>
      </w:pPr>
      <w:r w:rsidRPr="00581966">
        <w:rPr>
          <w:sz w:val="22"/>
          <w:szCs w:val="22"/>
          <w:lang w:val="en-US"/>
        </w:rPr>
        <w:t xml:space="preserve">E.P. </w:t>
      </w:r>
      <w:proofErr w:type="spellStart"/>
      <w:r w:rsidRPr="00581966">
        <w:rPr>
          <w:sz w:val="22"/>
          <w:szCs w:val="22"/>
          <w:lang w:val="en-US"/>
        </w:rPr>
        <w:t>Velikhov</w:t>
      </w:r>
      <w:proofErr w:type="spellEnd"/>
      <w:r w:rsidRPr="00581966">
        <w:rPr>
          <w:sz w:val="22"/>
          <w:szCs w:val="22"/>
          <w:lang w:val="en-US"/>
        </w:rPr>
        <w:t xml:space="preserve">, M.V. </w:t>
      </w:r>
      <w:proofErr w:type="spellStart"/>
      <w:r w:rsidRPr="00581966">
        <w:rPr>
          <w:sz w:val="22"/>
          <w:szCs w:val="22"/>
          <w:lang w:val="en-US"/>
        </w:rPr>
        <w:t>Kovalchuk</w:t>
      </w:r>
      <w:proofErr w:type="spellEnd"/>
      <w:r w:rsidRPr="00581966">
        <w:rPr>
          <w:sz w:val="22"/>
          <w:szCs w:val="22"/>
          <w:lang w:val="en-US"/>
        </w:rPr>
        <w:t xml:space="preserve">, V.I. </w:t>
      </w:r>
      <w:proofErr w:type="spellStart"/>
      <w:r w:rsidRPr="00581966">
        <w:rPr>
          <w:sz w:val="22"/>
          <w:szCs w:val="22"/>
          <w:lang w:val="en-US"/>
        </w:rPr>
        <w:t>Ilgisonis</w:t>
      </w:r>
      <w:proofErr w:type="spellEnd"/>
      <w:r w:rsidRPr="00581966">
        <w:rPr>
          <w:sz w:val="22"/>
          <w:szCs w:val="22"/>
          <w:lang w:val="en-US"/>
        </w:rPr>
        <w:t xml:space="preserve">, et al., </w:t>
      </w:r>
      <w:proofErr w:type="spellStart"/>
      <w:r w:rsidRPr="00581966">
        <w:rPr>
          <w:sz w:val="22"/>
          <w:szCs w:val="22"/>
          <w:lang w:val="en-US"/>
        </w:rPr>
        <w:t>Probl</w:t>
      </w:r>
      <w:proofErr w:type="spellEnd"/>
      <w:r w:rsidRPr="00581966">
        <w:rPr>
          <w:sz w:val="22"/>
          <w:szCs w:val="22"/>
          <w:lang w:val="en-US"/>
        </w:rPr>
        <w:t xml:space="preserve">. At. Sci. Technol. Ser. </w:t>
      </w:r>
      <w:proofErr w:type="spellStart"/>
      <w:r w:rsidRPr="00581966">
        <w:rPr>
          <w:sz w:val="22"/>
          <w:szCs w:val="22"/>
          <w:lang w:val="en-US"/>
        </w:rPr>
        <w:t>Thermonucl</w:t>
      </w:r>
      <w:proofErr w:type="spellEnd"/>
      <w:r w:rsidRPr="00581966">
        <w:rPr>
          <w:sz w:val="22"/>
          <w:szCs w:val="22"/>
          <w:lang w:val="en-US"/>
        </w:rPr>
        <w:t xml:space="preserve">. </w:t>
      </w:r>
      <w:r w:rsidRPr="00581966">
        <w:rPr>
          <w:sz w:val="22"/>
          <w:szCs w:val="22"/>
        </w:rPr>
        <w:t xml:space="preserve">Fusion, </w:t>
      </w:r>
      <w:proofErr w:type="spellStart"/>
      <w:r w:rsidRPr="00581966">
        <w:rPr>
          <w:sz w:val="22"/>
          <w:szCs w:val="22"/>
        </w:rPr>
        <w:t>vol</w:t>
      </w:r>
      <w:proofErr w:type="spellEnd"/>
      <w:r w:rsidRPr="00581966">
        <w:rPr>
          <w:sz w:val="22"/>
          <w:szCs w:val="22"/>
        </w:rPr>
        <w:t xml:space="preserve"> </w:t>
      </w:r>
      <w:r w:rsidRPr="00581966">
        <w:rPr>
          <w:sz w:val="22"/>
          <w:szCs w:val="22"/>
        </w:rPr>
        <w:t xml:space="preserve">40, </w:t>
      </w:r>
      <w:r w:rsidRPr="00581966">
        <w:rPr>
          <w:sz w:val="22"/>
          <w:szCs w:val="22"/>
          <w:lang w:val="en-US"/>
        </w:rPr>
        <w:t>no</w:t>
      </w:r>
      <w:r w:rsidRPr="00581966">
        <w:rPr>
          <w:sz w:val="22"/>
          <w:szCs w:val="22"/>
        </w:rPr>
        <w:t>. 4</w:t>
      </w:r>
      <w:r w:rsidRPr="00581966">
        <w:rPr>
          <w:sz w:val="22"/>
          <w:szCs w:val="22"/>
        </w:rPr>
        <w:t xml:space="preserve">, </w:t>
      </w:r>
      <w:proofErr w:type="spellStart"/>
      <w:r w:rsidRPr="00581966">
        <w:rPr>
          <w:sz w:val="22"/>
          <w:szCs w:val="22"/>
          <w:lang w:val="en-US"/>
        </w:rPr>
        <w:t>doi</w:t>
      </w:r>
      <w:proofErr w:type="spellEnd"/>
      <w:r w:rsidRPr="00581966">
        <w:rPr>
          <w:sz w:val="22"/>
          <w:szCs w:val="22"/>
        </w:rPr>
        <w:t>: 10.21517/0202-3822-2017-40-4-5-13</w:t>
      </w:r>
    </w:p>
    <w:p w14:paraId="4AE2A0DE" w14:textId="77777777" w:rsidR="00087F90" w:rsidRPr="00581966" w:rsidRDefault="00087F90" w:rsidP="00087F90">
      <w:pPr>
        <w:numPr>
          <w:ilvl w:val="0"/>
          <w:numId w:val="1"/>
        </w:numPr>
        <w:pBdr>
          <w:top w:val="nil"/>
          <w:left w:val="nil"/>
          <w:bottom w:val="nil"/>
          <w:right w:val="nil"/>
          <w:between w:val="nil"/>
        </w:pBdr>
        <w:ind w:left="0" w:firstLine="0"/>
        <w:rPr>
          <w:color w:val="000000"/>
        </w:rPr>
      </w:pPr>
      <w:r w:rsidRPr="00581966">
        <w:rPr>
          <w:color w:val="000000"/>
        </w:rPr>
        <w:t>Ananyev S.S., Ivanov B.V., Kuteev B.V., Fusion Eng. Des. 161, 2020, 111940</w:t>
      </w:r>
    </w:p>
    <w:p w14:paraId="7342520A" w14:textId="77777777" w:rsidR="00087F90" w:rsidRPr="00581966" w:rsidRDefault="00087F90" w:rsidP="00087F90">
      <w:pPr>
        <w:numPr>
          <w:ilvl w:val="0"/>
          <w:numId w:val="1"/>
        </w:numPr>
        <w:pBdr>
          <w:top w:val="nil"/>
          <w:left w:val="nil"/>
          <w:bottom w:val="nil"/>
          <w:right w:val="nil"/>
          <w:between w:val="nil"/>
        </w:pBdr>
        <w:ind w:left="0" w:firstLine="0"/>
        <w:rPr>
          <w:color w:val="000000"/>
        </w:rPr>
      </w:pPr>
      <w:r w:rsidRPr="00581966">
        <w:rPr>
          <w:color w:val="000000"/>
        </w:rPr>
        <w:t xml:space="preserve">Ananyev S.S., B.V. Ivanov, et al., </w:t>
      </w:r>
      <w:proofErr w:type="spellStart"/>
      <w:r w:rsidRPr="00581966">
        <w:rPr>
          <w:color w:val="000000"/>
        </w:rPr>
        <w:t>Nucl</w:t>
      </w:r>
      <w:proofErr w:type="spellEnd"/>
      <w:r w:rsidRPr="00581966">
        <w:rPr>
          <w:color w:val="000000"/>
        </w:rPr>
        <w:t>. Fusion 61, 2021, 116062 (11pp), https://doi.org/10.1088/1741-4326/ac28ad</w:t>
      </w:r>
    </w:p>
    <w:p w14:paraId="52525154" w14:textId="77777777" w:rsidR="00087F90" w:rsidRPr="00581966" w:rsidRDefault="00087F90" w:rsidP="00087F90">
      <w:pPr>
        <w:numPr>
          <w:ilvl w:val="0"/>
          <w:numId w:val="1"/>
        </w:numPr>
        <w:pBdr>
          <w:top w:val="nil"/>
          <w:left w:val="nil"/>
          <w:bottom w:val="nil"/>
          <w:right w:val="nil"/>
          <w:between w:val="nil"/>
        </w:pBdr>
        <w:ind w:left="0" w:firstLine="0"/>
        <w:rPr>
          <w:color w:val="000000"/>
        </w:rPr>
      </w:pPr>
      <w:r w:rsidRPr="00581966">
        <w:rPr>
          <w:color w:val="000000"/>
        </w:rPr>
        <w:t xml:space="preserve">Ananyev S.S., </w:t>
      </w:r>
      <w:proofErr w:type="spellStart"/>
      <w:r w:rsidRPr="00581966">
        <w:rPr>
          <w:color w:val="000000"/>
        </w:rPr>
        <w:t>Dlougach</w:t>
      </w:r>
      <w:proofErr w:type="spellEnd"/>
      <w:r w:rsidRPr="00581966">
        <w:rPr>
          <w:color w:val="000000"/>
        </w:rPr>
        <w:t xml:space="preserve"> E.D., </w:t>
      </w:r>
      <w:proofErr w:type="spellStart"/>
      <w:r w:rsidRPr="00581966">
        <w:rPr>
          <w:color w:val="000000"/>
        </w:rPr>
        <w:t>Krylov</w:t>
      </w:r>
      <w:proofErr w:type="spellEnd"/>
      <w:r w:rsidRPr="00581966">
        <w:rPr>
          <w:color w:val="000000"/>
        </w:rPr>
        <w:t xml:space="preserve"> A. I., Kuteev B.V., </w:t>
      </w:r>
      <w:proofErr w:type="spellStart"/>
      <w:r w:rsidRPr="00581966">
        <w:rPr>
          <w:color w:val="000000"/>
        </w:rPr>
        <w:t>Panasenkov</w:t>
      </w:r>
      <w:proofErr w:type="spellEnd"/>
      <w:r w:rsidRPr="00581966">
        <w:rPr>
          <w:color w:val="000000"/>
        </w:rPr>
        <w:t xml:space="preserve"> A.A., Fusion Engineering and Design 161, 2020, 112064.</w:t>
      </w:r>
    </w:p>
    <w:p w14:paraId="3B06DB8F" w14:textId="77777777" w:rsidR="00087F90" w:rsidRPr="00581966" w:rsidRDefault="00087F90" w:rsidP="00087F90">
      <w:pPr>
        <w:numPr>
          <w:ilvl w:val="0"/>
          <w:numId w:val="1"/>
        </w:numPr>
        <w:pBdr>
          <w:top w:val="nil"/>
          <w:left w:val="nil"/>
          <w:bottom w:val="nil"/>
          <w:right w:val="nil"/>
          <w:between w:val="nil"/>
        </w:pBdr>
        <w:ind w:left="0" w:firstLine="0"/>
        <w:rPr>
          <w:color w:val="000000"/>
        </w:rPr>
      </w:pPr>
      <w:proofErr w:type="spellStart"/>
      <w:r w:rsidRPr="00581966">
        <w:rPr>
          <w:color w:val="000000"/>
        </w:rPr>
        <w:t>Panasenkov</w:t>
      </w:r>
      <w:proofErr w:type="spellEnd"/>
      <w:r w:rsidRPr="00581966">
        <w:rPr>
          <w:color w:val="000000"/>
        </w:rPr>
        <w:t xml:space="preserve"> A.A., Ananyev S.S., </w:t>
      </w:r>
      <w:proofErr w:type="spellStart"/>
      <w:r w:rsidRPr="00581966">
        <w:rPr>
          <w:color w:val="000000"/>
        </w:rPr>
        <w:t>Dlougach</w:t>
      </w:r>
      <w:proofErr w:type="spellEnd"/>
      <w:r w:rsidRPr="00581966">
        <w:rPr>
          <w:color w:val="000000"/>
        </w:rPr>
        <w:t xml:space="preserve"> E.D., Kuteev B.V., </w:t>
      </w:r>
      <w:proofErr w:type="spellStart"/>
      <w:r w:rsidRPr="00581966">
        <w:rPr>
          <w:color w:val="000000"/>
        </w:rPr>
        <w:t>Probl</w:t>
      </w:r>
      <w:proofErr w:type="spellEnd"/>
      <w:r w:rsidRPr="00581966">
        <w:rPr>
          <w:color w:val="000000"/>
        </w:rPr>
        <w:t xml:space="preserve">. At. Sci. Technol. Ser. </w:t>
      </w:r>
      <w:proofErr w:type="spellStart"/>
      <w:r w:rsidRPr="00581966">
        <w:rPr>
          <w:color w:val="000000"/>
        </w:rPr>
        <w:t>Thermonucl</w:t>
      </w:r>
      <w:proofErr w:type="spellEnd"/>
      <w:r w:rsidRPr="00581966">
        <w:rPr>
          <w:color w:val="000000"/>
        </w:rPr>
        <w:t>. Fusion, 2021, 44 (2), 86–99.</w:t>
      </w:r>
    </w:p>
    <w:p w14:paraId="19D57421" w14:textId="77777777" w:rsidR="00216EAA" w:rsidRPr="00581966" w:rsidRDefault="000F2172" w:rsidP="0039325E">
      <w:pPr>
        <w:numPr>
          <w:ilvl w:val="0"/>
          <w:numId w:val="1"/>
        </w:numPr>
        <w:pBdr>
          <w:top w:val="nil"/>
          <w:left w:val="nil"/>
          <w:bottom w:val="nil"/>
          <w:right w:val="nil"/>
          <w:between w:val="nil"/>
        </w:pBdr>
        <w:ind w:left="0" w:firstLine="0"/>
        <w:rPr>
          <w:color w:val="000000"/>
        </w:rPr>
      </w:pPr>
      <w:r w:rsidRPr="00581966">
        <w:rPr>
          <w:color w:val="000000"/>
        </w:rPr>
        <w:t xml:space="preserve">Kuteev B.V., </w:t>
      </w:r>
      <w:proofErr w:type="spellStart"/>
      <w:r w:rsidRPr="00581966">
        <w:rPr>
          <w:color w:val="000000"/>
        </w:rPr>
        <w:t>Goncharov</w:t>
      </w:r>
      <w:proofErr w:type="spellEnd"/>
      <w:r w:rsidRPr="00581966">
        <w:rPr>
          <w:color w:val="000000"/>
        </w:rPr>
        <w:t xml:space="preserve"> P.R., Fusion Sci. Technol., vol.76, 2020, p.836–847.</w:t>
      </w:r>
    </w:p>
    <w:p w14:paraId="2CD4DA53" w14:textId="77777777" w:rsidR="00216EAA" w:rsidRPr="00581966" w:rsidRDefault="000F2172" w:rsidP="0039325E">
      <w:pPr>
        <w:numPr>
          <w:ilvl w:val="0"/>
          <w:numId w:val="1"/>
        </w:numPr>
        <w:pBdr>
          <w:top w:val="nil"/>
          <w:left w:val="nil"/>
          <w:bottom w:val="nil"/>
          <w:right w:val="nil"/>
          <w:between w:val="nil"/>
        </w:pBdr>
        <w:ind w:left="0" w:firstLine="0"/>
        <w:rPr>
          <w:color w:val="000000"/>
        </w:rPr>
      </w:pPr>
      <w:r w:rsidRPr="00581966">
        <w:rPr>
          <w:color w:val="000000"/>
        </w:rPr>
        <w:t xml:space="preserve">Kuteev B.V., </w:t>
      </w:r>
      <w:proofErr w:type="spellStart"/>
      <w:r w:rsidRPr="00581966">
        <w:rPr>
          <w:color w:val="000000"/>
        </w:rPr>
        <w:t>Shpanskiy</w:t>
      </w:r>
      <w:proofErr w:type="spellEnd"/>
      <w:r w:rsidRPr="00581966">
        <w:rPr>
          <w:color w:val="000000"/>
        </w:rPr>
        <w:t xml:space="preserve"> </w:t>
      </w:r>
      <w:proofErr w:type="spellStart"/>
      <w:r w:rsidRPr="00581966">
        <w:rPr>
          <w:color w:val="000000"/>
        </w:rPr>
        <w:t>Yu.S</w:t>
      </w:r>
      <w:proofErr w:type="spellEnd"/>
      <w:r w:rsidRPr="00581966">
        <w:rPr>
          <w:color w:val="000000"/>
        </w:rPr>
        <w:t xml:space="preserve">. </w:t>
      </w:r>
      <w:proofErr w:type="gramStart"/>
      <w:r w:rsidRPr="00581966">
        <w:rPr>
          <w:color w:val="000000"/>
        </w:rPr>
        <w:t>and</w:t>
      </w:r>
      <w:proofErr w:type="gramEnd"/>
      <w:r w:rsidRPr="00581966">
        <w:rPr>
          <w:color w:val="000000"/>
        </w:rPr>
        <w:t xml:space="preserve"> DEMO-FNS Team, </w:t>
      </w:r>
      <w:proofErr w:type="spellStart"/>
      <w:r w:rsidRPr="00581966">
        <w:rPr>
          <w:color w:val="000000"/>
        </w:rPr>
        <w:t>Probl</w:t>
      </w:r>
      <w:proofErr w:type="spellEnd"/>
      <w:r w:rsidRPr="00581966">
        <w:rPr>
          <w:color w:val="000000"/>
        </w:rPr>
        <w:t xml:space="preserve">. At. Sci. Technol. Ser. </w:t>
      </w:r>
      <w:proofErr w:type="spellStart"/>
      <w:r w:rsidRPr="00581966">
        <w:rPr>
          <w:color w:val="000000"/>
        </w:rPr>
        <w:t>Thermonucl</w:t>
      </w:r>
      <w:proofErr w:type="spellEnd"/>
      <w:r w:rsidRPr="00581966">
        <w:rPr>
          <w:color w:val="000000"/>
        </w:rPr>
        <w:t xml:space="preserve">. Fusion, vol. 44, no. 2, 2021, p. 7-14, </w:t>
      </w:r>
      <w:proofErr w:type="spellStart"/>
      <w:r w:rsidRPr="00581966">
        <w:rPr>
          <w:color w:val="000000"/>
        </w:rPr>
        <w:t>doi</w:t>
      </w:r>
      <w:proofErr w:type="spellEnd"/>
      <w:r w:rsidRPr="00581966">
        <w:rPr>
          <w:color w:val="000000"/>
        </w:rPr>
        <w:t>: 10.21517/0202-3822-2021-44-2-7-14</w:t>
      </w:r>
    </w:p>
    <w:p w14:paraId="7CC86ECD" w14:textId="77777777" w:rsidR="00216EAA" w:rsidRPr="00581966" w:rsidRDefault="000F2172" w:rsidP="0039325E">
      <w:pPr>
        <w:numPr>
          <w:ilvl w:val="0"/>
          <w:numId w:val="1"/>
        </w:numPr>
        <w:pBdr>
          <w:top w:val="nil"/>
          <w:left w:val="nil"/>
          <w:bottom w:val="nil"/>
          <w:right w:val="nil"/>
          <w:between w:val="nil"/>
        </w:pBdr>
        <w:ind w:left="0" w:firstLine="0"/>
        <w:rPr>
          <w:color w:val="000000"/>
        </w:rPr>
      </w:pPr>
      <w:r w:rsidRPr="00581966">
        <w:rPr>
          <w:color w:val="000000"/>
        </w:rPr>
        <w:t xml:space="preserve">B.V. Kuteev, E.A. </w:t>
      </w:r>
      <w:proofErr w:type="spellStart"/>
      <w:r w:rsidRPr="00581966">
        <w:rPr>
          <w:color w:val="000000"/>
        </w:rPr>
        <w:t>Azizov</w:t>
      </w:r>
      <w:proofErr w:type="spellEnd"/>
      <w:r w:rsidRPr="00581966">
        <w:rPr>
          <w:color w:val="000000"/>
        </w:rPr>
        <w:t xml:space="preserve"> et al., </w:t>
      </w:r>
      <w:proofErr w:type="spellStart"/>
      <w:r w:rsidRPr="00581966">
        <w:rPr>
          <w:color w:val="000000"/>
        </w:rPr>
        <w:t>Nucl</w:t>
      </w:r>
      <w:proofErr w:type="spellEnd"/>
      <w:r w:rsidRPr="00581966">
        <w:rPr>
          <w:color w:val="000000"/>
        </w:rPr>
        <w:t>. Fusion 51, 2011, 073013 (6pp) doi:10.1088/0029-5515/51/7/073013</w:t>
      </w:r>
    </w:p>
    <w:p w14:paraId="22F9A7C5" w14:textId="46EB391D" w:rsidR="00216EAA" w:rsidRPr="00581966" w:rsidRDefault="000F2172" w:rsidP="0039325E">
      <w:pPr>
        <w:numPr>
          <w:ilvl w:val="0"/>
          <w:numId w:val="1"/>
        </w:numPr>
        <w:pBdr>
          <w:top w:val="nil"/>
          <w:left w:val="nil"/>
          <w:bottom w:val="nil"/>
          <w:right w:val="nil"/>
          <w:between w:val="nil"/>
        </w:pBdr>
        <w:ind w:left="0" w:firstLine="0"/>
        <w:rPr>
          <w:color w:val="000000"/>
        </w:rPr>
      </w:pPr>
      <w:r w:rsidRPr="00581966">
        <w:rPr>
          <w:color w:val="000000"/>
        </w:rPr>
        <w:t>Ananyev S.S</w:t>
      </w:r>
      <w:r w:rsidR="002E0A27" w:rsidRPr="00581966">
        <w:rPr>
          <w:color w:val="000000"/>
        </w:rPr>
        <w:t xml:space="preserve">., </w:t>
      </w:r>
      <w:proofErr w:type="spellStart"/>
      <w:r w:rsidRPr="00581966">
        <w:rPr>
          <w:color w:val="000000"/>
        </w:rPr>
        <w:t>Dnestrovskij</w:t>
      </w:r>
      <w:proofErr w:type="spellEnd"/>
      <w:r w:rsidRPr="00581966">
        <w:rPr>
          <w:color w:val="000000"/>
        </w:rPr>
        <w:t xml:space="preserve"> </w:t>
      </w:r>
      <w:proofErr w:type="spellStart"/>
      <w:r w:rsidRPr="00581966">
        <w:rPr>
          <w:color w:val="000000"/>
        </w:rPr>
        <w:t>A.Yu</w:t>
      </w:r>
      <w:proofErr w:type="spellEnd"/>
      <w:r w:rsidR="002E0A27" w:rsidRPr="00581966">
        <w:rPr>
          <w:color w:val="000000"/>
        </w:rPr>
        <w:t xml:space="preserve">., </w:t>
      </w:r>
      <w:r w:rsidRPr="00581966">
        <w:rPr>
          <w:color w:val="000000"/>
        </w:rPr>
        <w:t>Kukushkin A.S., Appl. Sci., 2021, 11, 7565, https://doi.org/10.3390/app11167565</w:t>
      </w:r>
      <w:bookmarkStart w:id="1" w:name="_GoBack"/>
      <w:bookmarkEnd w:id="1"/>
    </w:p>
    <w:sectPr w:rsidR="00216EAA" w:rsidRPr="00581966">
      <w:footerReference w:type="even" r:id="rId9"/>
      <w:footerReference w:type="default" r:id="rId10"/>
      <w:headerReference w:type="first" r:id="rId11"/>
      <w:footerReference w:type="first" r:id="rId12"/>
      <w:pgSz w:w="11907" w:h="16840"/>
      <w:pgMar w:top="1440" w:right="1440" w:bottom="1440" w:left="1440" w:header="539" w:footer="964"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BC30A6" w15:done="0"/>
  <w15:commentEx w15:paraId="514A5B42" w15:done="0"/>
  <w15:commentEx w15:paraId="21C78EAB" w15:done="0"/>
  <w15:commentEx w15:paraId="0D1EFC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22D5D" w14:textId="77777777" w:rsidR="003150AB" w:rsidRDefault="003150AB">
      <w:r>
        <w:separator/>
      </w:r>
    </w:p>
  </w:endnote>
  <w:endnote w:type="continuationSeparator" w:id="0">
    <w:p w14:paraId="7CC9841D" w14:textId="77777777" w:rsidR="003150AB" w:rsidRDefault="0031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D529" w14:textId="77777777" w:rsidR="003150AB" w:rsidRDefault="003150AB">
    <w:pPr>
      <w:pBdr>
        <w:top w:val="nil"/>
        <w:left w:val="nil"/>
        <w:bottom w:val="nil"/>
        <w:right w:val="nil"/>
        <w:between w:val="nil"/>
      </w:pBdr>
      <w:spacing w:line="280" w:lineRule="auto"/>
      <w:ind w:firstLine="567"/>
      <w:jc w:val="right"/>
      <w:rPr>
        <w:rFonts w:ascii="Arial" w:eastAsia="Arial" w:hAnsi="Arial" w:cs="Arial"/>
        <w:b/>
        <w:smallCaps/>
        <w:color w:val="000000"/>
        <w:sz w:val="24"/>
        <w:szCs w:val="24"/>
      </w:rPr>
    </w:pPr>
  </w:p>
  <w:p w14:paraId="1B8F521A" w14:textId="77777777" w:rsidR="003150AB" w:rsidRDefault="003150AB">
    <w:pPr>
      <w:pBdr>
        <w:top w:val="nil"/>
        <w:left w:val="nil"/>
        <w:bottom w:val="nil"/>
        <w:right w:val="nil"/>
        <w:between w:val="nil"/>
      </w:pBdr>
      <w:tabs>
        <w:tab w:val="center" w:pos="4320"/>
        <w:tab w:val="right" w:pos="8640"/>
      </w:tabs>
      <w:ind w:firstLine="567"/>
      <w:jc w:val="right"/>
      <w:rPr>
        <w:rFonts w:ascii="Arial" w:eastAsia="Arial" w:hAnsi="Arial" w:cs="Arial"/>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06A9B" w14:textId="77777777" w:rsidR="003150AB" w:rsidRDefault="003150AB">
    <w:pPr>
      <w:pBdr>
        <w:top w:val="nil"/>
        <w:left w:val="nil"/>
        <w:bottom w:val="nil"/>
        <w:right w:val="nil"/>
        <w:between w:val="nil"/>
      </w:pBdr>
      <w:spacing w:line="280" w:lineRule="auto"/>
      <w:ind w:firstLine="567"/>
      <w:jc w:val="right"/>
      <w:rPr>
        <w:rFonts w:ascii="Arial" w:eastAsia="Arial" w:hAnsi="Arial" w:cs="Arial"/>
        <w:b/>
        <w:smallCaps/>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653A3" w14:textId="77777777" w:rsidR="003150AB" w:rsidRDefault="003150AB">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7"/>
      <w:tblW w:w="10314" w:type="dxa"/>
      <w:tblLayout w:type="fixed"/>
      <w:tblLook w:val="0000" w:firstRow="0" w:lastRow="0" w:firstColumn="0" w:lastColumn="0" w:noHBand="0" w:noVBand="0"/>
    </w:tblPr>
    <w:tblGrid>
      <w:gridCol w:w="4644"/>
      <w:gridCol w:w="5670"/>
    </w:tblGrid>
    <w:tr w:rsidR="003150AB" w14:paraId="00C37220" w14:textId="77777777">
      <w:trPr>
        <w:cantSplit/>
      </w:trPr>
      <w:tc>
        <w:tcPr>
          <w:tcW w:w="4644" w:type="dxa"/>
        </w:tcPr>
        <w:p w14:paraId="3D9388A7" w14:textId="77777777" w:rsidR="003150AB" w:rsidRDefault="003150AB">
          <w:pPr>
            <w:widowControl w:val="0"/>
            <w:pBdr>
              <w:top w:val="nil"/>
              <w:left w:val="nil"/>
              <w:bottom w:val="nil"/>
              <w:right w:val="nil"/>
              <w:between w:val="nil"/>
            </w:pBdr>
            <w:spacing w:before="240" w:after="20"/>
            <w:ind w:left="142"/>
            <w:rPr>
              <w:rFonts w:ascii="Arial" w:eastAsia="Arial" w:hAnsi="Arial" w:cs="Arial"/>
              <w:b/>
              <w:color w:val="000000"/>
            </w:rPr>
          </w:pPr>
        </w:p>
        <w:p w14:paraId="5FEE52D8" w14:textId="77777777" w:rsidR="003150AB" w:rsidRDefault="003150AB">
          <w:pPr>
            <w:widowControl w:val="0"/>
            <w:pBdr>
              <w:top w:val="nil"/>
              <w:left w:val="nil"/>
              <w:bottom w:val="nil"/>
              <w:right w:val="nil"/>
              <w:between w:val="nil"/>
            </w:pBdr>
            <w:spacing w:line="220" w:lineRule="auto"/>
            <w:ind w:left="142"/>
            <w:rPr>
              <w:rFonts w:ascii="Arial" w:eastAsia="Arial" w:hAnsi="Arial" w:cs="Arial"/>
              <w:b/>
              <w:color w:val="000000"/>
            </w:rPr>
          </w:pPr>
        </w:p>
      </w:tc>
      <w:tc>
        <w:tcPr>
          <w:tcW w:w="5670" w:type="dxa"/>
          <w:tcMar>
            <w:right w:w="249" w:type="dxa"/>
          </w:tcMar>
        </w:tcPr>
        <w:p w14:paraId="54ED230D" w14:textId="77777777" w:rsidR="003150AB" w:rsidRDefault="003150AB">
          <w:pPr>
            <w:pBdr>
              <w:top w:val="nil"/>
              <w:left w:val="nil"/>
              <w:bottom w:val="nil"/>
              <w:right w:val="nil"/>
              <w:between w:val="nil"/>
            </w:pBdr>
            <w:spacing w:before="80"/>
            <w:jc w:val="right"/>
            <w:rPr>
              <w:rFonts w:ascii="Arial" w:eastAsia="Arial" w:hAnsi="Arial" w:cs="Arial"/>
              <w:b/>
              <w:smallCaps/>
              <w:color w:val="000000"/>
              <w:sz w:val="40"/>
              <w:szCs w:val="40"/>
            </w:rPr>
          </w:pPr>
        </w:p>
        <w:p w14:paraId="286689DB" w14:textId="77777777" w:rsidR="003150AB" w:rsidRDefault="003150AB">
          <w:pPr>
            <w:spacing w:after="20" w:line="220" w:lineRule="auto"/>
            <w:jc w:val="right"/>
            <w:rPr>
              <w:rFonts w:ascii="Arial" w:eastAsia="Arial" w:hAnsi="Arial" w:cs="Arial"/>
              <w:color w:val="FF0000"/>
            </w:rPr>
          </w:pPr>
        </w:p>
      </w:tc>
    </w:tr>
  </w:tbl>
  <w:p w14:paraId="64FDE7C0" w14:textId="77777777" w:rsidR="003150AB" w:rsidRDefault="003150AB">
    <w:bookmarkStart w:id="2" w:name="30j0zll" w:colFirst="0" w:colLast="0"/>
    <w:bookmarkEnd w:id="2"/>
    <w:r>
      <w:rPr>
        <w:sz w:val="16"/>
        <w:szCs w:val="16"/>
      </w:rPr>
      <w:t>Example paper.docx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9CF11" w14:textId="77777777" w:rsidR="003150AB" w:rsidRDefault="003150AB">
      <w:r>
        <w:separator/>
      </w:r>
    </w:p>
  </w:footnote>
  <w:footnote w:type="continuationSeparator" w:id="0">
    <w:p w14:paraId="278AECAD" w14:textId="77777777" w:rsidR="003150AB" w:rsidRDefault="00315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AB62" w14:textId="77777777" w:rsidR="003150AB" w:rsidRDefault="003150AB">
    <w:pPr>
      <w:widowControl w:val="0"/>
      <w:pBdr>
        <w:top w:val="nil"/>
        <w:left w:val="nil"/>
        <w:bottom w:val="nil"/>
        <w:right w:val="nil"/>
        <w:between w:val="nil"/>
      </w:pBdr>
      <w:spacing w:line="276" w:lineRule="auto"/>
      <w:rPr>
        <w:color w:val="000000"/>
      </w:rPr>
    </w:pPr>
  </w:p>
  <w:tbl>
    <w:tblPr>
      <w:tblStyle w:val="a6"/>
      <w:tblW w:w="10319" w:type="dxa"/>
      <w:tblLayout w:type="fixed"/>
      <w:tblLook w:val="0000" w:firstRow="0" w:lastRow="0" w:firstColumn="0" w:lastColumn="0" w:noHBand="0" w:noVBand="0"/>
    </w:tblPr>
    <w:tblGrid>
      <w:gridCol w:w="979"/>
      <w:gridCol w:w="3638"/>
      <w:gridCol w:w="5702"/>
    </w:tblGrid>
    <w:tr w:rsidR="003150AB" w14:paraId="3C925C6C" w14:textId="77777777">
      <w:trPr>
        <w:cantSplit/>
        <w:trHeight w:val="716"/>
      </w:trPr>
      <w:tc>
        <w:tcPr>
          <w:tcW w:w="979" w:type="dxa"/>
          <w:vMerge w:val="restart"/>
        </w:tcPr>
        <w:p w14:paraId="58467A22" w14:textId="77777777" w:rsidR="003150AB" w:rsidRDefault="003150AB">
          <w:pPr>
            <w:spacing w:before="180"/>
            <w:ind w:left="17"/>
          </w:pPr>
        </w:p>
      </w:tc>
      <w:tc>
        <w:tcPr>
          <w:tcW w:w="3638" w:type="dxa"/>
          <w:vAlign w:val="bottom"/>
        </w:tcPr>
        <w:p w14:paraId="22C858A7" w14:textId="77777777" w:rsidR="003150AB" w:rsidRDefault="003150AB">
          <w:pPr>
            <w:spacing w:after="20"/>
          </w:pPr>
        </w:p>
      </w:tc>
      <w:tc>
        <w:tcPr>
          <w:tcW w:w="5702" w:type="dxa"/>
          <w:vMerge w:val="restart"/>
          <w:tcMar>
            <w:right w:w="193" w:type="dxa"/>
          </w:tcMar>
        </w:tcPr>
        <w:p w14:paraId="7AFDB12B" w14:textId="77777777" w:rsidR="003150AB" w:rsidRDefault="003150AB">
          <w:pPr>
            <w:pBdr>
              <w:top w:val="nil"/>
              <w:left w:val="nil"/>
              <w:bottom w:val="nil"/>
              <w:right w:val="nil"/>
              <w:between w:val="nil"/>
            </w:pBdr>
            <w:spacing w:before="80"/>
            <w:jc w:val="right"/>
            <w:rPr>
              <w:rFonts w:ascii="Arial" w:eastAsia="Arial" w:hAnsi="Arial" w:cs="Arial"/>
              <w:b/>
              <w:smallCaps/>
              <w:color w:val="000000"/>
              <w:sz w:val="40"/>
              <w:szCs w:val="40"/>
            </w:rPr>
          </w:pPr>
        </w:p>
        <w:p w14:paraId="7182A8CB" w14:textId="77777777" w:rsidR="003150AB" w:rsidRDefault="003150AB">
          <w:pPr>
            <w:pBdr>
              <w:top w:val="nil"/>
              <w:left w:val="nil"/>
              <w:bottom w:val="nil"/>
              <w:right w:val="nil"/>
              <w:between w:val="nil"/>
            </w:pBdr>
            <w:spacing w:after="20" w:line="220" w:lineRule="auto"/>
            <w:jc w:val="right"/>
            <w:rPr>
              <w:rFonts w:ascii="Arial" w:eastAsia="Arial" w:hAnsi="Arial" w:cs="Arial"/>
              <w:color w:val="FF0000"/>
            </w:rPr>
          </w:pPr>
        </w:p>
      </w:tc>
    </w:tr>
    <w:tr w:rsidR="003150AB" w14:paraId="226FE36D" w14:textId="77777777">
      <w:trPr>
        <w:cantSplit/>
        <w:trHeight w:val="167"/>
      </w:trPr>
      <w:tc>
        <w:tcPr>
          <w:tcW w:w="979" w:type="dxa"/>
          <w:vMerge/>
        </w:tcPr>
        <w:p w14:paraId="55F06BA2" w14:textId="77777777" w:rsidR="003150AB" w:rsidRDefault="003150AB">
          <w:pPr>
            <w:widowControl w:val="0"/>
            <w:pBdr>
              <w:top w:val="nil"/>
              <w:left w:val="nil"/>
              <w:bottom w:val="nil"/>
              <w:right w:val="nil"/>
              <w:between w:val="nil"/>
            </w:pBdr>
            <w:spacing w:line="276" w:lineRule="auto"/>
            <w:rPr>
              <w:rFonts w:ascii="Arial" w:eastAsia="Arial" w:hAnsi="Arial" w:cs="Arial"/>
              <w:color w:val="FF0000"/>
            </w:rPr>
          </w:pPr>
        </w:p>
      </w:tc>
      <w:tc>
        <w:tcPr>
          <w:tcW w:w="3638" w:type="dxa"/>
          <w:vAlign w:val="bottom"/>
        </w:tcPr>
        <w:p w14:paraId="035DFBE0" w14:textId="77777777" w:rsidR="003150AB" w:rsidRDefault="003150AB">
          <w:pPr>
            <w:pBdr>
              <w:top w:val="nil"/>
              <w:left w:val="nil"/>
              <w:bottom w:val="nil"/>
              <w:right w:val="nil"/>
              <w:between w:val="nil"/>
            </w:pBdr>
            <w:spacing w:after="10"/>
            <w:rPr>
              <w:rFonts w:ascii="Arial" w:eastAsia="Arial" w:hAnsi="Arial" w:cs="Arial"/>
              <w:color w:val="000000"/>
            </w:rPr>
          </w:pPr>
        </w:p>
      </w:tc>
      <w:tc>
        <w:tcPr>
          <w:tcW w:w="5702" w:type="dxa"/>
          <w:vMerge/>
          <w:tcMar>
            <w:right w:w="193" w:type="dxa"/>
          </w:tcMar>
        </w:tcPr>
        <w:p w14:paraId="47946191" w14:textId="77777777" w:rsidR="003150AB" w:rsidRDefault="003150AB">
          <w:pPr>
            <w:widowControl w:val="0"/>
            <w:pBdr>
              <w:top w:val="nil"/>
              <w:left w:val="nil"/>
              <w:bottom w:val="nil"/>
              <w:right w:val="nil"/>
              <w:between w:val="nil"/>
            </w:pBdr>
            <w:spacing w:line="276" w:lineRule="auto"/>
            <w:rPr>
              <w:rFonts w:ascii="Arial" w:eastAsia="Arial" w:hAnsi="Arial" w:cs="Arial"/>
              <w:color w:val="000000"/>
            </w:rPr>
          </w:pPr>
        </w:p>
      </w:tc>
    </w:tr>
  </w:tbl>
  <w:p w14:paraId="397487B8" w14:textId="77777777" w:rsidR="003150AB" w:rsidRDefault="003150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E2D14"/>
    <w:multiLevelType w:val="multilevel"/>
    <w:tmpl w:val="08F06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i Kukushkin">
    <w15:presenceInfo w15:providerId="None" w15:userId="Andrei Kukushkin"/>
  </w15:person>
  <w15:person w15:author="mnur">
    <w15:presenceInfo w15:providerId="None" w15:userId="mn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AA"/>
    <w:rsid w:val="00024BF7"/>
    <w:rsid w:val="000508CC"/>
    <w:rsid w:val="00087F90"/>
    <w:rsid w:val="000A119D"/>
    <w:rsid w:val="000C4198"/>
    <w:rsid w:val="000E5678"/>
    <w:rsid w:val="000F2172"/>
    <w:rsid w:val="00196B15"/>
    <w:rsid w:val="001D01AF"/>
    <w:rsid w:val="00216EAA"/>
    <w:rsid w:val="00230CBC"/>
    <w:rsid w:val="00251697"/>
    <w:rsid w:val="00275A15"/>
    <w:rsid w:val="002873E1"/>
    <w:rsid w:val="002E0A27"/>
    <w:rsid w:val="002F0022"/>
    <w:rsid w:val="003150AB"/>
    <w:rsid w:val="00356B85"/>
    <w:rsid w:val="0039325E"/>
    <w:rsid w:val="003B568C"/>
    <w:rsid w:val="003E2414"/>
    <w:rsid w:val="004413BD"/>
    <w:rsid w:val="0045303A"/>
    <w:rsid w:val="005237FD"/>
    <w:rsid w:val="00573E1E"/>
    <w:rsid w:val="00581966"/>
    <w:rsid w:val="006143FC"/>
    <w:rsid w:val="006270D8"/>
    <w:rsid w:val="0065302C"/>
    <w:rsid w:val="006636B4"/>
    <w:rsid w:val="0066398E"/>
    <w:rsid w:val="00664303"/>
    <w:rsid w:val="00674EC0"/>
    <w:rsid w:val="00727C0B"/>
    <w:rsid w:val="00756123"/>
    <w:rsid w:val="00786571"/>
    <w:rsid w:val="00794C17"/>
    <w:rsid w:val="00877266"/>
    <w:rsid w:val="00884CB3"/>
    <w:rsid w:val="0095158D"/>
    <w:rsid w:val="00A544F6"/>
    <w:rsid w:val="00A91B68"/>
    <w:rsid w:val="00B2078F"/>
    <w:rsid w:val="00B4132B"/>
    <w:rsid w:val="00B7452D"/>
    <w:rsid w:val="00D00E7F"/>
    <w:rsid w:val="00D97EA3"/>
    <w:rsid w:val="00DF528A"/>
    <w:rsid w:val="00E54818"/>
    <w:rsid w:val="00E95A88"/>
    <w:rsid w:val="00F356E3"/>
    <w:rsid w:val="00F8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pBdr>
        <w:top w:val="nil"/>
        <w:left w:val="nil"/>
        <w:bottom w:val="nil"/>
        <w:right w:val="nil"/>
        <w:between w:val="nil"/>
      </w:pBdr>
      <w:ind w:left="567" w:right="567" w:hanging="567"/>
      <w:outlineLvl w:val="0"/>
    </w:pPr>
    <w:rPr>
      <w:rFonts w:ascii="Times" w:eastAsia="Times" w:hAnsi="Times" w:cs="Times"/>
      <w:b/>
      <w:smallCaps/>
      <w:color w:val="000000"/>
      <w:sz w:val="24"/>
      <w:szCs w:val="24"/>
    </w:rPr>
  </w:style>
  <w:style w:type="paragraph" w:styleId="2">
    <w:name w:val="heading 2"/>
    <w:basedOn w:val="a"/>
    <w:next w:val="a"/>
    <w:pPr>
      <w:widowControl w:val="0"/>
      <w:pBdr>
        <w:top w:val="nil"/>
        <w:left w:val="nil"/>
        <w:bottom w:val="nil"/>
        <w:right w:val="nil"/>
        <w:between w:val="nil"/>
      </w:pBdr>
      <w:outlineLvl w:val="1"/>
    </w:pPr>
    <w:rPr>
      <w:smallCaps/>
      <w:color w:val="000000"/>
      <w:sz w:val="20"/>
      <w:szCs w:val="20"/>
    </w:rPr>
  </w:style>
  <w:style w:type="paragraph" w:styleId="3">
    <w:name w:val="heading 3"/>
    <w:basedOn w:val="a"/>
    <w:next w:val="a"/>
    <w:pPr>
      <w:widowControl w:val="0"/>
      <w:pBdr>
        <w:top w:val="nil"/>
        <w:left w:val="nil"/>
        <w:bottom w:val="nil"/>
        <w:right w:val="nil"/>
        <w:between w:val="nil"/>
      </w:pBdr>
      <w:spacing w:before="240" w:after="240"/>
      <w:outlineLvl w:val="2"/>
    </w:pPr>
    <w:rPr>
      <w:b/>
      <w:color w:val="000000"/>
      <w:sz w:val="20"/>
      <w:szCs w:val="20"/>
    </w:rPr>
  </w:style>
  <w:style w:type="paragraph" w:styleId="4">
    <w:name w:val="heading 4"/>
    <w:basedOn w:val="a"/>
    <w:next w:val="a"/>
    <w:pPr>
      <w:widowControl w:val="0"/>
      <w:ind w:left="1701"/>
      <w:outlineLvl w:val="3"/>
    </w:pPr>
    <w:rPr>
      <w:i/>
      <w:sz w:val="20"/>
      <w:szCs w:val="20"/>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widowControl w:val="0"/>
      <w:pBdr>
        <w:top w:val="nil"/>
        <w:left w:val="nil"/>
        <w:bottom w:val="nil"/>
        <w:right w:val="nil"/>
        <w:between w:val="nil"/>
      </w:pBdr>
      <w:spacing w:line="440" w:lineRule="auto"/>
      <w:jc w:val="center"/>
    </w:pPr>
    <w:rPr>
      <w:rFonts w:ascii="Arial" w:eastAsia="Arial" w:hAnsi="Arial" w:cs="Arial"/>
      <w:color w:val="000000"/>
      <w:sz w:val="42"/>
      <w:szCs w:val="42"/>
    </w:rPr>
  </w:style>
  <w:style w:type="paragraph" w:styleId="a4">
    <w:name w:val="Subtitle"/>
    <w:basedOn w:val="a"/>
    <w:next w:val="a"/>
    <w:pPr>
      <w:pBdr>
        <w:top w:val="nil"/>
        <w:left w:val="nil"/>
        <w:bottom w:val="nil"/>
        <w:right w:val="nil"/>
        <w:between w:val="nil"/>
      </w:pBdr>
      <w:ind w:left="567" w:right="567" w:hanging="567"/>
    </w:pPr>
    <w:rPr>
      <w:b/>
      <w:i/>
      <w:color w:val="000000"/>
      <w:sz w:val="24"/>
      <w:szCs w:val="24"/>
    </w:rPr>
  </w:style>
  <w:style w:type="table" w:customStyle="1" w:styleId="a5">
    <w:basedOn w:val="a1"/>
    <w:tblPr>
      <w:tblStyleRowBandSize w:val="1"/>
      <w:tblStyleColBandSize w:val="1"/>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character" w:styleId="a8">
    <w:name w:val="annotation reference"/>
    <w:basedOn w:val="a0"/>
    <w:uiPriority w:val="99"/>
    <w:semiHidden/>
    <w:unhideWhenUsed/>
    <w:rsid w:val="000C4198"/>
    <w:rPr>
      <w:sz w:val="16"/>
      <w:szCs w:val="16"/>
    </w:rPr>
  </w:style>
  <w:style w:type="paragraph" w:styleId="a9">
    <w:name w:val="annotation text"/>
    <w:basedOn w:val="a"/>
    <w:link w:val="aa"/>
    <w:uiPriority w:val="99"/>
    <w:semiHidden/>
    <w:unhideWhenUsed/>
    <w:rsid w:val="000C4198"/>
    <w:rPr>
      <w:sz w:val="20"/>
      <w:szCs w:val="20"/>
    </w:rPr>
  </w:style>
  <w:style w:type="character" w:customStyle="1" w:styleId="aa">
    <w:name w:val="Текст примечания Знак"/>
    <w:basedOn w:val="a0"/>
    <w:link w:val="a9"/>
    <w:uiPriority w:val="99"/>
    <w:semiHidden/>
    <w:rsid w:val="000C4198"/>
    <w:rPr>
      <w:sz w:val="20"/>
      <w:szCs w:val="20"/>
    </w:rPr>
  </w:style>
  <w:style w:type="paragraph" w:styleId="ab">
    <w:name w:val="annotation subject"/>
    <w:basedOn w:val="a9"/>
    <w:next w:val="a9"/>
    <w:link w:val="ac"/>
    <w:uiPriority w:val="99"/>
    <w:semiHidden/>
    <w:unhideWhenUsed/>
    <w:rsid w:val="000C4198"/>
    <w:rPr>
      <w:b/>
      <w:bCs/>
    </w:rPr>
  </w:style>
  <w:style w:type="character" w:customStyle="1" w:styleId="ac">
    <w:name w:val="Тема примечания Знак"/>
    <w:basedOn w:val="aa"/>
    <w:link w:val="ab"/>
    <w:uiPriority w:val="99"/>
    <w:semiHidden/>
    <w:rsid w:val="000C4198"/>
    <w:rPr>
      <w:b/>
      <w:bCs/>
      <w:sz w:val="20"/>
      <w:szCs w:val="20"/>
    </w:rPr>
  </w:style>
  <w:style w:type="paragraph" w:styleId="ad">
    <w:name w:val="Balloon Text"/>
    <w:basedOn w:val="a"/>
    <w:link w:val="ae"/>
    <w:uiPriority w:val="99"/>
    <w:semiHidden/>
    <w:unhideWhenUsed/>
    <w:rsid w:val="000C4198"/>
    <w:rPr>
      <w:rFonts w:ascii="Segoe UI" w:hAnsi="Segoe UI" w:cs="Segoe UI"/>
      <w:sz w:val="18"/>
      <w:szCs w:val="18"/>
    </w:rPr>
  </w:style>
  <w:style w:type="character" w:customStyle="1" w:styleId="ae">
    <w:name w:val="Текст выноски Знак"/>
    <w:basedOn w:val="a0"/>
    <w:link w:val="ad"/>
    <w:uiPriority w:val="99"/>
    <w:semiHidden/>
    <w:rsid w:val="000C4198"/>
    <w:rPr>
      <w:rFonts w:ascii="Segoe UI" w:hAnsi="Segoe UI" w:cs="Segoe UI"/>
      <w:sz w:val="18"/>
      <w:szCs w:val="18"/>
    </w:rPr>
  </w:style>
  <w:style w:type="paragraph" w:customStyle="1" w:styleId="Default">
    <w:name w:val="Default"/>
    <w:rsid w:val="0039325E"/>
    <w:pPr>
      <w:autoSpaceDE w:val="0"/>
      <w:autoSpaceDN w:val="0"/>
      <w:adjustRightInd w:val="0"/>
    </w:pPr>
    <w:rPr>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pBdr>
        <w:top w:val="nil"/>
        <w:left w:val="nil"/>
        <w:bottom w:val="nil"/>
        <w:right w:val="nil"/>
        <w:between w:val="nil"/>
      </w:pBdr>
      <w:ind w:left="567" w:right="567" w:hanging="567"/>
      <w:outlineLvl w:val="0"/>
    </w:pPr>
    <w:rPr>
      <w:rFonts w:ascii="Times" w:eastAsia="Times" w:hAnsi="Times" w:cs="Times"/>
      <w:b/>
      <w:smallCaps/>
      <w:color w:val="000000"/>
      <w:sz w:val="24"/>
      <w:szCs w:val="24"/>
    </w:rPr>
  </w:style>
  <w:style w:type="paragraph" w:styleId="2">
    <w:name w:val="heading 2"/>
    <w:basedOn w:val="a"/>
    <w:next w:val="a"/>
    <w:pPr>
      <w:widowControl w:val="0"/>
      <w:pBdr>
        <w:top w:val="nil"/>
        <w:left w:val="nil"/>
        <w:bottom w:val="nil"/>
        <w:right w:val="nil"/>
        <w:between w:val="nil"/>
      </w:pBdr>
      <w:outlineLvl w:val="1"/>
    </w:pPr>
    <w:rPr>
      <w:smallCaps/>
      <w:color w:val="000000"/>
      <w:sz w:val="20"/>
      <w:szCs w:val="20"/>
    </w:rPr>
  </w:style>
  <w:style w:type="paragraph" w:styleId="3">
    <w:name w:val="heading 3"/>
    <w:basedOn w:val="a"/>
    <w:next w:val="a"/>
    <w:pPr>
      <w:widowControl w:val="0"/>
      <w:pBdr>
        <w:top w:val="nil"/>
        <w:left w:val="nil"/>
        <w:bottom w:val="nil"/>
        <w:right w:val="nil"/>
        <w:between w:val="nil"/>
      </w:pBdr>
      <w:spacing w:before="240" w:after="240"/>
      <w:outlineLvl w:val="2"/>
    </w:pPr>
    <w:rPr>
      <w:b/>
      <w:color w:val="000000"/>
      <w:sz w:val="20"/>
      <w:szCs w:val="20"/>
    </w:rPr>
  </w:style>
  <w:style w:type="paragraph" w:styleId="4">
    <w:name w:val="heading 4"/>
    <w:basedOn w:val="a"/>
    <w:next w:val="a"/>
    <w:pPr>
      <w:widowControl w:val="0"/>
      <w:ind w:left="1701"/>
      <w:outlineLvl w:val="3"/>
    </w:pPr>
    <w:rPr>
      <w:i/>
      <w:sz w:val="20"/>
      <w:szCs w:val="20"/>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widowControl w:val="0"/>
      <w:pBdr>
        <w:top w:val="nil"/>
        <w:left w:val="nil"/>
        <w:bottom w:val="nil"/>
        <w:right w:val="nil"/>
        <w:between w:val="nil"/>
      </w:pBdr>
      <w:spacing w:line="440" w:lineRule="auto"/>
      <w:jc w:val="center"/>
    </w:pPr>
    <w:rPr>
      <w:rFonts w:ascii="Arial" w:eastAsia="Arial" w:hAnsi="Arial" w:cs="Arial"/>
      <w:color w:val="000000"/>
      <w:sz w:val="42"/>
      <w:szCs w:val="42"/>
    </w:rPr>
  </w:style>
  <w:style w:type="paragraph" w:styleId="a4">
    <w:name w:val="Subtitle"/>
    <w:basedOn w:val="a"/>
    <w:next w:val="a"/>
    <w:pPr>
      <w:pBdr>
        <w:top w:val="nil"/>
        <w:left w:val="nil"/>
        <w:bottom w:val="nil"/>
        <w:right w:val="nil"/>
        <w:between w:val="nil"/>
      </w:pBdr>
      <w:ind w:left="567" w:right="567" w:hanging="567"/>
    </w:pPr>
    <w:rPr>
      <w:b/>
      <w:i/>
      <w:color w:val="000000"/>
      <w:sz w:val="24"/>
      <w:szCs w:val="24"/>
    </w:rPr>
  </w:style>
  <w:style w:type="table" w:customStyle="1" w:styleId="a5">
    <w:basedOn w:val="a1"/>
    <w:tblPr>
      <w:tblStyleRowBandSize w:val="1"/>
      <w:tblStyleColBandSize w:val="1"/>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character" w:styleId="a8">
    <w:name w:val="annotation reference"/>
    <w:basedOn w:val="a0"/>
    <w:uiPriority w:val="99"/>
    <w:semiHidden/>
    <w:unhideWhenUsed/>
    <w:rsid w:val="000C4198"/>
    <w:rPr>
      <w:sz w:val="16"/>
      <w:szCs w:val="16"/>
    </w:rPr>
  </w:style>
  <w:style w:type="paragraph" w:styleId="a9">
    <w:name w:val="annotation text"/>
    <w:basedOn w:val="a"/>
    <w:link w:val="aa"/>
    <w:uiPriority w:val="99"/>
    <w:semiHidden/>
    <w:unhideWhenUsed/>
    <w:rsid w:val="000C4198"/>
    <w:rPr>
      <w:sz w:val="20"/>
      <w:szCs w:val="20"/>
    </w:rPr>
  </w:style>
  <w:style w:type="character" w:customStyle="1" w:styleId="aa">
    <w:name w:val="Текст примечания Знак"/>
    <w:basedOn w:val="a0"/>
    <w:link w:val="a9"/>
    <w:uiPriority w:val="99"/>
    <w:semiHidden/>
    <w:rsid w:val="000C4198"/>
    <w:rPr>
      <w:sz w:val="20"/>
      <w:szCs w:val="20"/>
    </w:rPr>
  </w:style>
  <w:style w:type="paragraph" w:styleId="ab">
    <w:name w:val="annotation subject"/>
    <w:basedOn w:val="a9"/>
    <w:next w:val="a9"/>
    <w:link w:val="ac"/>
    <w:uiPriority w:val="99"/>
    <w:semiHidden/>
    <w:unhideWhenUsed/>
    <w:rsid w:val="000C4198"/>
    <w:rPr>
      <w:b/>
      <w:bCs/>
    </w:rPr>
  </w:style>
  <w:style w:type="character" w:customStyle="1" w:styleId="ac">
    <w:name w:val="Тема примечания Знак"/>
    <w:basedOn w:val="aa"/>
    <w:link w:val="ab"/>
    <w:uiPriority w:val="99"/>
    <w:semiHidden/>
    <w:rsid w:val="000C4198"/>
    <w:rPr>
      <w:b/>
      <w:bCs/>
      <w:sz w:val="20"/>
      <w:szCs w:val="20"/>
    </w:rPr>
  </w:style>
  <w:style w:type="paragraph" w:styleId="ad">
    <w:name w:val="Balloon Text"/>
    <w:basedOn w:val="a"/>
    <w:link w:val="ae"/>
    <w:uiPriority w:val="99"/>
    <w:semiHidden/>
    <w:unhideWhenUsed/>
    <w:rsid w:val="000C4198"/>
    <w:rPr>
      <w:rFonts w:ascii="Segoe UI" w:hAnsi="Segoe UI" w:cs="Segoe UI"/>
      <w:sz w:val="18"/>
      <w:szCs w:val="18"/>
    </w:rPr>
  </w:style>
  <w:style w:type="character" w:customStyle="1" w:styleId="ae">
    <w:name w:val="Текст выноски Знак"/>
    <w:basedOn w:val="a0"/>
    <w:link w:val="ad"/>
    <w:uiPriority w:val="99"/>
    <w:semiHidden/>
    <w:rsid w:val="000C4198"/>
    <w:rPr>
      <w:rFonts w:ascii="Segoe UI" w:hAnsi="Segoe UI" w:cs="Segoe UI"/>
      <w:sz w:val="18"/>
      <w:szCs w:val="18"/>
    </w:rPr>
  </w:style>
  <w:style w:type="paragraph" w:customStyle="1" w:styleId="Default">
    <w:name w:val="Default"/>
    <w:rsid w:val="0039325E"/>
    <w:pPr>
      <w:autoSpaceDE w:val="0"/>
      <w:autoSpaceDN w:val="0"/>
      <w:adjustRightInd w:val="0"/>
    </w:pPr>
    <w:rP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36051">
      <w:bodyDiv w:val="1"/>
      <w:marLeft w:val="0"/>
      <w:marRight w:val="0"/>
      <w:marTop w:val="0"/>
      <w:marBottom w:val="0"/>
      <w:divBdr>
        <w:top w:val="none" w:sz="0" w:space="0" w:color="auto"/>
        <w:left w:val="none" w:sz="0" w:space="0" w:color="auto"/>
        <w:bottom w:val="none" w:sz="0" w:space="0" w:color="auto"/>
        <w:right w:val="none" w:sz="0" w:space="0" w:color="auto"/>
      </w:divBdr>
      <w:divsChild>
        <w:div w:id="2641160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2960</Words>
  <Characters>16878</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PoruchikN</dc:creator>
  <cp:lastModifiedBy>Сергей</cp:lastModifiedBy>
  <cp:revision>3</cp:revision>
  <dcterms:created xsi:type="dcterms:W3CDTF">2022-05-23T13:06:00Z</dcterms:created>
  <dcterms:modified xsi:type="dcterms:W3CDTF">2022-05-23T13:07:00Z</dcterms:modified>
</cp:coreProperties>
</file>