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7C0" w14:textId="74DEA711" w:rsidR="00D374D4" w:rsidRDefault="003A439D">
      <w:pPr>
        <w:rPr>
          <w:rFonts w:ascii="Times New Roman" w:hAnsi="Times New Roman" w:cs="Times New Roman"/>
          <w:b/>
          <w:bCs/>
          <w:sz w:val="24"/>
          <w:szCs w:val="24"/>
        </w:rPr>
      </w:pPr>
      <w:r w:rsidRPr="003A439D">
        <w:rPr>
          <w:rFonts w:ascii="Times New Roman" w:hAnsi="Times New Roman" w:cs="Times New Roman"/>
          <w:b/>
          <w:bCs/>
          <w:sz w:val="24"/>
          <w:szCs w:val="24"/>
        </w:rPr>
        <w:t>Fusion reactors in INPRO strategic studies and new INPRO collaborative project on the “Legal and Institutional Issues of prospective deployment of Fusion facilities”</w:t>
      </w:r>
    </w:p>
    <w:p w14:paraId="62C68D78" w14:textId="77777777" w:rsidR="002D26AB" w:rsidRDefault="002D26AB">
      <w:pPr>
        <w:rPr>
          <w:rFonts w:ascii="Times New Roman" w:hAnsi="Times New Roman" w:cs="Times New Roman"/>
          <w:b/>
          <w:bCs/>
          <w:sz w:val="24"/>
          <w:szCs w:val="24"/>
        </w:rPr>
      </w:pPr>
    </w:p>
    <w:p w14:paraId="4B4CA79A" w14:textId="50A2B4F9" w:rsidR="0021416C" w:rsidRPr="00BE52B1" w:rsidRDefault="002D26AB">
      <w:pPr>
        <w:rPr>
          <w:rFonts w:ascii="Times New Roman" w:hAnsi="Times New Roman" w:cs="Times New Roman"/>
          <w:i/>
          <w:iCs/>
          <w:sz w:val="24"/>
          <w:szCs w:val="24"/>
        </w:rPr>
      </w:pPr>
      <w:r w:rsidRPr="00BE52B1">
        <w:rPr>
          <w:rFonts w:ascii="Times New Roman" w:hAnsi="Times New Roman" w:cs="Times New Roman"/>
          <w:i/>
          <w:iCs/>
          <w:sz w:val="24"/>
          <w:szCs w:val="24"/>
        </w:rPr>
        <w:t xml:space="preserve">Alexander </w:t>
      </w:r>
      <w:proofErr w:type="spellStart"/>
      <w:r w:rsidRPr="00BE52B1">
        <w:rPr>
          <w:rFonts w:ascii="Times New Roman" w:hAnsi="Times New Roman" w:cs="Times New Roman"/>
          <w:i/>
          <w:iCs/>
          <w:sz w:val="24"/>
          <w:szCs w:val="24"/>
        </w:rPr>
        <w:t>Bychkov</w:t>
      </w:r>
      <w:r w:rsidR="0021416C" w:rsidRPr="00BE52B1">
        <w:rPr>
          <w:rFonts w:ascii="Times New Roman" w:hAnsi="Times New Roman" w:cs="Times New Roman"/>
          <w:i/>
          <w:iCs/>
          <w:sz w:val="24"/>
          <w:szCs w:val="24"/>
        </w:rPr>
        <w:t>,</w:t>
      </w:r>
      <w:proofErr w:type="spellEnd"/>
      <w:r w:rsidR="0021416C" w:rsidRPr="00BE52B1">
        <w:rPr>
          <w:rFonts w:ascii="Times New Roman" w:hAnsi="Times New Roman" w:cs="Times New Roman"/>
          <w:i/>
          <w:iCs/>
          <w:sz w:val="24"/>
          <w:szCs w:val="24"/>
        </w:rPr>
        <w:t xml:space="preserve"> </w:t>
      </w:r>
      <w:r w:rsidRPr="00BE52B1">
        <w:rPr>
          <w:rFonts w:ascii="Times New Roman" w:hAnsi="Times New Roman" w:cs="Times New Roman"/>
          <w:i/>
          <w:iCs/>
          <w:sz w:val="24"/>
          <w:szCs w:val="24"/>
        </w:rPr>
        <w:t>Mi</w:t>
      </w:r>
      <w:r w:rsidR="00A515BE">
        <w:rPr>
          <w:rFonts w:ascii="Times New Roman" w:hAnsi="Times New Roman" w:cs="Times New Roman"/>
          <w:i/>
          <w:iCs/>
          <w:sz w:val="24"/>
          <w:szCs w:val="24"/>
        </w:rPr>
        <w:t>k</w:t>
      </w:r>
      <w:r w:rsidRPr="00BE52B1">
        <w:rPr>
          <w:rFonts w:ascii="Times New Roman" w:hAnsi="Times New Roman" w:cs="Times New Roman"/>
          <w:i/>
          <w:iCs/>
          <w:sz w:val="24"/>
          <w:szCs w:val="24"/>
        </w:rPr>
        <w:t>ha</w:t>
      </w:r>
      <w:r w:rsidR="00A515BE">
        <w:rPr>
          <w:rFonts w:ascii="Times New Roman" w:hAnsi="Times New Roman" w:cs="Times New Roman"/>
          <w:i/>
          <w:iCs/>
          <w:sz w:val="24"/>
          <w:szCs w:val="24"/>
        </w:rPr>
        <w:t>i</w:t>
      </w:r>
      <w:r w:rsidRPr="00BE52B1">
        <w:rPr>
          <w:rFonts w:ascii="Times New Roman" w:hAnsi="Times New Roman" w:cs="Times New Roman"/>
          <w:i/>
          <w:iCs/>
          <w:sz w:val="24"/>
          <w:szCs w:val="24"/>
        </w:rPr>
        <w:t>l Khoroshev</w:t>
      </w:r>
      <w:r w:rsidR="0021416C" w:rsidRPr="00BE52B1">
        <w:rPr>
          <w:rFonts w:ascii="Times New Roman" w:hAnsi="Times New Roman" w:cs="Times New Roman"/>
          <w:i/>
          <w:iCs/>
          <w:sz w:val="24"/>
          <w:szCs w:val="24"/>
        </w:rPr>
        <w:t xml:space="preserve">, </w:t>
      </w:r>
      <w:r w:rsidRPr="00BE52B1">
        <w:rPr>
          <w:rFonts w:ascii="Times New Roman" w:hAnsi="Times New Roman" w:cs="Times New Roman"/>
          <w:i/>
          <w:iCs/>
          <w:sz w:val="24"/>
          <w:szCs w:val="24"/>
        </w:rPr>
        <w:t>Brian Boyer</w:t>
      </w:r>
      <w:r w:rsidR="0021416C" w:rsidRPr="00BE52B1">
        <w:rPr>
          <w:rFonts w:ascii="Times New Roman" w:hAnsi="Times New Roman" w:cs="Times New Roman"/>
          <w:i/>
          <w:iCs/>
          <w:sz w:val="24"/>
          <w:szCs w:val="24"/>
        </w:rPr>
        <w:t xml:space="preserve">, Hussam </w:t>
      </w:r>
      <w:proofErr w:type="spellStart"/>
      <w:r w:rsidR="0021416C" w:rsidRPr="00BE52B1">
        <w:rPr>
          <w:rFonts w:ascii="Times New Roman" w:hAnsi="Times New Roman" w:cs="Times New Roman"/>
          <w:i/>
          <w:iCs/>
          <w:sz w:val="24"/>
          <w:szCs w:val="24"/>
        </w:rPr>
        <w:t>Khartabil</w:t>
      </w:r>
      <w:proofErr w:type="spellEnd"/>
    </w:p>
    <w:p w14:paraId="1A53D07E" w14:textId="49D50E99" w:rsidR="0021416C" w:rsidRPr="00BE52B1" w:rsidRDefault="0021416C">
      <w:pPr>
        <w:rPr>
          <w:rFonts w:ascii="Times New Roman" w:hAnsi="Times New Roman" w:cs="Times New Roman"/>
          <w:i/>
          <w:iCs/>
          <w:sz w:val="24"/>
          <w:szCs w:val="24"/>
        </w:rPr>
      </w:pPr>
      <w:r w:rsidRPr="00BE52B1">
        <w:rPr>
          <w:rFonts w:ascii="Times New Roman" w:hAnsi="Times New Roman" w:cs="Times New Roman"/>
          <w:i/>
          <w:iCs/>
          <w:sz w:val="24"/>
          <w:szCs w:val="24"/>
        </w:rPr>
        <w:t>IAEA, Austria, Vienna</w:t>
      </w:r>
    </w:p>
    <w:p w14:paraId="619A25C7" w14:textId="45C2624F" w:rsidR="00A37F2E" w:rsidRPr="0021416C" w:rsidRDefault="00A37F2E" w:rsidP="00A37F2E">
      <w:pPr>
        <w:rPr>
          <w:rFonts w:ascii="Times New Roman" w:hAnsi="Times New Roman" w:cs="Times New Roman"/>
          <w:sz w:val="24"/>
          <w:szCs w:val="24"/>
        </w:rPr>
      </w:pPr>
    </w:p>
    <w:p w14:paraId="7BD2AF2A" w14:textId="0B0481E2" w:rsidR="00A37F2E" w:rsidRPr="00005267" w:rsidRDefault="00A37F2E" w:rsidP="0021416C">
      <w:pPr>
        <w:pStyle w:val="BodyText"/>
        <w:spacing w:after="100" w:afterAutospacing="1"/>
        <w:rPr>
          <w:sz w:val="24"/>
          <w:szCs w:val="24"/>
        </w:rPr>
      </w:pPr>
      <w:r w:rsidRPr="00005267">
        <w:rPr>
          <w:sz w:val="24"/>
          <w:szCs w:val="24"/>
        </w:rPr>
        <w:t xml:space="preserve">The International Project on Innovative Nuclear Reactors and Fuel Cycles (INPRO) is a membership-based project that supports its members in their long-term planning and collaboration on innovations in nuclear power reactors, fuel cycles and institutional approaches to promote the sustainable development of nuclear energy. It currently includes 42 members – 41 IAEA Member States and the European Commission (EC). </w:t>
      </w:r>
      <w:r w:rsidR="00F156B6">
        <w:rPr>
          <w:sz w:val="24"/>
          <w:szCs w:val="24"/>
        </w:rPr>
        <w:t xml:space="preserve">As IAEA looking-forward service INPRO </w:t>
      </w:r>
      <w:r w:rsidRPr="00005267">
        <w:rPr>
          <w:sz w:val="24"/>
          <w:szCs w:val="24"/>
        </w:rPr>
        <w:t xml:space="preserve">also supports Member States’ activities in cross-cutting areas in technology development between nuclear fission and nuclear fusion for energy production, and integration of Nuclear Energy Systems (NES) with other clean energy sources. </w:t>
      </w:r>
    </w:p>
    <w:p w14:paraId="75A15903" w14:textId="28E79FD1" w:rsidR="00F156B6" w:rsidRDefault="00F156B6" w:rsidP="0021416C">
      <w:pPr>
        <w:autoSpaceDE w:val="0"/>
        <w:autoSpaceDN w:val="0"/>
        <w:adjustRightInd w:val="0"/>
        <w:spacing w:after="100" w:afterAutospacing="1"/>
        <w:jc w:val="both"/>
        <w:rPr>
          <w:rFonts w:ascii="Times New Roman" w:hAnsi="Times New Roman" w:cs="Times New Roman"/>
          <w:sz w:val="24"/>
          <w:szCs w:val="24"/>
          <w:lang w:val="en-US"/>
        </w:rPr>
      </w:pPr>
      <w:r>
        <w:rPr>
          <w:rFonts w:ascii="Times New Roman" w:hAnsi="Times New Roman" w:cs="Times New Roman"/>
          <w:color w:val="000000"/>
          <w:sz w:val="24"/>
          <w:szCs w:val="24"/>
          <w:lang w:eastAsia="en-GB"/>
        </w:rPr>
        <w:t xml:space="preserve">Based on </w:t>
      </w:r>
      <w:r w:rsidRPr="00005267">
        <w:rPr>
          <w:rFonts w:ascii="Times New Roman" w:hAnsi="Times New Roman" w:cs="Times New Roman"/>
          <w:color w:val="000000"/>
          <w:sz w:val="24"/>
          <w:szCs w:val="24"/>
          <w:lang w:eastAsia="en-GB"/>
        </w:rPr>
        <w:t xml:space="preserve">the INPRO Methodology </w:t>
      </w:r>
      <w:proofErr w:type="gramStart"/>
      <w:r>
        <w:rPr>
          <w:rFonts w:ascii="Times New Roman" w:hAnsi="Times New Roman" w:cs="Times New Roman"/>
          <w:color w:val="000000"/>
          <w:sz w:val="24"/>
          <w:szCs w:val="24"/>
          <w:lang w:eastAsia="en-GB"/>
        </w:rPr>
        <w:t>a number of</w:t>
      </w:r>
      <w:proofErr w:type="gramEnd"/>
      <w:r>
        <w:rPr>
          <w:rFonts w:ascii="Times New Roman" w:hAnsi="Times New Roman" w:cs="Times New Roman"/>
          <w:color w:val="000000"/>
          <w:sz w:val="24"/>
          <w:szCs w:val="24"/>
          <w:lang w:eastAsia="en-GB"/>
        </w:rPr>
        <w:t xml:space="preserve"> strategic studies were fulfilled and published for </w:t>
      </w:r>
      <w:r w:rsidR="00A37F2E" w:rsidRPr="00005267">
        <w:rPr>
          <w:rFonts w:ascii="Times New Roman" w:hAnsi="Times New Roman" w:cs="Times New Roman"/>
          <w:color w:val="000000"/>
          <w:sz w:val="24"/>
          <w:szCs w:val="24"/>
          <w:lang w:eastAsia="en-GB"/>
        </w:rPr>
        <w:t>nuclear energy system</w:t>
      </w:r>
      <w:r w:rsidR="0021416C">
        <w:rPr>
          <w:rFonts w:ascii="Times New Roman" w:hAnsi="Times New Roman" w:cs="Times New Roman"/>
          <w:color w:val="000000"/>
          <w:sz w:val="24"/>
          <w:szCs w:val="24"/>
          <w:lang w:eastAsia="en-GB"/>
        </w:rPr>
        <w:t>s</w:t>
      </w:r>
      <w:r w:rsidR="00A37F2E" w:rsidRPr="00005267">
        <w:rPr>
          <w:rFonts w:ascii="Times New Roman" w:hAnsi="Times New Roman" w:cs="Times New Roman"/>
          <w:color w:val="000000"/>
          <w:sz w:val="24"/>
          <w:szCs w:val="24"/>
          <w:lang w:eastAsia="en-GB"/>
        </w:rPr>
        <w:t xml:space="preserve"> scenario</w:t>
      </w:r>
      <w:r w:rsidR="0021416C">
        <w:rPr>
          <w:rFonts w:ascii="Times New Roman" w:hAnsi="Times New Roman" w:cs="Times New Roman"/>
          <w:color w:val="000000"/>
          <w:sz w:val="24"/>
          <w:szCs w:val="24"/>
          <w:lang w:eastAsia="en-GB"/>
        </w:rPr>
        <w:t>s</w:t>
      </w:r>
      <w:r w:rsidR="00A37F2E" w:rsidRPr="00005267">
        <w:rPr>
          <w:rFonts w:ascii="Times New Roman" w:hAnsi="Times New Roman" w:cs="Times New Roman"/>
          <w:color w:val="000000"/>
          <w:sz w:val="24"/>
          <w:szCs w:val="24"/>
          <w:lang w:eastAsia="en-GB"/>
        </w:rPr>
        <w:t xml:space="preserve"> modelling, analysis and sustainability assessment</w:t>
      </w:r>
      <w:r>
        <w:rPr>
          <w:rFonts w:ascii="Times New Roman" w:hAnsi="Times New Roman" w:cs="Times New Roman"/>
          <w:color w:val="000000"/>
          <w:sz w:val="24"/>
          <w:szCs w:val="24"/>
          <w:lang w:eastAsia="en-GB"/>
        </w:rPr>
        <w:t xml:space="preserve">. Collaborative projects GAINS and </w:t>
      </w:r>
      <w:r w:rsidRPr="00005267">
        <w:rPr>
          <w:rFonts w:ascii="Times New Roman" w:hAnsi="Times New Roman" w:cs="Times New Roman"/>
          <w:sz w:val="24"/>
          <w:szCs w:val="24"/>
          <w:lang w:val="en-US"/>
        </w:rPr>
        <w:t>SYNERGIES</w:t>
      </w:r>
      <w:r>
        <w:rPr>
          <w:rFonts w:ascii="Times New Roman" w:hAnsi="Times New Roman" w:cs="Times New Roman"/>
          <w:sz w:val="24"/>
          <w:szCs w:val="24"/>
          <w:lang w:val="en-US"/>
        </w:rPr>
        <w:t xml:space="preserve"> included </w:t>
      </w:r>
      <w:r w:rsidR="0021416C">
        <w:rPr>
          <w:rFonts w:ascii="Times New Roman" w:hAnsi="Times New Roman" w:cs="Times New Roman"/>
          <w:sz w:val="24"/>
          <w:szCs w:val="24"/>
          <w:lang w:val="en-US"/>
        </w:rPr>
        <w:t xml:space="preserve">the </w:t>
      </w:r>
      <w:r>
        <w:rPr>
          <w:rFonts w:ascii="Times New Roman" w:hAnsi="Times New Roman" w:cs="Times New Roman"/>
          <w:sz w:val="24"/>
          <w:szCs w:val="24"/>
          <w:lang w:val="en-US"/>
        </w:rPr>
        <w:t>visions on future world</w:t>
      </w:r>
      <w:r w:rsidR="0021416C">
        <w:rPr>
          <w:rFonts w:ascii="Times New Roman" w:hAnsi="Times New Roman" w:cs="Times New Roman"/>
          <w:sz w:val="24"/>
          <w:szCs w:val="24"/>
          <w:lang w:val="en-US"/>
        </w:rPr>
        <w:t xml:space="preserve">’s </w:t>
      </w:r>
      <w:r w:rsidR="00CA0CD8">
        <w:rPr>
          <w:rFonts w:ascii="Times New Roman" w:hAnsi="Times New Roman" w:cs="Times New Roman"/>
          <w:sz w:val="24"/>
          <w:szCs w:val="24"/>
          <w:lang w:val="en-US"/>
        </w:rPr>
        <w:t xml:space="preserve">architecture </w:t>
      </w:r>
      <w:r>
        <w:rPr>
          <w:rFonts w:ascii="Times New Roman" w:hAnsi="Times New Roman" w:cs="Times New Roman"/>
          <w:sz w:val="24"/>
          <w:szCs w:val="24"/>
          <w:lang w:val="en-US"/>
        </w:rPr>
        <w:t>of NES with different type</w:t>
      </w:r>
      <w:r w:rsidR="0021416C">
        <w:rPr>
          <w:rFonts w:ascii="Times New Roman" w:hAnsi="Times New Roman" w:cs="Times New Roman"/>
          <w:sz w:val="24"/>
          <w:szCs w:val="24"/>
          <w:lang w:val="en-US"/>
        </w:rPr>
        <w:t>s</w:t>
      </w:r>
      <w:r>
        <w:rPr>
          <w:rFonts w:ascii="Times New Roman" w:hAnsi="Times New Roman" w:cs="Times New Roman"/>
          <w:sz w:val="24"/>
          <w:szCs w:val="24"/>
          <w:lang w:val="en-US"/>
        </w:rPr>
        <w:t xml:space="preserve"> of reactors and fuel cycle. </w:t>
      </w:r>
    </w:p>
    <w:p w14:paraId="73478D03" w14:textId="1C233B2B" w:rsidR="006258E0" w:rsidRDefault="00F156B6" w:rsidP="0021416C">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lang w:val="en-US"/>
        </w:rPr>
        <w:t xml:space="preserve">INPRO applied </w:t>
      </w:r>
      <w:r w:rsidR="006405E3">
        <w:rPr>
          <w:rFonts w:ascii="Times New Roman" w:hAnsi="Times New Roman" w:cs="Times New Roman"/>
          <w:sz w:val="24"/>
          <w:szCs w:val="24"/>
          <w:lang w:val="en-US"/>
        </w:rPr>
        <w:t>approaches</w:t>
      </w:r>
      <w:r>
        <w:rPr>
          <w:rFonts w:ascii="Times New Roman" w:hAnsi="Times New Roman" w:cs="Times New Roman"/>
          <w:sz w:val="24"/>
          <w:szCs w:val="24"/>
          <w:lang w:val="en-US"/>
        </w:rPr>
        <w:t xml:space="preserve"> for analysis of </w:t>
      </w:r>
      <w:r w:rsidR="00CA0CD8" w:rsidRPr="00005267">
        <w:rPr>
          <w:rFonts w:ascii="Times New Roman" w:hAnsi="Times New Roman" w:cs="Times New Roman"/>
          <w:sz w:val="24"/>
          <w:szCs w:val="24"/>
          <w:lang w:eastAsia="en-GB"/>
        </w:rPr>
        <w:t>technical</w:t>
      </w:r>
      <w:r w:rsidR="00A37F2E" w:rsidRPr="00005267">
        <w:rPr>
          <w:rFonts w:ascii="Times New Roman" w:hAnsi="Times New Roman" w:cs="Times New Roman"/>
          <w:sz w:val="24"/>
          <w:szCs w:val="24"/>
          <w:lang w:eastAsia="en-GB"/>
        </w:rPr>
        <w:t xml:space="preserve"> and institutional </w:t>
      </w:r>
      <w:r w:rsidR="00761563" w:rsidRPr="00005267">
        <w:rPr>
          <w:rFonts w:ascii="Times New Roman" w:hAnsi="Times New Roman" w:cs="Times New Roman"/>
          <w:sz w:val="24"/>
          <w:szCs w:val="24"/>
          <w:lang w:eastAsia="en-GB"/>
        </w:rPr>
        <w:t>innovations</w:t>
      </w:r>
      <w:r w:rsidR="00761563">
        <w:rPr>
          <w:rFonts w:ascii="Times New Roman" w:hAnsi="Times New Roman" w:cs="Times New Roman"/>
          <w:sz w:val="24"/>
          <w:szCs w:val="24"/>
          <w:lang w:eastAsia="en-GB"/>
        </w:rPr>
        <w:t xml:space="preserve"> essential</w:t>
      </w:r>
      <w:r w:rsidR="00A37F2E" w:rsidRPr="00005267">
        <w:rPr>
          <w:rFonts w:ascii="Times New Roman" w:hAnsi="Times New Roman" w:cs="Times New Roman"/>
          <w:sz w:val="24"/>
          <w:szCs w:val="24"/>
          <w:lang w:eastAsia="en-GB"/>
        </w:rPr>
        <w:t xml:space="preserve"> for </w:t>
      </w:r>
      <w:r>
        <w:rPr>
          <w:rFonts w:ascii="Times New Roman" w:hAnsi="Times New Roman" w:cs="Times New Roman"/>
          <w:sz w:val="24"/>
          <w:szCs w:val="24"/>
          <w:lang w:eastAsia="en-GB"/>
        </w:rPr>
        <w:t xml:space="preserve">sustainable </w:t>
      </w:r>
      <w:r w:rsidR="00A37F2E" w:rsidRPr="00005267">
        <w:rPr>
          <w:rFonts w:ascii="Times New Roman" w:hAnsi="Times New Roman" w:cs="Times New Roman"/>
          <w:sz w:val="24"/>
          <w:szCs w:val="24"/>
          <w:lang w:eastAsia="en-GB"/>
        </w:rPr>
        <w:t>nuclear energy</w:t>
      </w:r>
      <w:r>
        <w:rPr>
          <w:rFonts w:ascii="Times New Roman" w:hAnsi="Times New Roman" w:cs="Times New Roman"/>
          <w:sz w:val="24"/>
          <w:szCs w:val="24"/>
          <w:lang w:eastAsia="en-GB"/>
        </w:rPr>
        <w:t xml:space="preserve"> </w:t>
      </w:r>
      <w:r w:rsidR="00CA0CD8">
        <w:rPr>
          <w:rFonts w:ascii="Times New Roman" w:hAnsi="Times New Roman" w:cs="Times New Roman"/>
          <w:sz w:val="24"/>
          <w:szCs w:val="24"/>
          <w:lang w:eastAsia="en-GB"/>
        </w:rPr>
        <w:t xml:space="preserve">deployment. The </w:t>
      </w:r>
      <w:r w:rsidR="00A37F2E" w:rsidRPr="00005267">
        <w:rPr>
          <w:rFonts w:ascii="Times New Roman" w:hAnsi="Times New Roman" w:cs="Times New Roman"/>
          <w:sz w:val="24"/>
          <w:szCs w:val="24"/>
          <w:lang w:eastAsia="en-GB"/>
        </w:rPr>
        <w:t xml:space="preserve">legal issues and institutional arrangements that play an important role in the development of sustainable nuclear energy systems is an important task of INPRO in supporting Member States in their pursuit of innovations in NPP and NES. </w:t>
      </w:r>
      <w:r w:rsidR="0021416C">
        <w:rPr>
          <w:rFonts w:ascii="Times New Roman" w:hAnsi="Times New Roman" w:cs="Times New Roman"/>
          <w:sz w:val="24"/>
          <w:szCs w:val="24"/>
          <w:lang w:eastAsia="en-GB"/>
        </w:rPr>
        <w:t xml:space="preserve">Similar </w:t>
      </w:r>
      <w:r w:rsidR="00CA0CD8">
        <w:rPr>
          <w:rFonts w:ascii="Times New Roman" w:hAnsi="Times New Roman" w:cs="Times New Roman"/>
          <w:sz w:val="24"/>
          <w:szCs w:val="24"/>
          <w:lang w:eastAsia="en-GB"/>
        </w:rPr>
        <w:t>analy</w:t>
      </w:r>
      <w:r w:rsidR="0021416C">
        <w:rPr>
          <w:rFonts w:ascii="Times New Roman" w:hAnsi="Times New Roman" w:cs="Times New Roman"/>
          <w:sz w:val="24"/>
          <w:szCs w:val="24"/>
          <w:lang w:eastAsia="en-GB"/>
        </w:rPr>
        <w:t xml:space="preserve">tical approach </w:t>
      </w:r>
      <w:r w:rsidR="00CA0CD8">
        <w:rPr>
          <w:rFonts w:ascii="Times New Roman" w:hAnsi="Times New Roman" w:cs="Times New Roman"/>
          <w:sz w:val="24"/>
          <w:szCs w:val="24"/>
          <w:lang w:eastAsia="en-GB"/>
        </w:rPr>
        <w:t>was applied for transportable NPP and cooperative nuclear fuel cycle back-end. The INPRO instruments are</w:t>
      </w:r>
      <w:r w:rsidR="00A515BE">
        <w:rPr>
          <w:rFonts w:ascii="Times New Roman" w:hAnsi="Times New Roman" w:cs="Times New Roman"/>
          <w:sz w:val="24"/>
          <w:szCs w:val="24"/>
          <w:lang w:eastAsia="en-GB"/>
        </w:rPr>
        <w:t xml:space="preserve"> also</w:t>
      </w:r>
      <w:r w:rsidR="00CA0CD8">
        <w:rPr>
          <w:rFonts w:ascii="Times New Roman" w:hAnsi="Times New Roman" w:cs="Times New Roman"/>
          <w:sz w:val="24"/>
          <w:szCs w:val="24"/>
          <w:lang w:eastAsia="en-GB"/>
        </w:rPr>
        <w:t xml:space="preserve"> useful for finding of “gaps” in nuclear power systems. Currently the project has service instrument</w:t>
      </w:r>
      <w:r w:rsidR="0021416C">
        <w:rPr>
          <w:rFonts w:ascii="Times New Roman" w:hAnsi="Times New Roman" w:cs="Times New Roman"/>
          <w:sz w:val="24"/>
          <w:szCs w:val="24"/>
          <w:lang w:eastAsia="en-GB"/>
        </w:rPr>
        <w:t xml:space="preserve">s for instance: “NES Sustainability Assessment” (NESA) and </w:t>
      </w:r>
      <w:r w:rsidR="00CA0CD8">
        <w:rPr>
          <w:rFonts w:ascii="Times New Roman" w:hAnsi="Times New Roman" w:cs="Times New Roman"/>
          <w:sz w:val="24"/>
          <w:szCs w:val="24"/>
          <w:lang w:eastAsia="en-GB"/>
        </w:rPr>
        <w:t>“</w:t>
      </w:r>
      <w:r w:rsidR="00A37F2E" w:rsidRPr="00005267">
        <w:rPr>
          <w:rFonts w:ascii="Times New Roman" w:hAnsi="Times New Roman" w:cs="Times New Roman"/>
          <w:sz w:val="24"/>
          <w:szCs w:val="24"/>
        </w:rPr>
        <w:t>Analysis Support for Enhanced Nuclear Energy Sustainability</w:t>
      </w:r>
      <w:r w:rsidR="0021416C">
        <w:rPr>
          <w:rFonts w:ascii="Times New Roman" w:hAnsi="Times New Roman" w:cs="Times New Roman"/>
          <w:sz w:val="24"/>
          <w:szCs w:val="24"/>
        </w:rPr>
        <w:t>”</w:t>
      </w:r>
      <w:r w:rsidR="00A37F2E" w:rsidRPr="00005267">
        <w:rPr>
          <w:rFonts w:ascii="Times New Roman" w:hAnsi="Times New Roman" w:cs="Times New Roman"/>
          <w:sz w:val="24"/>
          <w:szCs w:val="24"/>
        </w:rPr>
        <w:t xml:space="preserve"> </w:t>
      </w:r>
      <w:r w:rsidR="0021416C">
        <w:rPr>
          <w:rFonts w:ascii="Times New Roman" w:hAnsi="Times New Roman" w:cs="Times New Roman"/>
          <w:sz w:val="24"/>
          <w:szCs w:val="24"/>
        </w:rPr>
        <w:t>(</w:t>
      </w:r>
      <w:r w:rsidR="00A37F2E" w:rsidRPr="00005267">
        <w:rPr>
          <w:rFonts w:ascii="Times New Roman" w:hAnsi="Times New Roman" w:cs="Times New Roman"/>
          <w:sz w:val="24"/>
          <w:szCs w:val="24"/>
        </w:rPr>
        <w:t>ASENES</w:t>
      </w:r>
      <w:r w:rsidR="0021416C">
        <w:rPr>
          <w:rFonts w:ascii="Times New Roman" w:hAnsi="Times New Roman" w:cs="Times New Roman"/>
          <w:sz w:val="24"/>
          <w:szCs w:val="24"/>
        </w:rPr>
        <w:t>)</w:t>
      </w:r>
      <w:r w:rsidR="00CA0CD8">
        <w:rPr>
          <w:rFonts w:ascii="Times New Roman" w:hAnsi="Times New Roman" w:cs="Times New Roman"/>
          <w:sz w:val="24"/>
          <w:szCs w:val="24"/>
        </w:rPr>
        <w:t xml:space="preserve">. </w:t>
      </w:r>
    </w:p>
    <w:p w14:paraId="7CCDD471" w14:textId="6A2DF88F" w:rsidR="006258E0" w:rsidRPr="00005267" w:rsidRDefault="0021416C" w:rsidP="0021416C">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I</w:t>
      </w:r>
      <w:r w:rsidRPr="006258E0">
        <w:rPr>
          <w:rFonts w:ascii="Times New Roman" w:hAnsi="Times New Roman" w:cs="Times New Roman"/>
          <w:sz w:val="24"/>
          <w:szCs w:val="24"/>
        </w:rPr>
        <w:t xml:space="preserve">n </w:t>
      </w:r>
      <w:r>
        <w:rPr>
          <w:rFonts w:ascii="Times New Roman" w:hAnsi="Times New Roman" w:cs="Times New Roman"/>
          <w:sz w:val="24"/>
          <w:szCs w:val="24"/>
        </w:rPr>
        <w:t xml:space="preserve">the </w:t>
      </w:r>
      <w:r w:rsidRPr="006258E0">
        <w:rPr>
          <w:rFonts w:ascii="Times New Roman" w:hAnsi="Times New Roman" w:cs="Times New Roman"/>
          <w:sz w:val="24"/>
          <w:szCs w:val="24"/>
        </w:rPr>
        <w:t xml:space="preserve">past INPRO studies </w:t>
      </w:r>
      <w:r>
        <w:rPr>
          <w:rFonts w:ascii="Times New Roman" w:hAnsi="Times New Roman" w:cs="Times New Roman"/>
          <w:sz w:val="24"/>
          <w:szCs w:val="24"/>
        </w:rPr>
        <w:t>f</w:t>
      </w:r>
      <w:r w:rsidR="00CA0CD8" w:rsidRPr="006258E0">
        <w:rPr>
          <w:rFonts w:ascii="Times New Roman" w:hAnsi="Times New Roman" w:cs="Times New Roman"/>
          <w:sz w:val="24"/>
          <w:szCs w:val="24"/>
        </w:rPr>
        <w:t xml:space="preserve">usion reactors were </w:t>
      </w:r>
      <w:r w:rsidR="00761563" w:rsidRPr="006258E0">
        <w:rPr>
          <w:rFonts w:ascii="Times New Roman" w:hAnsi="Times New Roman" w:cs="Times New Roman"/>
          <w:sz w:val="24"/>
          <w:szCs w:val="24"/>
        </w:rPr>
        <w:t>considered in</w:t>
      </w:r>
      <w:r w:rsidR="00CA0CD8" w:rsidRPr="006258E0">
        <w:rPr>
          <w:rFonts w:ascii="Times New Roman" w:hAnsi="Times New Roman" w:cs="Times New Roman"/>
          <w:sz w:val="24"/>
          <w:szCs w:val="24"/>
        </w:rPr>
        <w:t xml:space="preserve"> </w:t>
      </w:r>
      <w:r w:rsidR="00A515BE">
        <w:rPr>
          <w:rFonts w:ascii="Times New Roman" w:hAnsi="Times New Roman" w:cs="Times New Roman"/>
          <w:sz w:val="24"/>
          <w:szCs w:val="24"/>
        </w:rPr>
        <w:t xml:space="preserve">the </w:t>
      </w:r>
      <w:r w:rsidR="00CA0CD8" w:rsidRPr="006258E0">
        <w:rPr>
          <w:rFonts w:ascii="Times New Roman" w:hAnsi="Times New Roman" w:cs="Times New Roman"/>
          <w:sz w:val="24"/>
          <w:szCs w:val="24"/>
        </w:rPr>
        <w:t>Technical Report “Nuclear Energy Development</w:t>
      </w:r>
      <w:r w:rsidR="006258E0" w:rsidRPr="006258E0">
        <w:rPr>
          <w:rFonts w:ascii="Times New Roman" w:hAnsi="Times New Roman" w:cs="Times New Roman"/>
          <w:sz w:val="24"/>
          <w:szCs w:val="24"/>
        </w:rPr>
        <w:t xml:space="preserve"> in the 21st Century: Global Scenarios and Regional Trends”</w:t>
      </w:r>
      <w:r w:rsidR="00CA0CD8" w:rsidRPr="006258E0">
        <w:rPr>
          <w:rFonts w:ascii="Times New Roman" w:hAnsi="Times New Roman" w:cs="Times New Roman"/>
          <w:sz w:val="24"/>
          <w:szCs w:val="24"/>
        </w:rPr>
        <w:t xml:space="preserve"> </w:t>
      </w:r>
      <w:r w:rsidR="00CA0CD8" w:rsidRPr="006258E0">
        <w:rPr>
          <w:rFonts w:ascii="Times New Roman" w:hAnsi="Times New Roman" w:cs="Times New Roman"/>
          <w:sz w:val="24"/>
          <w:szCs w:val="24"/>
          <w:lang w:val="en-US"/>
        </w:rPr>
        <w:t>(</w:t>
      </w:r>
      <w:r w:rsidR="006258E0" w:rsidRPr="006258E0">
        <w:rPr>
          <w:rFonts w:ascii="Times New Roman" w:hAnsi="Times New Roman" w:cs="Times New Roman"/>
          <w:sz w:val="24"/>
          <w:szCs w:val="24"/>
          <w:lang w:val="en-US"/>
        </w:rPr>
        <w:t xml:space="preserve">2010, </w:t>
      </w:r>
      <w:r w:rsidR="00CA0CD8" w:rsidRPr="006258E0">
        <w:rPr>
          <w:rFonts w:ascii="Times New Roman" w:hAnsi="Times New Roman" w:cs="Times New Roman"/>
          <w:sz w:val="24"/>
          <w:szCs w:val="24"/>
          <w:lang w:val="en-US"/>
        </w:rPr>
        <w:t>NP-T-1.8)</w:t>
      </w:r>
      <w:r w:rsidR="006258E0">
        <w:rPr>
          <w:rFonts w:ascii="Times New Roman" w:hAnsi="Times New Roman" w:cs="Times New Roman"/>
          <w:sz w:val="24"/>
          <w:szCs w:val="24"/>
          <w:lang w:val="en-US"/>
        </w:rPr>
        <w:t>. Due to absence of initial data for comprehensive analysis, t</w:t>
      </w:r>
      <w:r w:rsidR="006258E0" w:rsidRPr="00005267">
        <w:rPr>
          <w:rFonts w:ascii="Times New Roman" w:hAnsi="Times New Roman" w:cs="Times New Roman"/>
          <w:sz w:val="24"/>
          <w:szCs w:val="24"/>
        </w:rPr>
        <w:t xml:space="preserve">he </w:t>
      </w:r>
      <w:r w:rsidR="00A515BE">
        <w:rPr>
          <w:rFonts w:ascii="Times New Roman" w:hAnsi="Times New Roman" w:cs="Times New Roman"/>
          <w:sz w:val="24"/>
          <w:szCs w:val="24"/>
        </w:rPr>
        <w:t xml:space="preserve">scope of examination was limited to the </w:t>
      </w:r>
      <w:r w:rsidR="006258E0" w:rsidRPr="00005267">
        <w:rPr>
          <w:rFonts w:ascii="Times New Roman" w:hAnsi="Times New Roman" w:cs="Times New Roman"/>
          <w:sz w:val="24"/>
          <w:szCs w:val="24"/>
        </w:rPr>
        <w:t>potential use of fusion reactors for the breeding of fissile material for fission reactors. Such a synergistic fusion-fission nuclear energy system may have potential advantages and such a nuclear energy system may be considered in more detail in a future study.</w:t>
      </w:r>
    </w:p>
    <w:p w14:paraId="005F79CD" w14:textId="6D932EA7" w:rsidR="006258E0" w:rsidRPr="00005267" w:rsidRDefault="006258E0" w:rsidP="0021416C">
      <w:pPr>
        <w:pStyle w:val="BodyText"/>
        <w:spacing w:after="100" w:afterAutospacing="1"/>
        <w:rPr>
          <w:sz w:val="24"/>
          <w:szCs w:val="24"/>
        </w:rPr>
      </w:pPr>
      <w:r>
        <w:rPr>
          <w:sz w:val="24"/>
          <w:szCs w:val="24"/>
        </w:rPr>
        <w:t xml:space="preserve">Following the technical progress </w:t>
      </w:r>
      <w:proofErr w:type="gramStart"/>
      <w:r>
        <w:rPr>
          <w:sz w:val="24"/>
          <w:szCs w:val="24"/>
        </w:rPr>
        <w:t xml:space="preserve">in </w:t>
      </w:r>
      <w:r w:rsidR="00A515BE">
        <w:rPr>
          <w:sz w:val="24"/>
          <w:szCs w:val="24"/>
        </w:rPr>
        <w:t xml:space="preserve">the </w:t>
      </w:r>
      <w:r>
        <w:rPr>
          <w:sz w:val="24"/>
          <w:szCs w:val="24"/>
        </w:rPr>
        <w:t>area of</w:t>
      </w:r>
      <w:proofErr w:type="gramEnd"/>
      <w:r>
        <w:rPr>
          <w:sz w:val="24"/>
          <w:szCs w:val="24"/>
        </w:rPr>
        <w:t xml:space="preserve"> fusion systems development and r</w:t>
      </w:r>
      <w:r w:rsidRPr="00005267">
        <w:rPr>
          <w:sz w:val="24"/>
          <w:szCs w:val="24"/>
        </w:rPr>
        <w:t xml:space="preserve">esponding to the interest in Member States expressed at the 30th INPRO Steering Committee meeting in October 2021, the INPRO Secretariat has decided to launch a new INPRO collaborative project – an INPRO study on “Legal and Institutional Issues of Prospective Deployment of Fusion Facilities”. The decision was </w:t>
      </w:r>
      <w:r w:rsidR="00BE52B1">
        <w:rPr>
          <w:sz w:val="24"/>
          <w:szCs w:val="24"/>
        </w:rPr>
        <w:t xml:space="preserve">also </w:t>
      </w:r>
      <w:r w:rsidRPr="00005267">
        <w:rPr>
          <w:sz w:val="24"/>
          <w:szCs w:val="24"/>
        </w:rPr>
        <w:t>based on earlier recommendations of INPRO MS</w:t>
      </w:r>
      <w:r w:rsidR="00BE52B1">
        <w:rPr>
          <w:sz w:val="24"/>
          <w:szCs w:val="24"/>
        </w:rPr>
        <w:t>s</w:t>
      </w:r>
      <w:r w:rsidRPr="00005267">
        <w:rPr>
          <w:sz w:val="24"/>
          <w:szCs w:val="24"/>
        </w:rPr>
        <w:t>, the IAEA General Conference resolution and the</w:t>
      </w:r>
      <w:r w:rsidR="00A515BE">
        <w:rPr>
          <w:sz w:val="24"/>
          <w:szCs w:val="24"/>
        </w:rPr>
        <w:t xml:space="preserve"> support by the </w:t>
      </w:r>
      <w:r w:rsidRPr="00005267">
        <w:rPr>
          <w:sz w:val="24"/>
          <w:szCs w:val="24"/>
        </w:rPr>
        <w:t xml:space="preserve">Standing Advisory Group for Nuclear Energy (SAGNE). </w:t>
      </w:r>
    </w:p>
    <w:p w14:paraId="0A20943B" w14:textId="77777777" w:rsidR="00A37F2E" w:rsidRPr="00005267" w:rsidRDefault="00A37F2E" w:rsidP="0021416C">
      <w:pPr>
        <w:pStyle w:val="Default"/>
        <w:spacing w:after="100" w:afterAutospacing="1"/>
        <w:jc w:val="both"/>
        <w:rPr>
          <w:rFonts w:ascii="Times New Roman" w:hAnsi="Times New Roman" w:cs="Times New Roman"/>
        </w:rPr>
      </w:pPr>
      <w:r w:rsidRPr="00005267">
        <w:rPr>
          <w:rFonts w:ascii="Times New Roman" w:hAnsi="Times New Roman" w:cs="Times New Roman"/>
        </w:rPr>
        <w:lastRenderedPageBreak/>
        <w:t xml:space="preserve">The study is aimed to contribute to the synergies in technology development between nuclear fission and fusion for energy production and is targeted on the beyond technical aspects. </w:t>
      </w:r>
      <w:r w:rsidRPr="00005267">
        <w:rPr>
          <w:rFonts w:ascii="Times New Roman" w:hAnsi="Times New Roman" w:cs="Times New Roman"/>
          <w:lang w:val="en-CA"/>
        </w:rPr>
        <w:t>INPRO can facilitate bringing together the knowledge in cross cutting issues to help accelerate the deployment of fusion power plants.</w:t>
      </w:r>
    </w:p>
    <w:p w14:paraId="3A357D80" w14:textId="6DFEEDEE" w:rsidR="00BE52B1" w:rsidRPr="00BE52B1" w:rsidRDefault="00A37F2E" w:rsidP="0021416C">
      <w:pPr>
        <w:pStyle w:val="BodyText"/>
        <w:spacing w:after="100" w:afterAutospacing="1"/>
        <w:rPr>
          <w:color w:val="000000"/>
          <w:sz w:val="24"/>
          <w:szCs w:val="24"/>
          <w:lang w:eastAsia="en-GB"/>
        </w:rPr>
      </w:pPr>
      <w:bookmarkStart w:id="0" w:name="_Hlk38636423"/>
      <w:r w:rsidRPr="00BE52B1">
        <w:rPr>
          <w:sz w:val="24"/>
          <w:szCs w:val="24"/>
        </w:rPr>
        <w:t xml:space="preserve">The overall objective of </w:t>
      </w:r>
      <w:r w:rsidRPr="00BE52B1">
        <w:rPr>
          <w:color w:val="000000"/>
          <w:sz w:val="24"/>
          <w:szCs w:val="24"/>
          <w:lang w:eastAsia="en-GB"/>
        </w:rPr>
        <w:t xml:space="preserve">the INPRO study on </w:t>
      </w:r>
      <w:r w:rsidRPr="00BE52B1">
        <w:rPr>
          <w:sz w:val="24"/>
          <w:szCs w:val="24"/>
        </w:rPr>
        <w:t xml:space="preserve">“Legal and Institutional Issues of Prospective Deployment of Fusion Facilities” </w:t>
      </w:r>
      <w:r w:rsidRPr="00BE52B1">
        <w:rPr>
          <w:color w:val="000000"/>
          <w:sz w:val="24"/>
          <w:szCs w:val="24"/>
          <w:lang w:eastAsia="en-GB"/>
        </w:rPr>
        <w:t>is to support the fusion community in its effort to accelerate the technology development of fusion power generatin</w:t>
      </w:r>
      <w:r w:rsidR="005446A7">
        <w:rPr>
          <w:color w:val="000000"/>
          <w:sz w:val="24"/>
          <w:szCs w:val="24"/>
          <w:lang w:eastAsia="en-GB"/>
        </w:rPr>
        <w:t>g</w:t>
      </w:r>
      <w:r w:rsidRPr="00BE52B1">
        <w:rPr>
          <w:color w:val="000000"/>
          <w:sz w:val="24"/>
          <w:szCs w:val="24"/>
          <w:lang w:eastAsia="en-GB"/>
        </w:rPr>
        <w:t xml:space="preserve"> </w:t>
      </w:r>
      <w:r w:rsidR="005446A7">
        <w:rPr>
          <w:color w:val="000000"/>
          <w:sz w:val="24"/>
          <w:szCs w:val="24"/>
          <w:lang w:eastAsia="en-GB"/>
        </w:rPr>
        <w:t xml:space="preserve">systems </w:t>
      </w:r>
      <w:r w:rsidRPr="00BE52B1">
        <w:rPr>
          <w:color w:val="000000"/>
          <w:sz w:val="24"/>
          <w:szCs w:val="24"/>
          <w:lang w:eastAsia="en-GB"/>
        </w:rPr>
        <w:t xml:space="preserve">and early identification of possible </w:t>
      </w:r>
      <w:r w:rsidR="00A515BE">
        <w:rPr>
          <w:color w:val="000000"/>
          <w:sz w:val="24"/>
          <w:szCs w:val="24"/>
          <w:lang w:eastAsia="en-GB"/>
        </w:rPr>
        <w:t xml:space="preserve">gaps in </w:t>
      </w:r>
      <w:r w:rsidRPr="00BE52B1">
        <w:rPr>
          <w:color w:val="000000"/>
          <w:sz w:val="24"/>
          <w:szCs w:val="24"/>
          <w:lang w:eastAsia="en-GB"/>
        </w:rPr>
        <w:t>long-term sustainability</w:t>
      </w:r>
      <w:r w:rsidR="00BE52B1" w:rsidRPr="00BE52B1">
        <w:rPr>
          <w:color w:val="000000"/>
          <w:sz w:val="24"/>
          <w:szCs w:val="24"/>
          <w:lang w:eastAsia="en-GB"/>
        </w:rPr>
        <w:t xml:space="preserve">, such as </w:t>
      </w:r>
      <w:r w:rsidR="00BE52B1" w:rsidRPr="00BE52B1">
        <w:rPr>
          <w:rFonts w:eastAsia="Calibri"/>
          <w:color w:val="000000"/>
          <w:sz w:val="24"/>
          <w:szCs w:val="24"/>
          <w:lang w:val="en-US"/>
        </w:rPr>
        <w:t xml:space="preserve">regulatory framework, </w:t>
      </w:r>
      <w:r w:rsidR="00BE52B1" w:rsidRPr="00BE52B1">
        <w:rPr>
          <w:color w:val="000000"/>
          <w:sz w:val="24"/>
          <w:szCs w:val="24"/>
        </w:rPr>
        <w:t>nuclear safety and security issues, nuclear liability, safeguards and non-proliferation issues, key export/import issues, comprehensive infrastructure issues as well as main drivers and impediments to fusion facilities implementation.</w:t>
      </w:r>
      <w:bookmarkEnd w:id="0"/>
    </w:p>
    <w:sectPr w:rsidR="00BE52B1" w:rsidRPr="00BE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D6D990"/>
    <w:lvl w:ilvl="0">
      <w:numFmt w:val="bullet"/>
      <w:lvlText w:val="*"/>
      <w:lvlJc w:val="left"/>
    </w:lvl>
  </w:abstractNum>
  <w:abstractNum w:abstractNumId="1" w15:restartNumberingAfterBreak="0">
    <w:nsid w:val="561479AB"/>
    <w:multiLevelType w:val="hybridMultilevel"/>
    <w:tmpl w:val="285E1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17C25"/>
    <w:multiLevelType w:val="multilevel"/>
    <w:tmpl w:val="CC8CC4DE"/>
    <w:lvl w:ilvl="0">
      <w:start w:val="1"/>
      <w:numFmt w:val="decimal"/>
      <w:lvlRestart w:val="0"/>
      <w:lvlText w:val="%1."/>
      <w:lvlJc w:val="left"/>
      <w:pPr>
        <w:tabs>
          <w:tab w:val="num" w:pos="1026"/>
        </w:tabs>
        <w:ind w:left="567" w:firstLine="0"/>
      </w:pPr>
      <w:rPr>
        <w:rFonts w:hint="default"/>
      </w:rPr>
    </w:lvl>
    <w:lvl w:ilvl="1">
      <w:start w:val="1"/>
      <w:numFmt w:val="decimal"/>
      <w:lvlText w:val="%1.%2."/>
      <w:lvlJc w:val="left"/>
      <w:pPr>
        <w:tabs>
          <w:tab w:val="num" w:pos="1485"/>
        </w:tabs>
        <w:ind w:left="1026" w:firstLine="0"/>
      </w:pPr>
    </w:lvl>
    <w:lvl w:ilvl="2">
      <w:start w:val="1"/>
      <w:numFmt w:val="decimal"/>
      <w:lvlText w:val="%1.%2.%3."/>
      <w:lvlJc w:val="left"/>
      <w:pPr>
        <w:tabs>
          <w:tab w:val="num" w:pos="1945"/>
        </w:tabs>
        <w:ind w:left="1485" w:firstLine="0"/>
      </w:pPr>
    </w:lvl>
    <w:lvl w:ilvl="3">
      <w:start w:val="1"/>
      <w:numFmt w:val="decimal"/>
      <w:lvlText w:val="%1.%2.%3.%4."/>
      <w:lvlJc w:val="left"/>
      <w:pPr>
        <w:tabs>
          <w:tab w:val="num" w:pos="2404"/>
        </w:tabs>
        <w:ind w:left="1945" w:firstLine="0"/>
      </w:pPr>
    </w:lvl>
    <w:lvl w:ilvl="4">
      <w:start w:val="1"/>
      <w:numFmt w:val="decimal"/>
      <w:lvlText w:val="%1.%2.%3.%4.%5."/>
      <w:lvlJc w:val="left"/>
      <w:pPr>
        <w:tabs>
          <w:tab w:val="num" w:pos="3084"/>
        </w:tabs>
        <w:ind w:left="2801" w:hanging="794"/>
      </w:pPr>
    </w:lvl>
    <w:lvl w:ilvl="5">
      <w:start w:val="1"/>
      <w:numFmt w:val="decimal"/>
      <w:lvlText w:val="%1.%2.%3.%4.%5.%6."/>
      <w:lvlJc w:val="left"/>
      <w:pPr>
        <w:tabs>
          <w:tab w:val="num" w:pos="3447"/>
        </w:tabs>
        <w:ind w:left="3305" w:hanging="941"/>
      </w:pPr>
    </w:lvl>
    <w:lvl w:ilvl="6">
      <w:start w:val="1"/>
      <w:numFmt w:val="decimal"/>
      <w:lvlText w:val="%1.%2.%3.%4.%5.%6.%7."/>
      <w:lvlJc w:val="left"/>
      <w:pPr>
        <w:tabs>
          <w:tab w:val="num" w:pos="4167"/>
        </w:tabs>
        <w:ind w:left="3804" w:hanging="1077"/>
      </w:pPr>
    </w:lvl>
    <w:lvl w:ilvl="7">
      <w:start w:val="1"/>
      <w:numFmt w:val="decimal"/>
      <w:lvlText w:val="%1.%2.%3.%4.%5.%6.%7.%8."/>
      <w:lvlJc w:val="left"/>
      <w:pPr>
        <w:tabs>
          <w:tab w:val="num" w:pos="4524"/>
        </w:tabs>
        <w:ind w:left="4309" w:hanging="1225"/>
      </w:pPr>
    </w:lvl>
    <w:lvl w:ilvl="8">
      <w:start w:val="1"/>
      <w:numFmt w:val="decimal"/>
      <w:lvlText w:val="%1.%2.%3.%4.%5.%6.%7.%8.%9."/>
      <w:lvlJc w:val="left"/>
      <w:pPr>
        <w:tabs>
          <w:tab w:val="num" w:pos="5244"/>
        </w:tabs>
        <w:ind w:left="4887" w:hanging="1440"/>
      </w:pPr>
    </w:lvl>
  </w:abstractNum>
  <w:num w:numId="1">
    <w:abstractNumId w:val="1"/>
  </w:num>
  <w:num w:numId="2">
    <w:abstractNumId w:val="0"/>
    <w:lvlOverride w:ilvl="0">
      <w:lvl w:ilvl="0">
        <w:numFmt w:val="bullet"/>
        <w:lvlText w:val="•"/>
        <w:legacy w:legacy="1" w:legacySpace="0" w:legacyIndent="0"/>
        <w:lvlJc w:val="left"/>
        <w:rPr>
          <w:rFonts w:ascii="Arial" w:hAnsi="Arial" w:cs="Arial" w:hint="default"/>
          <w:sz w:val="38"/>
        </w:rPr>
      </w:lvl>
    </w:lvlOverride>
  </w:num>
  <w:num w:numId="3">
    <w:abstractNumId w:val="0"/>
    <w:lvlOverride w:ilvl="0">
      <w:lvl w:ilvl="0">
        <w:numFmt w:val="bullet"/>
        <w:lvlText w:val="•"/>
        <w:legacy w:legacy="1" w:legacySpace="0" w:legacyIndent="0"/>
        <w:lvlJc w:val="left"/>
        <w:rPr>
          <w:rFonts w:ascii="Arial" w:hAnsi="Arial" w:cs="Arial" w:hint="default"/>
          <w:sz w:val="36"/>
        </w:rPr>
      </w:lvl>
    </w:lvlOverride>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Wingdings" w:hAnsi="Wingdings" w:hint="default"/>
          <w:sz w:val="30"/>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D4"/>
    <w:rsid w:val="00005267"/>
    <w:rsid w:val="000C46D4"/>
    <w:rsid w:val="0021416C"/>
    <w:rsid w:val="00237287"/>
    <w:rsid w:val="002D26AB"/>
    <w:rsid w:val="002F7570"/>
    <w:rsid w:val="003A439D"/>
    <w:rsid w:val="005446A7"/>
    <w:rsid w:val="005548BD"/>
    <w:rsid w:val="006258E0"/>
    <w:rsid w:val="006405E3"/>
    <w:rsid w:val="00761563"/>
    <w:rsid w:val="00A37F2E"/>
    <w:rsid w:val="00A515BE"/>
    <w:rsid w:val="00B07F68"/>
    <w:rsid w:val="00BE52B1"/>
    <w:rsid w:val="00CA0CD8"/>
    <w:rsid w:val="00D374D4"/>
    <w:rsid w:val="00F1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DD3A"/>
  <w15:chartTrackingRefBased/>
  <w15:docId w15:val="{A60477EF-40EE-4DDF-8504-018256C4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F2E"/>
    <w:pPr>
      <w:widowControl w:val="0"/>
      <w:autoSpaceDE w:val="0"/>
      <w:autoSpaceDN w:val="0"/>
      <w:adjustRightInd w:val="0"/>
      <w:spacing w:after="0" w:line="240" w:lineRule="auto"/>
      <w:ind w:left="540" w:hanging="540"/>
      <w:outlineLvl w:val="0"/>
    </w:pPr>
    <w:rPr>
      <w:rFonts w:ascii="Arial" w:eastAsia="Times New Roman" w:hAnsi="Arial" w:cs="Arial"/>
      <w:color w:val="000000"/>
      <w:kern w:val="24"/>
      <w:sz w:val="64"/>
      <w:szCs w:val="64"/>
      <w:lang w:eastAsia="en-GB"/>
    </w:rPr>
  </w:style>
  <w:style w:type="paragraph" w:styleId="Heading2">
    <w:name w:val="heading 2"/>
    <w:basedOn w:val="Normal"/>
    <w:next w:val="Normal"/>
    <w:link w:val="Heading2Char"/>
    <w:uiPriority w:val="99"/>
    <w:qFormat/>
    <w:rsid w:val="00A37F2E"/>
    <w:pPr>
      <w:widowControl w:val="0"/>
      <w:autoSpaceDE w:val="0"/>
      <w:autoSpaceDN w:val="0"/>
      <w:adjustRightInd w:val="0"/>
      <w:spacing w:after="0" w:line="240" w:lineRule="auto"/>
      <w:ind w:left="1170" w:hanging="450"/>
      <w:outlineLvl w:val="1"/>
    </w:pPr>
    <w:rPr>
      <w:rFonts w:ascii="Arial" w:eastAsia="Times New Roman" w:hAnsi="Arial" w:cs="Arial"/>
      <w:color w:val="000000"/>
      <w:kern w:val="24"/>
      <w:sz w:val="56"/>
      <w:szCs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4D4"/>
    <w:pPr>
      <w:ind w:left="720"/>
      <w:contextualSpacing/>
    </w:pPr>
  </w:style>
  <w:style w:type="paragraph" w:styleId="BodyText">
    <w:name w:val="Body Text"/>
    <w:link w:val="BodyTextChar"/>
    <w:rsid w:val="00A37F2E"/>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37F2E"/>
    <w:rPr>
      <w:rFonts w:ascii="Times New Roman" w:eastAsia="Times New Roman" w:hAnsi="Times New Roman" w:cs="Times New Roman"/>
      <w:szCs w:val="20"/>
    </w:rPr>
  </w:style>
  <w:style w:type="paragraph" w:customStyle="1" w:styleId="Default">
    <w:name w:val="Default"/>
    <w:rsid w:val="00A37F2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A37F2E"/>
    <w:rPr>
      <w:rFonts w:ascii="Arial" w:eastAsia="Times New Roman" w:hAnsi="Arial" w:cs="Arial"/>
      <w:color w:val="000000"/>
      <w:kern w:val="24"/>
      <w:sz w:val="64"/>
      <w:szCs w:val="64"/>
      <w:lang w:eastAsia="en-GB"/>
    </w:rPr>
  </w:style>
  <w:style w:type="character" w:customStyle="1" w:styleId="Heading2Char">
    <w:name w:val="Heading 2 Char"/>
    <w:basedOn w:val="DefaultParagraphFont"/>
    <w:link w:val="Heading2"/>
    <w:uiPriority w:val="9"/>
    <w:rsid w:val="00A37F2E"/>
    <w:rPr>
      <w:rFonts w:ascii="Arial" w:eastAsia="Times New Roman" w:hAnsi="Arial" w:cs="Arial"/>
      <w:color w:val="000000"/>
      <w:kern w:val="24"/>
      <w:sz w:val="56"/>
      <w:szCs w:val="56"/>
      <w:lang w:eastAsia="en-GB"/>
    </w:rPr>
  </w:style>
  <w:style w:type="character" w:customStyle="1" w:styleId="ListParagraphChar">
    <w:name w:val="List Paragraph Char"/>
    <w:link w:val="ListParagraph"/>
    <w:uiPriority w:val="34"/>
    <w:locked/>
    <w:rsid w:val="00BE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 Alexander</dc:creator>
  <cp:keywords/>
  <dc:description/>
  <cp:lastModifiedBy>BYCHKOV, Alexander</cp:lastModifiedBy>
  <cp:revision>2</cp:revision>
  <dcterms:created xsi:type="dcterms:W3CDTF">2022-03-22T09:13:00Z</dcterms:created>
  <dcterms:modified xsi:type="dcterms:W3CDTF">2022-03-22T09:13:00Z</dcterms:modified>
</cp:coreProperties>
</file>