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2D176B8F" w:rsidR="00604C59" w:rsidRPr="00073700" w:rsidRDefault="00943B67"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fusion for the energy market: economic and market considerations</w:t>
      </w:r>
    </w:p>
    <w:p w14:paraId="2A7F935C" w14:textId="77777777" w:rsidR="00604C59" w:rsidRPr="00073700" w:rsidRDefault="00604C59" w:rsidP="00073700">
      <w:pPr>
        <w:pStyle w:val="Authornameandaffiliation"/>
        <w:ind w:left="0"/>
        <w:jc w:val="both"/>
        <w:rPr>
          <w:sz w:val="24"/>
          <w:szCs w:val="24"/>
          <w:lang w:val="en-GB"/>
        </w:rPr>
      </w:pPr>
    </w:p>
    <w:p w14:paraId="5F537B5E" w14:textId="77777777" w:rsidR="00B17AA3" w:rsidRDefault="00B17AA3" w:rsidP="00073700">
      <w:pPr>
        <w:pStyle w:val="Authornameandaffiliation"/>
        <w:ind w:left="0"/>
        <w:jc w:val="both"/>
        <w:rPr>
          <w:sz w:val="24"/>
          <w:szCs w:val="24"/>
          <w:lang w:val="en-GB"/>
        </w:rPr>
      </w:pPr>
    </w:p>
    <w:p w14:paraId="7B44FDE5" w14:textId="6477B479" w:rsidR="00604C59" w:rsidRPr="00073700" w:rsidRDefault="00943B67" w:rsidP="00073700">
      <w:pPr>
        <w:pStyle w:val="Authornameandaffiliation"/>
        <w:ind w:left="0"/>
        <w:jc w:val="both"/>
        <w:rPr>
          <w:sz w:val="24"/>
          <w:szCs w:val="24"/>
          <w:lang w:val="en-GB"/>
        </w:rPr>
      </w:pPr>
      <w:r>
        <w:rPr>
          <w:sz w:val="24"/>
          <w:szCs w:val="24"/>
          <w:lang w:val="en-GB"/>
        </w:rPr>
        <w:t>S. TAKEDA</w:t>
      </w:r>
    </w:p>
    <w:p w14:paraId="20CD335A" w14:textId="1C7E4C2A" w:rsidR="00604C59" w:rsidRPr="00073700" w:rsidRDefault="00943B67" w:rsidP="00073700">
      <w:pPr>
        <w:pStyle w:val="Authornameandaffiliation"/>
        <w:ind w:left="0"/>
        <w:jc w:val="both"/>
        <w:rPr>
          <w:sz w:val="24"/>
          <w:szCs w:val="24"/>
          <w:lang w:val="en-GB"/>
        </w:rPr>
      </w:pPr>
      <w:r>
        <w:rPr>
          <w:sz w:val="24"/>
          <w:szCs w:val="24"/>
          <w:lang w:val="en-GB"/>
        </w:rPr>
        <w:t>Kyoto University</w:t>
      </w:r>
    </w:p>
    <w:p w14:paraId="7B37D297" w14:textId="0C6874EB" w:rsidR="00604C59" w:rsidRPr="00073700" w:rsidRDefault="00943B67" w:rsidP="00073700">
      <w:pPr>
        <w:pStyle w:val="Authornameandaffiliation"/>
        <w:ind w:left="0"/>
        <w:jc w:val="both"/>
        <w:rPr>
          <w:sz w:val="24"/>
          <w:szCs w:val="24"/>
          <w:lang w:val="en-GB"/>
        </w:rPr>
      </w:pPr>
      <w:r>
        <w:rPr>
          <w:sz w:val="24"/>
          <w:szCs w:val="24"/>
          <w:lang w:val="en-GB"/>
        </w:rPr>
        <w:t>Kyoto, Japan</w:t>
      </w:r>
    </w:p>
    <w:p w14:paraId="2796F553" w14:textId="6D14D065"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r w:rsidR="00943B67" w:rsidRPr="00943B67">
        <w:rPr>
          <w:sz w:val="24"/>
          <w:szCs w:val="24"/>
          <w:lang w:val="en-GB"/>
        </w:rPr>
        <w:t>takeda.shutarou.55r@kyoto-u.jp</w:t>
      </w:r>
    </w:p>
    <w:p w14:paraId="654E3E67" w14:textId="77777777" w:rsidR="00604C59" w:rsidRPr="00073700" w:rsidRDefault="00604C59" w:rsidP="00073700">
      <w:pPr>
        <w:pStyle w:val="Authornameandaffiliation"/>
        <w:ind w:left="0"/>
        <w:jc w:val="both"/>
        <w:rPr>
          <w:sz w:val="24"/>
          <w:szCs w:val="24"/>
          <w:lang w:val="en-GB"/>
        </w:rPr>
      </w:pPr>
    </w:p>
    <w:p w14:paraId="05BCD9AD" w14:textId="7E0F3A00" w:rsidR="00604C59" w:rsidRPr="00073700" w:rsidRDefault="00943B67" w:rsidP="00073700">
      <w:pPr>
        <w:pStyle w:val="Authornameandaffiliation"/>
        <w:ind w:left="0"/>
        <w:jc w:val="both"/>
        <w:rPr>
          <w:sz w:val="24"/>
          <w:szCs w:val="24"/>
          <w:lang w:val="en-GB"/>
        </w:rPr>
      </w:pPr>
      <w:r>
        <w:rPr>
          <w:sz w:val="24"/>
          <w:szCs w:val="24"/>
          <w:lang w:val="en-GB"/>
        </w:rPr>
        <w:t>T. GRIFFITHS</w:t>
      </w:r>
    </w:p>
    <w:p w14:paraId="38F776AC" w14:textId="6283972C" w:rsidR="00604C59" w:rsidRPr="00073700" w:rsidRDefault="00943B67" w:rsidP="00073700">
      <w:pPr>
        <w:pStyle w:val="Authornameandaffiliation"/>
        <w:ind w:left="0"/>
        <w:jc w:val="both"/>
        <w:rPr>
          <w:sz w:val="24"/>
          <w:szCs w:val="24"/>
          <w:lang w:val="en-GB"/>
        </w:rPr>
      </w:pPr>
      <w:r>
        <w:rPr>
          <w:sz w:val="24"/>
          <w:szCs w:val="24"/>
          <w:lang w:val="en-GB"/>
        </w:rPr>
        <w:t>Imperial College London</w:t>
      </w:r>
    </w:p>
    <w:p w14:paraId="08908080" w14:textId="37CFFB0A" w:rsidR="00604C59" w:rsidRDefault="00943B67" w:rsidP="00073700">
      <w:pPr>
        <w:pStyle w:val="Authornameandaffiliation"/>
        <w:ind w:left="0"/>
        <w:jc w:val="both"/>
        <w:rPr>
          <w:sz w:val="24"/>
          <w:szCs w:val="24"/>
          <w:lang w:val="en-GB"/>
        </w:rPr>
      </w:pPr>
      <w:r>
        <w:rPr>
          <w:sz w:val="24"/>
          <w:szCs w:val="24"/>
          <w:lang w:val="en-GB"/>
        </w:rPr>
        <w:t>London</w:t>
      </w:r>
      <w:r w:rsidR="00604C59" w:rsidRPr="00073700">
        <w:rPr>
          <w:sz w:val="24"/>
          <w:szCs w:val="24"/>
          <w:lang w:val="en-GB"/>
        </w:rPr>
        <w:t xml:space="preserve">, </w:t>
      </w:r>
      <w:r>
        <w:rPr>
          <w:sz w:val="24"/>
          <w:szCs w:val="24"/>
          <w:lang w:val="en-GB"/>
        </w:rPr>
        <w:t>UK</w:t>
      </w:r>
    </w:p>
    <w:p w14:paraId="40DE8F71" w14:textId="3531AF9A" w:rsidR="00943B67" w:rsidRDefault="00943B67" w:rsidP="00073700">
      <w:pPr>
        <w:pStyle w:val="Authornameandaffiliation"/>
        <w:ind w:left="0"/>
        <w:jc w:val="both"/>
        <w:rPr>
          <w:sz w:val="24"/>
          <w:szCs w:val="24"/>
          <w:lang w:val="en-GB"/>
        </w:rPr>
      </w:pPr>
    </w:p>
    <w:p w14:paraId="4E2A80B5" w14:textId="3D1CD1D3" w:rsidR="00943B67" w:rsidRDefault="00943B67" w:rsidP="00073700">
      <w:pPr>
        <w:pStyle w:val="Authornameandaffiliation"/>
        <w:ind w:left="0"/>
        <w:jc w:val="both"/>
        <w:rPr>
          <w:sz w:val="24"/>
          <w:szCs w:val="24"/>
          <w:lang w:val="en-GB"/>
        </w:rPr>
      </w:pPr>
      <w:r>
        <w:rPr>
          <w:sz w:val="24"/>
          <w:szCs w:val="24"/>
          <w:lang w:val="en-GB"/>
        </w:rPr>
        <w:t>R. PREARSON</w:t>
      </w:r>
    </w:p>
    <w:p w14:paraId="15AA58FB" w14:textId="4D06673C" w:rsidR="00943B67" w:rsidRDefault="00943B67" w:rsidP="00073700">
      <w:pPr>
        <w:pStyle w:val="Authornameandaffiliation"/>
        <w:ind w:left="0"/>
        <w:jc w:val="both"/>
        <w:rPr>
          <w:sz w:val="24"/>
          <w:szCs w:val="24"/>
          <w:lang w:val="en-GB"/>
        </w:rPr>
      </w:pPr>
      <w:r>
        <w:rPr>
          <w:sz w:val="24"/>
          <w:szCs w:val="24"/>
          <w:lang w:val="en-GB"/>
        </w:rPr>
        <w:t xml:space="preserve">Kyoto </w:t>
      </w:r>
      <w:proofErr w:type="spellStart"/>
      <w:r>
        <w:rPr>
          <w:sz w:val="24"/>
          <w:szCs w:val="24"/>
          <w:lang w:val="en-GB"/>
        </w:rPr>
        <w:t>Fusioneering</w:t>
      </w:r>
      <w:proofErr w:type="spellEnd"/>
      <w:r>
        <w:rPr>
          <w:sz w:val="24"/>
          <w:szCs w:val="24"/>
          <w:lang w:val="en-GB"/>
        </w:rPr>
        <w:t xml:space="preserve"> Ltd.</w:t>
      </w:r>
    </w:p>
    <w:p w14:paraId="3A286F6C" w14:textId="5E6255BB" w:rsidR="00943B67" w:rsidRDefault="00943B67" w:rsidP="00073700">
      <w:pPr>
        <w:pStyle w:val="Authornameandaffiliation"/>
        <w:ind w:left="0"/>
        <w:jc w:val="both"/>
        <w:rPr>
          <w:sz w:val="24"/>
          <w:szCs w:val="24"/>
          <w:lang w:val="en-GB"/>
        </w:rPr>
      </w:pPr>
      <w:r>
        <w:rPr>
          <w:sz w:val="24"/>
          <w:szCs w:val="24"/>
          <w:lang w:val="en-GB"/>
        </w:rPr>
        <w:t>Kyoto, Japan</w:t>
      </w:r>
    </w:p>
    <w:p w14:paraId="22619B33" w14:textId="158BAA98" w:rsidR="00943B67" w:rsidRDefault="00943B67" w:rsidP="00073700">
      <w:pPr>
        <w:pStyle w:val="Authornameandaffiliation"/>
        <w:ind w:left="0"/>
        <w:jc w:val="both"/>
        <w:rPr>
          <w:sz w:val="24"/>
          <w:szCs w:val="24"/>
          <w:lang w:val="en-GB"/>
        </w:rPr>
      </w:pPr>
    </w:p>
    <w:p w14:paraId="2A1C40DB" w14:textId="037881F5" w:rsidR="00943B67" w:rsidRDefault="00943B67" w:rsidP="00073700">
      <w:pPr>
        <w:pStyle w:val="Authornameandaffiliation"/>
        <w:ind w:left="0"/>
        <w:jc w:val="both"/>
        <w:rPr>
          <w:sz w:val="24"/>
          <w:szCs w:val="24"/>
          <w:lang w:val="en-GB"/>
        </w:rPr>
      </w:pPr>
      <w:r>
        <w:rPr>
          <w:sz w:val="24"/>
          <w:szCs w:val="24"/>
          <w:lang w:val="en-GB"/>
        </w:rPr>
        <w:t>M. BLUCK</w:t>
      </w:r>
    </w:p>
    <w:p w14:paraId="22F1E670" w14:textId="64023467" w:rsidR="00943B67" w:rsidRDefault="00943B67" w:rsidP="00073700">
      <w:pPr>
        <w:pStyle w:val="Authornameandaffiliation"/>
        <w:ind w:left="0"/>
        <w:jc w:val="both"/>
        <w:rPr>
          <w:sz w:val="24"/>
          <w:szCs w:val="24"/>
          <w:lang w:val="en-GB"/>
        </w:rPr>
      </w:pPr>
      <w:r>
        <w:rPr>
          <w:sz w:val="24"/>
          <w:szCs w:val="24"/>
          <w:lang w:val="en-GB"/>
        </w:rPr>
        <w:t>Imperial College London</w:t>
      </w:r>
    </w:p>
    <w:p w14:paraId="43A134D3" w14:textId="0FC1A3B3" w:rsidR="00943B67" w:rsidRDefault="00943B67" w:rsidP="00073700">
      <w:pPr>
        <w:pStyle w:val="Authornameandaffiliation"/>
        <w:ind w:left="0"/>
        <w:jc w:val="both"/>
        <w:rPr>
          <w:sz w:val="24"/>
          <w:szCs w:val="24"/>
          <w:lang w:val="en-GB"/>
        </w:rPr>
      </w:pPr>
      <w:r>
        <w:rPr>
          <w:sz w:val="24"/>
          <w:szCs w:val="24"/>
          <w:lang w:val="en-GB"/>
        </w:rPr>
        <w:t>London, UK</w:t>
      </w:r>
    </w:p>
    <w:p w14:paraId="338D162C" w14:textId="77777777" w:rsidR="00CD7ABF" w:rsidRPr="00073700" w:rsidRDefault="00CD7ABF" w:rsidP="00073700">
      <w:pPr>
        <w:pStyle w:val="Authornameandaffiliation"/>
        <w:ind w:left="0"/>
        <w:jc w:val="both"/>
        <w:rPr>
          <w:sz w:val="24"/>
          <w:szCs w:val="24"/>
          <w:lang w:val="en-GB"/>
        </w:rPr>
      </w:pPr>
    </w:p>
    <w:p w14:paraId="0D26CEE2" w14:textId="1592A3DE" w:rsidR="004E02A1" w:rsidRDefault="004E02A1" w:rsidP="00046928">
      <w:pPr>
        <w:overflowPunct/>
        <w:autoSpaceDE/>
        <w:autoSpaceDN/>
        <w:adjustRightInd/>
        <w:spacing w:before="280" w:after="280"/>
        <w:jc w:val="both"/>
        <w:textAlignment w:val="auto"/>
        <w:rPr>
          <w:rFonts w:eastAsiaTheme="minorHAnsi"/>
          <w:sz w:val="24"/>
          <w:szCs w:val="24"/>
          <w:lang w:eastAsia="ar-SA"/>
        </w:rPr>
      </w:pPr>
      <w:r w:rsidRPr="004E02A1">
        <w:rPr>
          <w:rFonts w:eastAsiaTheme="minorHAnsi"/>
          <w:sz w:val="24"/>
          <w:szCs w:val="24"/>
          <w:lang w:eastAsia="ar-SA"/>
        </w:rPr>
        <w:t>Progress in the development of fusion energy has gained momentum in recent years. However, questions remain across key subject areas that will affect the path to commercial fusion energy. This contribution discusses</w:t>
      </w:r>
      <w:r>
        <w:rPr>
          <w:rFonts w:eastAsiaTheme="minorHAnsi"/>
          <w:sz w:val="24"/>
          <w:szCs w:val="24"/>
          <w:lang w:eastAsia="ar-SA"/>
        </w:rPr>
        <w:t xml:space="preserve"> the following</w:t>
      </w:r>
      <w:r w:rsidRPr="004E02A1">
        <w:rPr>
          <w:rFonts w:eastAsiaTheme="minorHAnsi"/>
          <w:sz w:val="24"/>
          <w:szCs w:val="24"/>
          <w:lang w:eastAsia="ar-SA"/>
        </w:rPr>
        <w:t xml:space="preserve"> socio-economic areas</w:t>
      </w:r>
      <w:r>
        <w:rPr>
          <w:rFonts w:eastAsiaTheme="minorHAnsi"/>
          <w:sz w:val="24"/>
          <w:szCs w:val="24"/>
          <w:lang w:eastAsia="ar-SA"/>
        </w:rPr>
        <w:t>, drawing from our recent extensive literature review</w:t>
      </w:r>
      <w:r w:rsidRPr="004E02A1">
        <w:rPr>
          <w:rFonts w:eastAsiaTheme="minorHAnsi"/>
          <w:sz w:val="24"/>
          <w:szCs w:val="24"/>
          <w:lang w:eastAsia="ar-SA"/>
        </w:rPr>
        <w:t>.</w:t>
      </w:r>
    </w:p>
    <w:p w14:paraId="4448AADB" w14:textId="6E4BBCD3" w:rsidR="004E02A1" w:rsidRPr="004E02A1" w:rsidRDefault="004E02A1" w:rsidP="004E02A1">
      <w:pPr>
        <w:overflowPunct/>
        <w:autoSpaceDE/>
        <w:autoSpaceDN/>
        <w:adjustRightInd/>
        <w:spacing w:before="280" w:after="280"/>
        <w:jc w:val="both"/>
        <w:textAlignment w:val="auto"/>
        <w:rPr>
          <w:rFonts w:eastAsiaTheme="minorHAnsi"/>
          <w:sz w:val="24"/>
          <w:szCs w:val="24"/>
          <w:lang w:val="en-US" w:eastAsia="ar-SA"/>
        </w:rPr>
      </w:pPr>
      <w:r w:rsidRPr="004E02A1">
        <w:rPr>
          <w:rFonts w:eastAsiaTheme="minorHAnsi"/>
          <w:sz w:val="24"/>
          <w:szCs w:val="24"/>
          <w:lang w:val="en-US" w:eastAsia="ar-SA"/>
        </w:rPr>
        <w:t>(</w:t>
      </w:r>
      <w:proofErr w:type="spellStart"/>
      <w:r w:rsidRPr="004E02A1">
        <w:rPr>
          <w:rFonts w:eastAsiaTheme="minorHAnsi"/>
          <w:sz w:val="24"/>
          <w:szCs w:val="24"/>
          <w:lang w:val="en-US" w:eastAsia="ar-SA"/>
        </w:rPr>
        <w:t>i</w:t>
      </w:r>
      <w:proofErr w:type="spellEnd"/>
      <w:r w:rsidRPr="004E02A1">
        <w:rPr>
          <w:rFonts w:eastAsiaTheme="minorHAnsi"/>
          <w:sz w:val="24"/>
          <w:szCs w:val="24"/>
          <w:lang w:val="en-US" w:eastAsia="ar-SA"/>
        </w:rPr>
        <w:t>)</w:t>
      </w:r>
      <w:r w:rsidRPr="004E02A1">
        <w:rPr>
          <w:rFonts w:eastAsiaTheme="minorHAnsi"/>
          <w:sz w:val="24"/>
          <w:szCs w:val="24"/>
          <w:lang w:val="en-US" w:eastAsia="ar-SA"/>
        </w:rPr>
        <w:tab/>
        <w:t xml:space="preserve">Market - when </w:t>
      </w:r>
      <w:proofErr w:type="spellStart"/>
      <w:r w:rsidRPr="004E02A1">
        <w:rPr>
          <w:rFonts w:eastAsiaTheme="minorHAnsi"/>
          <w:sz w:val="24"/>
          <w:szCs w:val="24"/>
          <w:lang w:val="en-US" w:eastAsia="ar-SA"/>
        </w:rPr>
        <w:t>commercialised</w:t>
      </w:r>
      <w:proofErr w:type="spellEnd"/>
      <w:r w:rsidRPr="004E02A1">
        <w:rPr>
          <w:rFonts w:eastAsiaTheme="minorHAnsi"/>
          <w:sz w:val="24"/>
          <w:szCs w:val="24"/>
          <w:lang w:val="en-US" w:eastAsia="ar-SA"/>
        </w:rPr>
        <w:t xml:space="preserve">, what form does </w:t>
      </w:r>
      <w:r w:rsidR="003C5C40">
        <w:rPr>
          <w:rFonts w:eastAsiaTheme="minorHAnsi"/>
          <w:sz w:val="24"/>
          <w:szCs w:val="24"/>
          <w:lang w:val="en-US" w:eastAsia="ar-SA"/>
        </w:rPr>
        <w:t>fusion</w:t>
      </w:r>
      <w:r w:rsidRPr="004E02A1">
        <w:rPr>
          <w:rFonts w:eastAsiaTheme="minorHAnsi"/>
          <w:sz w:val="24"/>
          <w:szCs w:val="24"/>
          <w:lang w:val="en-US" w:eastAsia="ar-SA"/>
        </w:rPr>
        <w:t xml:space="preserve"> take? Where does it fit into a future energy system?</w:t>
      </w:r>
    </w:p>
    <w:p w14:paraId="32CF79B0" w14:textId="77777777" w:rsidR="004E02A1" w:rsidRPr="004E02A1" w:rsidRDefault="004E02A1" w:rsidP="004E02A1">
      <w:pPr>
        <w:overflowPunct/>
        <w:autoSpaceDE/>
        <w:autoSpaceDN/>
        <w:adjustRightInd/>
        <w:spacing w:before="280" w:after="280"/>
        <w:jc w:val="both"/>
        <w:textAlignment w:val="auto"/>
        <w:rPr>
          <w:rFonts w:eastAsiaTheme="minorHAnsi"/>
          <w:sz w:val="24"/>
          <w:szCs w:val="24"/>
          <w:lang w:val="en-US" w:eastAsia="ar-SA"/>
        </w:rPr>
      </w:pPr>
      <w:r w:rsidRPr="004E02A1">
        <w:rPr>
          <w:rFonts w:eastAsiaTheme="minorHAnsi"/>
          <w:sz w:val="24"/>
          <w:szCs w:val="24"/>
          <w:lang w:val="en-US" w:eastAsia="ar-SA"/>
        </w:rPr>
        <w:t>(ii)</w:t>
      </w:r>
      <w:r w:rsidRPr="004E02A1">
        <w:rPr>
          <w:rFonts w:eastAsiaTheme="minorHAnsi"/>
          <w:sz w:val="24"/>
          <w:szCs w:val="24"/>
          <w:lang w:val="en-US" w:eastAsia="ar-SA"/>
        </w:rPr>
        <w:tab/>
        <w:t>Cost - compared to other technologies, how much will fusion cost?</w:t>
      </w:r>
    </w:p>
    <w:p w14:paraId="5C7C1E84" w14:textId="4B5274B1" w:rsidR="004E02A1" w:rsidRPr="004E02A1" w:rsidRDefault="004E02A1" w:rsidP="004E02A1">
      <w:pPr>
        <w:overflowPunct/>
        <w:autoSpaceDE/>
        <w:autoSpaceDN/>
        <w:adjustRightInd/>
        <w:spacing w:before="280" w:after="280"/>
        <w:jc w:val="both"/>
        <w:textAlignment w:val="auto"/>
        <w:rPr>
          <w:rFonts w:eastAsiaTheme="minorHAnsi"/>
          <w:sz w:val="24"/>
          <w:szCs w:val="24"/>
          <w:lang w:val="en-US" w:eastAsia="ar-SA"/>
        </w:rPr>
      </w:pPr>
      <w:r w:rsidRPr="004E02A1">
        <w:rPr>
          <w:rFonts w:eastAsiaTheme="minorHAnsi"/>
          <w:sz w:val="24"/>
          <w:szCs w:val="24"/>
          <w:lang w:val="en-US" w:eastAsia="ar-SA"/>
        </w:rPr>
        <w:t>(iii)</w:t>
      </w:r>
      <w:r w:rsidRPr="004E02A1">
        <w:rPr>
          <w:rFonts w:eastAsiaTheme="minorHAnsi"/>
          <w:sz w:val="24"/>
          <w:szCs w:val="24"/>
          <w:lang w:val="en-US" w:eastAsia="ar-SA"/>
        </w:rPr>
        <w:tab/>
        <w:t>External</w:t>
      </w:r>
      <w:r w:rsidR="00E620D1">
        <w:rPr>
          <w:rFonts w:eastAsiaTheme="minorHAnsi"/>
          <w:sz w:val="24"/>
          <w:szCs w:val="24"/>
          <w:lang w:val="en-US" w:eastAsia="ar-SA"/>
        </w:rPr>
        <w:t xml:space="preserve"> </w:t>
      </w:r>
      <w:r w:rsidR="006425EB">
        <w:rPr>
          <w:rFonts w:eastAsiaTheme="minorHAnsi"/>
          <w:sz w:val="24"/>
          <w:szCs w:val="24"/>
          <w:lang w:val="en-US" w:eastAsia="ar-SA"/>
        </w:rPr>
        <w:t>Factors</w:t>
      </w:r>
      <w:r w:rsidRPr="004E02A1">
        <w:rPr>
          <w:rFonts w:eastAsiaTheme="minorHAnsi"/>
          <w:sz w:val="24"/>
          <w:szCs w:val="24"/>
          <w:lang w:val="en-US" w:eastAsia="ar-SA"/>
        </w:rPr>
        <w:t xml:space="preserve"> - why do it?</w:t>
      </w:r>
    </w:p>
    <w:p w14:paraId="77FF30D9" w14:textId="50161D3C" w:rsidR="00EA73D0" w:rsidRPr="00E620D1" w:rsidRDefault="004E02A1" w:rsidP="004E02A1">
      <w:pPr>
        <w:overflowPunct/>
        <w:autoSpaceDE/>
        <w:autoSpaceDN/>
        <w:adjustRightInd/>
        <w:spacing w:before="280" w:after="280"/>
        <w:jc w:val="both"/>
        <w:textAlignment w:val="auto"/>
        <w:rPr>
          <w:rFonts w:eastAsiaTheme="minorHAnsi"/>
          <w:sz w:val="24"/>
          <w:szCs w:val="24"/>
          <w:lang w:val="en-US" w:eastAsia="ar-SA"/>
        </w:rPr>
      </w:pPr>
      <w:r w:rsidRPr="004E02A1">
        <w:rPr>
          <w:rFonts w:eastAsiaTheme="minorHAnsi"/>
          <w:sz w:val="24"/>
          <w:szCs w:val="24"/>
          <w:lang w:val="en-US" w:eastAsia="ar-SA"/>
        </w:rPr>
        <w:t>(iv)</w:t>
      </w:r>
      <w:r w:rsidRPr="004E02A1">
        <w:rPr>
          <w:rFonts w:eastAsiaTheme="minorHAnsi"/>
          <w:sz w:val="24"/>
          <w:szCs w:val="24"/>
          <w:lang w:val="en-US" w:eastAsia="ar-SA"/>
        </w:rPr>
        <w:tab/>
        <w:t xml:space="preserve">Timescales - when is it likely that fusion reaches </w:t>
      </w:r>
      <w:proofErr w:type="spellStart"/>
      <w:r w:rsidRPr="004E02A1">
        <w:rPr>
          <w:rFonts w:eastAsiaTheme="minorHAnsi"/>
          <w:sz w:val="24"/>
          <w:szCs w:val="24"/>
          <w:lang w:val="en-US" w:eastAsia="ar-SA"/>
        </w:rPr>
        <w:t>commercialisation</w:t>
      </w:r>
      <w:proofErr w:type="spellEnd"/>
      <w:r w:rsidRPr="004E02A1">
        <w:rPr>
          <w:rFonts w:eastAsiaTheme="minorHAnsi"/>
          <w:sz w:val="24"/>
          <w:szCs w:val="24"/>
          <w:lang w:val="en-US" w:eastAsia="ar-SA"/>
        </w:rPr>
        <w:t>?</w:t>
      </w:r>
    </w:p>
    <w:p w14:paraId="2074C236" w14:textId="37E219A9" w:rsidR="003C5C40" w:rsidRDefault="003C5C40" w:rsidP="004E02A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1. </w:t>
      </w:r>
      <w:r w:rsidR="00EA73D0">
        <w:rPr>
          <w:rFonts w:eastAsiaTheme="minorHAnsi"/>
          <w:sz w:val="24"/>
          <w:szCs w:val="24"/>
          <w:lang w:eastAsia="ar-SA"/>
        </w:rPr>
        <w:t>MARKET</w:t>
      </w:r>
    </w:p>
    <w:p w14:paraId="6D4F83D6" w14:textId="4A6A524C" w:rsidR="00EA73D0" w:rsidRDefault="004E02A1" w:rsidP="004E02A1">
      <w:pPr>
        <w:overflowPunct/>
        <w:autoSpaceDE/>
        <w:autoSpaceDN/>
        <w:adjustRightInd/>
        <w:spacing w:before="280" w:after="280"/>
        <w:jc w:val="both"/>
        <w:textAlignment w:val="auto"/>
        <w:rPr>
          <w:rFonts w:eastAsiaTheme="minorHAnsi"/>
          <w:sz w:val="24"/>
          <w:szCs w:val="24"/>
          <w:lang w:eastAsia="ar-SA"/>
        </w:rPr>
      </w:pPr>
      <w:r w:rsidRPr="004E02A1">
        <w:rPr>
          <w:rFonts w:eastAsiaTheme="minorHAnsi"/>
          <w:sz w:val="24"/>
          <w:szCs w:val="24"/>
          <w:lang w:eastAsia="ar-SA"/>
        </w:rPr>
        <w:t xml:space="preserve">As of 2018, electricity made up only 20% of the world’s total energy demand (which will rise to 25% by 2040 </w:t>
      </w:r>
      <w:r w:rsidR="006C024F">
        <w:rPr>
          <w:rFonts w:eastAsiaTheme="minorHAnsi"/>
          <w:sz w:val="24"/>
          <w:szCs w:val="24"/>
          <w:lang w:eastAsia="ar-SA"/>
        </w:rPr>
        <w:t>[1]</w:t>
      </w:r>
      <w:r w:rsidRPr="004E02A1">
        <w:rPr>
          <w:rFonts w:eastAsiaTheme="minorHAnsi"/>
          <w:sz w:val="24"/>
          <w:szCs w:val="24"/>
          <w:lang w:eastAsia="ar-SA"/>
        </w:rPr>
        <w:t>), leaving three quarters of demand available for fusion to potentially fulfil.</w:t>
      </w:r>
      <w:r w:rsidR="00EA73D0">
        <w:rPr>
          <w:rFonts w:eastAsiaTheme="minorHAnsi"/>
          <w:sz w:val="24"/>
          <w:szCs w:val="24"/>
          <w:lang w:eastAsia="ar-SA"/>
        </w:rPr>
        <w:t xml:space="preserve"> </w:t>
      </w:r>
      <w:r w:rsidR="00EA73D0" w:rsidRPr="00EA73D0">
        <w:rPr>
          <w:rFonts w:eastAsiaTheme="minorHAnsi"/>
          <w:sz w:val="24"/>
          <w:szCs w:val="24"/>
          <w:lang w:eastAsia="ar-SA"/>
        </w:rPr>
        <w:t>In terms of potential roles for fusion outside of electricity generation,</w:t>
      </w:r>
      <w:r w:rsidR="00EA73D0">
        <w:rPr>
          <w:rFonts w:eastAsiaTheme="minorHAnsi"/>
          <w:sz w:val="24"/>
          <w:szCs w:val="24"/>
          <w:lang w:eastAsia="ar-SA"/>
        </w:rPr>
        <w:t xml:space="preserve"> </w:t>
      </w:r>
      <w:r w:rsidR="00EA73D0" w:rsidRPr="00EA73D0">
        <w:rPr>
          <w:rFonts w:eastAsiaTheme="minorHAnsi"/>
          <w:sz w:val="24"/>
          <w:szCs w:val="24"/>
          <w:lang w:eastAsia="ar-SA"/>
        </w:rPr>
        <w:t>multiple pathways for techno-economic investigations exist</w:t>
      </w:r>
      <w:r w:rsidR="00EA73D0">
        <w:rPr>
          <w:rFonts w:eastAsiaTheme="minorHAnsi"/>
          <w:sz w:val="24"/>
          <w:szCs w:val="24"/>
          <w:lang w:eastAsia="ar-SA"/>
        </w:rPr>
        <w:t xml:space="preserve">, </w:t>
      </w:r>
      <w:r w:rsidR="00EA73D0" w:rsidRPr="00EA73D0">
        <w:rPr>
          <w:rFonts w:eastAsiaTheme="minorHAnsi"/>
          <w:sz w:val="24"/>
          <w:szCs w:val="24"/>
          <w:lang w:eastAsia="ar-SA"/>
        </w:rPr>
        <w:t xml:space="preserve">such as hydrogen, desalination, district heating, use of process heat. </w:t>
      </w:r>
    </w:p>
    <w:p w14:paraId="6A4A5690" w14:textId="047F6BEA" w:rsidR="00EA73D0" w:rsidRDefault="00EA73D0" w:rsidP="004E02A1">
      <w:pPr>
        <w:overflowPunct/>
        <w:autoSpaceDE/>
        <w:autoSpaceDN/>
        <w:adjustRightInd/>
        <w:spacing w:before="280" w:after="280"/>
        <w:jc w:val="both"/>
        <w:textAlignment w:val="auto"/>
        <w:rPr>
          <w:rFonts w:eastAsiaTheme="minorHAnsi"/>
          <w:sz w:val="24"/>
          <w:szCs w:val="24"/>
          <w:lang w:eastAsia="ar-SA"/>
        </w:rPr>
      </w:pPr>
      <w:r w:rsidRPr="00EA73D0">
        <w:rPr>
          <w:rFonts w:eastAsiaTheme="minorHAnsi"/>
          <w:sz w:val="24"/>
          <w:szCs w:val="24"/>
          <w:lang w:eastAsia="ar-SA"/>
        </w:rPr>
        <w:t xml:space="preserve">It is still unclear what the nature of the thermodynamic cycles will be for fusion reactors and hence the impact that high temperature cogeneration will have on their operation and economics. Fusion reactors operating at high temperatures could have pre-turbine entry temperatures in excess of 600◦C, much like HTGRs in fission. There would be considerable impact on electrical output due to the extraction of the heat prior to the turbine (much greater than low temperature applications). </w:t>
      </w:r>
    </w:p>
    <w:p w14:paraId="275BA7E8" w14:textId="07135FF5" w:rsidR="00EA73D0" w:rsidRDefault="00EA73D0" w:rsidP="004E02A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lastRenderedPageBreak/>
        <w:t>Important</w:t>
      </w:r>
      <w:r w:rsidRPr="004E02A1">
        <w:rPr>
          <w:rFonts w:eastAsiaTheme="minorHAnsi"/>
          <w:sz w:val="24"/>
          <w:szCs w:val="24"/>
          <w:lang w:eastAsia="ar-SA"/>
        </w:rPr>
        <w:t xml:space="preserve"> consideration in non-electric applications are potential barriers to market penetration. Stemming from previous ideas on technology emergence and market diffusion, including by </w:t>
      </w:r>
      <w:proofErr w:type="spellStart"/>
      <w:r w:rsidRPr="004E02A1">
        <w:rPr>
          <w:rFonts w:eastAsiaTheme="minorHAnsi"/>
          <w:sz w:val="24"/>
          <w:szCs w:val="24"/>
          <w:lang w:eastAsia="ar-SA"/>
        </w:rPr>
        <w:t>Bonvillian</w:t>
      </w:r>
      <w:proofErr w:type="spellEnd"/>
      <w:r w:rsidRPr="004E02A1">
        <w:rPr>
          <w:rFonts w:eastAsiaTheme="minorHAnsi"/>
          <w:sz w:val="24"/>
          <w:szCs w:val="24"/>
          <w:lang w:eastAsia="ar-SA"/>
        </w:rPr>
        <w:t xml:space="preserve"> &amp; Weiss, and Gallagher et al., this concept is shown for the fusion context via a traffic light quadrant diagram in Figure 1, whereby the two axes, technology and market, visualise how transitioning from the status quo (existing market, existing technology) to either new technologies and or new markets represents the most challenging evolution for fusion to achieve </w:t>
      </w:r>
      <w:r w:rsidR="00D7227B">
        <w:rPr>
          <w:rFonts w:eastAsiaTheme="minorHAnsi"/>
          <w:sz w:val="24"/>
          <w:szCs w:val="24"/>
          <w:lang w:eastAsia="ar-SA"/>
        </w:rPr>
        <w:t>[2]</w:t>
      </w:r>
      <w:r w:rsidRPr="004E02A1">
        <w:rPr>
          <w:rFonts w:eastAsiaTheme="minorHAnsi"/>
          <w:sz w:val="24"/>
          <w:szCs w:val="24"/>
          <w:lang w:eastAsia="ar-SA"/>
        </w:rPr>
        <w:t xml:space="preserve">.  </w:t>
      </w:r>
    </w:p>
    <w:p w14:paraId="6FA1A1A1" w14:textId="77777777" w:rsidR="00E620D1" w:rsidRDefault="00E620D1" w:rsidP="004E02A1">
      <w:pPr>
        <w:overflowPunct/>
        <w:autoSpaceDE/>
        <w:autoSpaceDN/>
        <w:adjustRightInd/>
        <w:spacing w:before="280" w:after="280"/>
        <w:jc w:val="both"/>
        <w:textAlignment w:val="auto"/>
        <w:rPr>
          <w:rFonts w:eastAsiaTheme="minorHAnsi"/>
          <w:sz w:val="24"/>
          <w:szCs w:val="24"/>
          <w:lang w:eastAsia="ar-SA"/>
        </w:rPr>
      </w:pPr>
    </w:p>
    <w:p w14:paraId="5B9FD4B1" w14:textId="77777777" w:rsidR="00EA73D0" w:rsidRDefault="00EA73D0" w:rsidP="00EA73D0">
      <w:pPr>
        <w:overflowPunct/>
        <w:autoSpaceDE/>
        <w:autoSpaceDN/>
        <w:adjustRightInd/>
        <w:spacing w:before="280" w:after="280"/>
        <w:jc w:val="both"/>
        <w:textAlignment w:val="auto"/>
        <w:rPr>
          <w:rFonts w:eastAsiaTheme="minorHAnsi"/>
          <w:sz w:val="24"/>
          <w:szCs w:val="24"/>
          <w:lang w:eastAsia="ar-SA"/>
        </w:rPr>
      </w:pPr>
      <w:r w:rsidRPr="004E02A1">
        <w:rPr>
          <w:rFonts w:eastAsiaTheme="minorHAnsi"/>
          <w:sz w:val="24"/>
          <w:szCs w:val="24"/>
          <w:lang w:eastAsia="ar-SA"/>
        </w:rPr>
        <w:drawing>
          <wp:inline distT="0" distB="0" distL="0" distR="0" wp14:anchorId="77398EEA" wp14:editId="762C96F3">
            <wp:extent cx="5732145" cy="3224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3224530"/>
                    </a:xfrm>
                    <a:prstGeom prst="rect">
                      <a:avLst/>
                    </a:prstGeom>
                  </pic:spPr>
                </pic:pic>
              </a:graphicData>
            </a:graphic>
          </wp:inline>
        </w:drawing>
      </w:r>
    </w:p>
    <w:p w14:paraId="1BFDEB53" w14:textId="4C63B4C5" w:rsidR="00EA73D0" w:rsidRDefault="00EA73D0" w:rsidP="00EA73D0">
      <w:pPr>
        <w:overflowPunct/>
        <w:autoSpaceDE/>
        <w:autoSpaceDN/>
        <w:adjustRightInd/>
        <w:spacing w:before="280" w:after="280"/>
        <w:jc w:val="both"/>
        <w:textAlignment w:val="auto"/>
        <w:rPr>
          <w:rFonts w:eastAsiaTheme="minorHAnsi"/>
          <w:sz w:val="24"/>
          <w:szCs w:val="24"/>
          <w:lang w:eastAsia="ar-SA"/>
        </w:rPr>
      </w:pPr>
      <w:r w:rsidRPr="004E02A1">
        <w:rPr>
          <w:rFonts w:eastAsiaTheme="minorHAnsi"/>
          <w:sz w:val="24"/>
          <w:szCs w:val="24"/>
          <w:lang w:eastAsia="ar-SA"/>
        </w:rPr>
        <w:t>Figure 1:  A quadrant diagram demonstrating different market-technology sectors</w:t>
      </w:r>
      <w:r w:rsidR="007E265D">
        <w:rPr>
          <w:rFonts w:eastAsiaTheme="minorHAnsi"/>
          <w:sz w:val="24"/>
          <w:szCs w:val="24"/>
          <w:lang w:eastAsia="ar-SA"/>
        </w:rPr>
        <w:t xml:space="preserve"> (by authors, based on [2])</w:t>
      </w:r>
      <w:r w:rsidRPr="004E02A1">
        <w:rPr>
          <w:rFonts w:eastAsiaTheme="minorHAnsi"/>
          <w:sz w:val="24"/>
          <w:szCs w:val="24"/>
          <w:lang w:eastAsia="ar-SA"/>
        </w:rPr>
        <w:t>:</w:t>
      </w:r>
      <w:r>
        <w:rPr>
          <w:rFonts w:eastAsiaTheme="minorHAnsi"/>
          <w:sz w:val="24"/>
          <w:szCs w:val="24"/>
          <w:lang w:eastAsia="ar-SA"/>
        </w:rPr>
        <w:br/>
      </w:r>
      <w:r w:rsidRPr="004E02A1">
        <w:rPr>
          <w:rFonts w:eastAsiaTheme="minorHAnsi"/>
          <w:sz w:val="24"/>
          <w:szCs w:val="24"/>
          <w:lang w:eastAsia="ar-SA"/>
        </w:rPr>
        <w:t>(</w:t>
      </w:r>
      <w:proofErr w:type="spellStart"/>
      <w:r w:rsidRPr="004E02A1">
        <w:rPr>
          <w:rFonts w:eastAsiaTheme="minorHAnsi"/>
          <w:sz w:val="24"/>
          <w:szCs w:val="24"/>
          <w:lang w:eastAsia="ar-SA"/>
        </w:rPr>
        <w:t>i</w:t>
      </w:r>
      <w:proofErr w:type="spellEnd"/>
      <w:r w:rsidRPr="004E02A1">
        <w:rPr>
          <w:rFonts w:eastAsiaTheme="minorHAnsi"/>
          <w:sz w:val="24"/>
          <w:szCs w:val="24"/>
          <w:lang w:eastAsia="ar-SA"/>
        </w:rPr>
        <w:t>)</w:t>
      </w:r>
      <w:r w:rsidRPr="004E02A1">
        <w:rPr>
          <w:rFonts w:eastAsiaTheme="minorHAnsi"/>
          <w:sz w:val="24"/>
          <w:szCs w:val="24"/>
          <w:lang w:eastAsia="ar-SA"/>
        </w:rPr>
        <w:tab/>
        <w:t>Incumbent: existing technology, existing market, represented by renewables for electricity production.</w:t>
      </w:r>
      <w:r>
        <w:rPr>
          <w:rFonts w:eastAsiaTheme="minorHAnsi"/>
          <w:sz w:val="24"/>
          <w:szCs w:val="24"/>
          <w:lang w:eastAsia="ar-SA"/>
        </w:rPr>
        <w:br/>
      </w:r>
      <w:r w:rsidRPr="004E02A1">
        <w:rPr>
          <w:rFonts w:eastAsiaTheme="minorHAnsi"/>
          <w:sz w:val="24"/>
          <w:szCs w:val="24"/>
          <w:lang w:eastAsia="ar-SA"/>
        </w:rPr>
        <w:t>(ii)</w:t>
      </w:r>
      <w:r w:rsidRPr="004E02A1">
        <w:rPr>
          <w:rFonts w:eastAsiaTheme="minorHAnsi"/>
          <w:sz w:val="24"/>
          <w:szCs w:val="24"/>
          <w:lang w:eastAsia="ar-SA"/>
        </w:rPr>
        <w:tab/>
        <w:t>Innovation (1): existing technology, new market, represented by renewables for hydrogen production. The transition from the incumbent sector to this one denotes a challenging evolution to achieve.</w:t>
      </w:r>
      <w:r>
        <w:rPr>
          <w:rFonts w:eastAsiaTheme="minorHAnsi"/>
          <w:sz w:val="24"/>
          <w:szCs w:val="24"/>
          <w:lang w:eastAsia="ar-SA"/>
        </w:rPr>
        <w:br/>
      </w:r>
      <w:r w:rsidRPr="004E02A1">
        <w:rPr>
          <w:rFonts w:eastAsiaTheme="minorHAnsi"/>
          <w:sz w:val="24"/>
          <w:szCs w:val="24"/>
          <w:lang w:eastAsia="ar-SA"/>
        </w:rPr>
        <w:t>(iii)</w:t>
      </w:r>
      <w:r w:rsidRPr="004E02A1">
        <w:rPr>
          <w:rFonts w:eastAsiaTheme="minorHAnsi"/>
          <w:sz w:val="24"/>
          <w:szCs w:val="24"/>
          <w:lang w:eastAsia="ar-SA"/>
        </w:rPr>
        <w:tab/>
        <w:t>Innovation (2): existing market, new technology, represented by fusion for electricity production. The transition from the incumbent sector to this one denotes the least challenging evolution for fusion to achieve.</w:t>
      </w:r>
      <w:r>
        <w:rPr>
          <w:rFonts w:eastAsiaTheme="minorHAnsi"/>
          <w:sz w:val="24"/>
          <w:szCs w:val="24"/>
          <w:lang w:eastAsia="ar-SA"/>
        </w:rPr>
        <w:br/>
      </w:r>
      <w:r w:rsidRPr="004E02A1">
        <w:rPr>
          <w:rFonts w:eastAsiaTheme="minorHAnsi"/>
          <w:sz w:val="24"/>
          <w:szCs w:val="24"/>
          <w:lang w:eastAsia="ar-SA"/>
        </w:rPr>
        <w:t>(iv)</w:t>
      </w:r>
      <w:r w:rsidRPr="004E02A1">
        <w:rPr>
          <w:rFonts w:eastAsiaTheme="minorHAnsi"/>
          <w:sz w:val="24"/>
          <w:szCs w:val="24"/>
          <w:lang w:eastAsia="ar-SA"/>
        </w:rPr>
        <w:tab/>
        <w:t>Radical innovation: new market, new technology, represented by fusion for hydrogen production. The transition from the incumbent sector to this one denotes the most challenging evolution for fusion to achieve. It is therefore argued that instead, making the transition from Innovation (2) to this sector represents a more achievable, but still challenging evolution.</w:t>
      </w:r>
    </w:p>
    <w:p w14:paraId="15452901" w14:textId="3BE8EFFB" w:rsidR="00EA73D0" w:rsidRDefault="00EA73D0" w:rsidP="004E02A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2. COST</w:t>
      </w:r>
    </w:p>
    <w:p w14:paraId="64B098E0" w14:textId="22BBBD5E" w:rsidR="00EA73D0" w:rsidRDefault="003C5C40" w:rsidP="004E02A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It </w:t>
      </w:r>
      <w:r w:rsidR="004E02A1" w:rsidRPr="004E02A1">
        <w:rPr>
          <w:rFonts w:eastAsiaTheme="minorHAnsi"/>
          <w:sz w:val="24"/>
          <w:szCs w:val="24"/>
          <w:lang w:eastAsia="ar-SA"/>
        </w:rPr>
        <w:t xml:space="preserve">is predicted that the cost profile, from construction to decommission, will share some similarities with that of fission </w:t>
      </w:r>
      <w:r w:rsidR="002A7F83">
        <w:rPr>
          <w:rFonts w:eastAsiaTheme="minorHAnsi"/>
          <w:sz w:val="24"/>
          <w:szCs w:val="24"/>
          <w:lang w:eastAsia="ar-SA"/>
        </w:rPr>
        <w:t>[3]</w:t>
      </w:r>
      <w:r w:rsidR="004E02A1" w:rsidRPr="004E02A1">
        <w:rPr>
          <w:rFonts w:eastAsiaTheme="minorHAnsi"/>
          <w:sz w:val="24"/>
          <w:szCs w:val="24"/>
          <w:lang w:eastAsia="ar-SA"/>
        </w:rPr>
        <w:t xml:space="preserve">. Crudely, the construction phase is the </w:t>
      </w:r>
      <w:proofErr w:type="gramStart"/>
      <w:r w:rsidR="004E02A1" w:rsidRPr="004E02A1">
        <w:rPr>
          <w:rFonts w:eastAsiaTheme="minorHAnsi"/>
          <w:sz w:val="24"/>
          <w:szCs w:val="24"/>
          <w:lang w:eastAsia="ar-SA"/>
        </w:rPr>
        <w:t>most costly</w:t>
      </w:r>
      <w:proofErr w:type="gramEnd"/>
      <w:r w:rsidR="004E02A1" w:rsidRPr="004E02A1">
        <w:rPr>
          <w:rFonts w:eastAsiaTheme="minorHAnsi"/>
          <w:sz w:val="24"/>
          <w:szCs w:val="24"/>
          <w:lang w:eastAsia="ar-SA"/>
        </w:rPr>
        <w:t xml:space="preserve">, with less funds needed for operations and maintenance phases. Thus, the cost of capital carries the most weight for overall costs, meaning that even compact designs will incur high interest </w:t>
      </w:r>
      <w:r w:rsidR="004E02A1" w:rsidRPr="004E02A1">
        <w:rPr>
          <w:rFonts w:eastAsiaTheme="minorHAnsi"/>
          <w:sz w:val="24"/>
          <w:szCs w:val="24"/>
          <w:lang w:eastAsia="ar-SA"/>
        </w:rPr>
        <w:lastRenderedPageBreak/>
        <w:t xml:space="preserve">rates. An important aspect for potential financiers to consider in such projects is the associated risk, such as cost escalation, either in capital and or operating phases, or unforeseen drops in plant performance. </w:t>
      </w:r>
      <w:proofErr w:type="spellStart"/>
      <w:r w:rsidR="004E02A1" w:rsidRPr="004E02A1">
        <w:rPr>
          <w:rFonts w:eastAsiaTheme="minorHAnsi"/>
          <w:sz w:val="24"/>
          <w:szCs w:val="24"/>
          <w:lang w:eastAsia="ar-SA"/>
        </w:rPr>
        <w:t>Webbe</w:t>
      </w:r>
      <w:proofErr w:type="spellEnd"/>
      <w:r w:rsidR="004E02A1" w:rsidRPr="004E02A1">
        <w:rPr>
          <w:rFonts w:eastAsiaTheme="minorHAnsi"/>
          <w:sz w:val="24"/>
          <w:szCs w:val="24"/>
          <w:lang w:eastAsia="ar-SA"/>
        </w:rPr>
        <w:t xml:space="preserve">-Wood highlights that state owned assets carry the advantage of being able to take on these risks more freely, as cost increases of this type are less severe for them than private enterprises. Additionally, it means that the plant operator turns a profit from energy production and sales without having to leverage any risk </w:t>
      </w:r>
      <w:r w:rsidR="002A7F83">
        <w:rPr>
          <w:rFonts w:eastAsiaTheme="minorHAnsi"/>
          <w:sz w:val="24"/>
          <w:szCs w:val="24"/>
          <w:lang w:eastAsia="ar-SA"/>
        </w:rPr>
        <w:t>[3]</w:t>
      </w:r>
      <w:r w:rsidR="004E02A1" w:rsidRPr="004E02A1">
        <w:rPr>
          <w:rFonts w:eastAsiaTheme="minorHAnsi"/>
          <w:sz w:val="24"/>
          <w:szCs w:val="24"/>
          <w:lang w:eastAsia="ar-SA"/>
        </w:rPr>
        <w:t>.</w:t>
      </w:r>
    </w:p>
    <w:p w14:paraId="64007152" w14:textId="26C27EE6" w:rsidR="004E02A1" w:rsidRDefault="00EA73D0" w:rsidP="004E02A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S</w:t>
      </w:r>
      <w:r w:rsidRPr="00EA73D0">
        <w:rPr>
          <w:rFonts w:eastAsiaTheme="minorHAnsi"/>
          <w:sz w:val="24"/>
          <w:szCs w:val="24"/>
          <w:lang w:eastAsia="ar-SA"/>
        </w:rPr>
        <w:t xml:space="preserve">tudies have shown a large range of values varying from 40-165mill/kWh. For comparison, </w:t>
      </w:r>
      <w:proofErr w:type="spellStart"/>
      <w:r w:rsidRPr="00EA73D0">
        <w:rPr>
          <w:rFonts w:eastAsiaTheme="minorHAnsi"/>
          <w:sz w:val="24"/>
          <w:szCs w:val="24"/>
          <w:lang w:eastAsia="ar-SA"/>
        </w:rPr>
        <w:t>L</w:t>
      </w:r>
      <w:r w:rsidR="00E620D1">
        <w:rPr>
          <w:rFonts w:eastAsiaTheme="minorHAnsi"/>
          <w:sz w:val="24"/>
          <w:szCs w:val="24"/>
          <w:lang w:eastAsia="ar-SA"/>
        </w:rPr>
        <w:t>evelised</w:t>
      </w:r>
      <w:proofErr w:type="spellEnd"/>
      <w:r w:rsidR="00E620D1">
        <w:rPr>
          <w:rFonts w:eastAsiaTheme="minorHAnsi"/>
          <w:sz w:val="24"/>
          <w:szCs w:val="24"/>
          <w:lang w:eastAsia="ar-SA"/>
        </w:rPr>
        <w:t xml:space="preserve"> Cost of Electricity (LCOE)</w:t>
      </w:r>
      <w:r w:rsidRPr="00EA73D0">
        <w:rPr>
          <w:rFonts w:eastAsiaTheme="minorHAnsi"/>
          <w:sz w:val="24"/>
          <w:szCs w:val="24"/>
          <w:lang w:eastAsia="ar-SA"/>
        </w:rPr>
        <w:t xml:space="preserve"> values for renewables and their corresponding studies are given</w:t>
      </w:r>
      <w:r w:rsidR="00E620D1">
        <w:rPr>
          <w:rFonts w:eastAsiaTheme="minorHAnsi"/>
          <w:sz w:val="24"/>
          <w:szCs w:val="24"/>
          <w:lang w:eastAsia="ar-SA"/>
        </w:rPr>
        <w:t xml:space="preserve"> in Figure 2, where the evolution of LCOE estimations are illustrated over time.</w:t>
      </w:r>
    </w:p>
    <w:p w14:paraId="0E8AF621" w14:textId="77777777" w:rsidR="00E620D1" w:rsidRDefault="00E620D1" w:rsidP="004E02A1">
      <w:pPr>
        <w:overflowPunct/>
        <w:autoSpaceDE/>
        <w:autoSpaceDN/>
        <w:adjustRightInd/>
        <w:spacing w:before="280" w:after="280"/>
        <w:jc w:val="both"/>
        <w:textAlignment w:val="auto"/>
        <w:rPr>
          <w:rFonts w:eastAsiaTheme="minorHAnsi"/>
          <w:sz w:val="24"/>
          <w:szCs w:val="24"/>
          <w:lang w:eastAsia="ar-SA"/>
        </w:rPr>
      </w:pPr>
    </w:p>
    <w:p w14:paraId="441D16EF" w14:textId="1CA23929" w:rsidR="004E02A1" w:rsidRDefault="003C5C40" w:rsidP="004E02A1">
      <w:pPr>
        <w:overflowPunct/>
        <w:autoSpaceDE/>
        <w:autoSpaceDN/>
        <w:adjustRightInd/>
        <w:spacing w:before="280" w:after="280"/>
        <w:jc w:val="both"/>
        <w:textAlignment w:val="auto"/>
        <w:rPr>
          <w:rFonts w:eastAsiaTheme="minorHAnsi"/>
          <w:sz w:val="24"/>
          <w:szCs w:val="24"/>
          <w:lang w:eastAsia="ar-SA"/>
        </w:rPr>
      </w:pPr>
      <w:r>
        <w:rPr>
          <w:rFonts w:eastAsiaTheme="minorHAnsi"/>
          <w:noProof/>
          <w:sz w:val="24"/>
          <w:szCs w:val="24"/>
          <w:lang w:eastAsia="ar-SA"/>
        </w:rPr>
        <w:drawing>
          <wp:inline distT="0" distB="0" distL="0" distR="0" wp14:anchorId="3113E43D" wp14:editId="5E707E18">
            <wp:extent cx="5732145" cy="308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3082290"/>
                    </a:xfrm>
                    <a:prstGeom prst="rect">
                      <a:avLst/>
                    </a:prstGeom>
                  </pic:spPr>
                </pic:pic>
              </a:graphicData>
            </a:graphic>
          </wp:inline>
        </w:drawing>
      </w:r>
    </w:p>
    <w:p w14:paraId="16779697" w14:textId="06C1E88A" w:rsidR="003C5C40" w:rsidRPr="004E02A1" w:rsidRDefault="003C5C40" w:rsidP="004E02A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Figure </w:t>
      </w:r>
      <w:r w:rsidR="00E620D1">
        <w:rPr>
          <w:rFonts w:eastAsiaTheme="minorHAnsi"/>
          <w:sz w:val="24"/>
          <w:szCs w:val="24"/>
          <w:lang w:eastAsia="ar-SA"/>
        </w:rPr>
        <w:t>2</w:t>
      </w:r>
      <w:r>
        <w:rPr>
          <w:rFonts w:eastAsiaTheme="minorHAnsi"/>
          <w:sz w:val="24"/>
          <w:szCs w:val="24"/>
          <w:lang w:eastAsia="ar-SA"/>
        </w:rPr>
        <w:t xml:space="preserve">. </w:t>
      </w:r>
      <w:r>
        <w:rPr>
          <w:w w:val="110"/>
        </w:rPr>
        <w:t>An illustration of the apparent decline in the estimated cost of fusion electricity in the last two decades at</w:t>
      </w:r>
      <w:r>
        <w:rPr>
          <w:spacing w:val="-52"/>
          <w:w w:val="110"/>
        </w:rPr>
        <w:t xml:space="preserve"> </w:t>
      </w:r>
      <w:r>
        <w:rPr>
          <w:w w:val="110"/>
        </w:rPr>
        <w:t>the same pace as other renewables, especially Solar PV.</w:t>
      </w:r>
      <w:r>
        <w:rPr>
          <w:w w:val="110"/>
        </w:rPr>
        <w:t xml:space="preserve"> </w:t>
      </w:r>
      <w:r w:rsidR="007E265D">
        <w:rPr>
          <w:w w:val="110"/>
        </w:rPr>
        <w:t>(By authors, based on r</w:t>
      </w:r>
      <w:r>
        <w:rPr>
          <w:w w:val="110"/>
        </w:rPr>
        <w:t xml:space="preserve">efs </w:t>
      </w:r>
      <w:r w:rsidR="002A7F83">
        <w:rPr>
          <w:w w:val="110"/>
        </w:rPr>
        <w:t>[4, 5,</w:t>
      </w:r>
      <w:r w:rsidR="007308F3">
        <w:rPr>
          <w:w w:val="110"/>
        </w:rPr>
        <w:t xml:space="preserve"> </w:t>
      </w:r>
      <w:r w:rsidR="002A7F83">
        <w:rPr>
          <w:w w:val="110"/>
        </w:rPr>
        <w:t>6,</w:t>
      </w:r>
      <w:r w:rsidR="007308F3">
        <w:rPr>
          <w:w w:val="110"/>
        </w:rPr>
        <w:t xml:space="preserve"> </w:t>
      </w:r>
      <w:r w:rsidR="002A7F83">
        <w:rPr>
          <w:w w:val="110"/>
        </w:rPr>
        <w:t>7,</w:t>
      </w:r>
      <w:r w:rsidR="007308F3">
        <w:rPr>
          <w:w w:val="110"/>
        </w:rPr>
        <w:t xml:space="preserve"> </w:t>
      </w:r>
      <w:r w:rsidR="002A7F83">
        <w:rPr>
          <w:w w:val="110"/>
        </w:rPr>
        <w:t>8,</w:t>
      </w:r>
      <w:r w:rsidR="007308F3">
        <w:rPr>
          <w:w w:val="110"/>
        </w:rPr>
        <w:t xml:space="preserve"> </w:t>
      </w:r>
      <w:r w:rsidR="002A7F83">
        <w:rPr>
          <w:w w:val="110"/>
        </w:rPr>
        <w:t>9,</w:t>
      </w:r>
      <w:r w:rsidR="007308F3">
        <w:rPr>
          <w:w w:val="110"/>
        </w:rPr>
        <w:t xml:space="preserve"> </w:t>
      </w:r>
      <w:r w:rsidR="002A7F83">
        <w:rPr>
          <w:w w:val="110"/>
        </w:rPr>
        <w:t>10,</w:t>
      </w:r>
      <w:r w:rsidR="007308F3">
        <w:rPr>
          <w:w w:val="110"/>
        </w:rPr>
        <w:t xml:space="preserve"> </w:t>
      </w:r>
      <w:r w:rsidR="002A7F83">
        <w:rPr>
          <w:w w:val="110"/>
        </w:rPr>
        <w:t>11,</w:t>
      </w:r>
      <w:r w:rsidR="007308F3">
        <w:rPr>
          <w:w w:val="110"/>
        </w:rPr>
        <w:t xml:space="preserve"> </w:t>
      </w:r>
      <w:r w:rsidR="002A7F83">
        <w:rPr>
          <w:w w:val="110"/>
        </w:rPr>
        <w:t>12,</w:t>
      </w:r>
      <w:r w:rsidR="007308F3">
        <w:rPr>
          <w:w w:val="110"/>
        </w:rPr>
        <w:t xml:space="preserve"> </w:t>
      </w:r>
      <w:r w:rsidR="002A7F83">
        <w:rPr>
          <w:w w:val="110"/>
        </w:rPr>
        <w:t>13]</w:t>
      </w:r>
      <w:r>
        <w:rPr>
          <w:w w:val="110"/>
        </w:rPr>
        <w:t xml:space="preserve"> for fusion, [</w:t>
      </w:r>
      <w:r w:rsidR="002A7F83">
        <w:rPr>
          <w:w w:val="110"/>
        </w:rPr>
        <w:t>14</w:t>
      </w:r>
      <w:r>
        <w:rPr>
          <w:w w:val="110"/>
        </w:rPr>
        <w:t>] for renewable sources.</w:t>
      </w:r>
      <w:r w:rsidR="007E265D">
        <w:rPr>
          <w:w w:val="110"/>
        </w:rPr>
        <w:t>)</w:t>
      </w:r>
    </w:p>
    <w:p w14:paraId="4C5ABD1F" w14:textId="493C91D2" w:rsidR="00E620D1" w:rsidRDefault="00E620D1"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3. EXTERNAL </w:t>
      </w:r>
      <w:r w:rsidR="006425EB">
        <w:rPr>
          <w:rFonts w:eastAsiaTheme="minorHAnsi"/>
          <w:sz w:val="24"/>
          <w:szCs w:val="24"/>
          <w:lang w:eastAsia="ar-SA"/>
        </w:rPr>
        <w:t>FACTORS</w:t>
      </w:r>
    </w:p>
    <w:p w14:paraId="5143FFF2" w14:textId="04308C42" w:rsidR="006425EB" w:rsidRDefault="006425EB" w:rsidP="00E620D1">
      <w:pPr>
        <w:overflowPunct/>
        <w:autoSpaceDE/>
        <w:autoSpaceDN/>
        <w:adjustRightInd/>
        <w:spacing w:before="280" w:after="280"/>
        <w:jc w:val="both"/>
        <w:textAlignment w:val="auto"/>
        <w:rPr>
          <w:rFonts w:eastAsiaTheme="minorHAnsi"/>
          <w:sz w:val="24"/>
          <w:szCs w:val="24"/>
          <w:lang w:eastAsia="ar-SA"/>
        </w:rPr>
      </w:pPr>
      <w:r w:rsidRPr="006425EB">
        <w:rPr>
          <w:rFonts w:eastAsiaTheme="minorHAnsi"/>
          <w:sz w:val="24"/>
          <w:szCs w:val="24"/>
          <w:lang w:eastAsia="ar-SA"/>
        </w:rPr>
        <w:t xml:space="preserve">In terms of energy security and environmental impact, the potential promises of fusion energy are well known. The EU’s EUROfusion research group Socio-Economic Studies for Fusion has explored these areas via </w:t>
      </w:r>
      <w:proofErr w:type="gramStart"/>
      <w:r w:rsidRPr="006425EB">
        <w:rPr>
          <w:rFonts w:eastAsiaTheme="minorHAnsi"/>
          <w:sz w:val="24"/>
          <w:szCs w:val="24"/>
          <w:lang w:eastAsia="ar-SA"/>
        </w:rPr>
        <w:t>scenario based</w:t>
      </w:r>
      <w:proofErr w:type="gramEnd"/>
      <w:r w:rsidRPr="006425EB">
        <w:rPr>
          <w:rFonts w:eastAsiaTheme="minorHAnsi"/>
          <w:sz w:val="24"/>
          <w:szCs w:val="24"/>
          <w:lang w:eastAsia="ar-SA"/>
        </w:rPr>
        <w:t xml:space="preserve"> analyses.</w:t>
      </w:r>
      <w:r w:rsidR="00B17AA3">
        <w:rPr>
          <w:rFonts w:eastAsiaTheme="minorHAnsi"/>
          <w:sz w:val="24"/>
          <w:szCs w:val="24"/>
          <w:lang w:eastAsia="ar-SA"/>
        </w:rPr>
        <w:t xml:space="preserve"> The reported Greenhouse Gas Emissions estimations for fusion are generally similar to that of fission, as illustrated in Figure 3.</w:t>
      </w:r>
    </w:p>
    <w:p w14:paraId="168DB635" w14:textId="0FB3C1A4" w:rsidR="006425EB" w:rsidRDefault="006425EB" w:rsidP="00E620D1">
      <w:pPr>
        <w:overflowPunct/>
        <w:autoSpaceDE/>
        <w:autoSpaceDN/>
        <w:adjustRightInd/>
        <w:spacing w:before="280" w:after="280"/>
        <w:jc w:val="both"/>
        <w:textAlignment w:val="auto"/>
        <w:rPr>
          <w:rFonts w:eastAsiaTheme="minorHAnsi"/>
          <w:sz w:val="24"/>
          <w:szCs w:val="24"/>
          <w:lang w:eastAsia="ar-SA"/>
        </w:rPr>
      </w:pPr>
      <w:r>
        <w:rPr>
          <w:rFonts w:eastAsiaTheme="minorHAnsi"/>
          <w:noProof/>
          <w:sz w:val="24"/>
          <w:szCs w:val="24"/>
          <w:lang w:eastAsia="ar-SA"/>
        </w:rPr>
        <w:lastRenderedPageBreak/>
        <w:drawing>
          <wp:inline distT="0" distB="0" distL="0" distR="0" wp14:anchorId="46560978" wp14:editId="57B9D881">
            <wp:extent cx="5732145" cy="2271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2271395"/>
                    </a:xfrm>
                    <a:prstGeom prst="rect">
                      <a:avLst/>
                    </a:prstGeom>
                  </pic:spPr>
                </pic:pic>
              </a:graphicData>
            </a:graphic>
          </wp:inline>
        </w:drawing>
      </w:r>
    </w:p>
    <w:p w14:paraId="7E187A9B" w14:textId="6546EA87" w:rsidR="006425EB" w:rsidRDefault="006425EB" w:rsidP="00E620D1">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Figure 3. </w:t>
      </w:r>
      <w:r w:rsidRPr="006425EB">
        <w:rPr>
          <w:rFonts w:eastAsiaTheme="minorHAnsi"/>
          <w:sz w:val="24"/>
          <w:szCs w:val="24"/>
          <w:lang w:eastAsia="ar-SA"/>
        </w:rPr>
        <w:t>A comparison of carbon emissions for competing technologies</w:t>
      </w:r>
      <w:r w:rsidR="00052A78">
        <w:rPr>
          <w:rFonts w:eastAsiaTheme="minorHAnsi"/>
          <w:sz w:val="24"/>
          <w:szCs w:val="24"/>
          <w:lang w:eastAsia="ar-SA"/>
        </w:rPr>
        <w:t>. (By authors, based on</w:t>
      </w:r>
      <w:r>
        <w:rPr>
          <w:rFonts w:eastAsiaTheme="minorHAnsi"/>
          <w:sz w:val="24"/>
          <w:szCs w:val="24"/>
          <w:lang w:eastAsia="ar-SA"/>
        </w:rPr>
        <w:t xml:space="preserve"> [</w:t>
      </w:r>
      <w:r w:rsidR="007B607F">
        <w:rPr>
          <w:rFonts w:eastAsiaTheme="minorHAnsi"/>
          <w:sz w:val="24"/>
          <w:szCs w:val="24"/>
          <w:lang w:eastAsia="ar-SA"/>
        </w:rPr>
        <w:t>15</w:t>
      </w:r>
      <w:r>
        <w:rPr>
          <w:rFonts w:eastAsiaTheme="minorHAnsi"/>
          <w:sz w:val="24"/>
          <w:szCs w:val="24"/>
          <w:lang w:eastAsia="ar-SA"/>
        </w:rPr>
        <w:t xml:space="preserve">, </w:t>
      </w:r>
      <w:r w:rsidR="007B607F">
        <w:rPr>
          <w:rFonts w:eastAsiaTheme="minorHAnsi"/>
          <w:sz w:val="24"/>
          <w:szCs w:val="24"/>
          <w:lang w:eastAsia="ar-SA"/>
        </w:rPr>
        <w:t>16</w:t>
      </w:r>
      <w:r>
        <w:rPr>
          <w:rFonts w:eastAsiaTheme="minorHAnsi"/>
          <w:sz w:val="24"/>
          <w:szCs w:val="24"/>
          <w:lang w:eastAsia="ar-SA"/>
        </w:rPr>
        <w:t>,</w:t>
      </w:r>
      <w:r w:rsidR="007B607F">
        <w:rPr>
          <w:rFonts w:eastAsiaTheme="minorHAnsi"/>
          <w:sz w:val="24"/>
          <w:szCs w:val="24"/>
          <w:lang w:eastAsia="ar-SA"/>
        </w:rPr>
        <w:t xml:space="preserve"> 17</w:t>
      </w:r>
      <w:r>
        <w:rPr>
          <w:rFonts w:eastAsiaTheme="minorHAnsi"/>
          <w:sz w:val="24"/>
          <w:szCs w:val="24"/>
          <w:lang w:eastAsia="ar-SA"/>
        </w:rPr>
        <w:t xml:space="preserve">, </w:t>
      </w:r>
      <w:r w:rsidR="007B607F">
        <w:rPr>
          <w:rFonts w:eastAsiaTheme="minorHAnsi"/>
          <w:sz w:val="24"/>
          <w:szCs w:val="24"/>
          <w:lang w:eastAsia="ar-SA"/>
        </w:rPr>
        <w:t>18</w:t>
      </w:r>
      <w:r>
        <w:rPr>
          <w:rFonts w:eastAsiaTheme="minorHAnsi"/>
          <w:sz w:val="24"/>
          <w:szCs w:val="24"/>
          <w:lang w:eastAsia="ar-SA"/>
        </w:rPr>
        <w:t>,</w:t>
      </w:r>
      <w:r w:rsidR="007B607F">
        <w:rPr>
          <w:rFonts w:eastAsiaTheme="minorHAnsi"/>
          <w:sz w:val="24"/>
          <w:szCs w:val="24"/>
          <w:lang w:eastAsia="ar-SA"/>
        </w:rPr>
        <w:t xml:space="preserve"> 19</w:t>
      </w:r>
      <w:r>
        <w:rPr>
          <w:rFonts w:eastAsiaTheme="minorHAnsi"/>
          <w:sz w:val="24"/>
          <w:szCs w:val="24"/>
          <w:lang w:eastAsia="ar-SA"/>
        </w:rPr>
        <w:t>]</w:t>
      </w:r>
      <w:r w:rsidR="007B607F">
        <w:rPr>
          <w:rFonts w:eastAsiaTheme="minorHAnsi"/>
          <w:sz w:val="24"/>
          <w:szCs w:val="24"/>
          <w:lang w:eastAsia="ar-SA"/>
        </w:rPr>
        <w:t>.</w:t>
      </w:r>
      <w:r w:rsidR="00052A78">
        <w:rPr>
          <w:rFonts w:eastAsiaTheme="minorHAnsi"/>
          <w:sz w:val="24"/>
          <w:szCs w:val="24"/>
          <w:lang w:eastAsia="ar-SA"/>
        </w:rPr>
        <w:t>)</w:t>
      </w:r>
    </w:p>
    <w:p w14:paraId="4E7463BB" w14:textId="3DDA4A82" w:rsidR="00E620D1" w:rsidRPr="00E620D1" w:rsidRDefault="00E620D1" w:rsidP="00E620D1">
      <w:pPr>
        <w:overflowPunct/>
        <w:autoSpaceDE/>
        <w:autoSpaceDN/>
        <w:adjustRightInd/>
        <w:spacing w:before="280" w:after="280"/>
        <w:jc w:val="both"/>
        <w:textAlignment w:val="auto"/>
        <w:rPr>
          <w:rFonts w:eastAsiaTheme="minorHAnsi"/>
          <w:sz w:val="24"/>
          <w:szCs w:val="24"/>
          <w:lang w:eastAsia="ar-SA"/>
        </w:rPr>
      </w:pPr>
      <w:r w:rsidRPr="00E620D1">
        <w:rPr>
          <w:rFonts w:eastAsiaTheme="minorHAnsi"/>
          <w:sz w:val="24"/>
          <w:szCs w:val="24"/>
          <w:lang w:eastAsia="ar-SA"/>
        </w:rPr>
        <w:t xml:space="preserve">The external review mechanism proposed by </w:t>
      </w:r>
      <w:proofErr w:type="spellStart"/>
      <w:r w:rsidRPr="00E620D1">
        <w:rPr>
          <w:rFonts w:eastAsiaTheme="minorHAnsi"/>
          <w:sz w:val="24"/>
          <w:szCs w:val="24"/>
          <w:lang w:eastAsia="ar-SA"/>
        </w:rPr>
        <w:t>Carayannis</w:t>
      </w:r>
      <w:proofErr w:type="spellEnd"/>
      <w:r w:rsidRPr="00E620D1">
        <w:rPr>
          <w:rFonts w:eastAsiaTheme="minorHAnsi"/>
          <w:sz w:val="24"/>
          <w:szCs w:val="24"/>
          <w:lang w:eastAsia="ar-SA"/>
        </w:rPr>
        <w:t xml:space="preserve"> et al and the adherence to EU taxonomy criteria of sustainable energy sources are certainly positive examples of methods that fusion can use to leverage itself against other energy sources in the global green initiative </w:t>
      </w:r>
      <w:r w:rsidR="00412E91">
        <w:rPr>
          <w:rFonts w:eastAsiaTheme="minorHAnsi"/>
          <w:sz w:val="24"/>
          <w:szCs w:val="24"/>
          <w:lang w:eastAsia="ar-SA"/>
        </w:rPr>
        <w:t>[20]</w:t>
      </w:r>
      <w:r w:rsidRPr="00E620D1">
        <w:rPr>
          <w:rFonts w:eastAsiaTheme="minorHAnsi"/>
          <w:sz w:val="24"/>
          <w:szCs w:val="24"/>
          <w:lang w:eastAsia="ar-SA"/>
        </w:rPr>
        <w:t>.</w:t>
      </w:r>
      <w:r>
        <w:rPr>
          <w:rFonts w:eastAsiaTheme="minorHAnsi"/>
          <w:sz w:val="24"/>
          <w:szCs w:val="24"/>
          <w:lang w:eastAsia="ar-SA"/>
        </w:rPr>
        <w:t xml:space="preserve"> </w:t>
      </w:r>
      <w:r w:rsidRPr="00E620D1">
        <w:rPr>
          <w:rFonts w:eastAsiaTheme="minorHAnsi"/>
          <w:sz w:val="24"/>
          <w:szCs w:val="24"/>
          <w:lang w:eastAsia="ar-SA"/>
        </w:rPr>
        <w:t xml:space="preserve">In addition, recommendations for public-private partnerships in producing a net pilot plant before 2040 presents a positive step towards achieving greater cost certainty needed for investors </w:t>
      </w:r>
      <w:r w:rsidR="00412E91">
        <w:rPr>
          <w:rFonts w:eastAsiaTheme="minorHAnsi"/>
          <w:sz w:val="24"/>
          <w:szCs w:val="24"/>
          <w:lang w:eastAsia="ar-SA"/>
        </w:rPr>
        <w:t>[21]</w:t>
      </w:r>
      <w:r w:rsidRPr="00E620D1">
        <w:rPr>
          <w:rFonts w:eastAsiaTheme="minorHAnsi"/>
          <w:sz w:val="24"/>
          <w:szCs w:val="24"/>
          <w:lang w:eastAsia="ar-SA"/>
        </w:rPr>
        <w:t>.</w:t>
      </w:r>
    </w:p>
    <w:p w14:paraId="1449910B" w14:textId="7AAADD09" w:rsidR="00E620D1" w:rsidRDefault="00E620D1"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4. TIMESCALE</w:t>
      </w:r>
    </w:p>
    <w:p w14:paraId="54B7BC2D" w14:textId="35890453" w:rsidR="00B17AA3" w:rsidRDefault="00B17AA3" w:rsidP="00046928">
      <w:pPr>
        <w:overflowPunct/>
        <w:autoSpaceDE/>
        <w:autoSpaceDN/>
        <w:adjustRightInd/>
        <w:spacing w:before="280" w:after="280"/>
        <w:jc w:val="both"/>
        <w:textAlignment w:val="auto"/>
        <w:rPr>
          <w:rFonts w:eastAsiaTheme="minorHAnsi"/>
          <w:sz w:val="24"/>
          <w:szCs w:val="24"/>
          <w:lang w:eastAsia="ar-SA"/>
        </w:rPr>
      </w:pPr>
      <w:r w:rsidRPr="00B17AA3">
        <w:rPr>
          <w:rFonts w:eastAsiaTheme="minorHAnsi"/>
          <w:sz w:val="24"/>
          <w:szCs w:val="24"/>
          <w:lang w:eastAsia="ar-SA"/>
        </w:rPr>
        <w:t xml:space="preserve">Studies attempting to estimate the when for fusion come in a variety of forms. For example, it is important to outline that rather than making a prediction for an exact date of fusion commercialisation, studies seek to answer a broader question,  such as its role and market share.  </w:t>
      </w:r>
    </w:p>
    <w:p w14:paraId="07EE94C4" w14:textId="75B25019" w:rsidR="00E620D1" w:rsidRDefault="00E620D1" w:rsidP="00046928">
      <w:pPr>
        <w:overflowPunct/>
        <w:autoSpaceDE/>
        <w:autoSpaceDN/>
        <w:adjustRightInd/>
        <w:spacing w:before="280" w:after="280"/>
        <w:jc w:val="both"/>
        <w:textAlignment w:val="auto"/>
        <w:rPr>
          <w:rFonts w:eastAsiaTheme="minorHAnsi"/>
          <w:sz w:val="24"/>
          <w:szCs w:val="24"/>
          <w:lang w:eastAsia="ar-SA"/>
        </w:rPr>
      </w:pPr>
      <w:r w:rsidRPr="00E620D1">
        <w:rPr>
          <w:rFonts w:eastAsiaTheme="minorHAnsi"/>
          <w:sz w:val="24"/>
          <w:szCs w:val="24"/>
          <w:lang w:eastAsia="ar-SA"/>
        </w:rPr>
        <w:t xml:space="preserve">In order to upscale infrastructure for economic commercialisation, certain milestones within manufacturing capability </w:t>
      </w:r>
      <w:r>
        <w:rPr>
          <w:rFonts w:eastAsiaTheme="minorHAnsi"/>
          <w:sz w:val="24"/>
          <w:szCs w:val="24"/>
          <w:lang w:eastAsia="ar-SA"/>
        </w:rPr>
        <w:t>might have to</w:t>
      </w:r>
      <w:r w:rsidRPr="00E620D1">
        <w:rPr>
          <w:rFonts w:eastAsiaTheme="minorHAnsi"/>
          <w:sz w:val="24"/>
          <w:szCs w:val="24"/>
          <w:lang w:eastAsia="ar-SA"/>
        </w:rPr>
        <w:t xml:space="preserve"> be in place. These include consistency in: construction times and reactor lifetime, construction/component replacement capacity, and new power plant iteration timescales.</w:t>
      </w: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5614D820" w14:textId="4A92ADFA" w:rsidR="006C024F" w:rsidRPr="006C024F" w:rsidRDefault="006C024F" w:rsidP="00564AFA">
      <w:pPr>
        <w:pStyle w:val="Referencelist"/>
        <w:ind w:left="357" w:hanging="357"/>
        <w:rPr>
          <w:sz w:val="22"/>
          <w:szCs w:val="22"/>
        </w:rPr>
      </w:pPr>
      <w:r w:rsidRPr="006C024F">
        <w:rPr>
          <w:sz w:val="22"/>
          <w:szCs w:val="22"/>
        </w:rPr>
        <w:t>World Energy Outlook 2019. OECD; 2019.</w:t>
      </w:r>
    </w:p>
    <w:p w14:paraId="527554D8" w14:textId="77777777" w:rsidR="00D7227B" w:rsidRPr="00D7227B" w:rsidRDefault="00D7227B" w:rsidP="00564AFA">
      <w:pPr>
        <w:pStyle w:val="Referencelist"/>
        <w:ind w:left="357" w:hanging="357"/>
        <w:rPr>
          <w:rFonts w:eastAsiaTheme="minorHAnsi"/>
          <w:sz w:val="22"/>
          <w:szCs w:val="20"/>
          <w:lang w:eastAsia="ar-SA"/>
        </w:rPr>
      </w:pPr>
      <w:proofErr w:type="spellStart"/>
      <w:r w:rsidRPr="00D7227B">
        <w:rPr>
          <w:rFonts w:eastAsiaTheme="minorHAnsi"/>
          <w:sz w:val="22"/>
          <w:szCs w:val="20"/>
          <w:lang w:eastAsia="ar-SA"/>
        </w:rPr>
        <w:t>Bonvillian</w:t>
      </w:r>
      <w:proofErr w:type="spellEnd"/>
      <w:r w:rsidRPr="00D7227B">
        <w:rPr>
          <w:rFonts w:eastAsiaTheme="minorHAnsi"/>
          <w:sz w:val="22"/>
          <w:szCs w:val="20"/>
          <w:lang w:eastAsia="ar-SA"/>
        </w:rPr>
        <w:t xml:space="preserve"> WB, Weiss C. Technological innovation in legacy sectors. Oxford University Press; 2015.</w:t>
      </w:r>
    </w:p>
    <w:p w14:paraId="254B4264" w14:textId="175C82BD" w:rsidR="00434009" w:rsidRDefault="002A7F83" w:rsidP="00564AFA">
      <w:pPr>
        <w:pStyle w:val="Referencelist"/>
        <w:ind w:left="357" w:hanging="357"/>
        <w:jc w:val="left"/>
        <w:rPr>
          <w:rFonts w:eastAsiaTheme="minorHAnsi"/>
          <w:sz w:val="22"/>
          <w:szCs w:val="20"/>
          <w:lang w:eastAsia="ar-SA"/>
        </w:rPr>
      </w:pPr>
      <w:proofErr w:type="spellStart"/>
      <w:r w:rsidRPr="002A7F83">
        <w:rPr>
          <w:rFonts w:eastAsiaTheme="minorHAnsi"/>
          <w:sz w:val="22"/>
          <w:szCs w:val="20"/>
          <w:lang w:eastAsia="ar-SA"/>
        </w:rPr>
        <w:t>Webbe</w:t>
      </w:r>
      <w:proofErr w:type="spellEnd"/>
      <w:r w:rsidRPr="002A7F83">
        <w:rPr>
          <w:rFonts w:eastAsiaTheme="minorHAnsi"/>
          <w:sz w:val="22"/>
          <w:szCs w:val="20"/>
          <w:lang w:eastAsia="ar-SA"/>
        </w:rPr>
        <w:t>-Wood D. Funding and financing commercial fusion power plants. In: Commercialising Fusion Energy. Institute of Physics Publishing; 2021.</w:t>
      </w:r>
    </w:p>
    <w:p w14:paraId="5B8A2564" w14:textId="77777777" w:rsidR="002A7F83" w:rsidRPr="002A7F83" w:rsidRDefault="002A7F83" w:rsidP="00564AFA">
      <w:pPr>
        <w:pStyle w:val="Referencelist"/>
        <w:ind w:left="357" w:hanging="357"/>
        <w:rPr>
          <w:rFonts w:eastAsiaTheme="minorHAnsi"/>
          <w:sz w:val="22"/>
          <w:szCs w:val="20"/>
          <w:lang w:eastAsia="ar-SA"/>
        </w:rPr>
      </w:pPr>
      <w:r w:rsidRPr="002A7F83">
        <w:rPr>
          <w:rFonts w:eastAsiaTheme="minorHAnsi"/>
          <w:sz w:val="22"/>
          <w:szCs w:val="20"/>
          <w:lang w:eastAsia="ar-SA"/>
        </w:rPr>
        <w:t>Dolan T. Fusion power economy of scale. Fusion Technology. 1993;24(1).</w:t>
      </w:r>
    </w:p>
    <w:p w14:paraId="531039FE" w14:textId="3D1E7417" w:rsidR="002A7F83" w:rsidRDefault="002A7F83" w:rsidP="00564AFA">
      <w:pPr>
        <w:pStyle w:val="Referencelist"/>
        <w:ind w:left="357" w:hanging="357"/>
        <w:jc w:val="left"/>
        <w:rPr>
          <w:rFonts w:eastAsiaTheme="minorHAnsi"/>
          <w:sz w:val="22"/>
          <w:szCs w:val="20"/>
          <w:lang w:eastAsia="ar-SA"/>
        </w:rPr>
      </w:pPr>
      <w:r w:rsidRPr="002A7F83">
        <w:rPr>
          <w:rFonts w:eastAsiaTheme="minorHAnsi"/>
          <w:sz w:val="22"/>
          <w:szCs w:val="20"/>
          <w:lang w:eastAsia="ar-SA"/>
        </w:rPr>
        <w:t>Cook I, Miller RL, Ward DJ. Prospects for economic fusion electricity</w:t>
      </w:r>
      <w:r>
        <w:rPr>
          <w:rFonts w:eastAsiaTheme="minorHAnsi"/>
          <w:sz w:val="22"/>
          <w:szCs w:val="20"/>
          <w:lang w:eastAsia="ar-SA"/>
        </w:rPr>
        <w:t xml:space="preserve">. </w:t>
      </w:r>
      <w:proofErr w:type="spellStart"/>
      <w:r>
        <w:rPr>
          <w:rFonts w:eastAsiaTheme="minorHAnsi"/>
          <w:sz w:val="22"/>
          <w:szCs w:val="20"/>
          <w:lang w:eastAsia="ar-SA"/>
        </w:rPr>
        <w:t>Fus</w:t>
      </w:r>
      <w:proofErr w:type="spellEnd"/>
      <w:r>
        <w:rPr>
          <w:rFonts w:eastAsiaTheme="minorHAnsi"/>
          <w:sz w:val="22"/>
          <w:szCs w:val="20"/>
          <w:lang w:eastAsia="ar-SA"/>
        </w:rPr>
        <w:t>. And Des.</w:t>
      </w:r>
    </w:p>
    <w:p w14:paraId="54A0A5E9" w14:textId="77777777" w:rsidR="002A7F83" w:rsidRPr="002A7F83" w:rsidRDefault="002A7F83" w:rsidP="00564AFA">
      <w:pPr>
        <w:pStyle w:val="Referencelist"/>
        <w:ind w:left="357" w:hanging="357"/>
        <w:rPr>
          <w:rFonts w:eastAsiaTheme="minorHAnsi"/>
          <w:sz w:val="22"/>
          <w:szCs w:val="20"/>
          <w:lang w:eastAsia="ar-SA"/>
        </w:rPr>
      </w:pPr>
      <w:r w:rsidRPr="002A7F83">
        <w:rPr>
          <w:rFonts w:eastAsiaTheme="minorHAnsi"/>
          <w:sz w:val="22"/>
          <w:szCs w:val="20"/>
          <w:lang w:eastAsia="ar-SA"/>
        </w:rPr>
        <w:t>Delene JG, Sheffield J, Williams KA, Lowell Reid R, Hadley S.  An assessment of the economics of future electric power generation options and the implications for fusion. Fusion Technology. 2001;39(2):228-48.</w:t>
      </w:r>
    </w:p>
    <w:p w14:paraId="1C5AC82C" w14:textId="77777777" w:rsidR="002A7F83" w:rsidRPr="002A7F83" w:rsidRDefault="002A7F83" w:rsidP="00564AFA">
      <w:pPr>
        <w:pStyle w:val="Referencelist"/>
        <w:ind w:left="357" w:hanging="357"/>
        <w:rPr>
          <w:rFonts w:eastAsiaTheme="minorHAnsi"/>
          <w:sz w:val="22"/>
          <w:szCs w:val="20"/>
          <w:lang w:eastAsia="ar-SA"/>
        </w:rPr>
      </w:pPr>
      <w:r w:rsidRPr="002A7F83">
        <w:rPr>
          <w:rFonts w:eastAsiaTheme="minorHAnsi"/>
          <w:sz w:val="22"/>
          <w:szCs w:val="20"/>
          <w:lang w:eastAsia="ar-SA"/>
        </w:rPr>
        <w:t xml:space="preserve">Sheffield J, Brown W, Garrett G, </w:t>
      </w:r>
      <w:proofErr w:type="spellStart"/>
      <w:r w:rsidRPr="002A7F83">
        <w:rPr>
          <w:rFonts w:eastAsiaTheme="minorHAnsi"/>
          <w:sz w:val="22"/>
          <w:szCs w:val="20"/>
          <w:lang w:eastAsia="ar-SA"/>
        </w:rPr>
        <w:t>Hilley</w:t>
      </w:r>
      <w:proofErr w:type="spellEnd"/>
      <w:r w:rsidRPr="002A7F83">
        <w:rPr>
          <w:rFonts w:eastAsiaTheme="minorHAnsi"/>
          <w:sz w:val="22"/>
          <w:szCs w:val="20"/>
          <w:lang w:eastAsia="ar-SA"/>
        </w:rPr>
        <w:t xml:space="preserve"> J, McCloud D, Ogden J, et al. A study of options for the deployment of large fusion power plants. Fusion Technology. 2001;40(1).</w:t>
      </w:r>
    </w:p>
    <w:p w14:paraId="3E054E8B" w14:textId="77777777" w:rsidR="002A7F83" w:rsidRPr="002A7F83" w:rsidRDefault="002A7F83" w:rsidP="00564AFA">
      <w:pPr>
        <w:pStyle w:val="Referencelist"/>
        <w:ind w:left="357" w:hanging="357"/>
        <w:rPr>
          <w:rFonts w:eastAsiaTheme="minorHAnsi"/>
          <w:sz w:val="22"/>
          <w:szCs w:val="20"/>
          <w:lang w:eastAsia="ar-SA"/>
        </w:rPr>
      </w:pPr>
      <w:proofErr w:type="spellStart"/>
      <w:r w:rsidRPr="002A7F83">
        <w:rPr>
          <w:rFonts w:eastAsiaTheme="minorHAnsi"/>
          <w:sz w:val="22"/>
          <w:szCs w:val="20"/>
          <w:lang w:eastAsia="ar-SA"/>
        </w:rPr>
        <w:lastRenderedPageBreak/>
        <w:t>Tokimatsu</w:t>
      </w:r>
      <w:proofErr w:type="spellEnd"/>
      <w:r w:rsidRPr="002A7F83">
        <w:rPr>
          <w:rFonts w:eastAsiaTheme="minorHAnsi"/>
          <w:sz w:val="22"/>
          <w:szCs w:val="20"/>
          <w:lang w:eastAsia="ar-SA"/>
        </w:rPr>
        <w:t xml:space="preserve"> K, </w:t>
      </w:r>
      <w:proofErr w:type="spellStart"/>
      <w:r w:rsidRPr="002A7F83">
        <w:rPr>
          <w:rFonts w:eastAsiaTheme="minorHAnsi"/>
          <w:sz w:val="22"/>
          <w:szCs w:val="20"/>
          <w:lang w:eastAsia="ar-SA"/>
        </w:rPr>
        <w:t>Asaoka</w:t>
      </w:r>
      <w:proofErr w:type="spellEnd"/>
      <w:r w:rsidRPr="002A7F83">
        <w:rPr>
          <w:rFonts w:eastAsiaTheme="minorHAnsi"/>
          <w:sz w:val="22"/>
          <w:szCs w:val="20"/>
          <w:lang w:eastAsia="ar-SA"/>
        </w:rPr>
        <w:t xml:space="preserve"> Y, Konishi S, </w:t>
      </w:r>
      <w:proofErr w:type="spellStart"/>
      <w:r w:rsidRPr="002A7F83">
        <w:rPr>
          <w:rFonts w:eastAsiaTheme="minorHAnsi"/>
          <w:sz w:val="22"/>
          <w:szCs w:val="20"/>
          <w:lang w:eastAsia="ar-SA"/>
        </w:rPr>
        <w:t>Fujino</w:t>
      </w:r>
      <w:proofErr w:type="spellEnd"/>
      <w:r w:rsidRPr="002A7F83">
        <w:rPr>
          <w:rFonts w:eastAsiaTheme="minorHAnsi"/>
          <w:sz w:val="22"/>
          <w:szCs w:val="20"/>
          <w:lang w:eastAsia="ar-SA"/>
        </w:rPr>
        <w:t xml:space="preserve"> J, Ogawa Y, Okano K, et al. Studies of breakeven prices and electricity supply potentials of nuclear fusion by a long-term world energy and environment model. Nuclear Fusion. 2002;42(11).</w:t>
      </w:r>
    </w:p>
    <w:p w14:paraId="1DBAD993" w14:textId="77777777" w:rsidR="002A7F83" w:rsidRPr="002A7F83" w:rsidRDefault="002A7F83" w:rsidP="00564AFA">
      <w:pPr>
        <w:pStyle w:val="Referencelist"/>
        <w:ind w:left="357" w:hanging="357"/>
        <w:rPr>
          <w:rFonts w:eastAsiaTheme="minorHAnsi"/>
          <w:sz w:val="22"/>
          <w:szCs w:val="20"/>
          <w:lang w:eastAsia="ar-SA"/>
        </w:rPr>
      </w:pPr>
      <w:proofErr w:type="spellStart"/>
      <w:r w:rsidRPr="002A7F83">
        <w:rPr>
          <w:rFonts w:eastAsiaTheme="minorHAnsi"/>
          <w:sz w:val="22"/>
          <w:szCs w:val="20"/>
          <w:lang w:eastAsia="ar-SA"/>
        </w:rPr>
        <w:t>Tokimatsu</w:t>
      </w:r>
      <w:proofErr w:type="spellEnd"/>
      <w:r w:rsidRPr="002A7F83">
        <w:rPr>
          <w:rFonts w:eastAsiaTheme="minorHAnsi"/>
          <w:sz w:val="22"/>
          <w:szCs w:val="20"/>
          <w:lang w:eastAsia="ar-SA"/>
        </w:rPr>
        <w:t xml:space="preserve"> K, </w:t>
      </w:r>
      <w:proofErr w:type="spellStart"/>
      <w:r w:rsidRPr="002A7F83">
        <w:rPr>
          <w:rFonts w:eastAsiaTheme="minorHAnsi"/>
          <w:sz w:val="22"/>
          <w:szCs w:val="20"/>
          <w:lang w:eastAsia="ar-SA"/>
        </w:rPr>
        <w:t>Fujino</w:t>
      </w:r>
      <w:proofErr w:type="spellEnd"/>
      <w:r w:rsidRPr="002A7F83">
        <w:rPr>
          <w:rFonts w:eastAsiaTheme="minorHAnsi"/>
          <w:sz w:val="22"/>
          <w:szCs w:val="20"/>
          <w:lang w:eastAsia="ar-SA"/>
        </w:rPr>
        <w:t xml:space="preserve"> J, Konishi S, Ogawa Y, </w:t>
      </w:r>
      <w:proofErr w:type="spellStart"/>
      <w:r w:rsidRPr="002A7F83">
        <w:rPr>
          <w:rFonts w:eastAsiaTheme="minorHAnsi"/>
          <w:sz w:val="22"/>
          <w:szCs w:val="20"/>
          <w:lang w:eastAsia="ar-SA"/>
        </w:rPr>
        <w:t>Yamaji</w:t>
      </w:r>
      <w:proofErr w:type="spellEnd"/>
      <w:r w:rsidRPr="002A7F83">
        <w:rPr>
          <w:rFonts w:eastAsiaTheme="minorHAnsi"/>
          <w:sz w:val="22"/>
          <w:szCs w:val="20"/>
          <w:lang w:eastAsia="ar-SA"/>
        </w:rPr>
        <w:t xml:space="preserve"> K. Role of nuclear fusion in future energy systems and the environment under future uncertainties. Energy Policy. 2003;31(8).</w:t>
      </w:r>
    </w:p>
    <w:p w14:paraId="2C54FB6C" w14:textId="77777777" w:rsidR="002A7F83" w:rsidRPr="002A7F83" w:rsidRDefault="002A7F83" w:rsidP="00564AFA">
      <w:pPr>
        <w:pStyle w:val="Referencelist"/>
        <w:ind w:left="357" w:hanging="357"/>
        <w:rPr>
          <w:rFonts w:eastAsiaTheme="minorHAnsi"/>
          <w:sz w:val="22"/>
          <w:szCs w:val="20"/>
          <w:lang w:eastAsia="ar-SA"/>
        </w:rPr>
      </w:pPr>
      <w:r w:rsidRPr="002A7F83">
        <w:rPr>
          <w:rFonts w:eastAsiaTheme="minorHAnsi"/>
          <w:sz w:val="22"/>
          <w:szCs w:val="20"/>
          <w:lang w:eastAsia="ar-SA"/>
        </w:rPr>
        <w:t xml:space="preserve">Ward DJ, Cook I, Lechon Y, </w:t>
      </w:r>
      <w:proofErr w:type="spellStart"/>
      <w:r w:rsidRPr="002A7F83">
        <w:rPr>
          <w:rFonts w:eastAsiaTheme="minorHAnsi"/>
          <w:sz w:val="22"/>
          <w:szCs w:val="20"/>
          <w:lang w:eastAsia="ar-SA"/>
        </w:rPr>
        <w:t>Saez</w:t>
      </w:r>
      <w:proofErr w:type="spellEnd"/>
      <w:r w:rsidRPr="002A7F83">
        <w:rPr>
          <w:rFonts w:eastAsiaTheme="minorHAnsi"/>
          <w:sz w:val="22"/>
          <w:szCs w:val="20"/>
          <w:lang w:eastAsia="ar-SA"/>
        </w:rPr>
        <w:t xml:space="preserve"> R. The economic viability of fusion power. Fusion Engineering and Design. 2005;75:1221-7.</w:t>
      </w:r>
    </w:p>
    <w:p w14:paraId="453A5C09" w14:textId="77777777" w:rsidR="002A7F83" w:rsidRPr="002A7F83" w:rsidRDefault="002A7F83" w:rsidP="00564AFA">
      <w:pPr>
        <w:pStyle w:val="Referencelist"/>
        <w:ind w:left="357" w:hanging="357"/>
        <w:rPr>
          <w:rFonts w:eastAsiaTheme="minorHAnsi"/>
          <w:sz w:val="22"/>
          <w:szCs w:val="20"/>
          <w:lang w:eastAsia="ar-SA"/>
        </w:rPr>
      </w:pPr>
      <w:r w:rsidRPr="002A7F83">
        <w:rPr>
          <w:rFonts w:eastAsiaTheme="minorHAnsi"/>
          <w:sz w:val="22"/>
          <w:szCs w:val="20"/>
          <w:lang w:eastAsia="ar-SA"/>
        </w:rPr>
        <w:t>McNamara S, Team TE. Tokamak Energy and the high-field spherical tokamak route to fusion power. In: APS Division of Plasma Physics Meeting Abstracts. vol. 2019; 2019. p. 8-014.</w:t>
      </w:r>
    </w:p>
    <w:p w14:paraId="26F634BE" w14:textId="77777777" w:rsidR="002A7F83" w:rsidRPr="002A7F83" w:rsidRDefault="002A7F83" w:rsidP="00564AFA">
      <w:pPr>
        <w:pStyle w:val="Referencelist"/>
        <w:ind w:left="357" w:hanging="357"/>
        <w:rPr>
          <w:rFonts w:eastAsiaTheme="minorHAnsi"/>
          <w:sz w:val="22"/>
          <w:szCs w:val="20"/>
          <w:lang w:eastAsia="ar-SA"/>
        </w:rPr>
      </w:pPr>
      <w:proofErr w:type="spellStart"/>
      <w:r w:rsidRPr="002A7F83">
        <w:rPr>
          <w:rFonts w:eastAsiaTheme="minorHAnsi"/>
          <w:sz w:val="22"/>
          <w:szCs w:val="20"/>
          <w:lang w:eastAsia="ar-SA"/>
        </w:rPr>
        <w:t>Chuyanov</w:t>
      </w:r>
      <w:proofErr w:type="spellEnd"/>
      <w:r w:rsidRPr="002A7F83">
        <w:rPr>
          <w:rFonts w:eastAsiaTheme="minorHAnsi"/>
          <w:sz w:val="22"/>
          <w:szCs w:val="20"/>
          <w:lang w:eastAsia="ar-SA"/>
        </w:rPr>
        <w:t xml:space="preserve"> VA, </w:t>
      </w:r>
      <w:proofErr w:type="spellStart"/>
      <w:r w:rsidRPr="002A7F83">
        <w:rPr>
          <w:rFonts w:eastAsiaTheme="minorHAnsi"/>
          <w:sz w:val="22"/>
          <w:szCs w:val="20"/>
          <w:lang w:eastAsia="ar-SA"/>
        </w:rPr>
        <w:t>Gryaznevich</w:t>
      </w:r>
      <w:proofErr w:type="spellEnd"/>
      <w:r w:rsidRPr="002A7F83">
        <w:rPr>
          <w:rFonts w:eastAsiaTheme="minorHAnsi"/>
          <w:sz w:val="22"/>
          <w:szCs w:val="20"/>
          <w:lang w:eastAsia="ar-SA"/>
        </w:rPr>
        <w:t xml:space="preserve"> MP. Modular fusion power plant. Fusion Engineering and Design. 2017 11;122:238- 52.</w:t>
      </w:r>
    </w:p>
    <w:p w14:paraId="6E942DE4" w14:textId="77777777" w:rsidR="002A7F83" w:rsidRPr="002A7F83" w:rsidRDefault="002A7F83" w:rsidP="00564AFA">
      <w:pPr>
        <w:pStyle w:val="Referencelist"/>
        <w:ind w:left="357" w:hanging="357"/>
        <w:rPr>
          <w:rFonts w:eastAsiaTheme="minorHAnsi"/>
          <w:sz w:val="22"/>
          <w:szCs w:val="20"/>
          <w:lang w:eastAsia="ar-SA"/>
        </w:rPr>
      </w:pPr>
      <w:proofErr w:type="spellStart"/>
      <w:r w:rsidRPr="002A7F83">
        <w:rPr>
          <w:rFonts w:eastAsiaTheme="minorHAnsi"/>
          <w:sz w:val="22"/>
          <w:szCs w:val="20"/>
          <w:lang w:eastAsia="ar-SA"/>
        </w:rPr>
        <w:t>Entler</w:t>
      </w:r>
      <w:proofErr w:type="spellEnd"/>
      <w:r w:rsidRPr="002A7F83">
        <w:rPr>
          <w:rFonts w:eastAsiaTheme="minorHAnsi"/>
          <w:sz w:val="22"/>
          <w:szCs w:val="20"/>
          <w:lang w:eastAsia="ar-SA"/>
        </w:rPr>
        <w:t xml:space="preserve"> S, </w:t>
      </w:r>
      <w:proofErr w:type="spellStart"/>
      <w:r w:rsidRPr="002A7F83">
        <w:rPr>
          <w:rFonts w:eastAsiaTheme="minorHAnsi"/>
          <w:sz w:val="22"/>
          <w:szCs w:val="20"/>
          <w:lang w:eastAsia="ar-SA"/>
        </w:rPr>
        <w:t>Horacek</w:t>
      </w:r>
      <w:proofErr w:type="spellEnd"/>
      <w:r w:rsidRPr="002A7F83">
        <w:rPr>
          <w:rFonts w:eastAsiaTheme="minorHAnsi"/>
          <w:sz w:val="22"/>
          <w:szCs w:val="20"/>
          <w:lang w:eastAsia="ar-SA"/>
        </w:rPr>
        <w:t xml:space="preserve"> J, </w:t>
      </w:r>
      <w:proofErr w:type="spellStart"/>
      <w:r w:rsidRPr="002A7F83">
        <w:rPr>
          <w:rFonts w:eastAsiaTheme="minorHAnsi"/>
          <w:sz w:val="22"/>
          <w:szCs w:val="20"/>
          <w:lang w:eastAsia="ar-SA"/>
        </w:rPr>
        <w:t>Dlouhy</w:t>
      </w:r>
      <w:proofErr w:type="spellEnd"/>
      <w:r w:rsidRPr="002A7F83">
        <w:rPr>
          <w:rFonts w:eastAsiaTheme="minorHAnsi"/>
          <w:sz w:val="22"/>
          <w:szCs w:val="20"/>
          <w:lang w:eastAsia="ar-SA"/>
        </w:rPr>
        <w:t xml:space="preserve"> T, Dostal V. Approximation of the economy of fusion energy. Energy. 2018 6;152:489-97.</w:t>
      </w:r>
    </w:p>
    <w:p w14:paraId="54587AAF" w14:textId="23067B8D" w:rsidR="002A7F83" w:rsidRDefault="002A7F83" w:rsidP="00564AFA">
      <w:pPr>
        <w:pStyle w:val="Referencelist"/>
        <w:ind w:left="357" w:hanging="357"/>
        <w:jc w:val="left"/>
        <w:rPr>
          <w:rFonts w:eastAsiaTheme="minorHAnsi"/>
          <w:sz w:val="22"/>
          <w:szCs w:val="20"/>
          <w:lang w:eastAsia="ar-SA"/>
        </w:rPr>
      </w:pPr>
      <w:r w:rsidRPr="002A7F83">
        <w:rPr>
          <w:rFonts w:eastAsiaTheme="minorHAnsi"/>
          <w:sz w:val="22"/>
          <w:szCs w:val="20"/>
          <w:lang w:eastAsia="ar-SA"/>
        </w:rPr>
        <w:t>IRENA. Renewable Power Generation Costs 2020; 2021</w:t>
      </w:r>
    </w:p>
    <w:p w14:paraId="4E5C9BC7" w14:textId="77777777" w:rsidR="007B607F" w:rsidRPr="007B607F" w:rsidRDefault="007B607F" w:rsidP="00564AFA">
      <w:pPr>
        <w:pStyle w:val="Referencelist"/>
        <w:ind w:left="357" w:hanging="357"/>
        <w:rPr>
          <w:rFonts w:eastAsiaTheme="minorHAnsi"/>
          <w:sz w:val="22"/>
          <w:szCs w:val="20"/>
          <w:lang w:eastAsia="ar-SA"/>
        </w:rPr>
      </w:pPr>
      <w:r w:rsidRPr="007B607F">
        <w:rPr>
          <w:rFonts w:eastAsiaTheme="minorHAnsi"/>
          <w:sz w:val="22"/>
          <w:szCs w:val="20"/>
          <w:lang w:eastAsia="ar-SA"/>
        </w:rPr>
        <w:t xml:space="preserve">White SW, </w:t>
      </w:r>
      <w:proofErr w:type="spellStart"/>
      <w:r w:rsidRPr="007B607F">
        <w:rPr>
          <w:rFonts w:eastAsiaTheme="minorHAnsi"/>
          <w:sz w:val="22"/>
          <w:szCs w:val="20"/>
          <w:lang w:eastAsia="ar-SA"/>
        </w:rPr>
        <w:t>Kulcinski</w:t>
      </w:r>
      <w:proofErr w:type="spellEnd"/>
      <w:r w:rsidRPr="007B607F">
        <w:rPr>
          <w:rFonts w:eastAsiaTheme="minorHAnsi"/>
          <w:sz w:val="22"/>
          <w:szCs w:val="20"/>
          <w:lang w:eastAsia="ar-SA"/>
        </w:rPr>
        <w:t xml:space="preserve"> GL. Birth to death analysis of the energy payback ratio and CO2 gas emission rates from coal, fission, wind, and DT-fusion electrical power plants. Fusion Engineering and Design. 2000 9;48(3):473-81.</w:t>
      </w:r>
    </w:p>
    <w:p w14:paraId="4ABE8B0B" w14:textId="295380CB" w:rsidR="007B607F" w:rsidRDefault="007B607F" w:rsidP="00564AFA">
      <w:pPr>
        <w:pStyle w:val="Referencelist"/>
        <w:ind w:left="357" w:hanging="357"/>
        <w:jc w:val="left"/>
        <w:rPr>
          <w:rFonts w:eastAsiaTheme="minorHAnsi"/>
          <w:sz w:val="22"/>
          <w:szCs w:val="20"/>
          <w:lang w:eastAsia="ar-SA"/>
        </w:rPr>
      </w:pPr>
      <w:proofErr w:type="spellStart"/>
      <w:r w:rsidRPr="007B607F">
        <w:rPr>
          <w:rFonts w:eastAsiaTheme="minorHAnsi"/>
          <w:sz w:val="22"/>
          <w:szCs w:val="20"/>
          <w:lang w:eastAsia="ar-SA"/>
        </w:rPr>
        <w:t>Tokimatsu</w:t>
      </w:r>
      <w:proofErr w:type="spellEnd"/>
      <w:r w:rsidRPr="007B607F">
        <w:rPr>
          <w:rFonts w:eastAsiaTheme="minorHAnsi"/>
          <w:sz w:val="22"/>
          <w:szCs w:val="20"/>
          <w:lang w:eastAsia="ar-SA"/>
        </w:rPr>
        <w:t xml:space="preserve"> K, Hondo H, Ogawa Y, Okano K, </w:t>
      </w:r>
      <w:proofErr w:type="spellStart"/>
      <w:r w:rsidRPr="007B607F">
        <w:rPr>
          <w:rFonts w:eastAsiaTheme="minorHAnsi"/>
          <w:sz w:val="22"/>
          <w:szCs w:val="20"/>
          <w:lang w:eastAsia="ar-SA"/>
        </w:rPr>
        <w:t>Yamaji</w:t>
      </w:r>
      <w:proofErr w:type="spellEnd"/>
      <w:r w:rsidRPr="007B607F">
        <w:rPr>
          <w:rFonts w:eastAsiaTheme="minorHAnsi"/>
          <w:sz w:val="22"/>
          <w:szCs w:val="20"/>
          <w:lang w:eastAsia="ar-SA"/>
        </w:rPr>
        <w:t xml:space="preserve"> K, </w:t>
      </w:r>
      <w:proofErr w:type="spellStart"/>
      <w:r w:rsidRPr="007B607F">
        <w:rPr>
          <w:rFonts w:eastAsiaTheme="minorHAnsi"/>
          <w:sz w:val="22"/>
          <w:szCs w:val="20"/>
          <w:lang w:eastAsia="ar-SA"/>
        </w:rPr>
        <w:t>Katsurai</w:t>
      </w:r>
      <w:proofErr w:type="spellEnd"/>
      <w:r w:rsidRPr="007B607F">
        <w:rPr>
          <w:rFonts w:eastAsiaTheme="minorHAnsi"/>
          <w:sz w:val="22"/>
          <w:szCs w:val="20"/>
          <w:lang w:eastAsia="ar-SA"/>
        </w:rPr>
        <w:t xml:space="preserve"> M. Energy analysis and carbon dioxide emission of Tokamak fusion power reactors; 2000.</w:t>
      </w:r>
    </w:p>
    <w:p w14:paraId="31010ECA" w14:textId="77777777" w:rsidR="007B607F" w:rsidRPr="007B607F" w:rsidRDefault="007B607F" w:rsidP="00564AFA">
      <w:pPr>
        <w:pStyle w:val="Referencelist"/>
        <w:ind w:left="357" w:hanging="357"/>
        <w:rPr>
          <w:rFonts w:eastAsiaTheme="minorHAnsi"/>
          <w:sz w:val="22"/>
          <w:szCs w:val="20"/>
          <w:lang w:eastAsia="ar-SA"/>
        </w:rPr>
      </w:pPr>
      <w:proofErr w:type="spellStart"/>
      <w:r w:rsidRPr="007B607F">
        <w:rPr>
          <w:rFonts w:eastAsiaTheme="minorHAnsi"/>
          <w:sz w:val="22"/>
          <w:szCs w:val="20"/>
          <w:lang w:eastAsia="ar-SA"/>
        </w:rPr>
        <w:t>Banacloche</w:t>
      </w:r>
      <w:proofErr w:type="spellEnd"/>
      <w:r w:rsidRPr="007B607F">
        <w:rPr>
          <w:rFonts w:eastAsiaTheme="minorHAnsi"/>
          <w:sz w:val="22"/>
          <w:szCs w:val="20"/>
          <w:lang w:eastAsia="ar-SA"/>
        </w:rPr>
        <w:t xml:space="preserve"> S, </w:t>
      </w:r>
      <w:proofErr w:type="spellStart"/>
      <w:r w:rsidRPr="007B607F">
        <w:rPr>
          <w:rFonts w:eastAsiaTheme="minorHAnsi"/>
          <w:sz w:val="22"/>
          <w:szCs w:val="20"/>
          <w:lang w:eastAsia="ar-SA"/>
        </w:rPr>
        <w:t>Gamarra</w:t>
      </w:r>
      <w:proofErr w:type="spellEnd"/>
      <w:r w:rsidRPr="007B607F">
        <w:rPr>
          <w:rFonts w:eastAsiaTheme="minorHAnsi"/>
          <w:sz w:val="22"/>
          <w:szCs w:val="20"/>
          <w:lang w:eastAsia="ar-SA"/>
        </w:rPr>
        <w:t xml:space="preserve"> AR, Lechon Y, </w:t>
      </w:r>
      <w:proofErr w:type="spellStart"/>
      <w:r w:rsidRPr="007B607F">
        <w:rPr>
          <w:rFonts w:eastAsiaTheme="minorHAnsi"/>
          <w:sz w:val="22"/>
          <w:szCs w:val="20"/>
          <w:lang w:eastAsia="ar-SA"/>
        </w:rPr>
        <w:t>Bustreo</w:t>
      </w:r>
      <w:proofErr w:type="spellEnd"/>
      <w:r w:rsidRPr="007B607F">
        <w:rPr>
          <w:rFonts w:eastAsiaTheme="minorHAnsi"/>
          <w:sz w:val="22"/>
          <w:szCs w:val="20"/>
          <w:lang w:eastAsia="ar-SA"/>
        </w:rPr>
        <w:t xml:space="preserve"> C. Socioeconomic and environmental impacts of bringing the sun to earth: A sustainability analysis of a fusion power plant deployment. Energy. 2020 10;209.</w:t>
      </w:r>
    </w:p>
    <w:p w14:paraId="0380A419" w14:textId="57DFBDC9" w:rsidR="007B607F" w:rsidRDefault="007B607F" w:rsidP="00564AFA">
      <w:pPr>
        <w:pStyle w:val="Referencelist"/>
        <w:ind w:left="357" w:hanging="357"/>
        <w:jc w:val="left"/>
        <w:rPr>
          <w:rFonts w:eastAsiaTheme="minorHAnsi"/>
          <w:sz w:val="22"/>
          <w:szCs w:val="20"/>
          <w:lang w:eastAsia="ar-SA"/>
        </w:rPr>
      </w:pPr>
      <w:proofErr w:type="spellStart"/>
      <w:r w:rsidRPr="007B607F">
        <w:rPr>
          <w:rFonts w:eastAsiaTheme="minorHAnsi"/>
          <w:sz w:val="22"/>
          <w:szCs w:val="20"/>
          <w:lang w:eastAsia="ar-SA"/>
        </w:rPr>
        <w:t>Kaldellis</w:t>
      </w:r>
      <w:proofErr w:type="spellEnd"/>
      <w:r w:rsidRPr="007B607F">
        <w:rPr>
          <w:rFonts w:eastAsiaTheme="minorHAnsi"/>
          <w:sz w:val="22"/>
          <w:szCs w:val="20"/>
          <w:lang w:eastAsia="ar-SA"/>
        </w:rPr>
        <w:t xml:space="preserve"> JK, </w:t>
      </w:r>
      <w:proofErr w:type="spellStart"/>
      <w:r w:rsidRPr="007B607F">
        <w:rPr>
          <w:rFonts w:eastAsiaTheme="minorHAnsi"/>
          <w:sz w:val="22"/>
          <w:szCs w:val="20"/>
          <w:lang w:eastAsia="ar-SA"/>
        </w:rPr>
        <w:t>Apostolou</w:t>
      </w:r>
      <w:proofErr w:type="spellEnd"/>
      <w:r w:rsidRPr="007B607F">
        <w:rPr>
          <w:rFonts w:eastAsiaTheme="minorHAnsi"/>
          <w:sz w:val="22"/>
          <w:szCs w:val="20"/>
          <w:lang w:eastAsia="ar-SA"/>
        </w:rPr>
        <w:t xml:space="preserve"> D. Life cycle energy and carbon footprint of offshore wind energy. Comparison with onshore counterpart.</w:t>
      </w:r>
      <w:r>
        <w:rPr>
          <w:rFonts w:eastAsiaTheme="minorHAnsi"/>
          <w:sz w:val="22"/>
          <w:szCs w:val="20"/>
          <w:lang w:eastAsia="ar-SA"/>
        </w:rPr>
        <w:t xml:space="preserve"> Elsevier.</w:t>
      </w:r>
    </w:p>
    <w:p w14:paraId="10182E1D" w14:textId="77777777" w:rsidR="007B607F" w:rsidRPr="007B607F" w:rsidRDefault="007B607F" w:rsidP="00564AFA">
      <w:pPr>
        <w:pStyle w:val="Referencelist"/>
        <w:ind w:left="357" w:hanging="357"/>
        <w:rPr>
          <w:rFonts w:eastAsiaTheme="minorHAnsi"/>
          <w:sz w:val="22"/>
          <w:szCs w:val="20"/>
          <w:lang w:eastAsia="ar-SA"/>
        </w:rPr>
      </w:pPr>
      <w:r w:rsidRPr="007B607F">
        <w:rPr>
          <w:rFonts w:eastAsiaTheme="minorHAnsi"/>
          <w:sz w:val="22"/>
          <w:szCs w:val="20"/>
          <w:lang w:eastAsia="ar-SA"/>
        </w:rPr>
        <w:t>De Wild-Scholten MJ. Energy payback time and carbon footprint of commercial photovoltaic systems. Solar Energy Materials and Solar Cells. 2013 12;119:296-305.</w:t>
      </w:r>
    </w:p>
    <w:p w14:paraId="68612412" w14:textId="77777777" w:rsidR="00412E91" w:rsidRPr="00412E91" w:rsidRDefault="00412E91" w:rsidP="00564AFA">
      <w:pPr>
        <w:pStyle w:val="Referencelist"/>
        <w:ind w:left="357" w:hanging="357"/>
        <w:rPr>
          <w:rFonts w:eastAsiaTheme="minorHAnsi"/>
          <w:sz w:val="22"/>
          <w:szCs w:val="20"/>
          <w:lang w:eastAsia="ar-SA"/>
        </w:rPr>
      </w:pPr>
      <w:proofErr w:type="spellStart"/>
      <w:r w:rsidRPr="00412E91">
        <w:rPr>
          <w:rFonts w:eastAsiaTheme="minorHAnsi"/>
          <w:sz w:val="22"/>
          <w:szCs w:val="20"/>
          <w:lang w:eastAsia="ar-SA"/>
        </w:rPr>
        <w:t>Carayannis</w:t>
      </w:r>
      <w:proofErr w:type="spellEnd"/>
      <w:r w:rsidRPr="00412E91">
        <w:rPr>
          <w:rFonts w:eastAsiaTheme="minorHAnsi"/>
          <w:sz w:val="22"/>
          <w:szCs w:val="20"/>
          <w:lang w:eastAsia="ar-SA"/>
        </w:rPr>
        <w:t xml:space="preserve"> EG, Draper J, </w:t>
      </w:r>
      <w:proofErr w:type="spellStart"/>
      <w:r w:rsidRPr="00412E91">
        <w:rPr>
          <w:rFonts w:eastAsiaTheme="minorHAnsi"/>
          <w:sz w:val="22"/>
          <w:szCs w:val="20"/>
          <w:lang w:eastAsia="ar-SA"/>
        </w:rPr>
        <w:t>Iftimie</w:t>
      </w:r>
      <w:proofErr w:type="spellEnd"/>
      <w:r w:rsidRPr="00412E91">
        <w:rPr>
          <w:rFonts w:eastAsiaTheme="minorHAnsi"/>
          <w:sz w:val="22"/>
          <w:szCs w:val="20"/>
          <w:lang w:eastAsia="ar-SA"/>
        </w:rPr>
        <w:t xml:space="preserve"> IA. Nuclear Fusion Diffusion: Theory, Policy, Practice, and Politics Perspectives. IEEE Transactions on Engineering Management. 2020:1-15.</w:t>
      </w:r>
    </w:p>
    <w:p w14:paraId="4F88184D" w14:textId="16261368" w:rsidR="007B607F" w:rsidRPr="00564AFA" w:rsidRDefault="00412E91" w:rsidP="00564AFA">
      <w:pPr>
        <w:pStyle w:val="Referencelist"/>
        <w:ind w:left="357" w:hanging="357"/>
        <w:rPr>
          <w:rFonts w:eastAsiaTheme="minorHAnsi"/>
          <w:sz w:val="22"/>
          <w:szCs w:val="20"/>
          <w:lang w:eastAsia="ar-SA"/>
        </w:rPr>
      </w:pPr>
      <w:r w:rsidRPr="00412E91">
        <w:rPr>
          <w:rFonts w:eastAsiaTheme="minorHAnsi"/>
          <w:sz w:val="22"/>
          <w:szCs w:val="20"/>
          <w:lang w:eastAsia="ar-SA"/>
        </w:rPr>
        <w:t>National Academies of Sciences E, 2021 M. Bringing Fusion to the U.S. Grid. Washington, D.C.: National Academies Press; 2021.</w:t>
      </w:r>
    </w:p>
    <w:sectPr w:rsidR="007B607F" w:rsidRPr="00564AFA" w:rsidSect="0026525A">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30AF" w14:textId="77777777" w:rsidR="002B1081" w:rsidRDefault="002B1081">
      <w:r>
        <w:separator/>
      </w:r>
    </w:p>
  </w:endnote>
  <w:endnote w:type="continuationSeparator" w:id="0">
    <w:p w14:paraId="4A04FF99" w14:textId="77777777" w:rsidR="002B1081" w:rsidRDefault="002B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B6A8" w14:textId="77777777" w:rsidR="002B1081" w:rsidRDefault="002B1081">
      <w:r>
        <w:t>___________________________________________________________________________</w:t>
      </w:r>
    </w:p>
  </w:footnote>
  <w:footnote w:type="continuationSeparator" w:id="0">
    <w:p w14:paraId="06EB3E21" w14:textId="77777777" w:rsidR="002B1081" w:rsidRDefault="002B1081">
      <w:r>
        <w:t>___________________________________________________________________________</w:t>
      </w:r>
    </w:p>
  </w:footnote>
  <w:footnote w:type="continuationNotice" w:id="1">
    <w:p w14:paraId="6E792F23" w14:textId="77777777" w:rsidR="002B1081" w:rsidRDefault="002B1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2A78"/>
    <w:rsid w:val="000552F9"/>
    <w:rsid w:val="00073700"/>
    <w:rsid w:val="000A0299"/>
    <w:rsid w:val="000C6874"/>
    <w:rsid w:val="000F10CB"/>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A7F83"/>
    <w:rsid w:val="002B1081"/>
    <w:rsid w:val="002B29C2"/>
    <w:rsid w:val="002C4208"/>
    <w:rsid w:val="002D3D56"/>
    <w:rsid w:val="00306628"/>
    <w:rsid w:val="00352DE1"/>
    <w:rsid w:val="003728E6"/>
    <w:rsid w:val="003760DD"/>
    <w:rsid w:val="003B5E0E"/>
    <w:rsid w:val="003C5C40"/>
    <w:rsid w:val="003D255A"/>
    <w:rsid w:val="00412E91"/>
    <w:rsid w:val="00416949"/>
    <w:rsid w:val="00434009"/>
    <w:rsid w:val="004370D8"/>
    <w:rsid w:val="00446113"/>
    <w:rsid w:val="00472C43"/>
    <w:rsid w:val="00477B19"/>
    <w:rsid w:val="004910D8"/>
    <w:rsid w:val="004E02A1"/>
    <w:rsid w:val="00537496"/>
    <w:rsid w:val="00544ED3"/>
    <w:rsid w:val="00547F26"/>
    <w:rsid w:val="00564AFA"/>
    <w:rsid w:val="0057131A"/>
    <w:rsid w:val="0058477B"/>
    <w:rsid w:val="0058654F"/>
    <w:rsid w:val="00596ACA"/>
    <w:rsid w:val="005B7E6B"/>
    <w:rsid w:val="005C5D2D"/>
    <w:rsid w:val="005E39BC"/>
    <w:rsid w:val="005F00A0"/>
    <w:rsid w:val="005F4AF8"/>
    <w:rsid w:val="006000B2"/>
    <w:rsid w:val="00604C59"/>
    <w:rsid w:val="00612CB0"/>
    <w:rsid w:val="006425EB"/>
    <w:rsid w:val="00647F33"/>
    <w:rsid w:val="00654B09"/>
    <w:rsid w:val="00662532"/>
    <w:rsid w:val="00675240"/>
    <w:rsid w:val="00684298"/>
    <w:rsid w:val="006B2274"/>
    <w:rsid w:val="006C024F"/>
    <w:rsid w:val="007113E8"/>
    <w:rsid w:val="00717C6F"/>
    <w:rsid w:val="007308F3"/>
    <w:rsid w:val="007445DA"/>
    <w:rsid w:val="00765630"/>
    <w:rsid w:val="00790E9A"/>
    <w:rsid w:val="007B4FD1"/>
    <w:rsid w:val="007B57CF"/>
    <w:rsid w:val="007B607F"/>
    <w:rsid w:val="007D0519"/>
    <w:rsid w:val="007E265D"/>
    <w:rsid w:val="00800B84"/>
    <w:rsid w:val="00802381"/>
    <w:rsid w:val="00815F3A"/>
    <w:rsid w:val="008270D0"/>
    <w:rsid w:val="00827B38"/>
    <w:rsid w:val="0085046A"/>
    <w:rsid w:val="008601BE"/>
    <w:rsid w:val="00883848"/>
    <w:rsid w:val="00897ED5"/>
    <w:rsid w:val="008B6BB9"/>
    <w:rsid w:val="008C3C89"/>
    <w:rsid w:val="008F4C98"/>
    <w:rsid w:val="00911543"/>
    <w:rsid w:val="00943B67"/>
    <w:rsid w:val="009519C9"/>
    <w:rsid w:val="009D0B86"/>
    <w:rsid w:val="009D21F0"/>
    <w:rsid w:val="009E0D5B"/>
    <w:rsid w:val="009E1558"/>
    <w:rsid w:val="00A42898"/>
    <w:rsid w:val="00A964E3"/>
    <w:rsid w:val="00AB6ACE"/>
    <w:rsid w:val="00AC5A3A"/>
    <w:rsid w:val="00AD6BB4"/>
    <w:rsid w:val="00AE0AE2"/>
    <w:rsid w:val="00AE6705"/>
    <w:rsid w:val="00B1443F"/>
    <w:rsid w:val="00B17AA3"/>
    <w:rsid w:val="00B54CDF"/>
    <w:rsid w:val="00B808D8"/>
    <w:rsid w:val="00B82FA5"/>
    <w:rsid w:val="00B90025"/>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64DC2"/>
    <w:rsid w:val="00D7227B"/>
    <w:rsid w:val="00DA46CA"/>
    <w:rsid w:val="00DE5C99"/>
    <w:rsid w:val="00DE7061"/>
    <w:rsid w:val="00DF21EB"/>
    <w:rsid w:val="00DF3A79"/>
    <w:rsid w:val="00E20E70"/>
    <w:rsid w:val="00E25B68"/>
    <w:rsid w:val="00E620D1"/>
    <w:rsid w:val="00E84003"/>
    <w:rsid w:val="00EA73D0"/>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2.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34</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Shutaro Takeda</cp:lastModifiedBy>
  <cp:revision>72</cp:revision>
  <cp:lastPrinted>2015-12-01T10:27:00Z</cp:lastPrinted>
  <dcterms:created xsi:type="dcterms:W3CDTF">2017-04-03T14:23:00Z</dcterms:created>
  <dcterms:modified xsi:type="dcterms:W3CDTF">2022-03-22T09:02:00Z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