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5F1DEFFE" w:rsidR="00604C59" w:rsidRPr="00073700" w:rsidRDefault="00890CA4"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Synergy of Fission and Fusion: the path to clean nuclear ener</w:t>
      </w:r>
      <w:r w:rsidR="008F7704">
        <w:rPr>
          <w:rFonts w:ascii="Times New Roman" w:hAnsi="Times New Roman"/>
          <w:bCs/>
          <w:noProof/>
          <w:szCs w:val="24"/>
          <w:lang w:val="en-GB"/>
        </w:rPr>
        <w:t>G</w:t>
      </w:r>
      <w:r>
        <w:rPr>
          <w:rFonts w:ascii="Times New Roman" w:hAnsi="Times New Roman"/>
          <w:bCs/>
          <w:noProof/>
          <w:szCs w:val="24"/>
          <w:lang w:val="en-GB"/>
        </w:rPr>
        <w:t>y system</w:t>
      </w:r>
    </w:p>
    <w:p w14:paraId="2A7F935C" w14:textId="77777777" w:rsidR="00604C59" w:rsidRPr="00073700" w:rsidRDefault="00604C59" w:rsidP="00073700">
      <w:pPr>
        <w:pStyle w:val="Authornameandaffiliation"/>
        <w:ind w:left="0"/>
        <w:jc w:val="both"/>
        <w:rPr>
          <w:sz w:val="24"/>
          <w:szCs w:val="24"/>
          <w:lang w:val="en-GB"/>
        </w:rPr>
      </w:pPr>
    </w:p>
    <w:p w14:paraId="7B44FDE5" w14:textId="6FF0840C" w:rsidR="00604C59" w:rsidRPr="00073700" w:rsidRDefault="00890CA4" w:rsidP="00073700">
      <w:pPr>
        <w:pStyle w:val="Authornameandaffiliation"/>
        <w:ind w:left="0"/>
        <w:jc w:val="both"/>
        <w:rPr>
          <w:sz w:val="24"/>
          <w:szCs w:val="24"/>
          <w:lang w:val="en-GB"/>
        </w:rPr>
      </w:pPr>
      <w:r>
        <w:rPr>
          <w:sz w:val="24"/>
          <w:szCs w:val="24"/>
          <w:lang w:val="en-GB"/>
        </w:rPr>
        <w:t>V.V. ARTISYUK</w:t>
      </w:r>
    </w:p>
    <w:p w14:paraId="20CD335A" w14:textId="7D1039D1" w:rsidR="00604C59" w:rsidRPr="00073700" w:rsidRDefault="00890CA4" w:rsidP="00073700">
      <w:pPr>
        <w:pStyle w:val="Authornameandaffiliation"/>
        <w:ind w:left="0"/>
        <w:jc w:val="both"/>
        <w:rPr>
          <w:sz w:val="24"/>
          <w:szCs w:val="24"/>
          <w:lang w:val="en-GB"/>
        </w:rPr>
      </w:pPr>
      <w:r>
        <w:rPr>
          <w:sz w:val="24"/>
          <w:szCs w:val="24"/>
          <w:lang w:val="en-GB"/>
        </w:rPr>
        <w:t>State Atomic Energy Corporation “Rosatom”</w:t>
      </w:r>
    </w:p>
    <w:p w14:paraId="7B37D297" w14:textId="2776F957" w:rsidR="00604C59" w:rsidRPr="00073700" w:rsidRDefault="00890CA4" w:rsidP="00073700">
      <w:pPr>
        <w:pStyle w:val="Authornameandaffiliation"/>
        <w:ind w:left="0"/>
        <w:jc w:val="both"/>
        <w:rPr>
          <w:sz w:val="24"/>
          <w:szCs w:val="24"/>
          <w:lang w:val="en-GB"/>
        </w:rPr>
      </w:pPr>
      <w:r>
        <w:rPr>
          <w:sz w:val="24"/>
          <w:szCs w:val="24"/>
          <w:lang w:val="en-GB"/>
        </w:rPr>
        <w:t>Moscow, Russian Federation</w:t>
      </w:r>
    </w:p>
    <w:p w14:paraId="2796F553" w14:textId="2F401AC6" w:rsidR="00604C59" w:rsidRPr="00073700" w:rsidRDefault="00890CA4" w:rsidP="00073700">
      <w:pPr>
        <w:pStyle w:val="Authornameandaffiliation"/>
        <w:ind w:left="0"/>
        <w:jc w:val="both"/>
        <w:rPr>
          <w:sz w:val="24"/>
          <w:szCs w:val="24"/>
          <w:lang w:val="en-GB"/>
        </w:rPr>
      </w:pPr>
      <w:r>
        <w:rPr>
          <w:sz w:val="24"/>
          <w:szCs w:val="24"/>
          <w:lang w:val="en-GB"/>
        </w:rPr>
        <w:t>Email: VVArtisyuk@rosatom.ru</w:t>
      </w:r>
    </w:p>
    <w:p w14:paraId="654E3E67" w14:textId="77777777" w:rsidR="00604C59" w:rsidRPr="00073700" w:rsidRDefault="00604C59" w:rsidP="00073700">
      <w:pPr>
        <w:pStyle w:val="Authornameandaffiliation"/>
        <w:ind w:left="0"/>
        <w:jc w:val="both"/>
        <w:rPr>
          <w:sz w:val="24"/>
          <w:szCs w:val="24"/>
          <w:lang w:val="en-GB"/>
        </w:rPr>
      </w:pPr>
    </w:p>
    <w:p w14:paraId="338D162C" w14:textId="77777777" w:rsidR="00CD7ABF" w:rsidRPr="00073700" w:rsidRDefault="00CD7ABF" w:rsidP="00073700">
      <w:pPr>
        <w:pStyle w:val="Authornameandaffiliation"/>
        <w:ind w:left="0"/>
        <w:jc w:val="both"/>
        <w:rPr>
          <w:sz w:val="24"/>
          <w:szCs w:val="24"/>
          <w:lang w:val="en-GB"/>
        </w:rPr>
      </w:pPr>
    </w:p>
    <w:p w14:paraId="716A5053" w14:textId="61F35696" w:rsidR="00191563" w:rsidRDefault="000401F8" w:rsidP="008F5279">
      <w:pPr>
        <w:overflowPunct/>
        <w:autoSpaceDE/>
        <w:autoSpaceDN/>
        <w:adjustRightInd/>
        <w:spacing w:before="280" w:after="280"/>
        <w:jc w:val="both"/>
        <w:textAlignment w:val="auto"/>
        <w:rPr>
          <w:lang w:val="en"/>
        </w:rPr>
      </w:pPr>
      <w:r>
        <w:rPr>
          <w:rFonts w:eastAsiaTheme="minorHAnsi"/>
          <w:sz w:val="24"/>
          <w:szCs w:val="24"/>
          <w:lang w:eastAsia="ar-SA"/>
        </w:rPr>
        <w:t xml:space="preserve">The problem of long-term management of high-level </w:t>
      </w:r>
      <w:r w:rsidR="00191563">
        <w:rPr>
          <w:rFonts w:eastAsiaTheme="minorHAnsi"/>
          <w:sz w:val="24"/>
          <w:szCs w:val="24"/>
          <w:lang w:eastAsia="ar-SA"/>
        </w:rPr>
        <w:t xml:space="preserve">(HLW) </w:t>
      </w:r>
      <w:r>
        <w:rPr>
          <w:rFonts w:eastAsiaTheme="minorHAnsi"/>
          <w:sz w:val="24"/>
          <w:szCs w:val="24"/>
          <w:lang w:eastAsia="ar-SA"/>
        </w:rPr>
        <w:t xml:space="preserve">wastes has been the major factor to humper large scale nuclear power development since its emerging as an industrial power technology. </w:t>
      </w:r>
      <w:r w:rsidR="00005376">
        <w:rPr>
          <w:rFonts w:eastAsiaTheme="minorHAnsi"/>
          <w:sz w:val="24"/>
          <w:szCs w:val="24"/>
          <w:lang w:eastAsia="ar-SA"/>
        </w:rPr>
        <w:t xml:space="preserve">In Europe it was recently translated into debate on taxonomy approach </w:t>
      </w:r>
      <w:r w:rsidR="00005376">
        <w:rPr>
          <w:lang w:val="en"/>
        </w:rPr>
        <w:t xml:space="preserve">developing technical screening criteria for climate objectives. </w:t>
      </w:r>
      <w:r w:rsidR="00C01AAF">
        <w:rPr>
          <w:lang w:val="en"/>
        </w:rPr>
        <w:t xml:space="preserve">In </w:t>
      </w:r>
      <w:r w:rsidR="00005376">
        <w:rPr>
          <w:lang w:val="en"/>
        </w:rPr>
        <w:t>20</w:t>
      </w:r>
      <w:r w:rsidR="00500352">
        <w:rPr>
          <w:lang w:val="en"/>
        </w:rPr>
        <w:t>20</w:t>
      </w:r>
      <w:r w:rsidR="00005376">
        <w:rPr>
          <w:lang w:val="en"/>
        </w:rPr>
        <w:t xml:space="preserve"> nuclear power technical expert group did not </w:t>
      </w:r>
      <w:r w:rsidR="008F5279">
        <w:rPr>
          <w:lang w:val="en"/>
        </w:rPr>
        <w:t xml:space="preserve">recommend to </w:t>
      </w:r>
      <w:r w:rsidR="00005376">
        <w:rPr>
          <w:lang w:val="en"/>
        </w:rPr>
        <w:t xml:space="preserve">include nuclear power </w:t>
      </w:r>
      <w:r w:rsidR="00AF694B">
        <w:rPr>
          <w:lang w:val="en"/>
        </w:rPr>
        <w:t xml:space="preserve">in taxonomy in a view of the HLW </w:t>
      </w:r>
      <w:r w:rsidR="00191563" w:rsidRPr="00500352">
        <w:rPr>
          <w:lang w:val="en"/>
        </w:rPr>
        <w:t xml:space="preserve">problem </w:t>
      </w:r>
      <w:r w:rsidR="00AF694B" w:rsidRPr="00500352">
        <w:rPr>
          <w:lang w:val="en"/>
        </w:rPr>
        <w:t>[1].</w:t>
      </w:r>
      <w:r w:rsidR="00AF694B">
        <w:rPr>
          <w:lang w:val="en"/>
        </w:rPr>
        <w:t xml:space="preserve"> </w:t>
      </w:r>
      <w:r w:rsidR="00191563">
        <w:rPr>
          <w:lang w:val="en"/>
        </w:rPr>
        <w:t xml:space="preserve">However </w:t>
      </w:r>
      <w:r w:rsidR="00C01AAF">
        <w:rPr>
          <w:lang w:val="en"/>
        </w:rPr>
        <w:t xml:space="preserve">nuclear </w:t>
      </w:r>
      <w:r w:rsidR="00191563">
        <w:rPr>
          <w:lang w:val="en"/>
        </w:rPr>
        <w:t xml:space="preserve">scientific community continues to </w:t>
      </w:r>
      <w:r w:rsidR="00C01AAF">
        <w:rPr>
          <w:lang w:val="en"/>
        </w:rPr>
        <w:t xml:space="preserve">emphasize that nuclear technology has an inherent potential to solve the HLW problem through recycling and transmutation. It was clearly stated in the report </w:t>
      </w:r>
      <w:r w:rsidR="008F5279">
        <w:rPr>
          <w:lang w:val="en"/>
        </w:rPr>
        <w:t>o</w:t>
      </w:r>
      <w:r w:rsidR="00C01AAF">
        <w:rPr>
          <w:lang w:val="en"/>
        </w:rPr>
        <w:t xml:space="preserve">f </w:t>
      </w:r>
      <w:r w:rsidR="008F5279">
        <w:rPr>
          <w:lang w:val="en"/>
        </w:rPr>
        <w:t xml:space="preserve">the </w:t>
      </w:r>
      <w:r w:rsidR="00C01AAF">
        <w:rPr>
          <w:lang w:val="en"/>
        </w:rPr>
        <w:t>Joint Research Centre in 202</w:t>
      </w:r>
      <w:r w:rsidR="00500352">
        <w:rPr>
          <w:lang w:val="en"/>
        </w:rPr>
        <w:t>1</w:t>
      </w:r>
      <w:r w:rsidR="00C01AAF">
        <w:rPr>
          <w:lang w:val="en"/>
        </w:rPr>
        <w:t xml:space="preserve"> that </w:t>
      </w:r>
      <w:r w:rsidR="00C01AAF" w:rsidRPr="00DB73E4">
        <w:t xml:space="preserve">significant research </w:t>
      </w:r>
      <w:r w:rsidR="00C01AAF" w:rsidRPr="00151777">
        <w:t xml:space="preserve">effort has been devoted to maximising the fraction of spent nuclear fuel that can be recycled in nuclear reactors and reducing the long-term radiotoxicity of HLW to be disposed of in the geological repository </w:t>
      </w:r>
      <w:r w:rsidR="00C01AAF" w:rsidRPr="00151777">
        <w:rPr>
          <w:lang w:val="en"/>
        </w:rPr>
        <w:t>[2].</w:t>
      </w:r>
      <w:r w:rsidR="00335B21" w:rsidRPr="00151777">
        <w:rPr>
          <w:lang w:val="en"/>
        </w:rPr>
        <w:t xml:space="preserve"> In Russian Federation within the framework of “Breakthrough” (“</w:t>
      </w:r>
      <w:proofErr w:type="spellStart"/>
      <w:r w:rsidR="00335B21" w:rsidRPr="00151777">
        <w:rPr>
          <w:lang w:val="en"/>
        </w:rPr>
        <w:t>Proryv</w:t>
      </w:r>
      <w:proofErr w:type="spellEnd"/>
      <w:r w:rsidR="00335B21" w:rsidRPr="00151777">
        <w:rPr>
          <w:lang w:val="en"/>
        </w:rPr>
        <w:t xml:space="preserve">” in Rus) the first concrete was poured in the foundation of reactor building of lead-cooled fast reactor BREST-300 that will prove industrial feasibility </w:t>
      </w:r>
      <w:r w:rsidR="0005558D" w:rsidRPr="00151777">
        <w:rPr>
          <w:lang w:val="en"/>
        </w:rPr>
        <w:t>to</w:t>
      </w:r>
      <w:r w:rsidR="006C006A" w:rsidRPr="00151777">
        <w:rPr>
          <w:lang w:val="en"/>
        </w:rPr>
        <w:t xml:space="preserve"> closed fuel cycle by 2030</w:t>
      </w:r>
      <w:r w:rsidR="00335B21" w:rsidRPr="00151777">
        <w:rPr>
          <w:lang w:val="en"/>
        </w:rPr>
        <w:t xml:space="preserve">. This new reality paths its way into new </w:t>
      </w:r>
      <w:r w:rsidR="00335B21" w:rsidRPr="00151777">
        <w:t xml:space="preserve">project under umbrella of the IAEA activity on Innovative Nuclear Reactors and Fuel Cycles (INPRO) entitled “Step Forward” to derive practicable conclusions for the potential of an initial deployment of small numbers of particular innovative nuclear energy installations </w:t>
      </w:r>
      <w:r w:rsidR="00477099" w:rsidRPr="00151777">
        <w:t xml:space="preserve">ranking from fast reactors to fission-fusion hybrids </w:t>
      </w:r>
      <w:r w:rsidR="00335B21" w:rsidRPr="00151777">
        <w:t>to contribute to a notable reduction of spent nuclear fuel inventory</w:t>
      </w:r>
      <w:r w:rsidR="00477099" w:rsidRPr="00151777">
        <w:rPr>
          <w:lang w:val="en"/>
        </w:rPr>
        <w:t>. This particular paper emphasizes fusion technology as a source of neutrons that provides excellent neutronics envir</w:t>
      </w:r>
      <w:r w:rsidR="008F5279" w:rsidRPr="00151777">
        <w:rPr>
          <w:lang w:val="en"/>
        </w:rPr>
        <w:t>onments to transmute the long-lived fission products (FP) that drive cumulative radioactivity release from deep geological storage within hundreds of thousands years [</w:t>
      </w:r>
      <w:r w:rsidR="006C006A" w:rsidRPr="00151777">
        <w:rPr>
          <w:lang w:val="en"/>
        </w:rPr>
        <w:t>3</w:t>
      </w:r>
      <w:r w:rsidR="008F5279" w:rsidRPr="00151777">
        <w:rPr>
          <w:lang w:val="en"/>
        </w:rPr>
        <w:t>].</w:t>
      </w:r>
      <w:r w:rsidR="008F5279">
        <w:rPr>
          <w:lang w:val="en"/>
        </w:rPr>
        <w:t xml:space="preserve"> </w:t>
      </w:r>
    </w:p>
    <w:p w14:paraId="1B47FB14" w14:textId="7F49953C" w:rsidR="0005558D" w:rsidRDefault="00931BCD" w:rsidP="00046928">
      <w:pPr>
        <w:overflowPunct/>
        <w:autoSpaceDE/>
        <w:autoSpaceDN/>
        <w:adjustRightInd/>
        <w:spacing w:before="280" w:after="280"/>
        <w:jc w:val="both"/>
        <w:textAlignment w:val="auto"/>
        <w:rPr>
          <w:lang w:val="en-US"/>
        </w:rPr>
      </w:pPr>
      <w:r>
        <w:rPr>
          <w:lang w:val="en-US"/>
        </w:rPr>
        <w:t xml:space="preserve">Generation of neutron excess is the key to transmutation of </w:t>
      </w:r>
      <w:proofErr w:type="spellStart"/>
      <w:r>
        <w:rPr>
          <w:lang w:val="en-US"/>
        </w:rPr>
        <w:t>radiowastes</w:t>
      </w:r>
      <w:proofErr w:type="spellEnd"/>
      <w:r>
        <w:rPr>
          <w:lang w:val="en-US"/>
        </w:rPr>
        <w:t>.</w:t>
      </w:r>
      <w:r w:rsidR="00A35701">
        <w:rPr>
          <w:lang w:val="en-US"/>
        </w:rPr>
        <w:t xml:space="preserve"> It is </w:t>
      </w:r>
      <w:r w:rsidR="0005558D">
        <w:rPr>
          <w:lang w:val="en-US"/>
        </w:rPr>
        <w:t xml:space="preserve">generally </w:t>
      </w:r>
      <w:r w:rsidR="00A35701">
        <w:rPr>
          <w:lang w:val="en-US"/>
        </w:rPr>
        <w:t>defined as</w:t>
      </w:r>
      <w:r w:rsidR="0030347A">
        <w:rPr>
          <w:lang w:val="en-US"/>
        </w:rPr>
        <w:t xml:space="preserve"> a</w:t>
      </w:r>
      <w:r w:rsidR="00A35701">
        <w:rPr>
          <w:lang w:val="en-US"/>
        </w:rPr>
        <w:t xml:space="preserve"> difference between number of neutron</w:t>
      </w:r>
      <w:r w:rsidR="0005558D">
        <w:rPr>
          <w:lang w:val="en-US"/>
        </w:rPr>
        <w:t>s</w:t>
      </w:r>
      <w:r w:rsidR="00A35701">
        <w:rPr>
          <w:lang w:val="en-US"/>
        </w:rPr>
        <w:t xml:space="preserve"> released as a result of fission </w:t>
      </w:r>
      <w:r w:rsidR="0005558D">
        <w:rPr>
          <w:lang w:val="en-US"/>
        </w:rPr>
        <w:t xml:space="preserve">reaction </w:t>
      </w:r>
      <w:r w:rsidR="00A35701">
        <w:rPr>
          <w:lang w:val="en-US"/>
        </w:rPr>
        <w:t>and neutrons needed to sustain chain reaction including associated parasitic capture and leakage. Within the family of fission reactors it is fission reaction induced by high energy</w:t>
      </w:r>
      <w:r w:rsidR="00414445">
        <w:rPr>
          <w:lang w:val="en-US"/>
        </w:rPr>
        <w:t xml:space="preserve"> (fast) </w:t>
      </w:r>
      <w:r w:rsidR="00A35701">
        <w:rPr>
          <w:lang w:val="en-US"/>
        </w:rPr>
        <w:t>neutrons that gives appreciable neutron excess</w:t>
      </w:r>
      <w:r w:rsidR="0030347A">
        <w:rPr>
          <w:lang w:val="en-US"/>
        </w:rPr>
        <w:t>. That is why the majority of the designs of the Generation-IV reactors belong</w:t>
      </w:r>
      <w:r w:rsidR="00414445">
        <w:rPr>
          <w:lang w:val="en-US"/>
        </w:rPr>
        <w:t>s</w:t>
      </w:r>
      <w:r w:rsidR="0030347A">
        <w:rPr>
          <w:lang w:val="en-US"/>
        </w:rPr>
        <w:t xml:space="preserve"> the family of fast reactors</w:t>
      </w:r>
      <w:r w:rsidR="0005558D">
        <w:rPr>
          <w:lang w:val="en-US"/>
        </w:rPr>
        <w:t xml:space="preserve"> that can provide both f</w:t>
      </w:r>
      <w:r w:rsidR="00F201C3">
        <w:rPr>
          <w:lang w:val="en-US"/>
        </w:rPr>
        <w:t>u</w:t>
      </w:r>
      <w:r w:rsidR="0005558D">
        <w:rPr>
          <w:lang w:val="en-US"/>
        </w:rPr>
        <w:t xml:space="preserve">el breeding and transmutation of some </w:t>
      </w:r>
      <w:proofErr w:type="spellStart"/>
      <w:r w:rsidR="0005558D">
        <w:rPr>
          <w:lang w:val="en-US"/>
        </w:rPr>
        <w:t>radiowastes</w:t>
      </w:r>
      <w:proofErr w:type="spellEnd"/>
      <w:r w:rsidR="0005558D">
        <w:rPr>
          <w:lang w:val="en-US"/>
        </w:rPr>
        <w:t xml:space="preserve">, mainly those belonging to </w:t>
      </w:r>
      <w:proofErr w:type="spellStart"/>
      <w:r w:rsidR="0005558D">
        <w:rPr>
          <w:lang w:val="en-US"/>
        </w:rPr>
        <w:t>transuranics</w:t>
      </w:r>
      <w:proofErr w:type="spellEnd"/>
      <w:r w:rsidR="0005558D">
        <w:rPr>
          <w:lang w:val="en-US"/>
        </w:rPr>
        <w:t>.</w:t>
      </w:r>
    </w:p>
    <w:p w14:paraId="2E51EBD7" w14:textId="77777777" w:rsidR="007E0DAD" w:rsidRDefault="00F201C3" w:rsidP="00046928">
      <w:pPr>
        <w:overflowPunct/>
        <w:autoSpaceDE/>
        <w:autoSpaceDN/>
        <w:adjustRightInd/>
        <w:spacing w:before="280" w:after="280"/>
        <w:jc w:val="both"/>
        <w:textAlignment w:val="auto"/>
        <w:rPr>
          <w:lang w:val="en-US"/>
        </w:rPr>
      </w:pPr>
      <w:r>
        <w:rPr>
          <w:lang w:val="en-US"/>
        </w:rPr>
        <w:t xml:space="preserve">Traditional approach to apply fusion phenomenon for power generation in the D-T case at least </w:t>
      </w:r>
      <w:r w:rsidR="007E0DAD">
        <w:rPr>
          <w:lang w:val="en-US"/>
        </w:rPr>
        <w:t xml:space="preserve">considers </w:t>
      </w:r>
    </w:p>
    <w:p w14:paraId="41F4C6CC" w14:textId="1A2D87A5" w:rsidR="007E0DAD" w:rsidRDefault="007E0DAD" w:rsidP="007E0DAD">
      <w:pPr>
        <w:pStyle w:val="ListEmdash"/>
        <w:ind w:left="360"/>
        <w:rPr>
          <w:sz w:val="22"/>
          <w:lang w:val="en-US"/>
        </w:rPr>
      </w:pPr>
      <w:r w:rsidRPr="007E0DAD">
        <w:rPr>
          <w:sz w:val="22"/>
          <w:lang w:val="en-US"/>
        </w:rPr>
        <w:t xml:space="preserve">tritium breeding in situ that requires neutron multiplication </w:t>
      </w:r>
      <w:r w:rsidR="00213EE2">
        <w:rPr>
          <w:sz w:val="22"/>
          <w:lang w:val="en-US"/>
        </w:rPr>
        <w:t xml:space="preserve">induced by 14 MeV fusion neutron; </w:t>
      </w:r>
    </w:p>
    <w:p w14:paraId="217C26AA" w14:textId="77777777" w:rsidR="007E0DAD" w:rsidRDefault="007E0DAD" w:rsidP="007E0DAD">
      <w:pPr>
        <w:pStyle w:val="ListEmdash"/>
        <w:ind w:left="360"/>
        <w:rPr>
          <w:sz w:val="22"/>
          <w:lang w:val="en-US"/>
        </w:rPr>
      </w:pPr>
      <w:r>
        <w:rPr>
          <w:sz w:val="22"/>
          <w:lang w:val="en-US"/>
        </w:rPr>
        <w:t xml:space="preserve">neutron </w:t>
      </w:r>
      <w:r w:rsidRPr="007E0DAD">
        <w:rPr>
          <w:sz w:val="22"/>
          <w:lang w:val="en-US"/>
        </w:rPr>
        <w:t xml:space="preserve">moderation in the blanket to approach positive energy balance in a single fusion power facility. </w:t>
      </w:r>
    </w:p>
    <w:p w14:paraId="40AEE9A5" w14:textId="3F399191" w:rsidR="00414445" w:rsidRPr="005A2AAB" w:rsidRDefault="007E0DAD" w:rsidP="00213EE2">
      <w:pPr>
        <w:overflowPunct/>
        <w:autoSpaceDE/>
        <w:autoSpaceDN/>
        <w:adjustRightInd/>
        <w:spacing w:before="280" w:after="280"/>
        <w:jc w:val="both"/>
        <w:textAlignment w:val="auto"/>
        <w:rPr>
          <w:lang w:val="en-US"/>
        </w:rPr>
      </w:pPr>
      <w:r w:rsidRPr="007E0DAD">
        <w:rPr>
          <w:lang w:val="en-US"/>
        </w:rPr>
        <w:t xml:space="preserve">From the view point of neutron excess it resembles neutron requirements to sustain chain reaction in fission reactions. </w:t>
      </w:r>
      <w:r w:rsidR="0030347A">
        <w:rPr>
          <w:lang w:val="en-US"/>
        </w:rPr>
        <w:t xml:space="preserve">From the view point of neutronics fusion has </w:t>
      </w:r>
      <w:r>
        <w:rPr>
          <w:lang w:val="en-US"/>
        </w:rPr>
        <w:t>one</w:t>
      </w:r>
      <w:r w:rsidR="003B42AB">
        <w:rPr>
          <w:lang w:val="en-US"/>
        </w:rPr>
        <w:t xml:space="preserve"> distinct advantage</w:t>
      </w:r>
      <w:r w:rsidR="0030347A">
        <w:rPr>
          <w:lang w:val="en-US"/>
        </w:rPr>
        <w:t xml:space="preserve">: </w:t>
      </w:r>
      <w:r w:rsidR="00DA74EE" w:rsidRPr="0005558D">
        <w:rPr>
          <w:lang w:val="en-US"/>
        </w:rPr>
        <w:t>neutron production zone (plasma) and the zone of neutron utilization (blanket) are spatially separated.</w:t>
      </w:r>
      <w:r w:rsidR="00213EE2">
        <w:rPr>
          <w:lang w:val="en-US"/>
        </w:rPr>
        <w:t xml:space="preserve"> That reveals the flexibility in creating neut</w:t>
      </w:r>
      <w:r w:rsidR="003B42AB">
        <w:rPr>
          <w:lang w:val="en-US"/>
        </w:rPr>
        <w:t>ron spectra in the blanket that might be soft enough to transmute FP with low neutron capture cross-section (see Figure 1). Table 1 gives an illustration of mean life-time of Cs-135 (one of the most problematic long-lived FP nuclides</w:t>
      </w:r>
      <w:r w:rsidR="005A2AAB">
        <w:rPr>
          <w:lang w:val="en-US"/>
        </w:rPr>
        <w:t xml:space="preserve"> with half-life </w:t>
      </w:r>
      <w:r w:rsidR="00227AD4">
        <w:rPr>
          <w:lang w:val="en-US"/>
        </w:rPr>
        <w:t>2.3 10</w:t>
      </w:r>
      <w:r w:rsidR="00227AD4">
        <w:rPr>
          <w:vertAlign w:val="superscript"/>
          <w:lang w:val="en-US"/>
        </w:rPr>
        <w:t>6</w:t>
      </w:r>
      <w:r w:rsidR="00227AD4">
        <w:rPr>
          <w:lang w:val="en-US"/>
        </w:rPr>
        <w:t xml:space="preserve"> </w:t>
      </w:r>
      <w:proofErr w:type="spellStart"/>
      <w:r w:rsidR="00227AD4">
        <w:rPr>
          <w:lang w:val="en-US"/>
        </w:rPr>
        <w:t>yrs</w:t>
      </w:r>
      <w:proofErr w:type="spellEnd"/>
      <w:r w:rsidR="003B42AB">
        <w:rPr>
          <w:lang w:val="en-US"/>
        </w:rPr>
        <w:t xml:space="preserve">) in different </w:t>
      </w:r>
      <w:r w:rsidR="003B42AB">
        <w:rPr>
          <w:lang w:val="en-US"/>
        </w:rPr>
        <w:lastRenderedPageBreak/>
        <w:t>neutronics environments including D-T based fusion neutron source (</w:t>
      </w:r>
      <w:r w:rsidR="005A2AAB">
        <w:rPr>
          <w:lang w:val="en-US"/>
        </w:rPr>
        <w:t xml:space="preserve">FNS) </w:t>
      </w:r>
      <w:r w:rsidR="003B42AB">
        <w:rPr>
          <w:lang w:val="en-US"/>
        </w:rPr>
        <w:t>with the neutron wall load of 1 MW/m</w:t>
      </w:r>
      <w:r w:rsidR="005A2AAB">
        <w:rPr>
          <w:vertAlign w:val="superscript"/>
          <w:lang w:val="en-US"/>
        </w:rPr>
        <w:t>2</w:t>
      </w:r>
      <w:r w:rsidR="005A2AAB">
        <w:rPr>
          <w:lang w:val="en-US"/>
        </w:rPr>
        <w:t>.</w:t>
      </w:r>
    </w:p>
    <w:p w14:paraId="1F9EA166" w14:textId="77777777" w:rsidR="003B42AB" w:rsidRPr="00DF3A79" w:rsidRDefault="003B42AB" w:rsidP="003B42AB">
      <w:pPr>
        <w:overflowPunct/>
        <w:autoSpaceDE/>
        <w:autoSpaceDN/>
        <w:adjustRightInd/>
        <w:jc w:val="center"/>
        <w:textAlignment w:val="auto"/>
        <w:rPr>
          <w:rFonts w:eastAsiaTheme="minorHAnsi"/>
          <w:sz w:val="24"/>
          <w:szCs w:val="24"/>
          <w:lang w:eastAsia="ar-SA"/>
        </w:rPr>
      </w:pPr>
      <w:r>
        <w:rPr>
          <w:noProof/>
          <w:lang w:val="ru-RU" w:eastAsia="ru-RU"/>
        </w:rPr>
        <w:drawing>
          <wp:inline distT="0" distB="0" distL="0" distR="0" wp14:anchorId="2CB83596" wp14:editId="31EC8705">
            <wp:extent cx="4953000" cy="3629025"/>
            <wp:effectExtent l="0" t="0" r="0" b="0"/>
            <wp:docPr id="1" name="Рисунок 1" descr="COMP_PWR_F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_PWR_FB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0" cy="3629025"/>
                    </a:xfrm>
                    <a:prstGeom prst="rect">
                      <a:avLst/>
                    </a:prstGeom>
                    <a:noFill/>
                    <a:ln>
                      <a:noFill/>
                    </a:ln>
                  </pic:spPr>
                </pic:pic>
              </a:graphicData>
            </a:graphic>
          </wp:inline>
        </w:drawing>
      </w:r>
    </w:p>
    <w:p w14:paraId="23A2843F" w14:textId="280CDE16" w:rsidR="003B42AB" w:rsidRPr="00DF3A79" w:rsidRDefault="003B42AB" w:rsidP="003B42AB">
      <w:pPr>
        <w:pStyle w:val="Caption"/>
        <w:spacing w:before="240" w:after="480"/>
        <w:jc w:val="center"/>
        <w:rPr>
          <w:i/>
          <w:sz w:val="22"/>
          <w:szCs w:val="22"/>
          <w:lang w:val="en-GB"/>
        </w:rPr>
      </w:pPr>
      <w:r w:rsidRPr="00DF3A79">
        <w:rPr>
          <w:bCs w:val="0"/>
          <w:i/>
          <w:sz w:val="22"/>
          <w:szCs w:val="22"/>
          <w:lang w:val="en-GB"/>
        </w:rPr>
        <w:t xml:space="preserve">FIG. </w:t>
      </w:r>
      <w:r w:rsidRPr="00DF3A79">
        <w:rPr>
          <w:bCs w:val="0"/>
          <w:i/>
          <w:sz w:val="22"/>
          <w:szCs w:val="22"/>
          <w:lang w:val="en-GB"/>
        </w:rPr>
        <w:fldChar w:fldCharType="begin"/>
      </w:r>
      <w:r w:rsidRPr="00DF3A79">
        <w:rPr>
          <w:bCs w:val="0"/>
          <w:i/>
          <w:sz w:val="22"/>
          <w:szCs w:val="22"/>
          <w:lang w:val="en-GB"/>
        </w:rPr>
        <w:instrText xml:space="preserve"> SEQ Figure \* ARABIC </w:instrText>
      </w:r>
      <w:r w:rsidRPr="00DF3A79">
        <w:rPr>
          <w:bCs w:val="0"/>
          <w:i/>
          <w:sz w:val="22"/>
          <w:szCs w:val="22"/>
          <w:lang w:val="en-GB"/>
        </w:rPr>
        <w:fldChar w:fldCharType="separate"/>
      </w:r>
      <w:r w:rsidR="00151777">
        <w:rPr>
          <w:bCs w:val="0"/>
          <w:i/>
          <w:noProof/>
          <w:sz w:val="22"/>
          <w:szCs w:val="22"/>
          <w:lang w:val="en-GB"/>
        </w:rPr>
        <w:t>1</w:t>
      </w:r>
      <w:r w:rsidRPr="00DF3A79">
        <w:rPr>
          <w:bCs w:val="0"/>
          <w:i/>
          <w:sz w:val="22"/>
          <w:szCs w:val="22"/>
          <w:lang w:val="en-GB"/>
        </w:rPr>
        <w:fldChar w:fldCharType="end"/>
      </w:r>
      <w:r w:rsidRPr="00DF3A79">
        <w:rPr>
          <w:bCs w:val="0"/>
          <w:i/>
          <w:sz w:val="22"/>
          <w:szCs w:val="22"/>
          <w:lang w:val="en-GB"/>
        </w:rPr>
        <w:t xml:space="preserve">. </w:t>
      </w:r>
      <w:r>
        <w:rPr>
          <w:bCs w:val="0"/>
          <w:i/>
          <w:sz w:val="22"/>
          <w:szCs w:val="22"/>
          <w:lang w:val="en-GB"/>
        </w:rPr>
        <w:t xml:space="preserve">Comparison of neutronics in thermal and fast fission reactors and in fusion neutron source based on DT- </w:t>
      </w:r>
      <w:r w:rsidRPr="00F95BB9">
        <w:rPr>
          <w:bCs w:val="0"/>
          <w:i/>
          <w:sz w:val="22"/>
          <w:szCs w:val="22"/>
          <w:lang w:val="en-GB"/>
        </w:rPr>
        <w:t>plasma [</w:t>
      </w:r>
      <w:r w:rsidR="00F95BB9" w:rsidRPr="00F95BB9">
        <w:rPr>
          <w:bCs w:val="0"/>
          <w:i/>
          <w:sz w:val="22"/>
          <w:szCs w:val="22"/>
          <w:lang w:val="en-GB"/>
        </w:rPr>
        <w:t>3</w:t>
      </w:r>
      <w:r w:rsidRPr="00F95BB9">
        <w:rPr>
          <w:bCs w:val="0"/>
          <w:i/>
          <w:sz w:val="22"/>
          <w:szCs w:val="22"/>
          <w:lang w:val="en-GB"/>
        </w:rPr>
        <w:t>]</w:t>
      </w:r>
    </w:p>
    <w:p w14:paraId="735DFBC1" w14:textId="225F764B" w:rsidR="00B90025" w:rsidRPr="00DF3A79" w:rsidRDefault="00A44F03" w:rsidP="00046928">
      <w:pPr>
        <w:pStyle w:val="BodyText"/>
        <w:spacing w:before="280" w:after="280" w:line="240" w:lineRule="auto"/>
        <w:ind w:firstLine="0"/>
        <w:rPr>
          <w:sz w:val="24"/>
          <w:szCs w:val="24"/>
        </w:rPr>
      </w:pPr>
      <w:r>
        <w:rPr>
          <w:sz w:val="24"/>
          <w:szCs w:val="24"/>
        </w:rPr>
        <w:t xml:space="preserve">TABLE 1. MEAN LIFE-TIME of Cs-135 </w:t>
      </w:r>
    </w:p>
    <w:p w14:paraId="77900463" w14:textId="77777777" w:rsidR="00B90025" w:rsidRPr="00DF3A79" w:rsidRDefault="00B90025" w:rsidP="00B90025">
      <w:pPr>
        <w:pStyle w:val="BodyText"/>
        <w:spacing w:line="240" w:lineRule="auto"/>
        <w:rPr>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1741"/>
        <w:gridCol w:w="1742"/>
        <w:gridCol w:w="1742"/>
      </w:tblGrid>
      <w:tr w:rsidR="00A44F03" w:rsidRPr="000552F9" w14:paraId="63D49D1A" w14:textId="43A72F36" w:rsidTr="005A2AAB">
        <w:trPr>
          <w:jc w:val="center"/>
        </w:trPr>
        <w:tc>
          <w:tcPr>
            <w:tcW w:w="2629" w:type="dxa"/>
            <w:tcBorders>
              <w:top w:val="single" w:sz="4" w:space="0" w:color="auto"/>
              <w:bottom w:val="single" w:sz="4" w:space="0" w:color="auto"/>
            </w:tcBorders>
          </w:tcPr>
          <w:p w14:paraId="6B053748" w14:textId="76C7EEDA" w:rsidR="00A44F03" w:rsidRPr="000552F9" w:rsidRDefault="00A44F03" w:rsidP="007B7BC2">
            <w:pPr>
              <w:pStyle w:val="BodyText"/>
              <w:ind w:firstLine="0"/>
              <w:rPr>
                <w:sz w:val="22"/>
                <w:szCs w:val="22"/>
              </w:rPr>
            </w:pPr>
          </w:p>
        </w:tc>
        <w:tc>
          <w:tcPr>
            <w:tcW w:w="1741" w:type="dxa"/>
            <w:tcBorders>
              <w:top w:val="single" w:sz="4" w:space="0" w:color="auto"/>
              <w:bottom w:val="single" w:sz="4" w:space="0" w:color="auto"/>
            </w:tcBorders>
          </w:tcPr>
          <w:p w14:paraId="13F65BD8" w14:textId="77777777" w:rsidR="00A44F03" w:rsidRDefault="00A44F03" w:rsidP="007B7BC2">
            <w:pPr>
              <w:pStyle w:val="BodyText"/>
              <w:ind w:firstLine="0"/>
              <w:jc w:val="center"/>
              <w:rPr>
                <w:sz w:val="22"/>
                <w:szCs w:val="22"/>
              </w:rPr>
            </w:pPr>
            <w:r>
              <w:rPr>
                <w:sz w:val="22"/>
                <w:szCs w:val="22"/>
              </w:rPr>
              <w:t>Thermal spectra</w:t>
            </w:r>
          </w:p>
          <w:p w14:paraId="4226C5F5" w14:textId="21164634" w:rsidR="00A44F03" w:rsidRPr="000552F9" w:rsidRDefault="00A44F03" w:rsidP="007B7BC2">
            <w:pPr>
              <w:pStyle w:val="BodyText"/>
              <w:ind w:firstLine="0"/>
              <w:jc w:val="center"/>
              <w:rPr>
                <w:sz w:val="22"/>
                <w:szCs w:val="22"/>
              </w:rPr>
            </w:pPr>
            <w:r>
              <w:rPr>
                <w:sz w:val="22"/>
                <w:szCs w:val="22"/>
              </w:rPr>
              <w:t>(1 eV)</w:t>
            </w:r>
          </w:p>
        </w:tc>
        <w:tc>
          <w:tcPr>
            <w:tcW w:w="1742" w:type="dxa"/>
            <w:tcBorders>
              <w:top w:val="single" w:sz="4" w:space="0" w:color="auto"/>
              <w:bottom w:val="single" w:sz="4" w:space="0" w:color="auto"/>
            </w:tcBorders>
          </w:tcPr>
          <w:p w14:paraId="3E8650F6" w14:textId="77777777" w:rsidR="00A44F03" w:rsidRDefault="00A44F03" w:rsidP="007B7BC2">
            <w:pPr>
              <w:pStyle w:val="BodyText"/>
              <w:ind w:firstLine="0"/>
              <w:jc w:val="center"/>
              <w:rPr>
                <w:sz w:val="22"/>
                <w:szCs w:val="22"/>
              </w:rPr>
            </w:pPr>
            <w:r>
              <w:rPr>
                <w:sz w:val="22"/>
                <w:szCs w:val="22"/>
              </w:rPr>
              <w:t>Fast spectra</w:t>
            </w:r>
          </w:p>
          <w:p w14:paraId="64852B22" w14:textId="1C2C9E77" w:rsidR="00A44F03" w:rsidRPr="000552F9" w:rsidRDefault="00A44F03" w:rsidP="00A44F03">
            <w:pPr>
              <w:pStyle w:val="BodyText"/>
              <w:ind w:firstLine="0"/>
              <w:jc w:val="center"/>
              <w:rPr>
                <w:sz w:val="22"/>
                <w:szCs w:val="22"/>
              </w:rPr>
            </w:pPr>
            <w:r>
              <w:rPr>
                <w:sz w:val="22"/>
                <w:szCs w:val="22"/>
              </w:rPr>
              <w:t>(0.2 MeV)</w:t>
            </w:r>
          </w:p>
        </w:tc>
        <w:tc>
          <w:tcPr>
            <w:tcW w:w="1742" w:type="dxa"/>
            <w:tcBorders>
              <w:top w:val="single" w:sz="4" w:space="0" w:color="auto"/>
              <w:bottom w:val="single" w:sz="4" w:space="0" w:color="auto"/>
            </w:tcBorders>
          </w:tcPr>
          <w:p w14:paraId="7FCAF10C" w14:textId="4B01F5D3" w:rsidR="00A44F03" w:rsidRPr="000552F9" w:rsidRDefault="00A44F03" w:rsidP="007B7BC2">
            <w:pPr>
              <w:pStyle w:val="BodyText"/>
              <w:ind w:firstLine="0"/>
              <w:jc w:val="center"/>
              <w:rPr>
                <w:sz w:val="22"/>
                <w:szCs w:val="22"/>
              </w:rPr>
            </w:pPr>
            <w:r>
              <w:rPr>
                <w:sz w:val="22"/>
                <w:szCs w:val="22"/>
              </w:rPr>
              <w:t>FNS</w:t>
            </w:r>
          </w:p>
        </w:tc>
      </w:tr>
      <w:tr w:rsidR="00A44F03" w:rsidRPr="000552F9" w14:paraId="1BCF5273" w14:textId="278E4FAC" w:rsidTr="005A2AAB">
        <w:trPr>
          <w:jc w:val="center"/>
        </w:trPr>
        <w:tc>
          <w:tcPr>
            <w:tcW w:w="2629" w:type="dxa"/>
            <w:tcBorders>
              <w:top w:val="single" w:sz="4" w:space="0" w:color="auto"/>
            </w:tcBorders>
          </w:tcPr>
          <w:p w14:paraId="6E9BE1E8" w14:textId="4A5A9DFB" w:rsidR="00A44F03" w:rsidRPr="000552F9" w:rsidRDefault="005A2AAB" w:rsidP="007B7BC2">
            <w:pPr>
              <w:pStyle w:val="BodyText"/>
              <w:ind w:firstLine="0"/>
              <w:rPr>
                <w:sz w:val="22"/>
                <w:szCs w:val="22"/>
              </w:rPr>
            </w:pPr>
            <w:r>
              <w:rPr>
                <w:rStyle w:val="TabletextChar"/>
              </w:rPr>
              <w:t>Capture cross-section (b)</w:t>
            </w:r>
          </w:p>
        </w:tc>
        <w:tc>
          <w:tcPr>
            <w:tcW w:w="1741" w:type="dxa"/>
            <w:tcBorders>
              <w:top w:val="single" w:sz="4" w:space="0" w:color="auto"/>
            </w:tcBorders>
          </w:tcPr>
          <w:p w14:paraId="6D367DF6" w14:textId="4414D532" w:rsidR="00A44F03" w:rsidRPr="000552F9" w:rsidRDefault="005A2AAB" w:rsidP="007B7BC2">
            <w:pPr>
              <w:pStyle w:val="BodyText"/>
              <w:ind w:firstLine="0"/>
              <w:jc w:val="center"/>
              <w:rPr>
                <w:sz w:val="22"/>
                <w:szCs w:val="22"/>
              </w:rPr>
            </w:pPr>
            <w:r>
              <w:rPr>
                <w:sz w:val="22"/>
                <w:szCs w:val="22"/>
              </w:rPr>
              <w:t>1.3</w:t>
            </w:r>
          </w:p>
        </w:tc>
        <w:tc>
          <w:tcPr>
            <w:tcW w:w="1742" w:type="dxa"/>
            <w:tcBorders>
              <w:top w:val="single" w:sz="4" w:space="0" w:color="auto"/>
            </w:tcBorders>
          </w:tcPr>
          <w:p w14:paraId="5E8B29CC" w14:textId="5529F75A" w:rsidR="00A44F03" w:rsidRPr="000552F9" w:rsidRDefault="005A2AAB" w:rsidP="007B7BC2">
            <w:pPr>
              <w:pStyle w:val="BodyText"/>
              <w:ind w:firstLine="0"/>
              <w:jc w:val="center"/>
              <w:rPr>
                <w:sz w:val="22"/>
                <w:szCs w:val="22"/>
              </w:rPr>
            </w:pPr>
            <w:r>
              <w:rPr>
                <w:sz w:val="22"/>
                <w:szCs w:val="22"/>
              </w:rPr>
              <w:t>0.07</w:t>
            </w:r>
          </w:p>
        </w:tc>
        <w:tc>
          <w:tcPr>
            <w:tcW w:w="1742" w:type="dxa"/>
            <w:tcBorders>
              <w:top w:val="single" w:sz="4" w:space="0" w:color="auto"/>
            </w:tcBorders>
          </w:tcPr>
          <w:p w14:paraId="19934C22" w14:textId="348C79DC" w:rsidR="00A44F03" w:rsidRPr="000552F9" w:rsidRDefault="005A2AAB" w:rsidP="007B7BC2">
            <w:pPr>
              <w:pStyle w:val="BodyText"/>
              <w:ind w:firstLine="0"/>
              <w:jc w:val="center"/>
              <w:rPr>
                <w:sz w:val="22"/>
                <w:szCs w:val="22"/>
              </w:rPr>
            </w:pPr>
            <w:r>
              <w:rPr>
                <w:sz w:val="22"/>
                <w:szCs w:val="22"/>
              </w:rPr>
              <w:t>3.12</w:t>
            </w:r>
          </w:p>
        </w:tc>
      </w:tr>
      <w:tr w:rsidR="00A44F03" w:rsidRPr="000552F9" w14:paraId="229ADD6A" w14:textId="42DC753D" w:rsidTr="005A2AAB">
        <w:trPr>
          <w:jc w:val="center"/>
        </w:trPr>
        <w:tc>
          <w:tcPr>
            <w:tcW w:w="2629" w:type="dxa"/>
          </w:tcPr>
          <w:p w14:paraId="6D25CD1D" w14:textId="77777777" w:rsidR="00A44F03" w:rsidRDefault="005A2AAB" w:rsidP="007B7BC2">
            <w:pPr>
              <w:pStyle w:val="BodyText"/>
              <w:ind w:firstLine="0"/>
              <w:rPr>
                <w:sz w:val="22"/>
                <w:szCs w:val="22"/>
              </w:rPr>
            </w:pPr>
            <w:r>
              <w:rPr>
                <w:sz w:val="22"/>
                <w:szCs w:val="22"/>
              </w:rPr>
              <w:t>Neutron flux  (n/(cm</w:t>
            </w:r>
            <w:r>
              <w:rPr>
                <w:sz w:val="22"/>
                <w:szCs w:val="22"/>
                <w:vertAlign w:val="superscript"/>
              </w:rPr>
              <w:t>2</w:t>
            </w:r>
            <w:r>
              <w:rPr>
                <w:sz w:val="22"/>
                <w:szCs w:val="22"/>
              </w:rPr>
              <w:t xml:space="preserve"> s)</w:t>
            </w:r>
          </w:p>
          <w:p w14:paraId="7B9AC95C" w14:textId="4F17F32C" w:rsidR="005A2AAB" w:rsidRPr="000552F9" w:rsidRDefault="005A2AAB" w:rsidP="007B7BC2">
            <w:pPr>
              <w:pStyle w:val="BodyText"/>
              <w:ind w:firstLine="0"/>
              <w:rPr>
                <w:sz w:val="22"/>
                <w:szCs w:val="22"/>
              </w:rPr>
            </w:pPr>
            <w:r>
              <w:rPr>
                <w:sz w:val="22"/>
                <w:szCs w:val="22"/>
              </w:rPr>
              <w:t>Mean life time</w:t>
            </w:r>
          </w:p>
        </w:tc>
        <w:tc>
          <w:tcPr>
            <w:tcW w:w="1741" w:type="dxa"/>
          </w:tcPr>
          <w:p w14:paraId="6430463B" w14:textId="77777777" w:rsidR="00A44F03" w:rsidRDefault="005A2AAB" w:rsidP="007B7BC2">
            <w:pPr>
              <w:pStyle w:val="BodyText"/>
              <w:ind w:firstLine="0"/>
              <w:jc w:val="center"/>
              <w:rPr>
                <w:sz w:val="22"/>
                <w:szCs w:val="22"/>
              </w:rPr>
            </w:pPr>
            <w:r>
              <w:rPr>
                <w:sz w:val="22"/>
                <w:szCs w:val="22"/>
              </w:rPr>
              <w:t>10</w:t>
            </w:r>
            <w:r>
              <w:rPr>
                <w:sz w:val="22"/>
                <w:szCs w:val="22"/>
                <w:vertAlign w:val="superscript"/>
              </w:rPr>
              <w:t xml:space="preserve">14 </w:t>
            </w:r>
          </w:p>
          <w:p w14:paraId="7C2BC87A" w14:textId="51A66E0E" w:rsidR="005A2AAB" w:rsidRPr="005A2AAB" w:rsidRDefault="005A2AAB" w:rsidP="007B7BC2">
            <w:pPr>
              <w:pStyle w:val="BodyText"/>
              <w:ind w:firstLine="0"/>
              <w:jc w:val="center"/>
              <w:rPr>
                <w:sz w:val="22"/>
                <w:szCs w:val="22"/>
              </w:rPr>
            </w:pPr>
            <w:r>
              <w:rPr>
                <w:sz w:val="22"/>
                <w:szCs w:val="22"/>
              </w:rPr>
              <w:t>240</w:t>
            </w:r>
          </w:p>
        </w:tc>
        <w:tc>
          <w:tcPr>
            <w:tcW w:w="1742" w:type="dxa"/>
          </w:tcPr>
          <w:p w14:paraId="362A29BA" w14:textId="77777777" w:rsidR="00A44F03" w:rsidRDefault="005A2AAB" w:rsidP="007B7BC2">
            <w:pPr>
              <w:pStyle w:val="BodyText"/>
              <w:ind w:firstLine="0"/>
              <w:jc w:val="center"/>
              <w:rPr>
                <w:sz w:val="22"/>
                <w:szCs w:val="22"/>
                <w:vertAlign w:val="superscript"/>
              </w:rPr>
            </w:pPr>
            <w:r>
              <w:rPr>
                <w:sz w:val="22"/>
                <w:szCs w:val="22"/>
              </w:rPr>
              <w:t>10</w:t>
            </w:r>
            <w:r>
              <w:rPr>
                <w:sz w:val="22"/>
                <w:szCs w:val="22"/>
                <w:vertAlign w:val="superscript"/>
              </w:rPr>
              <w:t>15</w:t>
            </w:r>
          </w:p>
          <w:p w14:paraId="36B6EC7A" w14:textId="4CEAA345" w:rsidR="005A2AAB" w:rsidRPr="005A2AAB" w:rsidRDefault="005A2AAB" w:rsidP="007B7BC2">
            <w:pPr>
              <w:pStyle w:val="BodyText"/>
              <w:ind w:firstLine="0"/>
              <w:jc w:val="center"/>
              <w:rPr>
                <w:sz w:val="22"/>
                <w:szCs w:val="22"/>
              </w:rPr>
            </w:pPr>
            <w:r>
              <w:rPr>
                <w:sz w:val="22"/>
                <w:szCs w:val="22"/>
              </w:rPr>
              <w:t>450</w:t>
            </w:r>
          </w:p>
        </w:tc>
        <w:tc>
          <w:tcPr>
            <w:tcW w:w="1742" w:type="dxa"/>
          </w:tcPr>
          <w:p w14:paraId="219486B4" w14:textId="77777777" w:rsidR="00A44F03" w:rsidRDefault="005A2AAB" w:rsidP="007B7BC2">
            <w:pPr>
              <w:pStyle w:val="BodyText"/>
              <w:ind w:firstLine="0"/>
              <w:jc w:val="center"/>
              <w:rPr>
                <w:sz w:val="22"/>
                <w:szCs w:val="22"/>
                <w:vertAlign w:val="superscript"/>
              </w:rPr>
            </w:pPr>
            <w:r>
              <w:rPr>
                <w:sz w:val="22"/>
                <w:szCs w:val="22"/>
              </w:rPr>
              <w:t>4.75 10</w:t>
            </w:r>
            <w:r>
              <w:rPr>
                <w:sz w:val="22"/>
                <w:szCs w:val="22"/>
                <w:vertAlign w:val="superscript"/>
              </w:rPr>
              <w:t>14</w:t>
            </w:r>
          </w:p>
          <w:p w14:paraId="1E8A8A8A" w14:textId="5BB61C4B" w:rsidR="005A2AAB" w:rsidRPr="005A2AAB" w:rsidRDefault="005A2AAB" w:rsidP="007B7BC2">
            <w:pPr>
              <w:pStyle w:val="BodyText"/>
              <w:ind w:firstLine="0"/>
              <w:jc w:val="center"/>
              <w:rPr>
                <w:sz w:val="22"/>
                <w:szCs w:val="22"/>
              </w:rPr>
            </w:pPr>
            <w:r>
              <w:rPr>
                <w:sz w:val="22"/>
                <w:szCs w:val="22"/>
              </w:rPr>
              <w:t>21</w:t>
            </w:r>
          </w:p>
        </w:tc>
      </w:tr>
    </w:tbl>
    <w:p w14:paraId="166B0327" w14:textId="31CFAAA2" w:rsidR="00362CD8" w:rsidRPr="00F95BB9" w:rsidRDefault="00227AD4" w:rsidP="00227AD4">
      <w:pPr>
        <w:overflowPunct/>
        <w:autoSpaceDE/>
        <w:autoSpaceDN/>
        <w:adjustRightInd/>
        <w:spacing w:before="280" w:after="280"/>
        <w:jc w:val="both"/>
        <w:textAlignment w:val="auto"/>
        <w:rPr>
          <w:sz w:val="24"/>
          <w:lang w:val="en-US"/>
        </w:rPr>
      </w:pPr>
      <w:r>
        <w:rPr>
          <w:sz w:val="24"/>
        </w:rPr>
        <w:t>At first wall load of 2.5 MW/m</w:t>
      </w:r>
      <w:r>
        <w:rPr>
          <w:sz w:val="24"/>
          <w:vertAlign w:val="superscript"/>
        </w:rPr>
        <w:t>2</w:t>
      </w:r>
      <w:r>
        <w:rPr>
          <w:sz w:val="24"/>
        </w:rPr>
        <w:t xml:space="preserve"> mean life-time of </w:t>
      </w:r>
      <w:r>
        <w:rPr>
          <w:sz w:val="24"/>
          <w:vertAlign w:val="superscript"/>
        </w:rPr>
        <w:t>135</w:t>
      </w:r>
      <w:r>
        <w:rPr>
          <w:sz w:val="24"/>
        </w:rPr>
        <w:t>Cs drops to 7.34 yr</w:t>
      </w:r>
      <w:r w:rsidR="00F95BB9">
        <w:rPr>
          <w:sz w:val="24"/>
        </w:rPr>
        <w:t>s</w:t>
      </w:r>
      <w:r>
        <w:rPr>
          <w:sz w:val="24"/>
        </w:rPr>
        <w:t xml:space="preserve">. PWR reactor park supported by one FNS appears to be about 29 </w:t>
      </w:r>
      <w:proofErr w:type="spellStart"/>
      <w:r>
        <w:rPr>
          <w:sz w:val="24"/>
        </w:rPr>
        <w:t>GWe</w:t>
      </w:r>
      <w:proofErr w:type="spellEnd"/>
      <w:r>
        <w:rPr>
          <w:sz w:val="24"/>
        </w:rPr>
        <w:t xml:space="preserve"> and the share of power associated with </w:t>
      </w:r>
      <w:proofErr w:type="spellStart"/>
      <w:r>
        <w:rPr>
          <w:sz w:val="24"/>
        </w:rPr>
        <w:t>cesium</w:t>
      </w:r>
      <w:proofErr w:type="spellEnd"/>
      <w:r>
        <w:rPr>
          <w:sz w:val="24"/>
        </w:rPr>
        <w:t xml:space="preserve"> transmutation is 4% (</w:t>
      </w:r>
      <w:proofErr w:type="spellStart"/>
      <w:r>
        <w:rPr>
          <w:sz w:val="24"/>
        </w:rPr>
        <w:t>cesium</w:t>
      </w:r>
      <w:proofErr w:type="spellEnd"/>
      <w:r>
        <w:rPr>
          <w:sz w:val="24"/>
        </w:rPr>
        <w:t xml:space="preserve"> accumulation rate is 70 kg/</w:t>
      </w:r>
      <w:proofErr w:type="spellStart"/>
      <w:r>
        <w:rPr>
          <w:sz w:val="24"/>
        </w:rPr>
        <w:t>GW</w:t>
      </w:r>
      <w:r>
        <w:rPr>
          <w:sz w:val="24"/>
          <w:vertAlign w:val="subscript"/>
        </w:rPr>
        <w:t>el</w:t>
      </w:r>
      <w:proofErr w:type="spellEnd"/>
      <w:r>
        <w:rPr>
          <w:sz w:val="24"/>
          <w:vertAlign w:val="subscript"/>
        </w:rPr>
        <w:t xml:space="preserve"> </w:t>
      </w:r>
      <w:proofErr w:type="spellStart"/>
      <w:r>
        <w:rPr>
          <w:sz w:val="24"/>
        </w:rPr>
        <w:t>yr</w:t>
      </w:r>
      <w:proofErr w:type="spellEnd"/>
      <w:r>
        <w:rPr>
          <w:sz w:val="24"/>
        </w:rPr>
        <w:t xml:space="preserve"> for typical PWR with burnup of 33 </w:t>
      </w:r>
      <w:proofErr w:type="spellStart"/>
      <w:r>
        <w:rPr>
          <w:sz w:val="24"/>
        </w:rPr>
        <w:t>GWd</w:t>
      </w:r>
      <w:proofErr w:type="spellEnd"/>
      <w:r>
        <w:rPr>
          <w:sz w:val="24"/>
        </w:rPr>
        <w:t xml:space="preserve">/t was assumed for </w:t>
      </w:r>
      <w:r w:rsidRPr="00F95BB9">
        <w:rPr>
          <w:sz w:val="24"/>
        </w:rPr>
        <w:t>estimation) [</w:t>
      </w:r>
      <w:r w:rsidR="00F95BB9" w:rsidRPr="00F95BB9">
        <w:rPr>
          <w:sz w:val="24"/>
        </w:rPr>
        <w:t>4</w:t>
      </w:r>
      <w:r w:rsidRPr="00F95BB9">
        <w:rPr>
          <w:sz w:val="24"/>
        </w:rPr>
        <w:t>].</w:t>
      </w:r>
      <w:r w:rsidR="00362CD8" w:rsidRPr="00362CD8">
        <w:rPr>
          <w:sz w:val="24"/>
        </w:rPr>
        <w:t xml:space="preserve"> </w:t>
      </w:r>
    </w:p>
    <w:p w14:paraId="44C818DF" w14:textId="66C92ADE" w:rsidR="00227AD4" w:rsidRPr="00227AD4" w:rsidRDefault="00F95BB9" w:rsidP="00227AD4">
      <w:pPr>
        <w:overflowPunct/>
        <w:autoSpaceDE/>
        <w:autoSpaceDN/>
        <w:adjustRightInd/>
        <w:spacing w:before="280" w:after="280"/>
        <w:jc w:val="both"/>
        <w:textAlignment w:val="auto"/>
        <w:rPr>
          <w:lang w:val="en-US"/>
        </w:rPr>
      </w:pPr>
      <w:r>
        <w:rPr>
          <w:sz w:val="24"/>
          <w:lang w:val="en-US"/>
        </w:rPr>
        <w:t>With such an excellent transmutation characteristics</w:t>
      </w:r>
      <w:r>
        <w:rPr>
          <w:sz w:val="24"/>
        </w:rPr>
        <w:t xml:space="preserve"> </w:t>
      </w:r>
      <w:r w:rsidR="00362CD8">
        <w:rPr>
          <w:sz w:val="24"/>
        </w:rPr>
        <w:t>positive energy balance in a single</w:t>
      </w:r>
      <w:r>
        <w:rPr>
          <w:sz w:val="24"/>
        </w:rPr>
        <w:t xml:space="preserve"> fusion</w:t>
      </w:r>
      <w:r w:rsidR="00362CD8">
        <w:rPr>
          <w:sz w:val="24"/>
        </w:rPr>
        <w:t xml:space="preserve"> facility is welcome but not </w:t>
      </w:r>
      <w:proofErr w:type="gramStart"/>
      <w:r w:rsidR="00362CD8">
        <w:rPr>
          <w:sz w:val="24"/>
        </w:rPr>
        <w:t>absolutely necessary</w:t>
      </w:r>
      <w:proofErr w:type="gramEnd"/>
      <w:r w:rsidR="00362CD8">
        <w:rPr>
          <w:sz w:val="24"/>
        </w:rPr>
        <w:t xml:space="preserve"> </w:t>
      </w:r>
      <w:r>
        <w:rPr>
          <w:sz w:val="24"/>
        </w:rPr>
        <w:t>if we consider hybrid nuclear energy system consisting of fusion reactors and fusion</w:t>
      </w:r>
      <w:r w:rsidR="00F16849">
        <w:rPr>
          <w:sz w:val="24"/>
        </w:rPr>
        <w:t xml:space="preserve">-based </w:t>
      </w:r>
      <w:r w:rsidR="00F903FF">
        <w:rPr>
          <w:sz w:val="24"/>
        </w:rPr>
        <w:t>transmuters</w:t>
      </w:r>
      <w:r w:rsidR="00F16849">
        <w:rPr>
          <w:sz w:val="24"/>
        </w:rPr>
        <w:t>.</w:t>
      </w:r>
      <w:r w:rsidR="00181539">
        <w:rPr>
          <w:sz w:val="24"/>
        </w:rPr>
        <w:t xml:space="preserve"> Power to feed plasma could be supplied by fission reactors. </w:t>
      </w:r>
      <w:r w:rsidR="00F16849">
        <w:rPr>
          <w:sz w:val="24"/>
        </w:rPr>
        <w:t>R</w:t>
      </w:r>
      <w:r w:rsidR="00362CD8">
        <w:rPr>
          <w:sz w:val="24"/>
        </w:rPr>
        <w:t xml:space="preserve">egardless of </w:t>
      </w:r>
      <w:r w:rsidR="00362CD8">
        <w:rPr>
          <w:i/>
          <w:iCs/>
          <w:sz w:val="24"/>
        </w:rPr>
        <w:t>Q</w:t>
      </w:r>
      <w:r w:rsidR="00362CD8">
        <w:rPr>
          <w:sz w:val="24"/>
        </w:rPr>
        <w:t>-value</w:t>
      </w:r>
      <w:r w:rsidR="00F16849">
        <w:rPr>
          <w:sz w:val="24"/>
        </w:rPr>
        <w:t xml:space="preserve"> it gives the</w:t>
      </w:r>
      <w:r w:rsidR="00D936C6">
        <w:rPr>
          <w:sz w:val="24"/>
        </w:rPr>
        <w:t xml:space="preserve"> chance to achieve </w:t>
      </w:r>
      <w:r w:rsidR="00181539">
        <w:rPr>
          <w:sz w:val="24"/>
        </w:rPr>
        <w:t>synergistic effect through fission-fusion combi</w:t>
      </w:r>
      <w:r w:rsidR="00151777">
        <w:rPr>
          <w:sz w:val="24"/>
        </w:rPr>
        <w:t>n</w:t>
      </w:r>
      <w:r w:rsidR="00181539">
        <w:rPr>
          <w:sz w:val="24"/>
        </w:rPr>
        <w:t>ation that could solve the problem of long-lived radiotoxicity in deep geological storage</w:t>
      </w:r>
      <w:r w:rsidR="00151777">
        <w:rPr>
          <w:sz w:val="24"/>
        </w:rPr>
        <w:t xml:space="preserve"> and bring nuclear power to the category of “green” energy sources</w:t>
      </w:r>
      <w:r w:rsidR="00181539">
        <w:rPr>
          <w:sz w:val="24"/>
        </w:rPr>
        <w:t xml:space="preserve">.  </w:t>
      </w:r>
    </w:p>
    <w:p w14:paraId="7940A763" w14:textId="06D1D19C" w:rsidR="00227AD4" w:rsidRDefault="00227AD4" w:rsidP="00227AD4">
      <w:pPr>
        <w:overflowPunct/>
        <w:autoSpaceDE/>
        <w:autoSpaceDN/>
        <w:adjustRightInd/>
        <w:spacing w:before="280" w:after="280"/>
        <w:jc w:val="both"/>
        <w:textAlignment w:val="auto"/>
        <w:rPr>
          <w:lang w:val="en-US"/>
        </w:rPr>
      </w:pPr>
    </w:p>
    <w:p w14:paraId="197201E0" w14:textId="406267D7"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lastRenderedPageBreak/>
        <w:t>References</w:t>
      </w:r>
    </w:p>
    <w:p w14:paraId="0D1F5F1F" w14:textId="04D166A1" w:rsidR="006C006A" w:rsidRPr="006C006A" w:rsidRDefault="006C006A" w:rsidP="006C006A">
      <w:pPr>
        <w:pStyle w:val="Referencelist"/>
        <w:ind w:left="567" w:hanging="567"/>
        <w:jc w:val="left"/>
        <w:rPr>
          <w:sz w:val="22"/>
          <w:szCs w:val="22"/>
        </w:rPr>
      </w:pPr>
      <w:r>
        <w:rPr>
          <w:sz w:val="22"/>
          <w:szCs w:val="22"/>
        </w:rPr>
        <w:t xml:space="preserve">Taxonomy Report: Technical Annex, 2020, </w:t>
      </w:r>
      <w:hyperlink r:id="rId12" w:history="1">
        <w:r w:rsidRPr="006C006A">
          <w:rPr>
            <w:sz w:val="22"/>
            <w:szCs w:val="22"/>
          </w:rPr>
          <w:t>https://ec.europa.eu/info/sites/default/files/business_economy_euro/banking_and_finance/documents/200309-sustainable-finance-teg-final-report-taxonomy-annexes_en.pdf</w:t>
        </w:r>
      </w:hyperlink>
    </w:p>
    <w:p w14:paraId="146A637B" w14:textId="676AA090" w:rsidR="006C006A" w:rsidRPr="006C006A" w:rsidRDefault="00151777" w:rsidP="006C006A">
      <w:pPr>
        <w:pStyle w:val="Referencelist"/>
        <w:ind w:left="567" w:hanging="567"/>
        <w:jc w:val="left"/>
        <w:rPr>
          <w:sz w:val="22"/>
          <w:szCs w:val="22"/>
        </w:rPr>
      </w:pPr>
      <w:r>
        <w:rPr>
          <w:sz w:val="22"/>
          <w:szCs w:val="22"/>
        </w:rPr>
        <w:t>JRC Science for Policy Report:</w:t>
      </w:r>
      <w:r w:rsidR="006C006A">
        <w:rPr>
          <w:sz w:val="22"/>
          <w:szCs w:val="22"/>
        </w:rPr>
        <w:t xml:space="preserve"> Technical Assessment of Nuclear Energy with Respect to “No Significant Harm” Criteria of Regulation (EU) 2020/852 (“Taxonomy Regulation”), 2021 </w:t>
      </w:r>
      <w:hyperlink r:id="rId13" w:history="1">
        <w:r w:rsidR="006C006A" w:rsidRPr="006C006A">
          <w:rPr>
            <w:sz w:val="22"/>
            <w:szCs w:val="22"/>
          </w:rPr>
          <w:t>https://ec.europa.eu/info/sites/default/files/business_economy_euro/banking_and_finance/documents/210329-jrc-report-nuclear-energy-assessment_en.pdf</w:t>
        </w:r>
      </w:hyperlink>
    </w:p>
    <w:p w14:paraId="6AE2F206" w14:textId="1ACAA4AA" w:rsidR="006C006A" w:rsidRDefault="006C006A" w:rsidP="00434009">
      <w:pPr>
        <w:pStyle w:val="Referencelist"/>
        <w:ind w:left="567" w:hanging="567"/>
        <w:jc w:val="left"/>
        <w:rPr>
          <w:sz w:val="22"/>
          <w:szCs w:val="22"/>
        </w:rPr>
      </w:pPr>
      <w:r w:rsidRPr="006C006A">
        <w:rPr>
          <w:sz w:val="22"/>
          <w:szCs w:val="22"/>
        </w:rPr>
        <w:t>T</w:t>
      </w:r>
      <w:r>
        <w:rPr>
          <w:sz w:val="22"/>
          <w:szCs w:val="22"/>
        </w:rPr>
        <w:t>AKIBAEV, A., SAITO</w:t>
      </w:r>
      <w:r w:rsidRPr="006C006A">
        <w:rPr>
          <w:sz w:val="22"/>
          <w:szCs w:val="22"/>
        </w:rPr>
        <w:t xml:space="preserve">, </w:t>
      </w:r>
      <w:r w:rsidR="00151777">
        <w:rPr>
          <w:sz w:val="22"/>
          <w:szCs w:val="22"/>
        </w:rPr>
        <w:t>M., ARTISIUK,V.,</w:t>
      </w:r>
      <w:r w:rsidRPr="006C006A">
        <w:rPr>
          <w:sz w:val="22"/>
          <w:szCs w:val="22"/>
        </w:rPr>
        <w:t xml:space="preserve"> </w:t>
      </w:r>
      <w:r>
        <w:rPr>
          <w:sz w:val="22"/>
          <w:szCs w:val="22"/>
        </w:rPr>
        <w:t>SAGARA, H.</w:t>
      </w:r>
      <w:r w:rsidRPr="006C006A">
        <w:rPr>
          <w:sz w:val="22"/>
          <w:szCs w:val="22"/>
        </w:rPr>
        <w:t>, Fusion-driven transmutation of selected long-lived fission products, Progress in Nuclear Energy, 47, 354-360</w:t>
      </w:r>
      <w:r w:rsidR="00F95BB9">
        <w:rPr>
          <w:sz w:val="22"/>
          <w:szCs w:val="22"/>
        </w:rPr>
        <w:t xml:space="preserve"> (</w:t>
      </w:r>
      <w:r>
        <w:rPr>
          <w:sz w:val="22"/>
          <w:szCs w:val="22"/>
        </w:rPr>
        <w:t>2005</w:t>
      </w:r>
      <w:r w:rsidR="00F95BB9">
        <w:rPr>
          <w:sz w:val="22"/>
          <w:szCs w:val="22"/>
        </w:rPr>
        <w:t>)</w:t>
      </w:r>
    </w:p>
    <w:p w14:paraId="13B0C5A7" w14:textId="6B1BBE3C" w:rsidR="00F95BB9" w:rsidRDefault="006C006A" w:rsidP="00F95BB9">
      <w:pPr>
        <w:pStyle w:val="Referencelist"/>
        <w:ind w:left="567" w:hanging="567"/>
        <w:jc w:val="left"/>
        <w:rPr>
          <w:rFonts w:eastAsiaTheme="minorHAnsi"/>
          <w:sz w:val="22"/>
          <w:szCs w:val="20"/>
          <w:lang w:eastAsia="ar-SA"/>
        </w:rPr>
      </w:pPr>
      <w:r w:rsidRPr="006C006A">
        <w:rPr>
          <w:sz w:val="22"/>
          <w:szCs w:val="22"/>
        </w:rPr>
        <w:t xml:space="preserve"> </w:t>
      </w:r>
      <w:r w:rsidR="00F95BB9">
        <w:rPr>
          <w:sz w:val="22"/>
          <w:szCs w:val="22"/>
        </w:rPr>
        <w:t>SAITO</w:t>
      </w:r>
      <w:r w:rsidR="00604C59" w:rsidRPr="00DF3A79">
        <w:rPr>
          <w:sz w:val="22"/>
          <w:szCs w:val="22"/>
        </w:rPr>
        <w:t>,</w:t>
      </w:r>
      <w:r w:rsidR="00F95BB9">
        <w:rPr>
          <w:sz w:val="22"/>
          <w:szCs w:val="22"/>
        </w:rPr>
        <w:t xml:space="preserve"> M., et al</w:t>
      </w:r>
      <w:r w:rsidR="00151777">
        <w:rPr>
          <w:sz w:val="22"/>
          <w:szCs w:val="22"/>
        </w:rPr>
        <w:t>,</w:t>
      </w:r>
      <w:r w:rsidR="00F95BB9" w:rsidRPr="00F95BB9">
        <w:rPr>
          <w:sz w:val="22"/>
          <w:szCs w:val="22"/>
        </w:rPr>
        <w:t xml:space="preserve"> Transmutation of Elemental Cesium by a Fusion Neutron Source, Nuclear tec</w:t>
      </w:r>
      <w:r w:rsidR="00F95BB9">
        <w:rPr>
          <w:sz w:val="22"/>
          <w:szCs w:val="22"/>
        </w:rPr>
        <w:t>hnology, v.133, N 2, p.213-228 (</w:t>
      </w:r>
      <w:r w:rsidR="00F95BB9" w:rsidRPr="00F95BB9">
        <w:rPr>
          <w:sz w:val="22"/>
          <w:szCs w:val="22"/>
        </w:rPr>
        <w:t>2001</w:t>
      </w:r>
      <w:r w:rsidR="00F95BB9">
        <w:rPr>
          <w:sz w:val="22"/>
          <w:szCs w:val="22"/>
        </w:rPr>
        <w:t xml:space="preserve">) </w:t>
      </w:r>
    </w:p>
    <w:p w14:paraId="073392DD" w14:textId="77777777" w:rsidR="00F95BB9" w:rsidRPr="00F95BB9" w:rsidRDefault="00F95BB9" w:rsidP="00434009">
      <w:pPr>
        <w:pStyle w:val="Referencelist"/>
        <w:numPr>
          <w:ilvl w:val="0"/>
          <w:numId w:val="0"/>
        </w:numPr>
        <w:ind w:left="720" w:hanging="360"/>
        <w:rPr>
          <w:rFonts w:eastAsiaTheme="minorHAnsi"/>
          <w:sz w:val="22"/>
          <w:szCs w:val="20"/>
          <w:lang w:val="en-US" w:eastAsia="ar-SA"/>
        </w:rPr>
      </w:pPr>
    </w:p>
    <w:sectPr w:rsidR="00F95BB9" w:rsidRPr="00F95BB9" w:rsidSect="0026525A">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C552" w14:textId="77777777" w:rsidR="000902EF" w:rsidRDefault="000902EF">
      <w:r>
        <w:separator/>
      </w:r>
    </w:p>
  </w:endnote>
  <w:endnote w:type="continuationSeparator" w:id="0">
    <w:p w14:paraId="1EA50B9D" w14:textId="77777777" w:rsidR="000902EF" w:rsidRDefault="0009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2EEFB9A2" w:rsidR="00E20E70" w:rsidRDefault="00E20E70">
    <w:pPr>
      <w:pStyle w:val="zyxClassification1"/>
    </w:pPr>
    <w:r>
      <w:fldChar w:fldCharType="begin"/>
    </w:r>
    <w:r>
      <w:instrText xml:space="preserve"> DOCPROPERTY "IaeaClassification"  \* MERGEFORMAT </w:instrText>
    </w:r>
    <w:r>
      <w:fldChar w:fldCharType="end"/>
    </w:r>
  </w:p>
  <w:p w14:paraId="200521DA" w14:textId="52B08CD5"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57EF8EBF"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3094D41E"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34B6926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40A6B00C"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1FD2B42"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5224B71A" w:rsidR="00E20E70" w:rsidRDefault="00E20E70">
    <w:r>
      <w:rPr>
        <w:sz w:val="16"/>
      </w:rPr>
      <w:fldChar w:fldCharType="begin"/>
    </w:r>
    <w:r>
      <w:rPr>
        <w:sz w:val="16"/>
      </w:rPr>
      <w:instrText xml:space="preserve"> FILENAME \* MERGEFORMAT </w:instrText>
    </w:r>
    <w:r>
      <w:rPr>
        <w:sz w:val="16"/>
      </w:rPr>
      <w:fldChar w:fldCharType="separate"/>
    </w:r>
    <w:r w:rsidR="00151777">
      <w:rPr>
        <w:noProof/>
        <w:sz w:val="16"/>
      </w:rPr>
      <w:t>Artisyuk_Abstract.docx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0930" w14:textId="77777777" w:rsidR="000902EF" w:rsidRDefault="000902EF">
      <w:r>
        <w:t>___________________________________________________________________________</w:t>
      </w:r>
    </w:p>
  </w:footnote>
  <w:footnote w:type="continuationSeparator" w:id="0">
    <w:p w14:paraId="74DF7612" w14:textId="77777777" w:rsidR="000902EF" w:rsidRDefault="000902EF">
      <w:r>
        <w:t>___________________________________________________________________________</w:t>
      </w:r>
    </w:p>
  </w:footnote>
  <w:footnote w:type="continuationNotice" w:id="1">
    <w:p w14:paraId="0BFA396D" w14:textId="77777777" w:rsidR="000902EF" w:rsidRDefault="00090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C957862"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22218895"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7390CF7"/>
    <w:multiLevelType w:val="hybridMultilevel"/>
    <w:tmpl w:val="286ABD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 w:numId="35">
    <w:abstractNumId w:val="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5376"/>
    <w:rsid w:val="00011C41"/>
    <w:rsid w:val="000229AB"/>
    <w:rsid w:val="0002569A"/>
    <w:rsid w:val="000300A7"/>
    <w:rsid w:val="00037321"/>
    <w:rsid w:val="000401F8"/>
    <w:rsid w:val="00046928"/>
    <w:rsid w:val="000552F9"/>
    <w:rsid w:val="0005558D"/>
    <w:rsid w:val="00070871"/>
    <w:rsid w:val="00073700"/>
    <w:rsid w:val="000902EF"/>
    <w:rsid w:val="000A0299"/>
    <w:rsid w:val="000B6BE3"/>
    <w:rsid w:val="000C6874"/>
    <w:rsid w:val="000F7E94"/>
    <w:rsid w:val="00107F61"/>
    <w:rsid w:val="001119D6"/>
    <w:rsid w:val="0012117D"/>
    <w:rsid w:val="00126389"/>
    <w:rsid w:val="001308F2"/>
    <w:rsid w:val="001313E8"/>
    <w:rsid w:val="00151777"/>
    <w:rsid w:val="00181539"/>
    <w:rsid w:val="0019014D"/>
    <w:rsid w:val="00191563"/>
    <w:rsid w:val="001C58F5"/>
    <w:rsid w:val="001D5CEE"/>
    <w:rsid w:val="001F49FB"/>
    <w:rsid w:val="002071D9"/>
    <w:rsid w:val="00213EE2"/>
    <w:rsid w:val="00227AD4"/>
    <w:rsid w:val="00235900"/>
    <w:rsid w:val="00256822"/>
    <w:rsid w:val="0026525A"/>
    <w:rsid w:val="00265CBF"/>
    <w:rsid w:val="00274790"/>
    <w:rsid w:val="00285755"/>
    <w:rsid w:val="002A1F9C"/>
    <w:rsid w:val="002B29C2"/>
    <w:rsid w:val="002C4208"/>
    <w:rsid w:val="0030347A"/>
    <w:rsid w:val="00306628"/>
    <w:rsid w:val="00335B21"/>
    <w:rsid w:val="00352DE1"/>
    <w:rsid w:val="00362CD8"/>
    <w:rsid w:val="003728E6"/>
    <w:rsid w:val="003760DD"/>
    <w:rsid w:val="003B42AB"/>
    <w:rsid w:val="003B5E0E"/>
    <w:rsid w:val="003D255A"/>
    <w:rsid w:val="00414445"/>
    <w:rsid w:val="00416949"/>
    <w:rsid w:val="00434009"/>
    <w:rsid w:val="004370D8"/>
    <w:rsid w:val="00446113"/>
    <w:rsid w:val="00472C43"/>
    <w:rsid w:val="00477099"/>
    <w:rsid w:val="00477B19"/>
    <w:rsid w:val="004910D8"/>
    <w:rsid w:val="00500352"/>
    <w:rsid w:val="00537496"/>
    <w:rsid w:val="00544ED3"/>
    <w:rsid w:val="00547F26"/>
    <w:rsid w:val="0057131A"/>
    <w:rsid w:val="0058477B"/>
    <w:rsid w:val="0058654F"/>
    <w:rsid w:val="00596ACA"/>
    <w:rsid w:val="005A2AAB"/>
    <w:rsid w:val="005B34B8"/>
    <w:rsid w:val="005B7E6B"/>
    <w:rsid w:val="005C5D2D"/>
    <w:rsid w:val="005E39BC"/>
    <w:rsid w:val="005F00A0"/>
    <w:rsid w:val="005F4AF8"/>
    <w:rsid w:val="006000B2"/>
    <w:rsid w:val="00604C59"/>
    <w:rsid w:val="00612CB0"/>
    <w:rsid w:val="00647F33"/>
    <w:rsid w:val="00654B09"/>
    <w:rsid w:val="00662532"/>
    <w:rsid w:val="00675240"/>
    <w:rsid w:val="00684298"/>
    <w:rsid w:val="006A660B"/>
    <w:rsid w:val="006B2274"/>
    <w:rsid w:val="006C006A"/>
    <w:rsid w:val="007113E8"/>
    <w:rsid w:val="00717C6F"/>
    <w:rsid w:val="007445DA"/>
    <w:rsid w:val="0075620C"/>
    <w:rsid w:val="00765630"/>
    <w:rsid w:val="00790E9A"/>
    <w:rsid w:val="007B4FD1"/>
    <w:rsid w:val="007B57CF"/>
    <w:rsid w:val="007C719D"/>
    <w:rsid w:val="007D0519"/>
    <w:rsid w:val="007E0DAD"/>
    <w:rsid w:val="00800B84"/>
    <w:rsid w:val="00802381"/>
    <w:rsid w:val="00815F3A"/>
    <w:rsid w:val="008270D0"/>
    <w:rsid w:val="00827B38"/>
    <w:rsid w:val="0085046A"/>
    <w:rsid w:val="008601BE"/>
    <w:rsid w:val="00883848"/>
    <w:rsid w:val="00890CA4"/>
    <w:rsid w:val="00897ED5"/>
    <w:rsid w:val="008B6BB9"/>
    <w:rsid w:val="008C3C89"/>
    <w:rsid w:val="008F4C98"/>
    <w:rsid w:val="008F5279"/>
    <w:rsid w:val="008F7704"/>
    <w:rsid w:val="00911543"/>
    <w:rsid w:val="00931BCD"/>
    <w:rsid w:val="009519C9"/>
    <w:rsid w:val="00995400"/>
    <w:rsid w:val="009D0B86"/>
    <w:rsid w:val="009D21F0"/>
    <w:rsid w:val="009E0D5B"/>
    <w:rsid w:val="009E1558"/>
    <w:rsid w:val="00A35701"/>
    <w:rsid w:val="00A42898"/>
    <w:rsid w:val="00A44F03"/>
    <w:rsid w:val="00A964E3"/>
    <w:rsid w:val="00AB6ACE"/>
    <w:rsid w:val="00AC5A3A"/>
    <w:rsid w:val="00AD6BB4"/>
    <w:rsid w:val="00AE0AE2"/>
    <w:rsid w:val="00AE6705"/>
    <w:rsid w:val="00AF694B"/>
    <w:rsid w:val="00B12088"/>
    <w:rsid w:val="00B1443F"/>
    <w:rsid w:val="00B4260C"/>
    <w:rsid w:val="00B54CDF"/>
    <w:rsid w:val="00B808D8"/>
    <w:rsid w:val="00B82FA5"/>
    <w:rsid w:val="00B90025"/>
    <w:rsid w:val="00BC0D33"/>
    <w:rsid w:val="00BD1400"/>
    <w:rsid w:val="00BD196C"/>
    <w:rsid w:val="00BD605C"/>
    <w:rsid w:val="00BE2A76"/>
    <w:rsid w:val="00C01AAF"/>
    <w:rsid w:val="00C520EE"/>
    <w:rsid w:val="00C65E60"/>
    <w:rsid w:val="00C95D35"/>
    <w:rsid w:val="00CB0288"/>
    <w:rsid w:val="00CD7ABF"/>
    <w:rsid w:val="00CE5A52"/>
    <w:rsid w:val="00CF026E"/>
    <w:rsid w:val="00CF7AF3"/>
    <w:rsid w:val="00D26ADA"/>
    <w:rsid w:val="00D35A78"/>
    <w:rsid w:val="00D555A1"/>
    <w:rsid w:val="00D64DC2"/>
    <w:rsid w:val="00D936C6"/>
    <w:rsid w:val="00DA46CA"/>
    <w:rsid w:val="00DA74EE"/>
    <w:rsid w:val="00DE5C99"/>
    <w:rsid w:val="00DE7061"/>
    <w:rsid w:val="00DF21EB"/>
    <w:rsid w:val="00DF3A79"/>
    <w:rsid w:val="00E20E70"/>
    <w:rsid w:val="00E25B68"/>
    <w:rsid w:val="00E84003"/>
    <w:rsid w:val="00EC10FC"/>
    <w:rsid w:val="00EE0041"/>
    <w:rsid w:val="00EE29B9"/>
    <w:rsid w:val="00EE30B2"/>
    <w:rsid w:val="00EF5DCA"/>
    <w:rsid w:val="00F004EE"/>
    <w:rsid w:val="00F041CD"/>
    <w:rsid w:val="00F16849"/>
    <w:rsid w:val="00F201C3"/>
    <w:rsid w:val="00F42E23"/>
    <w:rsid w:val="00F45EEE"/>
    <w:rsid w:val="00F51E9C"/>
    <w:rsid w:val="00F523CA"/>
    <w:rsid w:val="00F70F80"/>
    <w:rsid w:val="00F74A9D"/>
    <w:rsid w:val="00F81411"/>
    <w:rsid w:val="00F903FF"/>
    <w:rsid w:val="00F9590C"/>
    <w:rsid w:val="00F95BB9"/>
    <w:rsid w:val="00F96F6E"/>
    <w:rsid w:val="00FF359B"/>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A1C6FF72-6529-43C2-9C83-1172CCB3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ites/default/files/business_economy_euro/banking_and_finance/documents/210329-jrc-report-nuclear-energy-assessment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info/sites/default/files/business_economy_euro/banking_and_finance/documents/200309-sustainable-finance-teg-final-report-taxonomy-annexes_en.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4.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2.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795265-47CF-421B-8B2D-F6A11B4580FF}">
  <ds:schemaRefs>
    <ds:schemaRef ds:uri="http://schemas.openxmlformats.org/officeDocument/2006/bibliography"/>
  </ds:schemaRefs>
</ds:datastoreItem>
</file>

<file path=customXml/itemProps4.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7</TotalTime>
  <Pages>3</Pages>
  <Words>996</Words>
  <Characters>5211</Characters>
  <Application>Microsoft Office Word</Application>
  <DocSecurity>0</DocSecurity>
  <Lines>108</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Extended Abtract</vt:lpstr>
      <vt:lpstr>Extended Abtract</vt:lpstr>
    </vt:vector>
  </TitlesOfParts>
  <Company>IAEA</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GAERTNER, Lorenz</cp:lastModifiedBy>
  <cp:revision>4</cp:revision>
  <cp:lastPrinted>2022-03-11T12:18:00Z</cp:lastPrinted>
  <dcterms:created xsi:type="dcterms:W3CDTF">2022-03-11T16:20:00Z</dcterms:created>
  <dcterms:modified xsi:type="dcterms:W3CDTF">2022-03-11T16:27:00Z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