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BA902" w14:textId="0915FA03" w:rsidR="00604C59" w:rsidRPr="00073700" w:rsidRDefault="002431C2" w:rsidP="00DC41BF">
      <w:pPr>
        <w:pStyle w:val="Ttulo1"/>
        <w:rPr>
          <w:noProof/>
          <w:lang w:val="en-GB"/>
        </w:rPr>
      </w:pPr>
      <w:r>
        <w:rPr>
          <w:noProof/>
          <w:lang w:val="en-GB"/>
        </w:rPr>
        <w:t>SUSTAINABLE FUSION/ FISSION DEPLOYMENT SCENARIOS ON THE LONG TERM FOR PROPER AD</w:t>
      </w:r>
      <w:r w:rsidR="00B77BA2">
        <w:rPr>
          <w:noProof/>
          <w:lang w:val="en-GB"/>
        </w:rPr>
        <w:t>D</w:t>
      </w:r>
      <w:r>
        <w:rPr>
          <w:noProof/>
          <w:lang w:val="en-GB"/>
        </w:rPr>
        <w:t xml:space="preserve">RESSING OF CLIMATE CHANGE </w:t>
      </w:r>
    </w:p>
    <w:p w14:paraId="2A7F935C" w14:textId="77777777" w:rsidR="00604C59" w:rsidRPr="00073700" w:rsidRDefault="00604C59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7B44FDE5" w14:textId="6C3A7AA8" w:rsidR="00604C59" w:rsidRPr="00073700" w:rsidRDefault="002431C2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E.F. MORALES</w:t>
      </w:r>
      <w:r w:rsidR="0077532F">
        <w:rPr>
          <w:sz w:val="24"/>
          <w:szCs w:val="24"/>
          <w:lang w:val="en-GB"/>
        </w:rPr>
        <w:t xml:space="preserve"> RODRÍGUEZ</w:t>
      </w:r>
    </w:p>
    <w:p w14:paraId="20CD335A" w14:textId="3820BE2C" w:rsidR="00604C59" w:rsidRPr="00073700" w:rsidRDefault="003658B9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Centro de Altos </w:t>
      </w:r>
      <w:proofErr w:type="spellStart"/>
      <w:r>
        <w:rPr>
          <w:sz w:val="24"/>
          <w:szCs w:val="24"/>
          <w:lang w:val="en-GB"/>
        </w:rPr>
        <w:t>Estudios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Estratégicos</w:t>
      </w:r>
      <w:proofErr w:type="spellEnd"/>
      <w:r>
        <w:rPr>
          <w:sz w:val="24"/>
          <w:szCs w:val="24"/>
          <w:lang w:val="en-GB"/>
        </w:rPr>
        <w:t xml:space="preserve"> (</w:t>
      </w:r>
      <w:r w:rsidR="002431C2">
        <w:rPr>
          <w:sz w:val="24"/>
          <w:szCs w:val="24"/>
          <w:lang w:val="en-GB"/>
        </w:rPr>
        <w:t>CALEN</w:t>
      </w:r>
      <w:r>
        <w:rPr>
          <w:sz w:val="24"/>
          <w:szCs w:val="24"/>
          <w:lang w:val="en-GB"/>
        </w:rPr>
        <w:t xml:space="preserve">, Ministry of </w:t>
      </w:r>
      <w:proofErr w:type="spellStart"/>
      <w:r>
        <w:rPr>
          <w:sz w:val="24"/>
          <w:szCs w:val="24"/>
          <w:lang w:val="en-GB"/>
        </w:rPr>
        <w:t>Defense</w:t>
      </w:r>
      <w:proofErr w:type="spellEnd"/>
      <w:r>
        <w:rPr>
          <w:sz w:val="24"/>
          <w:szCs w:val="24"/>
          <w:lang w:val="en-GB"/>
        </w:rPr>
        <w:t>)</w:t>
      </w:r>
    </w:p>
    <w:p w14:paraId="7B37D297" w14:textId="73DAEC31" w:rsidR="00604C59" w:rsidRPr="00073700" w:rsidRDefault="002431C2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Montevideo, Uruguay</w:t>
      </w:r>
    </w:p>
    <w:p w14:paraId="2796F553" w14:textId="4E69E7B2" w:rsidR="00604C59" w:rsidRPr="00073700" w:rsidRDefault="002431C2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Email: Enrique.Morales@miem.gub.uy</w:t>
      </w:r>
    </w:p>
    <w:p w14:paraId="08908080" w14:textId="72F5494F" w:rsidR="00604C59" w:rsidRDefault="00604C59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5D9EC7B1" w14:textId="4EF54CB8" w:rsidR="00CD7ABF" w:rsidRDefault="00CD7ABF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0CC649E0" w14:textId="26E89F4D" w:rsidR="00CD7ABF" w:rsidRPr="00CD7ABF" w:rsidRDefault="00CD7ABF" w:rsidP="00CD7ABF">
      <w:pPr>
        <w:pStyle w:val="Authornameandaffiliation"/>
        <w:ind w:left="0"/>
        <w:jc w:val="both"/>
        <w:rPr>
          <w:sz w:val="24"/>
          <w:szCs w:val="24"/>
        </w:rPr>
      </w:pPr>
      <w:r w:rsidRPr="00CD7ABF">
        <w:rPr>
          <w:sz w:val="24"/>
          <w:szCs w:val="24"/>
        </w:rPr>
        <w:t>Email contact of corresponding author:</w:t>
      </w:r>
      <w:r w:rsidR="002431C2">
        <w:rPr>
          <w:sz w:val="24"/>
          <w:szCs w:val="24"/>
        </w:rPr>
        <w:t xml:space="preserve"> </w:t>
      </w:r>
      <w:r w:rsidR="002431C2">
        <w:rPr>
          <w:sz w:val="24"/>
          <w:szCs w:val="24"/>
          <w:lang w:val="en-GB"/>
        </w:rPr>
        <w:t>Enrique.Morales@miem.gub.uy</w:t>
      </w:r>
    </w:p>
    <w:p w14:paraId="338D162C" w14:textId="77777777" w:rsidR="00CD7ABF" w:rsidRPr="00073700" w:rsidRDefault="00CD7ABF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1191506F" w14:textId="6C88736D" w:rsidR="007B57CF" w:rsidRPr="00DF3A79" w:rsidRDefault="00B77BA2" w:rsidP="0004692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As widely known, c</w:t>
      </w:r>
      <w:r w:rsidR="002431C2">
        <w:rPr>
          <w:rFonts w:eastAsiaTheme="minorHAnsi"/>
          <w:sz w:val="24"/>
          <w:szCs w:val="24"/>
          <w:lang w:eastAsia="ar-SA"/>
        </w:rPr>
        <w:t xml:space="preserve">limate change </w:t>
      </w:r>
      <w:r>
        <w:rPr>
          <w:rFonts w:eastAsiaTheme="minorHAnsi"/>
          <w:sz w:val="24"/>
          <w:szCs w:val="24"/>
          <w:lang w:eastAsia="ar-SA"/>
        </w:rPr>
        <w:t>is the current worst global environmental me</w:t>
      </w:r>
      <w:r w:rsidR="003658B9">
        <w:rPr>
          <w:rFonts w:eastAsiaTheme="minorHAnsi"/>
          <w:sz w:val="24"/>
          <w:szCs w:val="24"/>
          <w:lang w:eastAsia="ar-SA"/>
        </w:rPr>
        <w:t xml:space="preserve">nace in the medium </w:t>
      </w:r>
      <w:r>
        <w:rPr>
          <w:rFonts w:eastAsiaTheme="minorHAnsi"/>
          <w:sz w:val="24"/>
          <w:szCs w:val="24"/>
          <w:lang w:eastAsia="ar-SA"/>
        </w:rPr>
        <w:t>term, unless it is properly mitigated</w:t>
      </w:r>
      <w:r w:rsidR="00446C63">
        <w:rPr>
          <w:rFonts w:eastAsiaTheme="minorHAnsi"/>
          <w:sz w:val="24"/>
          <w:szCs w:val="24"/>
          <w:lang w:eastAsia="ar-SA"/>
        </w:rPr>
        <w:t xml:space="preserve"> (1)</w:t>
      </w:r>
      <w:r w:rsidR="00B54CDF" w:rsidRPr="00DF3A79">
        <w:rPr>
          <w:rFonts w:eastAsiaTheme="minorHAnsi"/>
          <w:sz w:val="24"/>
          <w:szCs w:val="24"/>
          <w:lang w:eastAsia="ar-SA"/>
        </w:rPr>
        <w:t>.</w:t>
      </w:r>
      <w:r>
        <w:rPr>
          <w:rFonts w:eastAsiaTheme="minorHAnsi"/>
          <w:sz w:val="24"/>
          <w:szCs w:val="24"/>
          <w:lang w:eastAsia="ar-SA"/>
        </w:rPr>
        <w:t xml:space="preserve">   At the</w:t>
      </w:r>
      <w:r w:rsidR="00DB7C80">
        <w:rPr>
          <w:rFonts w:eastAsiaTheme="minorHAnsi"/>
          <w:sz w:val="24"/>
          <w:szCs w:val="24"/>
          <w:lang w:eastAsia="ar-SA"/>
        </w:rPr>
        <w:t xml:space="preserve"> same time, according to WHO, more than 4 </w:t>
      </w:r>
      <w:r w:rsidR="00D53F8A">
        <w:rPr>
          <w:rFonts w:eastAsiaTheme="minorHAnsi"/>
          <w:sz w:val="24"/>
          <w:szCs w:val="24"/>
          <w:lang w:eastAsia="ar-SA"/>
        </w:rPr>
        <w:t>m</w:t>
      </w:r>
      <w:r>
        <w:rPr>
          <w:rFonts w:eastAsiaTheme="minorHAnsi"/>
          <w:sz w:val="24"/>
          <w:szCs w:val="24"/>
          <w:lang w:eastAsia="ar-SA"/>
        </w:rPr>
        <w:t xml:space="preserve">illion </w:t>
      </w:r>
      <w:r w:rsidR="00DB7C80">
        <w:rPr>
          <w:rFonts w:eastAsiaTheme="minorHAnsi"/>
          <w:sz w:val="24"/>
          <w:szCs w:val="24"/>
          <w:lang w:eastAsia="ar-SA"/>
        </w:rPr>
        <w:t xml:space="preserve">premature </w:t>
      </w:r>
      <w:r>
        <w:rPr>
          <w:rFonts w:eastAsiaTheme="minorHAnsi"/>
          <w:sz w:val="24"/>
          <w:szCs w:val="24"/>
          <w:lang w:eastAsia="ar-SA"/>
        </w:rPr>
        <w:t xml:space="preserve">deaths due to air pollution </w:t>
      </w:r>
      <w:r w:rsidR="00DB7C80">
        <w:rPr>
          <w:rFonts w:eastAsiaTheme="minorHAnsi"/>
          <w:sz w:val="24"/>
          <w:szCs w:val="24"/>
          <w:lang w:eastAsia="ar-SA"/>
        </w:rPr>
        <w:t xml:space="preserve">at outdoors </w:t>
      </w:r>
      <w:r w:rsidR="00A73CF2">
        <w:rPr>
          <w:rFonts w:eastAsiaTheme="minorHAnsi"/>
          <w:sz w:val="24"/>
          <w:szCs w:val="24"/>
          <w:lang w:eastAsia="ar-SA"/>
        </w:rPr>
        <w:t xml:space="preserve">are to be regretted </w:t>
      </w:r>
      <w:r w:rsidR="00FF3EBE">
        <w:rPr>
          <w:rFonts w:eastAsiaTheme="minorHAnsi"/>
          <w:sz w:val="24"/>
          <w:szCs w:val="24"/>
          <w:lang w:eastAsia="ar-SA"/>
        </w:rPr>
        <w:t xml:space="preserve">every </w:t>
      </w:r>
      <w:proofErr w:type="gramStart"/>
      <w:r>
        <w:rPr>
          <w:rFonts w:eastAsiaTheme="minorHAnsi"/>
          <w:sz w:val="24"/>
          <w:szCs w:val="24"/>
          <w:lang w:eastAsia="ar-SA"/>
        </w:rPr>
        <w:t>year.</w:t>
      </w:r>
      <w:proofErr w:type="gramEnd"/>
      <w:r w:rsidR="007B57CF" w:rsidRPr="00DF3A79">
        <w:rPr>
          <w:rFonts w:eastAsiaTheme="minorHAnsi"/>
          <w:sz w:val="24"/>
          <w:szCs w:val="24"/>
          <w:lang w:eastAsia="ar-SA"/>
        </w:rPr>
        <w:t xml:space="preserve"> </w:t>
      </w:r>
      <w:r w:rsidR="00446C63">
        <w:rPr>
          <w:rFonts w:eastAsiaTheme="minorHAnsi"/>
          <w:sz w:val="24"/>
          <w:szCs w:val="24"/>
          <w:lang w:eastAsia="ar-SA"/>
        </w:rPr>
        <w:t xml:space="preserve"> </w:t>
      </w:r>
      <w:r>
        <w:rPr>
          <w:rFonts w:eastAsiaTheme="minorHAnsi"/>
          <w:sz w:val="24"/>
          <w:szCs w:val="24"/>
          <w:lang w:eastAsia="ar-SA"/>
        </w:rPr>
        <w:t xml:space="preserve">On the other hand, if </w:t>
      </w:r>
      <w:r w:rsidR="009A0058">
        <w:rPr>
          <w:rFonts w:eastAsiaTheme="minorHAnsi"/>
          <w:sz w:val="24"/>
          <w:szCs w:val="24"/>
          <w:lang w:eastAsia="ar-SA"/>
        </w:rPr>
        <w:t xml:space="preserve"> </w:t>
      </w:r>
      <w:r>
        <w:rPr>
          <w:rFonts w:eastAsiaTheme="minorHAnsi"/>
          <w:sz w:val="24"/>
          <w:szCs w:val="24"/>
          <w:lang w:eastAsia="ar-SA"/>
        </w:rPr>
        <w:t>Sustainable Development Goals</w:t>
      </w:r>
      <w:r w:rsidR="00D53F8A">
        <w:rPr>
          <w:rFonts w:eastAsiaTheme="minorHAnsi"/>
          <w:sz w:val="24"/>
          <w:szCs w:val="24"/>
          <w:lang w:eastAsia="ar-SA"/>
        </w:rPr>
        <w:t xml:space="preserve"> (SDG)</w:t>
      </w:r>
      <w:r>
        <w:rPr>
          <w:rFonts w:eastAsiaTheme="minorHAnsi"/>
          <w:sz w:val="24"/>
          <w:szCs w:val="24"/>
          <w:lang w:eastAsia="ar-SA"/>
        </w:rPr>
        <w:t xml:space="preserve"> are met –as should be </w:t>
      </w:r>
      <w:r w:rsidR="006164B7">
        <w:rPr>
          <w:rFonts w:eastAsiaTheme="minorHAnsi"/>
          <w:sz w:val="24"/>
          <w:szCs w:val="24"/>
          <w:lang w:eastAsia="ar-SA"/>
        </w:rPr>
        <w:t>pursu</w:t>
      </w:r>
      <w:r w:rsidR="00D53F8A">
        <w:rPr>
          <w:rFonts w:eastAsiaTheme="minorHAnsi"/>
          <w:sz w:val="24"/>
          <w:szCs w:val="24"/>
          <w:lang w:eastAsia="ar-SA"/>
        </w:rPr>
        <w:t xml:space="preserve">ed by everyone- </w:t>
      </w:r>
      <w:r>
        <w:rPr>
          <w:rFonts w:eastAsiaTheme="minorHAnsi"/>
          <w:sz w:val="24"/>
          <w:szCs w:val="24"/>
          <w:lang w:eastAsia="ar-SA"/>
        </w:rPr>
        <w:t xml:space="preserve">global population </w:t>
      </w:r>
      <w:r w:rsidR="00D53F8A">
        <w:rPr>
          <w:rFonts w:eastAsiaTheme="minorHAnsi"/>
          <w:sz w:val="24"/>
          <w:szCs w:val="24"/>
          <w:lang w:eastAsia="ar-SA"/>
        </w:rPr>
        <w:t xml:space="preserve">could grow </w:t>
      </w:r>
      <w:r w:rsidR="00540598">
        <w:rPr>
          <w:rFonts w:eastAsiaTheme="minorHAnsi"/>
          <w:sz w:val="24"/>
          <w:szCs w:val="24"/>
          <w:lang w:eastAsia="ar-SA"/>
        </w:rPr>
        <w:t xml:space="preserve">until it peaks </w:t>
      </w:r>
      <w:r w:rsidR="00CC203D">
        <w:rPr>
          <w:rFonts w:eastAsiaTheme="minorHAnsi"/>
          <w:sz w:val="24"/>
          <w:szCs w:val="24"/>
          <w:lang w:eastAsia="ar-SA"/>
        </w:rPr>
        <w:t>to around 8,500</w:t>
      </w:r>
      <w:r w:rsidR="00D53F8A">
        <w:rPr>
          <w:rFonts w:eastAsiaTheme="minorHAnsi"/>
          <w:sz w:val="24"/>
          <w:szCs w:val="24"/>
          <w:lang w:eastAsia="ar-SA"/>
        </w:rPr>
        <w:t xml:space="preserve"> million people</w:t>
      </w:r>
      <w:r w:rsidR="003658B9">
        <w:rPr>
          <w:rFonts w:eastAsiaTheme="minorHAnsi"/>
          <w:sz w:val="24"/>
          <w:szCs w:val="24"/>
          <w:lang w:eastAsia="ar-SA"/>
        </w:rPr>
        <w:t>, as of 2050</w:t>
      </w:r>
      <w:r w:rsidR="00D53F8A">
        <w:rPr>
          <w:rFonts w:eastAsiaTheme="minorHAnsi"/>
          <w:sz w:val="24"/>
          <w:szCs w:val="24"/>
          <w:lang w:eastAsia="ar-SA"/>
        </w:rPr>
        <w:t xml:space="preserve"> and energy –</w:t>
      </w:r>
      <w:r w:rsidR="009A0058">
        <w:rPr>
          <w:rFonts w:eastAsiaTheme="minorHAnsi"/>
          <w:sz w:val="24"/>
          <w:szCs w:val="24"/>
          <w:lang w:eastAsia="ar-SA"/>
        </w:rPr>
        <w:t>e</w:t>
      </w:r>
      <w:r w:rsidR="00D53F8A">
        <w:rPr>
          <w:rFonts w:eastAsiaTheme="minorHAnsi"/>
          <w:sz w:val="24"/>
          <w:szCs w:val="24"/>
          <w:lang w:eastAsia="ar-SA"/>
        </w:rPr>
        <w:t>specially power- per capita consumption is likely to reach  historical maximums</w:t>
      </w:r>
      <w:r w:rsidR="00017BAC">
        <w:rPr>
          <w:rFonts w:eastAsiaTheme="minorHAnsi"/>
          <w:sz w:val="24"/>
          <w:szCs w:val="24"/>
          <w:lang w:eastAsia="ar-SA"/>
        </w:rPr>
        <w:t xml:space="preserve"> (around 7000 kW*h/person)</w:t>
      </w:r>
      <w:r w:rsidR="00D53F8A">
        <w:rPr>
          <w:rFonts w:eastAsiaTheme="minorHAnsi"/>
          <w:sz w:val="24"/>
          <w:szCs w:val="24"/>
          <w:lang w:eastAsia="ar-SA"/>
        </w:rPr>
        <w:t>, even if great efficiency improvements are attained</w:t>
      </w:r>
      <w:r w:rsidR="00446C63">
        <w:rPr>
          <w:rFonts w:eastAsiaTheme="minorHAnsi"/>
          <w:sz w:val="24"/>
          <w:szCs w:val="24"/>
          <w:lang w:eastAsia="ar-SA"/>
        </w:rPr>
        <w:t xml:space="preserve"> (1)</w:t>
      </w:r>
      <w:r w:rsidR="00D53F8A">
        <w:rPr>
          <w:rFonts w:eastAsiaTheme="minorHAnsi"/>
          <w:sz w:val="24"/>
          <w:szCs w:val="24"/>
          <w:lang w:eastAsia="ar-SA"/>
        </w:rPr>
        <w:t>.</w:t>
      </w:r>
    </w:p>
    <w:p w14:paraId="0131ED01" w14:textId="46E70662" w:rsidR="00B90025" w:rsidRDefault="00D53F8A" w:rsidP="0004692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 xml:space="preserve">Obviously, the only way to </w:t>
      </w:r>
      <w:r w:rsidR="003658B9">
        <w:rPr>
          <w:rFonts w:eastAsiaTheme="minorHAnsi"/>
          <w:sz w:val="24"/>
          <w:szCs w:val="24"/>
          <w:lang w:eastAsia="ar-SA"/>
        </w:rPr>
        <w:t>ge</w:t>
      </w:r>
      <w:r w:rsidR="008F7F4C">
        <w:rPr>
          <w:rFonts w:eastAsiaTheme="minorHAnsi"/>
          <w:sz w:val="24"/>
          <w:szCs w:val="24"/>
          <w:lang w:eastAsia="ar-SA"/>
        </w:rPr>
        <w:t>t si</w:t>
      </w:r>
      <w:r w:rsidR="00752E31">
        <w:rPr>
          <w:rFonts w:eastAsiaTheme="minorHAnsi"/>
          <w:sz w:val="24"/>
          <w:szCs w:val="24"/>
          <w:lang w:eastAsia="ar-SA"/>
        </w:rPr>
        <w:t>multaneously SDGs, climate an</w:t>
      </w:r>
      <w:r w:rsidR="006B5FA0">
        <w:rPr>
          <w:rFonts w:eastAsiaTheme="minorHAnsi"/>
          <w:sz w:val="24"/>
          <w:szCs w:val="24"/>
          <w:lang w:eastAsia="ar-SA"/>
        </w:rPr>
        <w:t>d</w:t>
      </w:r>
      <w:r w:rsidR="00752E31">
        <w:rPr>
          <w:rFonts w:eastAsiaTheme="minorHAnsi"/>
          <w:sz w:val="24"/>
          <w:szCs w:val="24"/>
          <w:lang w:eastAsia="ar-SA"/>
        </w:rPr>
        <w:t xml:space="preserve"> air pollution control</w:t>
      </w:r>
      <w:r w:rsidR="003658B9">
        <w:rPr>
          <w:rFonts w:eastAsiaTheme="minorHAnsi"/>
          <w:sz w:val="24"/>
          <w:szCs w:val="24"/>
          <w:lang w:eastAsia="ar-SA"/>
        </w:rPr>
        <w:t xml:space="preserve">, </w:t>
      </w:r>
      <w:r>
        <w:rPr>
          <w:rFonts w:eastAsiaTheme="minorHAnsi"/>
          <w:sz w:val="24"/>
          <w:szCs w:val="24"/>
          <w:lang w:eastAsia="ar-SA"/>
        </w:rPr>
        <w:t xml:space="preserve">is to </w:t>
      </w:r>
      <w:r w:rsidR="00F82AA3">
        <w:rPr>
          <w:rFonts w:eastAsiaTheme="minorHAnsi"/>
          <w:sz w:val="24"/>
          <w:szCs w:val="24"/>
          <w:lang w:eastAsia="ar-SA"/>
        </w:rPr>
        <w:t xml:space="preserve">have firm power sources enough to </w:t>
      </w:r>
      <w:r w:rsidR="009A0058">
        <w:rPr>
          <w:rFonts w:eastAsiaTheme="minorHAnsi"/>
          <w:sz w:val="24"/>
          <w:szCs w:val="24"/>
          <w:lang w:eastAsia="ar-SA"/>
        </w:rPr>
        <w:t xml:space="preserve">properly </w:t>
      </w:r>
      <w:r w:rsidR="00F82AA3">
        <w:rPr>
          <w:rFonts w:eastAsiaTheme="minorHAnsi"/>
          <w:sz w:val="24"/>
          <w:szCs w:val="24"/>
          <w:lang w:eastAsia="ar-SA"/>
        </w:rPr>
        <w:t>meet skyrocketing</w:t>
      </w:r>
      <w:r w:rsidR="00752871">
        <w:rPr>
          <w:rFonts w:eastAsiaTheme="minorHAnsi"/>
          <w:sz w:val="24"/>
          <w:szCs w:val="24"/>
          <w:lang w:eastAsia="ar-SA"/>
        </w:rPr>
        <w:t xml:space="preserve"> </w:t>
      </w:r>
      <w:r w:rsidR="00540598">
        <w:rPr>
          <w:rFonts w:eastAsiaTheme="minorHAnsi"/>
          <w:sz w:val="24"/>
          <w:szCs w:val="24"/>
          <w:lang w:eastAsia="ar-SA"/>
        </w:rPr>
        <w:t>demand</w:t>
      </w:r>
      <w:r w:rsidR="00F82AA3">
        <w:rPr>
          <w:rFonts w:eastAsiaTheme="minorHAnsi"/>
          <w:sz w:val="24"/>
          <w:szCs w:val="24"/>
          <w:lang w:eastAsia="ar-SA"/>
        </w:rPr>
        <w:t>,</w:t>
      </w:r>
      <w:r w:rsidR="00752871">
        <w:rPr>
          <w:rFonts w:eastAsiaTheme="minorHAnsi"/>
          <w:sz w:val="24"/>
          <w:szCs w:val="24"/>
          <w:lang w:eastAsia="ar-SA"/>
        </w:rPr>
        <w:t xml:space="preserve"> along a deep reduction in</w:t>
      </w:r>
      <w:r w:rsidR="003A2279">
        <w:rPr>
          <w:rFonts w:eastAsiaTheme="minorHAnsi"/>
          <w:sz w:val="24"/>
          <w:szCs w:val="24"/>
          <w:lang w:eastAsia="ar-SA"/>
        </w:rPr>
        <w:t xml:space="preserve"> release to atmosphere of </w:t>
      </w:r>
      <w:r w:rsidR="00E50C8F">
        <w:rPr>
          <w:rFonts w:eastAsiaTheme="minorHAnsi"/>
          <w:sz w:val="24"/>
          <w:szCs w:val="24"/>
          <w:lang w:eastAsia="ar-SA"/>
        </w:rPr>
        <w:t>combu</w:t>
      </w:r>
      <w:r w:rsidR="00540598">
        <w:rPr>
          <w:rFonts w:eastAsiaTheme="minorHAnsi"/>
          <w:sz w:val="24"/>
          <w:szCs w:val="24"/>
          <w:lang w:eastAsia="ar-SA"/>
        </w:rPr>
        <w:t>stion emissions, to the so-calle</w:t>
      </w:r>
      <w:r w:rsidR="00E50C8F">
        <w:rPr>
          <w:rFonts w:eastAsiaTheme="minorHAnsi"/>
          <w:sz w:val="24"/>
          <w:szCs w:val="24"/>
          <w:lang w:eastAsia="ar-SA"/>
        </w:rPr>
        <w:t xml:space="preserve">d </w:t>
      </w:r>
      <w:r w:rsidR="00E50C8F" w:rsidRPr="003A2279">
        <w:rPr>
          <w:rFonts w:eastAsiaTheme="minorHAnsi"/>
          <w:i/>
          <w:sz w:val="24"/>
          <w:szCs w:val="24"/>
          <w:lang w:eastAsia="ar-SA"/>
        </w:rPr>
        <w:t>Net Zero</w:t>
      </w:r>
      <w:r w:rsidR="00E50C8F">
        <w:rPr>
          <w:rFonts w:eastAsiaTheme="minorHAnsi"/>
          <w:sz w:val="24"/>
          <w:szCs w:val="24"/>
          <w:lang w:eastAsia="ar-SA"/>
        </w:rPr>
        <w:t>.   Probably, most of the way to this poi</w:t>
      </w:r>
      <w:r w:rsidR="003A2279">
        <w:rPr>
          <w:rFonts w:eastAsiaTheme="minorHAnsi"/>
          <w:sz w:val="24"/>
          <w:szCs w:val="24"/>
          <w:lang w:eastAsia="ar-SA"/>
        </w:rPr>
        <w:t xml:space="preserve">nt </w:t>
      </w:r>
      <w:r w:rsidR="003658B9">
        <w:rPr>
          <w:rFonts w:eastAsiaTheme="minorHAnsi"/>
          <w:sz w:val="24"/>
          <w:szCs w:val="24"/>
          <w:lang w:eastAsia="ar-SA"/>
        </w:rPr>
        <w:t xml:space="preserve">by 2050 </w:t>
      </w:r>
      <w:r w:rsidR="00337542">
        <w:rPr>
          <w:rFonts w:eastAsiaTheme="minorHAnsi"/>
          <w:sz w:val="24"/>
          <w:szCs w:val="24"/>
          <w:lang w:eastAsia="ar-SA"/>
        </w:rPr>
        <w:t>will be a drastic</w:t>
      </w:r>
      <w:r w:rsidR="003A2279">
        <w:rPr>
          <w:rFonts w:eastAsiaTheme="minorHAnsi"/>
          <w:sz w:val="24"/>
          <w:szCs w:val="24"/>
          <w:lang w:eastAsia="ar-SA"/>
        </w:rPr>
        <w:t xml:space="preserve"> drop</w:t>
      </w:r>
      <w:r w:rsidR="00E50C8F">
        <w:rPr>
          <w:rFonts w:eastAsiaTheme="minorHAnsi"/>
          <w:sz w:val="24"/>
          <w:szCs w:val="24"/>
          <w:lang w:eastAsia="ar-SA"/>
        </w:rPr>
        <w:t xml:space="preserve"> of fossil fuels share in global </w:t>
      </w:r>
      <w:r w:rsidR="009A0058">
        <w:rPr>
          <w:rFonts w:eastAsiaTheme="minorHAnsi"/>
          <w:sz w:val="24"/>
          <w:szCs w:val="24"/>
          <w:lang w:eastAsia="ar-SA"/>
        </w:rPr>
        <w:t>primary energy</w:t>
      </w:r>
      <w:r w:rsidR="00E50C8F">
        <w:rPr>
          <w:rFonts w:eastAsiaTheme="minorHAnsi"/>
          <w:sz w:val="24"/>
          <w:szCs w:val="24"/>
          <w:lang w:eastAsia="ar-SA"/>
        </w:rPr>
        <w:t xml:space="preserve"> mix</w:t>
      </w:r>
      <w:r w:rsidR="009A0058">
        <w:rPr>
          <w:rFonts w:eastAsiaTheme="minorHAnsi"/>
          <w:sz w:val="24"/>
          <w:szCs w:val="24"/>
          <w:lang w:eastAsia="ar-SA"/>
        </w:rPr>
        <w:t xml:space="preserve">, from their current 83% </w:t>
      </w:r>
      <w:r w:rsidR="003A2279">
        <w:rPr>
          <w:rFonts w:eastAsiaTheme="minorHAnsi"/>
          <w:sz w:val="24"/>
          <w:szCs w:val="24"/>
          <w:lang w:eastAsia="ar-SA"/>
        </w:rPr>
        <w:t>to</w:t>
      </w:r>
      <w:r w:rsidR="009A0058">
        <w:rPr>
          <w:rFonts w:eastAsiaTheme="minorHAnsi"/>
          <w:sz w:val="24"/>
          <w:szCs w:val="24"/>
          <w:lang w:eastAsia="ar-SA"/>
        </w:rPr>
        <w:t xml:space="preserve"> around  30</w:t>
      </w:r>
      <w:r w:rsidR="003A2279">
        <w:rPr>
          <w:rFonts w:eastAsiaTheme="minorHAnsi"/>
          <w:sz w:val="24"/>
          <w:szCs w:val="24"/>
          <w:lang w:eastAsia="ar-SA"/>
        </w:rPr>
        <w:t>%</w:t>
      </w:r>
      <w:r w:rsidR="009A0058">
        <w:rPr>
          <w:rFonts w:eastAsiaTheme="minorHAnsi"/>
          <w:sz w:val="24"/>
          <w:szCs w:val="24"/>
          <w:lang w:eastAsia="ar-SA"/>
        </w:rPr>
        <w:t xml:space="preserve"> or much less, depending on the feasibility of </w:t>
      </w:r>
      <w:r w:rsidR="003658B9">
        <w:rPr>
          <w:rFonts w:eastAsiaTheme="minorHAnsi"/>
          <w:sz w:val="24"/>
          <w:szCs w:val="24"/>
          <w:lang w:eastAsia="ar-SA"/>
        </w:rPr>
        <w:t xml:space="preserve">afforestation and </w:t>
      </w:r>
      <w:r w:rsidR="009A0058">
        <w:rPr>
          <w:rFonts w:eastAsiaTheme="minorHAnsi"/>
          <w:sz w:val="24"/>
          <w:szCs w:val="24"/>
          <w:lang w:eastAsia="ar-SA"/>
        </w:rPr>
        <w:t xml:space="preserve">global  Carbon Capture and Storage/Use </w:t>
      </w:r>
      <w:r w:rsidR="003B4753">
        <w:rPr>
          <w:rFonts w:eastAsiaTheme="minorHAnsi"/>
          <w:sz w:val="24"/>
          <w:szCs w:val="24"/>
          <w:lang w:eastAsia="ar-SA"/>
        </w:rPr>
        <w:t xml:space="preserve">(CCS/ U) </w:t>
      </w:r>
      <w:r w:rsidR="009A0058">
        <w:rPr>
          <w:rFonts w:eastAsiaTheme="minorHAnsi"/>
          <w:sz w:val="24"/>
          <w:szCs w:val="24"/>
          <w:lang w:eastAsia="ar-SA"/>
        </w:rPr>
        <w:t>deployment</w:t>
      </w:r>
      <w:r w:rsidR="00126389" w:rsidRPr="00DF3A79">
        <w:rPr>
          <w:rFonts w:eastAsiaTheme="minorHAnsi"/>
          <w:sz w:val="24"/>
          <w:szCs w:val="24"/>
          <w:lang w:eastAsia="ar-SA"/>
        </w:rPr>
        <w:t>.</w:t>
      </w:r>
    </w:p>
    <w:p w14:paraId="71F124B2" w14:textId="0204B046" w:rsidR="003A2279" w:rsidRPr="00DF3A79" w:rsidRDefault="00752871" w:rsidP="0004692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Nuclear power (fission reactors</w:t>
      </w:r>
      <w:r w:rsidR="009A0058">
        <w:rPr>
          <w:rFonts w:eastAsiaTheme="minorHAnsi"/>
          <w:sz w:val="24"/>
          <w:szCs w:val="24"/>
          <w:lang w:eastAsia="ar-SA"/>
        </w:rPr>
        <w:t>, including all its types and fuels</w:t>
      </w:r>
      <w:r>
        <w:rPr>
          <w:rFonts w:eastAsiaTheme="minorHAnsi"/>
          <w:sz w:val="24"/>
          <w:szCs w:val="24"/>
          <w:lang w:eastAsia="ar-SA"/>
        </w:rPr>
        <w:t xml:space="preserve">) and renewables </w:t>
      </w:r>
      <w:r w:rsidR="00071189">
        <w:rPr>
          <w:rFonts w:eastAsiaTheme="minorHAnsi"/>
          <w:sz w:val="24"/>
          <w:szCs w:val="24"/>
          <w:lang w:eastAsia="ar-SA"/>
        </w:rPr>
        <w:t xml:space="preserve">(including all its branches, </w:t>
      </w:r>
      <w:proofErr w:type="spellStart"/>
      <w:r w:rsidR="00071189">
        <w:rPr>
          <w:rFonts w:eastAsiaTheme="minorHAnsi"/>
          <w:sz w:val="24"/>
          <w:szCs w:val="24"/>
          <w:lang w:eastAsia="ar-SA"/>
        </w:rPr>
        <w:t>dispatchable</w:t>
      </w:r>
      <w:proofErr w:type="spellEnd"/>
      <w:r w:rsidR="00071189">
        <w:rPr>
          <w:rFonts w:eastAsiaTheme="minorHAnsi"/>
          <w:sz w:val="24"/>
          <w:szCs w:val="24"/>
          <w:lang w:eastAsia="ar-SA"/>
        </w:rPr>
        <w:t xml:space="preserve"> or not) </w:t>
      </w:r>
      <w:r>
        <w:rPr>
          <w:rFonts w:eastAsiaTheme="minorHAnsi"/>
          <w:sz w:val="24"/>
          <w:szCs w:val="24"/>
          <w:lang w:eastAsia="ar-SA"/>
        </w:rPr>
        <w:t xml:space="preserve">have been repeatedly mentioned as key power sources in this energy transition, so-urgently required. </w:t>
      </w:r>
      <w:r w:rsidR="001D5B1D">
        <w:rPr>
          <w:rFonts w:eastAsiaTheme="minorHAnsi"/>
          <w:sz w:val="24"/>
          <w:szCs w:val="24"/>
          <w:lang w:eastAsia="ar-SA"/>
        </w:rPr>
        <w:t xml:space="preserve">  We, by ourselves, have publish</w:t>
      </w:r>
      <w:r>
        <w:rPr>
          <w:rFonts w:eastAsiaTheme="minorHAnsi"/>
          <w:sz w:val="24"/>
          <w:szCs w:val="24"/>
          <w:lang w:eastAsia="ar-SA"/>
        </w:rPr>
        <w:t>ed a paper</w:t>
      </w:r>
      <w:r w:rsidR="00F82AA3">
        <w:rPr>
          <w:rFonts w:eastAsiaTheme="minorHAnsi"/>
          <w:sz w:val="24"/>
          <w:szCs w:val="24"/>
          <w:lang w:eastAsia="ar-SA"/>
        </w:rPr>
        <w:t xml:space="preserve"> that aimed to draw</w:t>
      </w:r>
      <w:r w:rsidR="00B9359F">
        <w:rPr>
          <w:rFonts w:eastAsiaTheme="minorHAnsi"/>
          <w:sz w:val="24"/>
          <w:szCs w:val="24"/>
          <w:lang w:eastAsia="ar-SA"/>
        </w:rPr>
        <w:t xml:space="preserve"> sustainable approaches </w:t>
      </w:r>
      <w:r w:rsidR="00071189">
        <w:rPr>
          <w:rFonts w:eastAsiaTheme="minorHAnsi"/>
          <w:sz w:val="24"/>
          <w:szCs w:val="24"/>
          <w:lang w:eastAsia="ar-SA"/>
        </w:rPr>
        <w:t xml:space="preserve">of </w:t>
      </w:r>
      <w:r w:rsidR="00B9359F">
        <w:rPr>
          <w:rFonts w:eastAsiaTheme="minorHAnsi"/>
          <w:sz w:val="24"/>
          <w:szCs w:val="24"/>
          <w:lang w:eastAsia="ar-SA"/>
        </w:rPr>
        <w:t>global shares for both kinds of sources</w:t>
      </w:r>
      <w:r w:rsidR="00071189">
        <w:rPr>
          <w:rFonts w:eastAsiaTheme="minorHAnsi"/>
          <w:sz w:val="24"/>
          <w:szCs w:val="24"/>
          <w:lang w:eastAsia="ar-SA"/>
        </w:rPr>
        <w:t xml:space="preserve">, consistent with a change in global mean temperature of 1.5 </w:t>
      </w:r>
      <w:r w:rsidR="00071189" w:rsidRPr="00071189">
        <w:rPr>
          <w:rFonts w:eastAsiaTheme="minorHAnsi"/>
          <w:sz w:val="24"/>
          <w:szCs w:val="24"/>
          <w:lang w:eastAsia="ar-SA"/>
        </w:rPr>
        <w:t>º</w:t>
      </w:r>
      <w:r w:rsidR="00071189">
        <w:rPr>
          <w:rFonts w:eastAsiaTheme="minorHAnsi"/>
          <w:sz w:val="24"/>
          <w:szCs w:val="24"/>
          <w:lang w:eastAsia="ar-SA"/>
        </w:rPr>
        <w:t xml:space="preserve">C, the upmost goal of </w:t>
      </w:r>
      <w:r w:rsidR="00031E25">
        <w:rPr>
          <w:rFonts w:eastAsiaTheme="minorHAnsi"/>
          <w:sz w:val="24"/>
          <w:szCs w:val="24"/>
          <w:lang w:eastAsia="ar-SA"/>
        </w:rPr>
        <w:t>2015 Paris Climate Agreement</w:t>
      </w:r>
      <w:r w:rsidR="00446C63">
        <w:rPr>
          <w:rFonts w:eastAsiaTheme="minorHAnsi"/>
          <w:sz w:val="24"/>
          <w:szCs w:val="24"/>
          <w:lang w:eastAsia="ar-SA"/>
        </w:rPr>
        <w:t xml:space="preserve"> (2)</w:t>
      </w:r>
      <w:r w:rsidR="00B9359F">
        <w:rPr>
          <w:rFonts w:eastAsiaTheme="minorHAnsi"/>
          <w:sz w:val="24"/>
          <w:szCs w:val="24"/>
          <w:lang w:eastAsia="ar-SA"/>
        </w:rPr>
        <w:t xml:space="preserve">.  </w:t>
      </w:r>
      <w:r w:rsidR="00071189">
        <w:rPr>
          <w:rFonts w:eastAsiaTheme="minorHAnsi"/>
          <w:sz w:val="24"/>
          <w:szCs w:val="24"/>
          <w:lang w:eastAsia="ar-SA"/>
        </w:rPr>
        <w:t xml:space="preserve">Besides their role in reduction of emissions, all low-carbon sources mentioned </w:t>
      </w:r>
      <w:proofErr w:type="gramStart"/>
      <w:r w:rsidR="00071189">
        <w:rPr>
          <w:rFonts w:eastAsiaTheme="minorHAnsi"/>
          <w:sz w:val="24"/>
          <w:szCs w:val="24"/>
          <w:lang w:eastAsia="ar-SA"/>
        </w:rPr>
        <w:t>above,</w:t>
      </w:r>
      <w:proofErr w:type="gramEnd"/>
      <w:r w:rsidR="00071189">
        <w:rPr>
          <w:rFonts w:eastAsiaTheme="minorHAnsi"/>
          <w:sz w:val="24"/>
          <w:szCs w:val="24"/>
          <w:lang w:eastAsia="ar-SA"/>
        </w:rPr>
        <w:t xml:space="preserve"> were assessed in that paper</w:t>
      </w:r>
      <w:r w:rsidR="00017BAC">
        <w:rPr>
          <w:rFonts w:eastAsiaTheme="minorHAnsi"/>
          <w:sz w:val="24"/>
          <w:szCs w:val="24"/>
          <w:lang w:eastAsia="ar-SA"/>
        </w:rPr>
        <w:t>,</w:t>
      </w:r>
      <w:r w:rsidR="00CD23AD">
        <w:rPr>
          <w:rFonts w:eastAsiaTheme="minorHAnsi"/>
          <w:sz w:val="24"/>
          <w:szCs w:val="24"/>
          <w:lang w:eastAsia="ar-SA"/>
        </w:rPr>
        <w:t xml:space="preserve"> related to their other environmental and agricultural/</w:t>
      </w:r>
      <w:r w:rsidR="0067380E">
        <w:rPr>
          <w:rFonts w:eastAsiaTheme="minorHAnsi"/>
          <w:sz w:val="24"/>
          <w:szCs w:val="24"/>
          <w:lang w:eastAsia="ar-SA"/>
        </w:rPr>
        <w:t xml:space="preserve"> </w:t>
      </w:r>
      <w:r w:rsidR="00CD23AD">
        <w:rPr>
          <w:rFonts w:eastAsiaTheme="minorHAnsi"/>
          <w:sz w:val="24"/>
          <w:szCs w:val="24"/>
          <w:lang w:eastAsia="ar-SA"/>
        </w:rPr>
        <w:t>for</w:t>
      </w:r>
      <w:r w:rsidR="00A873EE">
        <w:rPr>
          <w:rFonts w:eastAsiaTheme="minorHAnsi"/>
          <w:sz w:val="24"/>
          <w:szCs w:val="24"/>
          <w:lang w:eastAsia="ar-SA"/>
        </w:rPr>
        <w:t>estry</w:t>
      </w:r>
      <w:r w:rsidR="00CD23AD">
        <w:rPr>
          <w:rFonts w:eastAsiaTheme="minorHAnsi"/>
          <w:sz w:val="24"/>
          <w:szCs w:val="24"/>
          <w:lang w:eastAsia="ar-SA"/>
        </w:rPr>
        <w:t xml:space="preserve"> impacts, depletion of mineral resourc</w:t>
      </w:r>
      <w:r w:rsidR="00540598">
        <w:rPr>
          <w:rFonts w:eastAsiaTheme="minorHAnsi"/>
          <w:sz w:val="24"/>
          <w:szCs w:val="24"/>
          <w:lang w:eastAsia="ar-SA"/>
        </w:rPr>
        <w:t>es, required deployment of crit</w:t>
      </w:r>
      <w:r w:rsidR="00CD23AD">
        <w:rPr>
          <w:rFonts w:eastAsiaTheme="minorHAnsi"/>
          <w:sz w:val="24"/>
          <w:szCs w:val="24"/>
          <w:lang w:eastAsia="ar-SA"/>
        </w:rPr>
        <w:t xml:space="preserve">ical infrastructure and others. </w:t>
      </w:r>
      <w:r w:rsidR="0067380E">
        <w:rPr>
          <w:rFonts w:eastAsiaTheme="minorHAnsi"/>
          <w:sz w:val="24"/>
          <w:szCs w:val="24"/>
          <w:lang w:eastAsia="ar-SA"/>
        </w:rPr>
        <w:t xml:space="preserve"> Assessments were made for</w:t>
      </w:r>
      <w:r w:rsidR="00031E25">
        <w:rPr>
          <w:rFonts w:eastAsiaTheme="minorHAnsi"/>
          <w:sz w:val="24"/>
          <w:szCs w:val="24"/>
          <w:lang w:eastAsia="ar-SA"/>
        </w:rPr>
        <w:t xml:space="preserve"> power consumption required by high Human Development (similar to SDGs) and for both 1.5 </w:t>
      </w:r>
      <w:r w:rsidR="00031E25" w:rsidRPr="00071189">
        <w:rPr>
          <w:rFonts w:eastAsiaTheme="minorHAnsi"/>
          <w:sz w:val="24"/>
          <w:szCs w:val="24"/>
          <w:lang w:eastAsia="ar-SA"/>
        </w:rPr>
        <w:t>º</w:t>
      </w:r>
      <w:r w:rsidR="00031E25">
        <w:rPr>
          <w:rFonts w:eastAsiaTheme="minorHAnsi"/>
          <w:sz w:val="24"/>
          <w:szCs w:val="24"/>
          <w:lang w:eastAsia="ar-SA"/>
        </w:rPr>
        <w:t xml:space="preserve">C scenarios considered by IPCC: High Overshot, </w:t>
      </w:r>
      <w:r w:rsidR="00002DEF">
        <w:rPr>
          <w:rFonts w:eastAsiaTheme="minorHAnsi"/>
          <w:sz w:val="24"/>
          <w:szCs w:val="24"/>
          <w:lang w:eastAsia="ar-SA"/>
        </w:rPr>
        <w:t>very likely overshot of 0.</w:t>
      </w:r>
      <w:r w:rsidR="007E4CBE">
        <w:rPr>
          <w:rFonts w:eastAsiaTheme="minorHAnsi"/>
          <w:sz w:val="24"/>
          <w:szCs w:val="24"/>
          <w:lang w:eastAsia="ar-SA"/>
        </w:rPr>
        <w:t>1 –</w:t>
      </w:r>
      <w:r w:rsidR="00002DEF">
        <w:rPr>
          <w:rFonts w:eastAsiaTheme="minorHAnsi"/>
          <w:sz w:val="24"/>
          <w:szCs w:val="24"/>
          <w:lang w:eastAsia="ar-SA"/>
        </w:rPr>
        <w:t xml:space="preserve"> 0.</w:t>
      </w:r>
      <w:r w:rsidR="007E4CBE">
        <w:rPr>
          <w:rFonts w:eastAsiaTheme="minorHAnsi"/>
          <w:sz w:val="24"/>
          <w:szCs w:val="24"/>
          <w:lang w:eastAsia="ar-SA"/>
        </w:rPr>
        <w:t>4 ºC before temperature stabilizes</w:t>
      </w:r>
      <w:r w:rsidR="00031E25">
        <w:rPr>
          <w:rFonts w:eastAsiaTheme="minorHAnsi"/>
          <w:sz w:val="24"/>
          <w:szCs w:val="24"/>
          <w:lang w:eastAsia="ar-SA"/>
        </w:rPr>
        <w:t xml:space="preserve">; Low Overshot, </w:t>
      </w:r>
      <w:r w:rsidR="007E4CBE">
        <w:rPr>
          <w:rFonts w:eastAsiaTheme="minorHAnsi"/>
          <w:sz w:val="24"/>
          <w:szCs w:val="24"/>
          <w:lang w:eastAsia="ar-SA"/>
        </w:rPr>
        <w:t xml:space="preserve">likely overshot </w:t>
      </w:r>
      <w:r w:rsidR="00002DEF">
        <w:rPr>
          <w:rFonts w:eastAsiaTheme="minorHAnsi"/>
          <w:sz w:val="24"/>
          <w:szCs w:val="24"/>
          <w:lang w:eastAsia="ar-SA"/>
        </w:rPr>
        <w:t>of 0.</w:t>
      </w:r>
      <w:r w:rsidR="007E4CBE">
        <w:rPr>
          <w:rFonts w:eastAsiaTheme="minorHAnsi"/>
          <w:sz w:val="24"/>
          <w:szCs w:val="24"/>
          <w:lang w:eastAsia="ar-SA"/>
        </w:rPr>
        <w:t xml:space="preserve">1 ºC before stabilization. </w:t>
      </w:r>
      <w:r w:rsidR="0067380E">
        <w:rPr>
          <w:rFonts w:eastAsiaTheme="minorHAnsi"/>
          <w:sz w:val="24"/>
          <w:szCs w:val="24"/>
          <w:lang w:eastAsia="ar-SA"/>
        </w:rPr>
        <w:t xml:space="preserve"> A set of power generation/shares of total figures from that paper</w:t>
      </w:r>
      <w:r w:rsidR="0063492C">
        <w:rPr>
          <w:rFonts w:eastAsiaTheme="minorHAnsi"/>
          <w:sz w:val="24"/>
          <w:szCs w:val="24"/>
          <w:lang w:eastAsia="ar-SA"/>
        </w:rPr>
        <w:t xml:space="preserve"> (2)</w:t>
      </w:r>
      <w:r w:rsidR="0067380E">
        <w:rPr>
          <w:rFonts w:eastAsiaTheme="minorHAnsi"/>
          <w:sz w:val="24"/>
          <w:szCs w:val="24"/>
          <w:lang w:eastAsia="ar-SA"/>
        </w:rPr>
        <w:t>, that could be attai</w:t>
      </w:r>
      <w:r w:rsidR="00002DEF">
        <w:rPr>
          <w:rFonts w:eastAsiaTheme="minorHAnsi"/>
          <w:sz w:val="24"/>
          <w:szCs w:val="24"/>
          <w:lang w:eastAsia="ar-SA"/>
        </w:rPr>
        <w:t xml:space="preserve">nable </w:t>
      </w:r>
      <w:r w:rsidR="00031E25">
        <w:rPr>
          <w:rFonts w:eastAsiaTheme="minorHAnsi"/>
          <w:sz w:val="24"/>
          <w:szCs w:val="24"/>
          <w:lang w:eastAsia="ar-SA"/>
        </w:rPr>
        <w:t>by 2050</w:t>
      </w:r>
      <w:r w:rsidR="00002DEF">
        <w:rPr>
          <w:rFonts w:eastAsiaTheme="minorHAnsi"/>
          <w:sz w:val="24"/>
          <w:szCs w:val="24"/>
          <w:lang w:eastAsia="ar-SA"/>
        </w:rPr>
        <w:t xml:space="preserve"> and close to 1.5 </w:t>
      </w:r>
      <w:r w:rsidR="00002DEF" w:rsidRPr="00071189">
        <w:rPr>
          <w:rFonts w:eastAsiaTheme="minorHAnsi"/>
          <w:sz w:val="24"/>
          <w:szCs w:val="24"/>
          <w:lang w:eastAsia="ar-SA"/>
        </w:rPr>
        <w:t>º</w:t>
      </w:r>
      <w:r w:rsidR="00002DEF">
        <w:rPr>
          <w:rFonts w:eastAsiaTheme="minorHAnsi"/>
          <w:sz w:val="24"/>
          <w:szCs w:val="24"/>
          <w:lang w:eastAsia="ar-SA"/>
        </w:rPr>
        <w:t>C emissions restrictions</w:t>
      </w:r>
      <w:r w:rsidR="00031E25">
        <w:rPr>
          <w:rFonts w:eastAsiaTheme="minorHAnsi"/>
          <w:sz w:val="24"/>
          <w:szCs w:val="24"/>
          <w:lang w:eastAsia="ar-SA"/>
        </w:rPr>
        <w:t>, is</w:t>
      </w:r>
      <w:r w:rsidR="0067380E">
        <w:rPr>
          <w:rFonts w:eastAsiaTheme="minorHAnsi"/>
          <w:sz w:val="24"/>
          <w:szCs w:val="24"/>
          <w:lang w:eastAsia="ar-SA"/>
        </w:rPr>
        <w:t xml:space="preserve"> given in Table 1.</w:t>
      </w:r>
    </w:p>
    <w:p w14:paraId="6B38A6F3" w14:textId="7CE81B56" w:rsidR="00AC789C" w:rsidRDefault="00AC789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F4696E">
        <w:rPr>
          <w:noProof/>
          <w:vertAlign w:val="superscript"/>
          <w:lang w:val="es-UY"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CBF02" wp14:editId="66F48639">
                <wp:simplePos x="0" y="0"/>
                <wp:positionH relativeFrom="column">
                  <wp:posOffset>88900</wp:posOffset>
                </wp:positionH>
                <wp:positionV relativeFrom="paragraph">
                  <wp:posOffset>857250</wp:posOffset>
                </wp:positionV>
                <wp:extent cx="5676900" cy="4667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06E1D" w14:textId="4E5940E1" w:rsidR="00E06C71" w:rsidRPr="008041BD" w:rsidRDefault="00E06C71" w:rsidP="00E06C71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8041BD">
                              <w:rPr>
                                <w:b/>
                                <w:i/>
                              </w:rPr>
                              <w:t>This paper showcases author´s personal views and does not necessar</w:t>
                            </w:r>
                            <w:r>
                              <w:rPr>
                                <w:b/>
                                <w:i/>
                              </w:rPr>
                              <w:t>ily reflect CALEN institutional opinions or doctrine</w:t>
                            </w:r>
                            <w:r w:rsidRPr="008041BD">
                              <w:rPr>
                                <w:b/>
                                <w:i/>
                              </w:rPr>
                              <w:t>.-</w:t>
                            </w:r>
                          </w:p>
                          <w:p w14:paraId="03CD2BE6" w14:textId="77777777" w:rsidR="00E06C71" w:rsidRPr="00F4696E" w:rsidRDefault="00E06C71" w:rsidP="00E06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pt;margin-top:67.5pt;width:447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" stroked="f">
                <v:textbox>
                  <w:txbxContent>
                    <w:p w14:paraId="35406E1D" w14:textId="4E5940E1" w:rsidR="00E06C71" w:rsidRPr="008041BD" w:rsidRDefault="00E06C71" w:rsidP="00E06C71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8041BD">
                        <w:rPr>
                          <w:b/>
                          <w:i/>
                        </w:rPr>
                        <w:t>This paper showcases author´s personal views and does not necessar</w:t>
                      </w:r>
                      <w:r>
                        <w:rPr>
                          <w:b/>
                          <w:i/>
                        </w:rPr>
                        <w:t>ily reflect CALEN institutional opinions or doctrine</w:t>
                      </w:r>
                      <w:r w:rsidRPr="008041BD">
                        <w:rPr>
                          <w:b/>
                          <w:i/>
                        </w:rPr>
                        <w:t>.-</w:t>
                      </w:r>
                    </w:p>
                    <w:p w14:paraId="03CD2BE6" w14:textId="77777777" w:rsidR="00E06C71" w:rsidRPr="00F4696E" w:rsidRDefault="00E06C71" w:rsidP="00E06C71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br w:type="page"/>
      </w:r>
    </w:p>
    <w:p w14:paraId="735DFBC1" w14:textId="2CE589E7" w:rsidR="00B90025" w:rsidRPr="00DF3A79" w:rsidRDefault="007E4CBE" w:rsidP="00046928">
      <w:pPr>
        <w:pStyle w:val="Textoindependiente"/>
        <w:spacing w:before="280" w:after="28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TABLE 1.</w:t>
      </w:r>
      <w:proofErr w:type="gramEnd"/>
      <w:r>
        <w:rPr>
          <w:sz w:val="24"/>
          <w:szCs w:val="24"/>
        </w:rPr>
        <w:tab/>
      </w:r>
      <w:r w:rsidR="00F475DE">
        <w:rPr>
          <w:sz w:val="24"/>
          <w:szCs w:val="24"/>
        </w:rPr>
        <w:t>NUCLEAR AND RENEWABLE SHARES AT</w:t>
      </w:r>
      <w:r>
        <w:rPr>
          <w:sz w:val="24"/>
          <w:szCs w:val="24"/>
        </w:rPr>
        <w:t>TAINABLE BY 2050</w:t>
      </w:r>
    </w:p>
    <w:p w14:paraId="77900463" w14:textId="77777777" w:rsidR="00B90025" w:rsidRPr="00DF3A79" w:rsidRDefault="00B90025" w:rsidP="00B90025">
      <w:pPr>
        <w:pStyle w:val="Textoindependiente"/>
        <w:spacing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1917"/>
        <w:gridCol w:w="1918"/>
        <w:gridCol w:w="1732"/>
        <w:gridCol w:w="1732"/>
      </w:tblGrid>
      <w:tr w:rsidR="007E4CBE" w:rsidRPr="000552F9" w14:paraId="63D49D1A" w14:textId="38241BF1" w:rsidTr="007E4CBE">
        <w:trPr>
          <w:trHeight w:val="286"/>
          <w:jc w:val="center"/>
        </w:trPr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B053748" w14:textId="38C2232A" w:rsidR="007E4CBE" w:rsidRPr="000552F9" w:rsidRDefault="007E4CBE" w:rsidP="007E4CBE">
            <w:pPr>
              <w:pStyle w:val="Textoindependiente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1.5 </w:t>
            </w:r>
            <w:r w:rsidRPr="00071189">
              <w:rPr>
                <w:rFonts w:eastAsiaTheme="minorHAnsi"/>
                <w:sz w:val="24"/>
                <w:szCs w:val="24"/>
                <w:lang w:eastAsia="ar-SA"/>
              </w:rPr>
              <w:t>º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C scenario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4226C5F5" w14:textId="7F65BDA6" w:rsidR="007E4CBE" w:rsidRPr="000552F9" w:rsidRDefault="007E4CBE" w:rsidP="007B7BC2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Nuclear power (TW*h/</w:t>
            </w:r>
            <w:proofErr w:type="spellStart"/>
            <w:r>
              <w:rPr>
                <w:sz w:val="22"/>
                <w:szCs w:val="22"/>
              </w:rPr>
              <w:t>yr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14:paraId="64852B22" w14:textId="48314798" w:rsidR="007E4CBE" w:rsidRPr="000552F9" w:rsidRDefault="00002DEF" w:rsidP="007B7BC2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All-renewables power (TW*h/</w:t>
            </w:r>
            <w:proofErr w:type="spellStart"/>
            <w:r>
              <w:rPr>
                <w:sz w:val="22"/>
                <w:szCs w:val="22"/>
              </w:rPr>
              <w:t>yr</w:t>
            </w:r>
            <w:proofErr w:type="spellEnd"/>
            <w:r>
              <w:rPr>
                <w:sz w:val="22"/>
                <w:szCs w:val="22"/>
              </w:rPr>
              <w:t>)</w:t>
            </w:r>
            <w:r w:rsidR="007E4CB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14:paraId="62ADECA5" w14:textId="353186F4" w:rsidR="007E4CBE" w:rsidRPr="000552F9" w:rsidRDefault="00002DEF" w:rsidP="007B7BC2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Nuclear share (%)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14:paraId="5C50C976" w14:textId="1A6D9619" w:rsidR="007E4CBE" w:rsidRPr="000552F9" w:rsidRDefault="00002DEF" w:rsidP="007B7BC2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Renewable share (%)</w:t>
            </w:r>
          </w:p>
        </w:tc>
      </w:tr>
      <w:tr w:rsidR="007E4CBE" w:rsidRPr="000552F9" w14:paraId="1BCF5273" w14:textId="224D96B3" w:rsidTr="007E4CBE">
        <w:trPr>
          <w:trHeight w:val="266"/>
          <w:jc w:val="center"/>
        </w:trPr>
        <w:tc>
          <w:tcPr>
            <w:tcW w:w="1944" w:type="dxa"/>
            <w:tcBorders>
              <w:top w:val="single" w:sz="4" w:space="0" w:color="auto"/>
            </w:tcBorders>
          </w:tcPr>
          <w:p w14:paraId="6E9BE1E8" w14:textId="453E586A" w:rsidR="007E4CBE" w:rsidRPr="000552F9" w:rsidRDefault="007E4CBE" w:rsidP="007E4CBE">
            <w:pPr>
              <w:pStyle w:val="Textoindependiente"/>
              <w:ind w:firstLine="0"/>
              <w:jc w:val="left"/>
              <w:rPr>
                <w:sz w:val="22"/>
                <w:szCs w:val="22"/>
              </w:rPr>
            </w:pPr>
            <w:r w:rsidRPr="007E4CBE">
              <w:rPr>
                <w:sz w:val="22"/>
                <w:szCs w:val="22"/>
              </w:rPr>
              <w:t>Low Overshot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14:paraId="6D367DF6" w14:textId="32BD6B66" w:rsidR="007E4CBE" w:rsidRPr="000552F9" w:rsidRDefault="00002DEF" w:rsidP="007B7BC2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19,100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14:paraId="5E8B29CC" w14:textId="27CDFDC6" w:rsidR="007E4CBE" w:rsidRPr="000552F9" w:rsidRDefault="00002DEF" w:rsidP="007B7BC2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25,700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14:paraId="022E14AB" w14:textId="248D66FA" w:rsidR="007E4CBE" w:rsidRPr="000552F9" w:rsidRDefault="00002DEF" w:rsidP="007B7BC2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14:paraId="159B1AE9" w14:textId="5FB45AB0" w:rsidR="007E4CBE" w:rsidRPr="000552F9" w:rsidRDefault="00002DEF" w:rsidP="007B7BC2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7E4CBE" w:rsidRPr="000552F9" w14:paraId="229ADD6A" w14:textId="7A6413DD" w:rsidTr="007E4CBE">
        <w:trPr>
          <w:trHeight w:val="266"/>
          <w:jc w:val="center"/>
        </w:trPr>
        <w:tc>
          <w:tcPr>
            <w:tcW w:w="1944" w:type="dxa"/>
          </w:tcPr>
          <w:p w14:paraId="7B9AC95C" w14:textId="79FF0150" w:rsidR="007E4CBE" w:rsidRPr="000552F9" w:rsidRDefault="007E4CBE" w:rsidP="007B7BC2">
            <w:pPr>
              <w:pStyle w:val="Textoindependient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Overshot</w:t>
            </w:r>
          </w:p>
        </w:tc>
        <w:tc>
          <w:tcPr>
            <w:tcW w:w="1917" w:type="dxa"/>
          </w:tcPr>
          <w:p w14:paraId="7C2BC87A" w14:textId="2507F1EC" w:rsidR="007E4CBE" w:rsidRPr="000552F9" w:rsidRDefault="00002DEF" w:rsidP="007B7BC2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22,300</w:t>
            </w:r>
          </w:p>
        </w:tc>
        <w:tc>
          <w:tcPr>
            <w:tcW w:w="1918" w:type="dxa"/>
          </w:tcPr>
          <w:p w14:paraId="36B6EC7A" w14:textId="3CD8B85C" w:rsidR="007E4CBE" w:rsidRPr="000552F9" w:rsidRDefault="00002DEF" w:rsidP="007B7BC2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30,000</w:t>
            </w:r>
          </w:p>
        </w:tc>
        <w:tc>
          <w:tcPr>
            <w:tcW w:w="1732" w:type="dxa"/>
          </w:tcPr>
          <w:p w14:paraId="4E200818" w14:textId="063D0C06" w:rsidR="007E4CBE" w:rsidRPr="000552F9" w:rsidRDefault="00F475DE" w:rsidP="007B7BC2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32" w:type="dxa"/>
          </w:tcPr>
          <w:p w14:paraId="6C5B0077" w14:textId="6F02F6B4" w:rsidR="007E4CBE" w:rsidRPr="000552F9" w:rsidRDefault="00F475DE" w:rsidP="007B7BC2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</w:tbl>
    <w:p w14:paraId="1A808229" w14:textId="52197F31" w:rsidR="0077532F" w:rsidRDefault="0077532F" w:rsidP="0004692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Even if this energy portfolio could be “attainable”, our paper highlighted that it also poses huge challenges for nuclear indu</w:t>
      </w:r>
      <w:r w:rsidR="00A873EE">
        <w:rPr>
          <w:rFonts w:eastAsiaTheme="minorHAnsi"/>
          <w:sz w:val="24"/>
          <w:szCs w:val="24"/>
          <w:lang w:eastAsia="ar-SA"/>
        </w:rPr>
        <w:t>stry as a whole, uranium</w:t>
      </w:r>
      <w:r>
        <w:rPr>
          <w:rFonts w:eastAsiaTheme="minorHAnsi"/>
          <w:sz w:val="24"/>
          <w:szCs w:val="24"/>
          <w:lang w:eastAsia="ar-SA"/>
        </w:rPr>
        <w:t xml:space="preserve"> mining, energy planners, </w:t>
      </w:r>
      <w:proofErr w:type="gramStart"/>
      <w:r>
        <w:rPr>
          <w:rFonts w:eastAsiaTheme="minorHAnsi"/>
          <w:sz w:val="24"/>
          <w:szCs w:val="24"/>
          <w:lang w:eastAsia="ar-SA"/>
        </w:rPr>
        <w:t>nuclear</w:t>
      </w:r>
      <w:proofErr w:type="gramEnd"/>
      <w:r>
        <w:rPr>
          <w:rFonts w:eastAsiaTheme="minorHAnsi"/>
          <w:sz w:val="24"/>
          <w:szCs w:val="24"/>
          <w:lang w:eastAsia="ar-SA"/>
        </w:rPr>
        <w:t xml:space="preserve"> regulators.   Depletion of currently proven</w:t>
      </w:r>
      <w:r w:rsidR="00552E53">
        <w:rPr>
          <w:rFonts w:eastAsiaTheme="minorHAnsi"/>
          <w:sz w:val="24"/>
          <w:szCs w:val="24"/>
          <w:lang w:eastAsia="ar-SA"/>
        </w:rPr>
        <w:t xml:space="preserve"> and probable</w:t>
      </w:r>
      <w:r w:rsidR="00AF310F">
        <w:rPr>
          <w:rFonts w:eastAsiaTheme="minorHAnsi"/>
          <w:sz w:val="24"/>
          <w:szCs w:val="24"/>
          <w:lang w:eastAsia="ar-SA"/>
        </w:rPr>
        <w:t xml:space="preserve"> low</w:t>
      </w:r>
      <w:r w:rsidR="00552E53">
        <w:rPr>
          <w:rFonts w:eastAsiaTheme="minorHAnsi"/>
          <w:sz w:val="24"/>
          <w:szCs w:val="24"/>
          <w:lang w:eastAsia="ar-SA"/>
        </w:rPr>
        <w:t>-</w:t>
      </w:r>
      <w:r>
        <w:rPr>
          <w:rFonts w:eastAsiaTheme="minorHAnsi"/>
          <w:sz w:val="24"/>
          <w:szCs w:val="24"/>
          <w:lang w:eastAsia="ar-SA"/>
        </w:rPr>
        <w:t>cost uranium reserves</w:t>
      </w:r>
      <w:r w:rsidR="00552E53">
        <w:rPr>
          <w:rFonts w:eastAsiaTheme="minorHAnsi"/>
          <w:sz w:val="24"/>
          <w:szCs w:val="24"/>
          <w:lang w:eastAsia="ar-SA"/>
        </w:rPr>
        <w:t xml:space="preserve"> before</w:t>
      </w:r>
      <w:r w:rsidR="00AF310F">
        <w:rPr>
          <w:rFonts w:eastAsiaTheme="minorHAnsi"/>
          <w:sz w:val="24"/>
          <w:szCs w:val="24"/>
          <w:lang w:eastAsia="ar-SA"/>
        </w:rPr>
        <w:t xml:space="preserve"> </w:t>
      </w:r>
      <w:r w:rsidR="00552E53">
        <w:rPr>
          <w:rFonts w:eastAsiaTheme="minorHAnsi"/>
          <w:sz w:val="24"/>
          <w:szCs w:val="24"/>
          <w:lang w:eastAsia="ar-SA"/>
        </w:rPr>
        <w:t xml:space="preserve">2090, </w:t>
      </w:r>
      <w:r w:rsidR="00F82AA3">
        <w:rPr>
          <w:rFonts w:eastAsiaTheme="minorHAnsi"/>
          <w:sz w:val="24"/>
          <w:szCs w:val="24"/>
          <w:lang w:eastAsia="ar-SA"/>
        </w:rPr>
        <w:t>the urgent need to wide</w:t>
      </w:r>
      <w:r w:rsidR="008F7F4C">
        <w:rPr>
          <w:rFonts w:eastAsiaTheme="minorHAnsi"/>
          <w:sz w:val="24"/>
          <w:szCs w:val="24"/>
          <w:lang w:eastAsia="ar-SA"/>
        </w:rPr>
        <w:t xml:space="preserve"> and quick</w:t>
      </w:r>
      <w:r w:rsidR="00552E53">
        <w:rPr>
          <w:rFonts w:eastAsiaTheme="minorHAnsi"/>
          <w:sz w:val="24"/>
          <w:szCs w:val="24"/>
          <w:lang w:eastAsia="ar-SA"/>
        </w:rPr>
        <w:t>ly expand world uranium enrichment capacity, were mentioned as some very hard challenges to face at.</w:t>
      </w:r>
      <w:r w:rsidR="0084648D">
        <w:rPr>
          <w:rFonts w:eastAsiaTheme="minorHAnsi"/>
          <w:sz w:val="24"/>
          <w:szCs w:val="24"/>
          <w:lang w:eastAsia="ar-SA"/>
        </w:rPr>
        <w:t xml:space="preserve">   Shift to thorium cycle, use of fast/breeder reactors, plutonium reprocessing and reuse, could fit each to diverse national circumstances and </w:t>
      </w:r>
      <w:r w:rsidR="006B5FA0">
        <w:rPr>
          <w:rFonts w:eastAsiaTheme="minorHAnsi"/>
          <w:sz w:val="24"/>
          <w:szCs w:val="24"/>
          <w:lang w:eastAsia="ar-SA"/>
        </w:rPr>
        <w:t>were point</w:t>
      </w:r>
      <w:r w:rsidR="003169E5">
        <w:rPr>
          <w:rFonts w:eastAsiaTheme="minorHAnsi"/>
          <w:sz w:val="24"/>
          <w:szCs w:val="24"/>
          <w:lang w:eastAsia="ar-SA"/>
        </w:rPr>
        <w:t>ed “</w:t>
      </w:r>
      <w:r w:rsidR="001D5B1D">
        <w:rPr>
          <w:rFonts w:eastAsiaTheme="minorHAnsi"/>
          <w:i/>
          <w:sz w:val="24"/>
          <w:szCs w:val="24"/>
          <w:lang w:eastAsia="ar-SA"/>
        </w:rPr>
        <w:t>at least to</w:t>
      </w:r>
      <w:r w:rsidR="003169E5" w:rsidRPr="003169E5">
        <w:rPr>
          <w:rFonts w:eastAsiaTheme="minorHAnsi"/>
          <w:i/>
          <w:sz w:val="24"/>
          <w:szCs w:val="24"/>
          <w:lang w:eastAsia="ar-SA"/>
        </w:rPr>
        <w:t xml:space="preserve"> some extent</w:t>
      </w:r>
      <w:r w:rsidR="003169E5">
        <w:rPr>
          <w:rFonts w:eastAsiaTheme="minorHAnsi"/>
          <w:sz w:val="24"/>
          <w:szCs w:val="24"/>
          <w:lang w:eastAsia="ar-SA"/>
        </w:rPr>
        <w:t>” as resourc</w:t>
      </w:r>
      <w:r w:rsidR="006B5FA0">
        <w:rPr>
          <w:rFonts w:eastAsiaTheme="minorHAnsi"/>
          <w:sz w:val="24"/>
          <w:szCs w:val="24"/>
          <w:lang w:eastAsia="ar-SA"/>
        </w:rPr>
        <w:t>es</w:t>
      </w:r>
      <w:r w:rsidR="0084648D">
        <w:rPr>
          <w:rFonts w:eastAsiaTheme="minorHAnsi"/>
          <w:sz w:val="24"/>
          <w:szCs w:val="24"/>
          <w:lang w:eastAsia="ar-SA"/>
        </w:rPr>
        <w:t xml:space="preserve">; obviously, massive use of these options is also very challenging. </w:t>
      </w:r>
    </w:p>
    <w:p w14:paraId="5A794EE4" w14:textId="0AEC0966" w:rsidR="00AF310F" w:rsidRDefault="00AF310F" w:rsidP="0004692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 xml:space="preserve">Power from nuclear fusion, due to the characteristics of physical processes on which it would be </w:t>
      </w:r>
      <w:r w:rsidR="0046288E">
        <w:rPr>
          <w:rFonts w:eastAsiaTheme="minorHAnsi"/>
          <w:sz w:val="24"/>
          <w:szCs w:val="24"/>
          <w:lang w:eastAsia="ar-SA"/>
        </w:rPr>
        <w:t xml:space="preserve">based, is </w:t>
      </w:r>
      <w:r w:rsidR="0046288E" w:rsidRPr="00516714">
        <w:rPr>
          <w:rFonts w:eastAsiaTheme="minorHAnsi"/>
          <w:sz w:val="24"/>
          <w:szCs w:val="24"/>
          <w:lang w:eastAsia="ar-SA"/>
        </w:rPr>
        <w:t>the</w:t>
      </w:r>
      <w:r>
        <w:rPr>
          <w:rFonts w:eastAsiaTheme="minorHAnsi"/>
          <w:sz w:val="24"/>
          <w:szCs w:val="24"/>
          <w:lang w:eastAsia="ar-SA"/>
        </w:rPr>
        <w:t xml:space="preserve"> promise of</w:t>
      </w:r>
      <w:r w:rsidR="00AE0337">
        <w:rPr>
          <w:rFonts w:eastAsiaTheme="minorHAnsi"/>
          <w:sz w:val="24"/>
          <w:szCs w:val="24"/>
          <w:lang w:eastAsia="ar-SA"/>
        </w:rPr>
        <w:t xml:space="preserve"> plenty </w:t>
      </w:r>
      <w:r>
        <w:rPr>
          <w:rFonts w:eastAsiaTheme="minorHAnsi"/>
          <w:sz w:val="24"/>
          <w:szCs w:val="24"/>
          <w:lang w:eastAsia="ar-SA"/>
        </w:rPr>
        <w:t>energy</w:t>
      </w:r>
      <w:r w:rsidR="00AE0337">
        <w:rPr>
          <w:rFonts w:eastAsiaTheme="minorHAnsi"/>
          <w:sz w:val="24"/>
          <w:szCs w:val="24"/>
          <w:lang w:eastAsia="ar-SA"/>
        </w:rPr>
        <w:t xml:space="preserve"> for Humanity, </w:t>
      </w:r>
      <w:r w:rsidR="00FD3A64">
        <w:rPr>
          <w:rFonts w:eastAsiaTheme="minorHAnsi"/>
          <w:sz w:val="24"/>
          <w:szCs w:val="24"/>
          <w:lang w:eastAsia="ar-SA"/>
        </w:rPr>
        <w:t xml:space="preserve">for probably </w:t>
      </w:r>
      <w:r w:rsidR="0046288E">
        <w:rPr>
          <w:rFonts w:eastAsiaTheme="minorHAnsi"/>
          <w:sz w:val="24"/>
          <w:szCs w:val="24"/>
          <w:lang w:eastAsia="ar-SA"/>
        </w:rPr>
        <w:t>much more than</w:t>
      </w:r>
      <w:r w:rsidR="00FD3A64">
        <w:rPr>
          <w:rFonts w:eastAsiaTheme="minorHAnsi"/>
          <w:sz w:val="24"/>
          <w:szCs w:val="24"/>
          <w:lang w:eastAsia="ar-SA"/>
        </w:rPr>
        <w:t xml:space="preserve"> the latter </w:t>
      </w:r>
      <w:r w:rsidR="00AE0337">
        <w:rPr>
          <w:rFonts w:eastAsiaTheme="minorHAnsi"/>
          <w:sz w:val="24"/>
          <w:szCs w:val="24"/>
          <w:lang w:eastAsia="ar-SA"/>
        </w:rPr>
        <w:t xml:space="preserve"> could last on Earth</w:t>
      </w:r>
      <w:r w:rsidR="00AA44A0">
        <w:rPr>
          <w:rFonts w:eastAsiaTheme="minorHAnsi"/>
          <w:sz w:val="24"/>
          <w:szCs w:val="24"/>
          <w:lang w:eastAsia="ar-SA"/>
        </w:rPr>
        <w:t>, as about 1% of world seawater could supply deuterium to power</w:t>
      </w:r>
      <w:r w:rsidR="0046288E">
        <w:rPr>
          <w:rFonts w:eastAsiaTheme="minorHAnsi"/>
          <w:sz w:val="24"/>
          <w:szCs w:val="24"/>
          <w:lang w:eastAsia="ar-SA"/>
        </w:rPr>
        <w:t xml:space="preserve"> societies for 10</w:t>
      </w:r>
      <w:r w:rsidR="0046288E" w:rsidRPr="0046288E">
        <w:rPr>
          <w:rFonts w:eastAsiaTheme="minorHAnsi"/>
          <w:sz w:val="24"/>
          <w:szCs w:val="24"/>
          <w:vertAlign w:val="superscript"/>
          <w:lang w:eastAsia="ar-SA"/>
        </w:rPr>
        <w:t>9</w:t>
      </w:r>
      <w:r w:rsidR="0046288E">
        <w:rPr>
          <w:rFonts w:eastAsiaTheme="minorHAnsi"/>
          <w:sz w:val="24"/>
          <w:szCs w:val="24"/>
          <w:lang w:eastAsia="ar-SA"/>
        </w:rPr>
        <w:t xml:space="preserve"> years, returning 99,6% of that raw water as such</w:t>
      </w:r>
      <w:r w:rsidR="0032732F">
        <w:rPr>
          <w:rFonts w:eastAsiaTheme="minorHAnsi"/>
          <w:sz w:val="24"/>
          <w:szCs w:val="24"/>
          <w:lang w:eastAsia="ar-SA"/>
        </w:rPr>
        <w:t>.  It w</w:t>
      </w:r>
      <w:r w:rsidR="00AF1B54">
        <w:rPr>
          <w:rFonts w:eastAsiaTheme="minorHAnsi"/>
          <w:sz w:val="24"/>
          <w:szCs w:val="24"/>
          <w:lang w:eastAsia="ar-SA"/>
        </w:rPr>
        <w:t xml:space="preserve">ould also be </w:t>
      </w:r>
      <w:r w:rsidR="0032732F">
        <w:rPr>
          <w:rFonts w:eastAsiaTheme="minorHAnsi"/>
          <w:sz w:val="24"/>
          <w:szCs w:val="24"/>
          <w:lang w:eastAsia="ar-SA"/>
        </w:rPr>
        <w:t>“clean” energy in t</w:t>
      </w:r>
      <w:r w:rsidR="008F7F4C">
        <w:rPr>
          <w:rFonts w:eastAsiaTheme="minorHAnsi"/>
          <w:sz w:val="24"/>
          <w:szCs w:val="24"/>
          <w:lang w:eastAsia="ar-SA"/>
        </w:rPr>
        <w:t>he sense that it would render little</w:t>
      </w:r>
      <w:r w:rsidR="0032732F">
        <w:rPr>
          <w:rFonts w:eastAsiaTheme="minorHAnsi"/>
          <w:sz w:val="24"/>
          <w:szCs w:val="24"/>
          <w:lang w:eastAsia="ar-SA"/>
        </w:rPr>
        <w:t xml:space="preserve"> radioactive or toxic residues (except minor amounts of manageable, medium-lived tritium</w:t>
      </w:r>
      <w:r w:rsidR="0046288E">
        <w:rPr>
          <w:rFonts w:eastAsiaTheme="minorHAnsi"/>
          <w:sz w:val="24"/>
          <w:szCs w:val="24"/>
          <w:lang w:eastAsia="ar-SA"/>
        </w:rPr>
        <w:t xml:space="preserve"> or activated items</w:t>
      </w:r>
      <w:r w:rsidR="0032732F">
        <w:rPr>
          <w:rFonts w:eastAsiaTheme="minorHAnsi"/>
          <w:sz w:val="24"/>
          <w:szCs w:val="24"/>
          <w:lang w:eastAsia="ar-SA"/>
        </w:rPr>
        <w:t xml:space="preserve">), would not </w:t>
      </w:r>
      <w:r w:rsidR="00AE0337">
        <w:rPr>
          <w:rFonts w:eastAsiaTheme="minorHAnsi"/>
          <w:sz w:val="24"/>
          <w:szCs w:val="24"/>
          <w:lang w:eastAsia="ar-SA"/>
        </w:rPr>
        <w:t>impac</w:t>
      </w:r>
      <w:r w:rsidR="00A873EE">
        <w:rPr>
          <w:rFonts w:eastAsiaTheme="minorHAnsi"/>
          <w:sz w:val="24"/>
          <w:szCs w:val="24"/>
          <w:lang w:eastAsia="ar-SA"/>
        </w:rPr>
        <w:t>t on land use or afforestation.  Ignition accid</w:t>
      </w:r>
      <w:r w:rsidR="009F6B1E">
        <w:rPr>
          <w:rFonts w:eastAsiaTheme="minorHAnsi"/>
          <w:sz w:val="24"/>
          <w:szCs w:val="24"/>
          <w:lang w:eastAsia="ar-SA"/>
        </w:rPr>
        <w:t>ents will be hindered by design</w:t>
      </w:r>
      <w:r w:rsidR="00AE0337">
        <w:rPr>
          <w:rFonts w:eastAsiaTheme="minorHAnsi"/>
          <w:sz w:val="24"/>
          <w:szCs w:val="24"/>
          <w:lang w:eastAsia="ar-SA"/>
        </w:rPr>
        <w:t>.  Once technology is available for world-wide use, there</w:t>
      </w:r>
      <w:r w:rsidR="006B5FA0">
        <w:rPr>
          <w:rFonts w:eastAsiaTheme="minorHAnsi"/>
          <w:sz w:val="24"/>
          <w:szCs w:val="24"/>
          <w:lang w:eastAsia="ar-SA"/>
        </w:rPr>
        <w:t xml:space="preserve"> would be less</w:t>
      </w:r>
      <w:r w:rsidR="00AE0337">
        <w:rPr>
          <w:rFonts w:eastAsiaTheme="minorHAnsi"/>
          <w:sz w:val="24"/>
          <w:szCs w:val="24"/>
          <w:lang w:eastAsia="ar-SA"/>
        </w:rPr>
        <w:t xml:space="preserve"> </w:t>
      </w:r>
      <w:r w:rsidR="0046288E">
        <w:rPr>
          <w:rFonts w:eastAsiaTheme="minorHAnsi"/>
          <w:sz w:val="24"/>
          <w:szCs w:val="24"/>
          <w:lang w:eastAsia="ar-SA"/>
        </w:rPr>
        <w:t xml:space="preserve">strategic </w:t>
      </w:r>
      <w:r w:rsidR="00A65CCE">
        <w:rPr>
          <w:rFonts w:eastAsiaTheme="minorHAnsi"/>
          <w:sz w:val="24"/>
          <w:szCs w:val="24"/>
          <w:lang w:eastAsia="ar-SA"/>
        </w:rPr>
        <w:t>restriction</w:t>
      </w:r>
      <w:r w:rsidR="00AE0337">
        <w:rPr>
          <w:rFonts w:eastAsiaTheme="minorHAnsi"/>
          <w:sz w:val="24"/>
          <w:szCs w:val="24"/>
          <w:lang w:eastAsia="ar-SA"/>
        </w:rPr>
        <w:t xml:space="preserve">s to access </w:t>
      </w:r>
      <w:r w:rsidR="0046288E">
        <w:rPr>
          <w:rFonts w:eastAsiaTheme="minorHAnsi"/>
          <w:sz w:val="24"/>
          <w:szCs w:val="24"/>
          <w:lang w:eastAsia="ar-SA"/>
        </w:rPr>
        <w:t xml:space="preserve">it </w:t>
      </w:r>
      <w:r w:rsidR="003169E5">
        <w:rPr>
          <w:rFonts w:eastAsiaTheme="minorHAnsi"/>
          <w:sz w:val="24"/>
          <w:szCs w:val="24"/>
          <w:lang w:eastAsia="ar-SA"/>
        </w:rPr>
        <w:t>for developing countries, than</w:t>
      </w:r>
      <w:r w:rsidR="00AE0337">
        <w:rPr>
          <w:rFonts w:eastAsiaTheme="minorHAnsi"/>
          <w:sz w:val="24"/>
          <w:szCs w:val="24"/>
          <w:lang w:eastAsia="ar-SA"/>
        </w:rPr>
        <w:t xml:space="preserve"> there are today for nuclear</w:t>
      </w:r>
      <w:r w:rsidR="00FF1379">
        <w:rPr>
          <w:rFonts w:eastAsiaTheme="minorHAnsi"/>
          <w:sz w:val="24"/>
          <w:szCs w:val="24"/>
          <w:lang w:eastAsia="ar-SA"/>
        </w:rPr>
        <w:t xml:space="preserve"> energy, which requires continuous supplie</w:t>
      </w:r>
      <w:r w:rsidR="00AE0337">
        <w:rPr>
          <w:rFonts w:eastAsiaTheme="minorHAnsi"/>
          <w:sz w:val="24"/>
          <w:szCs w:val="24"/>
          <w:lang w:eastAsia="ar-SA"/>
        </w:rPr>
        <w:t xml:space="preserve">s of </w:t>
      </w:r>
      <w:r w:rsidR="00A65CCE">
        <w:rPr>
          <w:rFonts w:eastAsiaTheme="minorHAnsi"/>
          <w:sz w:val="24"/>
          <w:szCs w:val="24"/>
          <w:lang w:eastAsia="ar-SA"/>
        </w:rPr>
        <w:t xml:space="preserve">sophisticated items as </w:t>
      </w:r>
      <w:r w:rsidR="008F7F4C">
        <w:rPr>
          <w:rFonts w:eastAsiaTheme="minorHAnsi"/>
          <w:sz w:val="24"/>
          <w:szCs w:val="24"/>
          <w:lang w:eastAsia="ar-SA"/>
        </w:rPr>
        <w:t>nuclear fuel, enriched uranium</w:t>
      </w:r>
      <w:r w:rsidR="00A65CCE">
        <w:rPr>
          <w:rFonts w:eastAsiaTheme="minorHAnsi"/>
          <w:sz w:val="24"/>
          <w:szCs w:val="24"/>
          <w:lang w:eastAsia="ar-SA"/>
        </w:rPr>
        <w:t>, etc</w:t>
      </w:r>
      <w:r w:rsidR="00AE0337">
        <w:rPr>
          <w:rFonts w:eastAsiaTheme="minorHAnsi"/>
          <w:sz w:val="24"/>
          <w:szCs w:val="24"/>
          <w:lang w:eastAsia="ar-SA"/>
        </w:rPr>
        <w:t>.</w:t>
      </w:r>
    </w:p>
    <w:p w14:paraId="6C552846" w14:textId="69380CD6" w:rsidR="00AE0337" w:rsidRDefault="00AE0337" w:rsidP="0004692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 xml:space="preserve">Commercial nuclear </w:t>
      </w:r>
      <w:r w:rsidR="00FD3A64">
        <w:rPr>
          <w:rFonts w:eastAsiaTheme="minorHAnsi"/>
          <w:sz w:val="24"/>
          <w:szCs w:val="24"/>
          <w:lang w:eastAsia="ar-SA"/>
        </w:rPr>
        <w:t>fusion is aw</w:t>
      </w:r>
      <w:r w:rsidR="00222270">
        <w:rPr>
          <w:rFonts w:eastAsiaTheme="minorHAnsi"/>
          <w:sz w:val="24"/>
          <w:szCs w:val="24"/>
          <w:lang w:eastAsia="ar-SA"/>
        </w:rPr>
        <w:t>aited from long ago, some 6</w:t>
      </w:r>
      <w:r w:rsidR="00FD3A64">
        <w:rPr>
          <w:rFonts w:eastAsiaTheme="minorHAnsi"/>
          <w:sz w:val="24"/>
          <w:szCs w:val="24"/>
          <w:lang w:eastAsia="ar-SA"/>
        </w:rPr>
        <w:t xml:space="preserve">0 years.   Currently, </w:t>
      </w:r>
      <w:r w:rsidR="00794C41">
        <w:rPr>
          <w:rFonts w:eastAsiaTheme="minorHAnsi"/>
          <w:sz w:val="24"/>
          <w:szCs w:val="24"/>
          <w:lang w:eastAsia="ar-SA"/>
        </w:rPr>
        <w:t>96</w:t>
      </w:r>
      <w:r w:rsidR="00FD3A64">
        <w:rPr>
          <w:rFonts w:eastAsiaTheme="minorHAnsi"/>
          <w:sz w:val="24"/>
          <w:szCs w:val="24"/>
          <w:lang w:eastAsia="ar-SA"/>
        </w:rPr>
        <w:t xml:space="preserve"> facilities </w:t>
      </w:r>
      <w:r w:rsidR="00794C41">
        <w:rPr>
          <w:rFonts w:eastAsiaTheme="minorHAnsi"/>
          <w:sz w:val="24"/>
          <w:szCs w:val="24"/>
          <w:lang w:eastAsia="ar-SA"/>
        </w:rPr>
        <w:t>worldwide –and more incoming</w:t>
      </w:r>
      <w:r w:rsidR="00A873EE">
        <w:rPr>
          <w:rFonts w:eastAsiaTheme="minorHAnsi"/>
          <w:sz w:val="24"/>
          <w:szCs w:val="24"/>
          <w:lang w:eastAsia="ar-SA"/>
        </w:rPr>
        <w:t xml:space="preserve">, including </w:t>
      </w:r>
      <w:r w:rsidR="008E410A">
        <w:rPr>
          <w:rFonts w:eastAsiaTheme="minorHAnsi"/>
          <w:sz w:val="24"/>
          <w:szCs w:val="24"/>
          <w:lang w:eastAsia="ar-SA"/>
        </w:rPr>
        <w:t xml:space="preserve">large, </w:t>
      </w:r>
      <w:r w:rsidR="00AF1B54">
        <w:rPr>
          <w:rFonts w:eastAsiaTheme="minorHAnsi"/>
          <w:sz w:val="24"/>
          <w:szCs w:val="24"/>
          <w:lang w:eastAsia="ar-SA"/>
        </w:rPr>
        <w:t xml:space="preserve">aimed as </w:t>
      </w:r>
      <w:r w:rsidR="008E410A">
        <w:rPr>
          <w:rFonts w:eastAsiaTheme="minorHAnsi"/>
          <w:sz w:val="24"/>
          <w:szCs w:val="24"/>
          <w:lang w:eastAsia="ar-SA"/>
        </w:rPr>
        <w:t>self-sustainable, international ITER</w:t>
      </w:r>
      <w:r w:rsidR="00794C41">
        <w:rPr>
          <w:rFonts w:eastAsiaTheme="minorHAnsi"/>
          <w:sz w:val="24"/>
          <w:szCs w:val="24"/>
          <w:lang w:eastAsia="ar-SA"/>
        </w:rPr>
        <w:t xml:space="preserve">- </w:t>
      </w:r>
      <w:r w:rsidR="008E410A">
        <w:rPr>
          <w:rFonts w:eastAsiaTheme="minorHAnsi"/>
          <w:sz w:val="24"/>
          <w:szCs w:val="24"/>
          <w:lang w:eastAsia="ar-SA"/>
        </w:rPr>
        <w:t xml:space="preserve">are </w:t>
      </w:r>
      <w:r w:rsidR="00FD3A64">
        <w:rPr>
          <w:rFonts w:eastAsiaTheme="minorHAnsi"/>
          <w:sz w:val="24"/>
          <w:szCs w:val="24"/>
          <w:lang w:eastAsia="ar-SA"/>
        </w:rPr>
        <w:t xml:space="preserve">achieving great technological </w:t>
      </w:r>
      <w:r w:rsidR="00A65CCE">
        <w:rPr>
          <w:rFonts w:eastAsiaTheme="minorHAnsi"/>
          <w:sz w:val="24"/>
          <w:szCs w:val="24"/>
          <w:lang w:eastAsia="ar-SA"/>
        </w:rPr>
        <w:t xml:space="preserve">milestones </w:t>
      </w:r>
      <w:r w:rsidR="00FD3A64">
        <w:rPr>
          <w:rFonts w:eastAsiaTheme="minorHAnsi"/>
          <w:sz w:val="24"/>
          <w:szCs w:val="24"/>
          <w:lang w:eastAsia="ar-SA"/>
        </w:rPr>
        <w:t>that bring the so-desired controlled, commercial fusion reactor, closer and closer.</w:t>
      </w:r>
    </w:p>
    <w:p w14:paraId="3C05EAC9" w14:textId="70CC5471" w:rsidR="005D0D30" w:rsidRDefault="008E410A" w:rsidP="0004692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 xml:space="preserve">DEMO fusion reactors are expected to be operating by 2040s in Europe and Far East </w:t>
      </w:r>
      <w:r w:rsidR="000D6087">
        <w:rPr>
          <w:rFonts w:eastAsiaTheme="minorHAnsi"/>
          <w:sz w:val="24"/>
          <w:szCs w:val="24"/>
          <w:lang w:eastAsia="ar-SA"/>
        </w:rPr>
        <w:t xml:space="preserve">(3) </w:t>
      </w:r>
      <w:r>
        <w:rPr>
          <w:rFonts w:eastAsiaTheme="minorHAnsi"/>
          <w:sz w:val="24"/>
          <w:szCs w:val="24"/>
          <w:lang w:eastAsia="ar-SA"/>
        </w:rPr>
        <w:t xml:space="preserve">and next step would be deployment of first fusion commercial power plants, for which no clear calendar is available.  </w:t>
      </w:r>
      <w:r w:rsidR="00837299">
        <w:rPr>
          <w:rFonts w:eastAsiaTheme="minorHAnsi"/>
          <w:sz w:val="24"/>
          <w:szCs w:val="24"/>
          <w:lang w:eastAsia="ar-SA"/>
        </w:rPr>
        <w:t>Some reports expect first fusion power integrated to grids by 2070s and sharing 20% of total world power in 2100</w:t>
      </w:r>
      <w:r w:rsidR="000D6087">
        <w:rPr>
          <w:rFonts w:eastAsiaTheme="minorHAnsi"/>
          <w:sz w:val="24"/>
          <w:szCs w:val="24"/>
          <w:lang w:eastAsia="ar-SA"/>
        </w:rPr>
        <w:t xml:space="preserve"> (3)</w:t>
      </w:r>
      <w:r w:rsidR="00837299">
        <w:rPr>
          <w:rFonts w:eastAsiaTheme="minorHAnsi"/>
          <w:sz w:val="24"/>
          <w:szCs w:val="24"/>
          <w:lang w:eastAsia="ar-SA"/>
        </w:rPr>
        <w:t xml:space="preserve">.  </w:t>
      </w:r>
      <w:r w:rsidR="00077D7F">
        <w:rPr>
          <w:rFonts w:eastAsiaTheme="minorHAnsi"/>
          <w:sz w:val="24"/>
          <w:szCs w:val="24"/>
          <w:lang w:eastAsia="ar-SA"/>
        </w:rPr>
        <w:t xml:space="preserve">We took this forecast as a base scenario and considered also two other (optimistic/ pessimistic) scenarios for our analysis of future sustainable climate and social scenarios.  </w:t>
      </w:r>
      <w:r w:rsidR="00837299">
        <w:rPr>
          <w:rFonts w:eastAsiaTheme="minorHAnsi"/>
          <w:sz w:val="24"/>
          <w:szCs w:val="24"/>
          <w:lang w:eastAsia="ar-SA"/>
        </w:rPr>
        <w:t>In an optimistic assumption, commercial fusion power could come just in 2060</w:t>
      </w:r>
      <w:r w:rsidR="00077D7F">
        <w:rPr>
          <w:rFonts w:eastAsiaTheme="minorHAnsi"/>
          <w:sz w:val="24"/>
          <w:szCs w:val="24"/>
          <w:lang w:eastAsia="ar-SA"/>
        </w:rPr>
        <w:t xml:space="preserve"> and supply </w:t>
      </w:r>
      <w:r w:rsidR="00CC2A97">
        <w:rPr>
          <w:rFonts w:eastAsiaTheme="minorHAnsi"/>
          <w:sz w:val="24"/>
          <w:szCs w:val="24"/>
          <w:lang w:eastAsia="ar-SA"/>
        </w:rPr>
        <w:t>2</w:t>
      </w:r>
      <w:r w:rsidR="00837299">
        <w:rPr>
          <w:rFonts w:eastAsiaTheme="minorHAnsi"/>
          <w:sz w:val="24"/>
          <w:szCs w:val="24"/>
          <w:lang w:eastAsia="ar-SA"/>
        </w:rPr>
        <w:t>0% of</w:t>
      </w:r>
      <w:r w:rsidR="003071FC">
        <w:rPr>
          <w:rFonts w:eastAsiaTheme="minorHAnsi"/>
          <w:sz w:val="24"/>
          <w:szCs w:val="24"/>
          <w:lang w:eastAsia="ar-SA"/>
        </w:rPr>
        <w:t xml:space="preserve"> global power consumption in 208</w:t>
      </w:r>
      <w:r w:rsidR="00837299">
        <w:rPr>
          <w:rFonts w:eastAsiaTheme="minorHAnsi"/>
          <w:sz w:val="24"/>
          <w:szCs w:val="24"/>
          <w:lang w:eastAsia="ar-SA"/>
        </w:rPr>
        <w:t>0</w:t>
      </w:r>
      <w:r w:rsidR="00516714">
        <w:rPr>
          <w:rFonts w:eastAsiaTheme="minorHAnsi"/>
          <w:sz w:val="24"/>
          <w:szCs w:val="24"/>
          <w:lang w:eastAsia="ar-SA"/>
        </w:rPr>
        <w:t>.</w:t>
      </w:r>
      <w:r w:rsidR="007E4FB3">
        <w:rPr>
          <w:rFonts w:eastAsiaTheme="minorHAnsi"/>
          <w:sz w:val="24"/>
          <w:szCs w:val="24"/>
          <w:lang w:eastAsia="ar-SA"/>
        </w:rPr>
        <w:t xml:space="preserve"> </w:t>
      </w:r>
      <w:r w:rsidR="00642BE7">
        <w:rPr>
          <w:rFonts w:eastAsiaTheme="minorHAnsi"/>
          <w:sz w:val="24"/>
          <w:szCs w:val="24"/>
          <w:lang w:eastAsia="ar-SA"/>
        </w:rPr>
        <w:t>The bad scenario sees</w:t>
      </w:r>
      <w:r w:rsidR="007E4FB3">
        <w:rPr>
          <w:rFonts w:eastAsiaTheme="minorHAnsi"/>
          <w:sz w:val="24"/>
          <w:szCs w:val="24"/>
          <w:lang w:eastAsia="ar-SA"/>
        </w:rPr>
        <w:t xml:space="preserve"> no fusion power in grids until</w:t>
      </w:r>
      <w:r w:rsidR="00642BE7">
        <w:rPr>
          <w:rFonts w:eastAsiaTheme="minorHAnsi"/>
          <w:sz w:val="24"/>
          <w:szCs w:val="24"/>
          <w:lang w:eastAsia="ar-SA"/>
        </w:rPr>
        <w:t xml:space="preserve"> 2100</w:t>
      </w:r>
      <w:r w:rsidR="007E4FB3">
        <w:rPr>
          <w:rFonts w:eastAsiaTheme="minorHAnsi"/>
          <w:sz w:val="24"/>
          <w:szCs w:val="24"/>
          <w:lang w:eastAsia="ar-SA"/>
        </w:rPr>
        <w:t>, and a fusion share of 20% just by 2130</w:t>
      </w:r>
      <w:r w:rsidR="00642BE7">
        <w:rPr>
          <w:rFonts w:eastAsiaTheme="minorHAnsi"/>
          <w:sz w:val="24"/>
          <w:szCs w:val="24"/>
          <w:lang w:eastAsia="ar-SA"/>
        </w:rPr>
        <w:t>.</w:t>
      </w:r>
      <w:r w:rsidR="00837299">
        <w:rPr>
          <w:rFonts w:eastAsiaTheme="minorHAnsi"/>
          <w:sz w:val="24"/>
          <w:szCs w:val="24"/>
          <w:lang w:eastAsia="ar-SA"/>
        </w:rPr>
        <w:t xml:space="preserve"> We have made a preliminary assessment of how one or another scenario can impact on </w:t>
      </w:r>
      <w:r w:rsidR="00DA64A3">
        <w:rPr>
          <w:rFonts w:eastAsiaTheme="minorHAnsi"/>
          <w:sz w:val="24"/>
          <w:szCs w:val="24"/>
          <w:lang w:eastAsia="ar-SA"/>
        </w:rPr>
        <w:t>mitigating climate change and warranting global energy security and access</w:t>
      </w:r>
      <w:r w:rsidR="00A629E3">
        <w:rPr>
          <w:rFonts w:eastAsiaTheme="minorHAnsi"/>
          <w:sz w:val="24"/>
          <w:szCs w:val="24"/>
          <w:lang w:eastAsia="ar-SA"/>
        </w:rPr>
        <w:t xml:space="preserve">, </w:t>
      </w:r>
      <w:r w:rsidR="00045818">
        <w:rPr>
          <w:rFonts w:eastAsiaTheme="minorHAnsi"/>
          <w:sz w:val="24"/>
          <w:szCs w:val="24"/>
          <w:lang w:eastAsia="ar-SA"/>
        </w:rPr>
        <w:t>using e</w:t>
      </w:r>
      <w:r w:rsidR="000D6087">
        <w:rPr>
          <w:rFonts w:eastAsiaTheme="minorHAnsi"/>
          <w:sz w:val="24"/>
          <w:szCs w:val="24"/>
          <w:lang w:eastAsia="ar-SA"/>
        </w:rPr>
        <w:t>nergy portfolios proposed in (2</w:t>
      </w:r>
      <w:r w:rsidR="00045818">
        <w:rPr>
          <w:rFonts w:eastAsiaTheme="minorHAnsi"/>
          <w:sz w:val="24"/>
          <w:szCs w:val="24"/>
          <w:lang w:eastAsia="ar-SA"/>
        </w:rPr>
        <w:t xml:space="preserve">) and </w:t>
      </w:r>
      <w:r w:rsidR="00A629E3">
        <w:rPr>
          <w:rFonts w:eastAsiaTheme="minorHAnsi"/>
          <w:sz w:val="24"/>
          <w:szCs w:val="24"/>
          <w:lang w:eastAsia="ar-SA"/>
        </w:rPr>
        <w:t xml:space="preserve">keeping in mind </w:t>
      </w:r>
      <w:r w:rsidR="00045818">
        <w:rPr>
          <w:rFonts w:eastAsiaTheme="minorHAnsi"/>
          <w:sz w:val="24"/>
          <w:szCs w:val="24"/>
          <w:lang w:eastAsia="ar-SA"/>
        </w:rPr>
        <w:t xml:space="preserve"> other </w:t>
      </w:r>
      <w:r w:rsidR="000D6087">
        <w:rPr>
          <w:rFonts w:eastAsiaTheme="minorHAnsi"/>
          <w:sz w:val="24"/>
          <w:szCs w:val="24"/>
          <w:lang w:eastAsia="ar-SA"/>
        </w:rPr>
        <w:t>findings of (2</w:t>
      </w:r>
      <w:r w:rsidR="00A629E3">
        <w:rPr>
          <w:rFonts w:eastAsiaTheme="minorHAnsi"/>
          <w:sz w:val="24"/>
          <w:szCs w:val="24"/>
          <w:lang w:eastAsia="ar-SA"/>
        </w:rPr>
        <w:t>)</w:t>
      </w:r>
      <w:r w:rsidR="00863CDF">
        <w:rPr>
          <w:rFonts w:eastAsiaTheme="minorHAnsi"/>
          <w:sz w:val="24"/>
          <w:szCs w:val="24"/>
          <w:lang w:eastAsia="ar-SA"/>
        </w:rPr>
        <w:t>, that anticipated challenges for uranium low cost reserves even if “</w:t>
      </w:r>
      <w:r w:rsidR="00863CDF" w:rsidRPr="00863CDF">
        <w:rPr>
          <w:i/>
          <w:lang w:val="en-US"/>
        </w:rPr>
        <w:t>nuclear-</w:t>
      </w:r>
      <w:proofErr w:type="spellStart"/>
      <w:r w:rsidR="00863CDF" w:rsidRPr="00863CDF">
        <w:rPr>
          <w:i/>
          <w:lang w:val="en-US"/>
        </w:rPr>
        <w:t>fussion</w:t>
      </w:r>
      <w:proofErr w:type="spellEnd"/>
      <w:r w:rsidR="00863CDF" w:rsidRPr="00863CDF">
        <w:rPr>
          <w:i/>
          <w:lang w:val="en-US"/>
        </w:rPr>
        <w:t xml:space="preserve"> becomes wide-</w:t>
      </w:r>
      <w:proofErr w:type="spellStart"/>
      <w:r w:rsidR="00863CDF" w:rsidRPr="00863CDF">
        <w:rPr>
          <w:i/>
          <w:lang w:val="en-US"/>
        </w:rPr>
        <w:t>comercially</w:t>
      </w:r>
      <w:proofErr w:type="spellEnd"/>
      <w:r w:rsidR="00863CDF" w:rsidRPr="00863CDF">
        <w:rPr>
          <w:i/>
          <w:lang w:val="en-US"/>
        </w:rPr>
        <w:t xml:space="preserve"> available before  2100</w:t>
      </w:r>
      <w:r w:rsidR="00863CDF">
        <w:rPr>
          <w:rFonts w:eastAsiaTheme="minorHAnsi"/>
          <w:sz w:val="24"/>
          <w:szCs w:val="24"/>
          <w:lang w:eastAsia="ar-SA"/>
        </w:rPr>
        <w:t>“</w:t>
      </w:r>
      <w:r w:rsidR="00DA64A3">
        <w:rPr>
          <w:rFonts w:eastAsiaTheme="minorHAnsi"/>
          <w:sz w:val="24"/>
          <w:szCs w:val="24"/>
          <w:lang w:eastAsia="ar-SA"/>
        </w:rPr>
        <w:t>.</w:t>
      </w:r>
      <w:r w:rsidR="00863CDF">
        <w:rPr>
          <w:rFonts w:eastAsiaTheme="minorHAnsi"/>
          <w:sz w:val="24"/>
          <w:szCs w:val="24"/>
          <w:lang w:eastAsia="ar-SA"/>
        </w:rPr>
        <w:t xml:space="preserve"> </w:t>
      </w:r>
      <w:r w:rsidR="00091FF0">
        <w:rPr>
          <w:rFonts w:eastAsiaTheme="minorHAnsi"/>
          <w:sz w:val="24"/>
          <w:szCs w:val="24"/>
          <w:lang w:eastAsia="ar-SA"/>
        </w:rPr>
        <w:t xml:space="preserve">  For this assessment, we assumed </w:t>
      </w:r>
      <w:r w:rsidR="00381991">
        <w:rPr>
          <w:rFonts w:eastAsiaTheme="minorHAnsi"/>
          <w:sz w:val="24"/>
          <w:szCs w:val="24"/>
          <w:lang w:eastAsia="ar-SA"/>
        </w:rPr>
        <w:t xml:space="preserve">–as a hard case- </w:t>
      </w:r>
      <w:r w:rsidR="00EF3DCD">
        <w:rPr>
          <w:rFonts w:eastAsiaTheme="minorHAnsi"/>
          <w:sz w:val="24"/>
          <w:szCs w:val="24"/>
          <w:lang w:eastAsia="ar-SA"/>
        </w:rPr>
        <w:t xml:space="preserve">a 1.5 </w:t>
      </w:r>
      <w:r w:rsidR="007C59B4">
        <w:rPr>
          <w:rFonts w:eastAsiaTheme="minorHAnsi"/>
          <w:sz w:val="24"/>
          <w:szCs w:val="24"/>
          <w:lang w:eastAsia="ar-SA"/>
        </w:rPr>
        <w:t>º</w:t>
      </w:r>
      <w:r w:rsidR="00EF3DCD">
        <w:rPr>
          <w:rFonts w:eastAsiaTheme="minorHAnsi"/>
          <w:sz w:val="24"/>
          <w:szCs w:val="24"/>
          <w:lang w:eastAsia="ar-SA"/>
        </w:rPr>
        <w:t>C High-Overshot scenario where</w:t>
      </w:r>
      <w:r w:rsidR="00091FF0">
        <w:rPr>
          <w:rFonts w:eastAsiaTheme="minorHAnsi"/>
          <w:sz w:val="24"/>
          <w:szCs w:val="24"/>
          <w:lang w:eastAsia="ar-SA"/>
        </w:rPr>
        <w:t xml:space="preserve"> world power demand finally peaks in 2060 at 75,000 TW*h/</w:t>
      </w:r>
      <w:proofErr w:type="spellStart"/>
      <w:r w:rsidR="00091FF0">
        <w:rPr>
          <w:rFonts w:eastAsiaTheme="minorHAnsi"/>
          <w:sz w:val="24"/>
          <w:szCs w:val="24"/>
          <w:lang w:eastAsia="ar-SA"/>
        </w:rPr>
        <w:t>yr</w:t>
      </w:r>
      <w:proofErr w:type="spellEnd"/>
      <w:r w:rsidR="00045818">
        <w:rPr>
          <w:rFonts w:eastAsiaTheme="minorHAnsi"/>
          <w:sz w:val="24"/>
          <w:szCs w:val="24"/>
          <w:lang w:eastAsia="ar-SA"/>
        </w:rPr>
        <w:t xml:space="preserve"> and remains almost stable until 2100</w:t>
      </w:r>
      <w:r w:rsidR="006B5FA0">
        <w:rPr>
          <w:rFonts w:eastAsiaTheme="minorHAnsi"/>
          <w:sz w:val="24"/>
          <w:szCs w:val="24"/>
          <w:lang w:eastAsia="ar-SA"/>
        </w:rPr>
        <w:t>.</w:t>
      </w:r>
      <w:r w:rsidR="001B3ECE">
        <w:rPr>
          <w:rFonts w:eastAsiaTheme="minorHAnsi"/>
          <w:sz w:val="24"/>
          <w:szCs w:val="24"/>
          <w:lang w:eastAsia="ar-SA"/>
        </w:rPr>
        <w:t xml:space="preserve"> It is worth to remark that such absolute power demand differs from (3) projections, even if we took (3) fusion share prospects as base case</w:t>
      </w:r>
      <w:r w:rsidR="00045818">
        <w:rPr>
          <w:rFonts w:eastAsiaTheme="minorHAnsi"/>
          <w:sz w:val="24"/>
          <w:szCs w:val="24"/>
          <w:lang w:eastAsia="ar-SA"/>
        </w:rPr>
        <w:t xml:space="preserve">.   </w:t>
      </w:r>
      <w:r w:rsidR="00C80532">
        <w:rPr>
          <w:rFonts w:eastAsiaTheme="minorHAnsi"/>
          <w:sz w:val="24"/>
          <w:szCs w:val="24"/>
          <w:lang w:eastAsia="ar-SA"/>
        </w:rPr>
        <w:t>Power generation from each source detailed</w:t>
      </w:r>
      <w:r w:rsidR="000D6087">
        <w:rPr>
          <w:rFonts w:eastAsiaTheme="minorHAnsi"/>
          <w:sz w:val="24"/>
          <w:szCs w:val="24"/>
          <w:lang w:eastAsia="ar-SA"/>
        </w:rPr>
        <w:t xml:space="preserve"> in (2</w:t>
      </w:r>
      <w:r w:rsidR="00C80532">
        <w:rPr>
          <w:rFonts w:eastAsiaTheme="minorHAnsi"/>
          <w:sz w:val="24"/>
          <w:szCs w:val="24"/>
          <w:lang w:eastAsia="ar-SA"/>
        </w:rPr>
        <w:t>) by 2050, remains in its abso</w:t>
      </w:r>
      <w:r w:rsidR="00E3192A">
        <w:rPr>
          <w:rFonts w:eastAsiaTheme="minorHAnsi"/>
          <w:sz w:val="24"/>
          <w:szCs w:val="24"/>
          <w:lang w:eastAsia="ar-SA"/>
        </w:rPr>
        <w:t xml:space="preserve">lute figures </w:t>
      </w:r>
      <w:r w:rsidR="00516714">
        <w:rPr>
          <w:rFonts w:eastAsiaTheme="minorHAnsi"/>
          <w:sz w:val="24"/>
          <w:szCs w:val="24"/>
          <w:lang w:eastAsia="ar-SA"/>
        </w:rPr>
        <w:t xml:space="preserve">(scarce thermal-fossil abated, fitted with CCS/ U, could be added to fill some gaps) </w:t>
      </w:r>
      <w:r w:rsidR="00E3192A">
        <w:rPr>
          <w:rFonts w:eastAsiaTheme="minorHAnsi"/>
          <w:sz w:val="24"/>
          <w:szCs w:val="24"/>
          <w:lang w:eastAsia="ar-SA"/>
        </w:rPr>
        <w:t xml:space="preserve">for every </w:t>
      </w:r>
      <w:r w:rsidR="00E3192A">
        <w:rPr>
          <w:rFonts w:eastAsiaTheme="minorHAnsi"/>
          <w:sz w:val="24"/>
          <w:szCs w:val="24"/>
          <w:lang w:eastAsia="ar-SA"/>
        </w:rPr>
        <w:lastRenderedPageBreak/>
        <w:t xml:space="preserve">scenario until it is –if possible- </w:t>
      </w:r>
      <w:r w:rsidR="000D6087">
        <w:rPr>
          <w:rFonts w:eastAsiaTheme="minorHAnsi"/>
          <w:sz w:val="24"/>
          <w:szCs w:val="24"/>
          <w:lang w:eastAsia="ar-SA"/>
        </w:rPr>
        <w:t>replaced by fusion</w:t>
      </w:r>
      <w:r w:rsidR="00C80532">
        <w:rPr>
          <w:rFonts w:eastAsiaTheme="minorHAnsi"/>
          <w:sz w:val="24"/>
          <w:szCs w:val="24"/>
          <w:lang w:eastAsia="ar-SA"/>
        </w:rPr>
        <w:t xml:space="preserve"> power.  For </w:t>
      </w:r>
      <w:r w:rsidR="000D6087">
        <w:rPr>
          <w:rFonts w:eastAsiaTheme="minorHAnsi"/>
          <w:sz w:val="24"/>
          <w:szCs w:val="24"/>
          <w:lang w:eastAsia="ar-SA"/>
        </w:rPr>
        <w:t>nuclear power, as advised by (2</w:t>
      </w:r>
      <w:r w:rsidR="00870E50">
        <w:rPr>
          <w:rFonts w:eastAsiaTheme="minorHAnsi"/>
          <w:sz w:val="24"/>
          <w:szCs w:val="24"/>
          <w:lang w:eastAsia="ar-SA"/>
        </w:rPr>
        <w:t>), we supposed that from 204</w:t>
      </w:r>
      <w:r w:rsidR="00C80532">
        <w:rPr>
          <w:rFonts w:eastAsiaTheme="minorHAnsi"/>
          <w:sz w:val="24"/>
          <w:szCs w:val="24"/>
          <w:lang w:eastAsia="ar-SA"/>
        </w:rPr>
        <w:t>0</w:t>
      </w:r>
      <w:r w:rsidR="000F7D3C">
        <w:rPr>
          <w:rFonts w:eastAsiaTheme="minorHAnsi"/>
          <w:sz w:val="24"/>
          <w:szCs w:val="24"/>
          <w:lang w:eastAsia="ar-SA"/>
        </w:rPr>
        <w:t>s</w:t>
      </w:r>
      <w:r w:rsidR="00C80532">
        <w:rPr>
          <w:rFonts w:eastAsiaTheme="minorHAnsi"/>
          <w:sz w:val="24"/>
          <w:szCs w:val="24"/>
          <w:lang w:eastAsia="ar-SA"/>
        </w:rPr>
        <w:t xml:space="preserve"> on, 15% of global nuclear generation comes from  advanced cycles (fas</w:t>
      </w:r>
      <w:r w:rsidR="00115147">
        <w:rPr>
          <w:rFonts w:eastAsiaTheme="minorHAnsi"/>
          <w:sz w:val="24"/>
          <w:szCs w:val="24"/>
          <w:lang w:eastAsia="ar-SA"/>
        </w:rPr>
        <w:t xml:space="preserve">t breeder, fast, thorium) that </w:t>
      </w:r>
      <w:r w:rsidR="00C80532">
        <w:rPr>
          <w:rFonts w:eastAsiaTheme="minorHAnsi"/>
          <w:sz w:val="24"/>
          <w:szCs w:val="24"/>
          <w:lang w:eastAsia="ar-SA"/>
        </w:rPr>
        <w:t xml:space="preserve"> require </w:t>
      </w:r>
      <w:r w:rsidR="00115147">
        <w:rPr>
          <w:rFonts w:eastAsiaTheme="minorHAnsi"/>
          <w:sz w:val="24"/>
          <w:szCs w:val="24"/>
          <w:lang w:eastAsia="ar-SA"/>
        </w:rPr>
        <w:t xml:space="preserve">only minor amounts of </w:t>
      </w:r>
      <w:r w:rsidR="00C80532">
        <w:rPr>
          <w:rFonts w:eastAsiaTheme="minorHAnsi"/>
          <w:sz w:val="24"/>
          <w:szCs w:val="24"/>
          <w:lang w:eastAsia="ar-SA"/>
        </w:rPr>
        <w:t>raw mined uranium</w:t>
      </w:r>
      <w:r w:rsidR="000B024B">
        <w:rPr>
          <w:rFonts w:eastAsiaTheme="minorHAnsi"/>
          <w:sz w:val="24"/>
          <w:szCs w:val="24"/>
          <w:lang w:eastAsia="ar-SA"/>
        </w:rPr>
        <w:t>; remaining would be usual light water reactors (LWR)</w:t>
      </w:r>
      <w:r w:rsidR="00C80532">
        <w:rPr>
          <w:rFonts w:eastAsiaTheme="minorHAnsi"/>
          <w:sz w:val="24"/>
          <w:szCs w:val="24"/>
          <w:lang w:eastAsia="ar-SA"/>
        </w:rPr>
        <w:t xml:space="preserve">. </w:t>
      </w:r>
      <w:r w:rsidR="005D0D30">
        <w:rPr>
          <w:rFonts w:eastAsiaTheme="minorHAnsi"/>
          <w:sz w:val="24"/>
          <w:szCs w:val="24"/>
          <w:lang w:eastAsia="ar-SA"/>
        </w:rPr>
        <w:t xml:space="preserve">  Based on global capabilities reasonably achievable, an example of possible respective shares of these advanced cycles within mentioned 15% nuclear could be as seen in Fig. 1, with Thorium delivering 1,000 TW*h/</w:t>
      </w:r>
      <w:proofErr w:type="spellStart"/>
      <w:r w:rsidR="005D0D30">
        <w:rPr>
          <w:rFonts w:eastAsiaTheme="minorHAnsi"/>
          <w:sz w:val="24"/>
          <w:szCs w:val="24"/>
          <w:lang w:eastAsia="ar-SA"/>
        </w:rPr>
        <w:t>yr</w:t>
      </w:r>
      <w:proofErr w:type="spellEnd"/>
      <w:r w:rsidR="005D0D30">
        <w:rPr>
          <w:rFonts w:eastAsiaTheme="minorHAnsi"/>
          <w:sz w:val="24"/>
          <w:szCs w:val="24"/>
          <w:lang w:eastAsia="ar-SA"/>
        </w:rPr>
        <w:t xml:space="preserve"> and Fast Breeder Reactors 1,500 TW*h/yr.</w:t>
      </w:r>
    </w:p>
    <w:p w14:paraId="4A0CED12" w14:textId="098FBEDE" w:rsidR="005D0D30" w:rsidRDefault="005D0D30" w:rsidP="005D0D30">
      <w:pPr>
        <w:overflowPunct/>
        <w:autoSpaceDE/>
        <w:autoSpaceDN/>
        <w:adjustRightInd/>
        <w:spacing w:before="280" w:after="280"/>
        <w:jc w:val="center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noProof/>
          <w:lang w:val="es-UY" w:eastAsia="es-UY"/>
        </w:rPr>
        <w:drawing>
          <wp:inline distT="0" distB="0" distL="0" distR="0" wp14:anchorId="6A99EED6" wp14:editId="48B1ABA6">
            <wp:extent cx="3441700" cy="1638300"/>
            <wp:effectExtent l="0" t="0" r="63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CEFB363" w14:textId="085228EA" w:rsidR="005D0D30" w:rsidRPr="005D0D30" w:rsidRDefault="00FF3EBE" w:rsidP="005D0D30">
      <w:pPr>
        <w:overflowPunct/>
        <w:autoSpaceDE/>
        <w:autoSpaceDN/>
        <w:adjustRightInd/>
        <w:spacing w:before="280" w:after="280"/>
        <w:jc w:val="center"/>
        <w:textAlignment w:val="auto"/>
        <w:rPr>
          <w:rFonts w:eastAsiaTheme="minorHAnsi"/>
          <w:i/>
          <w:szCs w:val="22"/>
          <w:lang w:eastAsia="ar-SA"/>
        </w:rPr>
      </w:pPr>
      <w:proofErr w:type="gramStart"/>
      <w:r>
        <w:rPr>
          <w:rFonts w:eastAsiaTheme="minorHAnsi"/>
          <w:i/>
          <w:szCs w:val="22"/>
          <w:lang w:eastAsia="ar-SA"/>
        </w:rPr>
        <w:t>FIG 1.</w:t>
      </w:r>
      <w:proofErr w:type="gramEnd"/>
      <w:r>
        <w:rPr>
          <w:rFonts w:eastAsiaTheme="minorHAnsi"/>
          <w:i/>
          <w:szCs w:val="22"/>
          <w:lang w:eastAsia="ar-SA"/>
        </w:rPr>
        <w:t xml:space="preserve"> Example</w:t>
      </w:r>
      <w:r w:rsidR="005D0D30" w:rsidRPr="005D0D30">
        <w:rPr>
          <w:rFonts w:eastAsiaTheme="minorHAnsi"/>
          <w:i/>
          <w:szCs w:val="22"/>
          <w:lang w:eastAsia="ar-SA"/>
        </w:rPr>
        <w:t xml:space="preserve"> shares of adva</w:t>
      </w:r>
      <w:r w:rsidR="005D0D30">
        <w:rPr>
          <w:rFonts w:eastAsiaTheme="minorHAnsi"/>
          <w:i/>
          <w:szCs w:val="22"/>
          <w:lang w:eastAsia="ar-SA"/>
        </w:rPr>
        <w:t>nced cycles within nuclear power.</w:t>
      </w:r>
    </w:p>
    <w:p w14:paraId="0052019C" w14:textId="4A926D68" w:rsidR="002D70F0" w:rsidRDefault="002D70F0" w:rsidP="0004692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We assumed that from 2070, besides arrival of fusion, advanced nuclear could expand more, and reach some 40% of nuclear power.</w:t>
      </w:r>
      <w:r w:rsidR="00113329">
        <w:rPr>
          <w:rFonts w:eastAsiaTheme="minorHAnsi"/>
          <w:sz w:val="24"/>
          <w:szCs w:val="24"/>
          <w:lang w:eastAsia="ar-SA"/>
        </w:rPr>
        <w:t xml:space="preserve">  At this time, it could be assumed that much power from fast reactors is also flexible power</w:t>
      </w:r>
      <w:r w:rsidR="00D91B7A">
        <w:rPr>
          <w:rFonts w:eastAsiaTheme="minorHAnsi"/>
          <w:sz w:val="24"/>
          <w:szCs w:val="24"/>
          <w:lang w:eastAsia="ar-SA"/>
        </w:rPr>
        <w:t xml:space="preserve"> (4)</w:t>
      </w:r>
      <w:r w:rsidR="00113329">
        <w:rPr>
          <w:rFonts w:eastAsiaTheme="minorHAnsi"/>
          <w:sz w:val="24"/>
          <w:szCs w:val="24"/>
          <w:lang w:eastAsia="ar-SA"/>
        </w:rPr>
        <w:t>, so, it is not to be replaced by fusion but moreover, it replaces part of other flexible power sources</w:t>
      </w:r>
      <w:r w:rsidR="0071136D">
        <w:rPr>
          <w:rFonts w:eastAsiaTheme="minorHAnsi"/>
          <w:sz w:val="24"/>
          <w:szCs w:val="24"/>
          <w:lang w:eastAsia="ar-SA"/>
        </w:rPr>
        <w:t xml:space="preserve">, as fusion becomes first </w:t>
      </w:r>
      <w:proofErr w:type="spellStart"/>
      <w:r w:rsidR="0071136D">
        <w:rPr>
          <w:rFonts w:eastAsiaTheme="minorHAnsi"/>
          <w:sz w:val="24"/>
          <w:szCs w:val="24"/>
          <w:lang w:eastAsia="ar-SA"/>
        </w:rPr>
        <w:t>baseload</w:t>
      </w:r>
      <w:proofErr w:type="spellEnd"/>
      <w:r w:rsidR="0071136D">
        <w:rPr>
          <w:rFonts w:eastAsiaTheme="minorHAnsi"/>
          <w:sz w:val="24"/>
          <w:szCs w:val="24"/>
          <w:lang w:eastAsia="ar-SA"/>
        </w:rPr>
        <w:t xml:space="preserve"> power source</w:t>
      </w:r>
      <w:r w:rsidR="00113329">
        <w:rPr>
          <w:rFonts w:eastAsiaTheme="minorHAnsi"/>
          <w:sz w:val="24"/>
          <w:szCs w:val="24"/>
          <w:lang w:eastAsia="ar-SA"/>
        </w:rPr>
        <w:t>.</w:t>
      </w:r>
    </w:p>
    <w:p w14:paraId="2984DA69" w14:textId="300276B7" w:rsidR="00893796" w:rsidRDefault="0035035B" w:rsidP="0004692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 xml:space="preserve">Future fusion power is likely to be produced by large, </w:t>
      </w:r>
      <w:proofErr w:type="spellStart"/>
      <w:r>
        <w:rPr>
          <w:rFonts w:eastAsiaTheme="minorHAnsi"/>
          <w:sz w:val="24"/>
          <w:szCs w:val="24"/>
          <w:lang w:eastAsia="ar-SA"/>
        </w:rPr>
        <w:t>baseload</w:t>
      </w:r>
      <w:proofErr w:type="spellEnd"/>
      <w:r>
        <w:rPr>
          <w:rFonts w:eastAsiaTheme="minorHAnsi"/>
          <w:sz w:val="24"/>
          <w:szCs w:val="24"/>
          <w:lang w:eastAsia="ar-SA"/>
        </w:rPr>
        <w:t xml:space="preserve"> </w:t>
      </w:r>
      <w:r w:rsidR="003B4753">
        <w:rPr>
          <w:rFonts w:eastAsiaTheme="minorHAnsi"/>
          <w:sz w:val="24"/>
          <w:szCs w:val="24"/>
          <w:lang w:eastAsia="ar-SA"/>
        </w:rPr>
        <w:t>plants</w:t>
      </w:r>
      <w:r>
        <w:rPr>
          <w:rFonts w:eastAsiaTheme="minorHAnsi"/>
          <w:sz w:val="24"/>
          <w:szCs w:val="24"/>
          <w:lang w:eastAsia="ar-SA"/>
        </w:rPr>
        <w:t>.  These units are to   replace</w:t>
      </w:r>
      <w:r w:rsidR="002D2083">
        <w:rPr>
          <w:rFonts w:eastAsiaTheme="minorHAnsi"/>
          <w:sz w:val="24"/>
          <w:szCs w:val="24"/>
          <w:lang w:eastAsia="ar-SA"/>
        </w:rPr>
        <w:t xml:space="preserve"> –in our scenarios, they will come when power demand has already peaked-</w:t>
      </w:r>
      <w:r>
        <w:rPr>
          <w:rFonts w:eastAsiaTheme="minorHAnsi"/>
          <w:sz w:val="24"/>
          <w:szCs w:val="24"/>
          <w:lang w:eastAsia="ar-SA"/>
        </w:rPr>
        <w:t xml:space="preserve"> other </w:t>
      </w:r>
      <w:proofErr w:type="spellStart"/>
      <w:r w:rsidR="003B4753">
        <w:rPr>
          <w:rFonts w:eastAsiaTheme="minorHAnsi"/>
          <w:sz w:val="24"/>
          <w:szCs w:val="24"/>
          <w:lang w:eastAsia="ar-SA"/>
        </w:rPr>
        <w:t>baseload</w:t>
      </w:r>
      <w:proofErr w:type="spellEnd"/>
      <w:r w:rsidR="003B4753">
        <w:rPr>
          <w:rFonts w:eastAsiaTheme="minorHAnsi"/>
          <w:sz w:val="24"/>
          <w:szCs w:val="24"/>
          <w:lang w:eastAsia="ar-SA"/>
        </w:rPr>
        <w:t xml:space="preserve"> power stations as </w:t>
      </w:r>
      <w:r w:rsidR="00893796">
        <w:rPr>
          <w:rFonts w:eastAsiaTheme="minorHAnsi"/>
          <w:sz w:val="24"/>
          <w:szCs w:val="24"/>
          <w:lang w:eastAsia="ar-SA"/>
        </w:rPr>
        <w:t xml:space="preserve">coal- CCS/ U, </w:t>
      </w:r>
      <w:r w:rsidR="00817995">
        <w:rPr>
          <w:rFonts w:eastAsiaTheme="minorHAnsi"/>
          <w:sz w:val="24"/>
          <w:szCs w:val="24"/>
          <w:lang w:eastAsia="ar-SA"/>
        </w:rPr>
        <w:t xml:space="preserve">conventional </w:t>
      </w:r>
      <w:r w:rsidR="00516714">
        <w:rPr>
          <w:rFonts w:eastAsiaTheme="minorHAnsi"/>
          <w:sz w:val="24"/>
          <w:szCs w:val="24"/>
          <w:lang w:eastAsia="ar-SA"/>
        </w:rPr>
        <w:t xml:space="preserve">nuclear, </w:t>
      </w:r>
      <w:r w:rsidR="00893796">
        <w:rPr>
          <w:rFonts w:eastAsiaTheme="minorHAnsi"/>
          <w:sz w:val="24"/>
          <w:szCs w:val="24"/>
          <w:lang w:eastAsia="ar-SA"/>
        </w:rPr>
        <w:t>biomass and some hydropower stations that are operating when commercial fusion comes</w:t>
      </w:r>
      <w:r w:rsidR="003B4753">
        <w:rPr>
          <w:rFonts w:eastAsiaTheme="minorHAnsi"/>
          <w:sz w:val="24"/>
          <w:szCs w:val="24"/>
          <w:lang w:eastAsia="ar-SA"/>
        </w:rPr>
        <w:t>.  Small Modular Reactors (SMR) for local power</w:t>
      </w:r>
      <w:r w:rsidR="007344FB">
        <w:rPr>
          <w:rFonts w:eastAsiaTheme="minorHAnsi"/>
          <w:sz w:val="24"/>
          <w:szCs w:val="24"/>
          <w:lang w:eastAsia="ar-SA"/>
        </w:rPr>
        <w:t xml:space="preserve"> in remote locations</w:t>
      </w:r>
      <w:r w:rsidR="003B4753">
        <w:rPr>
          <w:rFonts w:eastAsiaTheme="minorHAnsi"/>
          <w:sz w:val="24"/>
          <w:szCs w:val="24"/>
          <w:lang w:eastAsia="ar-SA"/>
        </w:rPr>
        <w:t xml:space="preserve"> or ind</w:t>
      </w:r>
      <w:r w:rsidR="002D2083">
        <w:rPr>
          <w:rFonts w:eastAsiaTheme="minorHAnsi"/>
          <w:sz w:val="24"/>
          <w:szCs w:val="24"/>
          <w:lang w:eastAsia="ar-SA"/>
        </w:rPr>
        <w:t>ustrial/</w:t>
      </w:r>
      <w:r w:rsidR="007A467A">
        <w:rPr>
          <w:rFonts w:eastAsiaTheme="minorHAnsi"/>
          <w:sz w:val="24"/>
          <w:szCs w:val="24"/>
          <w:lang w:eastAsia="ar-SA"/>
        </w:rPr>
        <w:t xml:space="preserve"> </w:t>
      </w:r>
      <w:r w:rsidR="002D2083">
        <w:rPr>
          <w:rFonts w:eastAsiaTheme="minorHAnsi"/>
          <w:sz w:val="24"/>
          <w:szCs w:val="24"/>
          <w:lang w:eastAsia="ar-SA"/>
        </w:rPr>
        <w:t>district heating/</w:t>
      </w:r>
      <w:r w:rsidR="007A467A">
        <w:rPr>
          <w:rFonts w:eastAsiaTheme="minorHAnsi"/>
          <w:sz w:val="24"/>
          <w:szCs w:val="24"/>
          <w:lang w:eastAsia="ar-SA"/>
        </w:rPr>
        <w:t xml:space="preserve"> </w:t>
      </w:r>
      <w:r w:rsidR="002D2083">
        <w:rPr>
          <w:rFonts w:eastAsiaTheme="minorHAnsi"/>
          <w:sz w:val="24"/>
          <w:szCs w:val="24"/>
          <w:lang w:eastAsia="ar-SA"/>
        </w:rPr>
        <w:t>transport (maritime, railway)</w:t>
      </w:r>
      <w:r w:rsidR="003B4753">
        <w:rPr>
          <w:rFonts w:eastAsiaTheme="minorHAnsi"/>
          <w:sz w:val="24"/>
          <w:szCs w:val="24"/>
          <w:lang w:eastAsia="ar-SA"/>
        </w:rPr>
        <w:t xml:space="preserve"> powering uses, probably would not be replaced by fusion at a first stance</w:t>
      </w:r>
      <w:r w:rsidR="00113329">
        <w:rPr>
          <w:rFonts w:eastAsiaTheme="minorHAnsi"/>
          <w:sz w:val="24"/>
          <w:szCs w:val="24"/>
          <w:lang w:eastAsia="ar-SA"/>
        </w:rPr>
        <w:t xml:space="preserve"> and even less if they are flexible</w:t>
      </w:r>
      <w:r w:rsidR="00D91B7A">
        <w:rPr>
          <w:rFonts w:eastAsiaTheme="minorHAnsi"/>
          <w:sz w:val="24"/>
          <w:szCs w:val="24"/>
          <w:lang w:eastAsia="ar-SA"/>
        </w:rPr>
        <w:t xml:space="preserve"> (4)</w:t>
      </w:r>
      <w:r w:rsidR="003B4753">
        <w:rPr>
          <w:rFonts w:eastAsiaTheme="minorHAnsi"/>
          <w:sz w:val="24"/>
          <w:szCs w:val="24"/>
          <w:lang w:eastAsia="ar-SA"/>
        </w:rPr>
        <w:t>.</w:t>
      </w:r>
      <w:r w:rsidR="00927380">
        <w:rPr>
          <w:rFonts w:eastAsiaTheme="minorHAnsi"/>
          <w:sz w:val="24"/>
          <w:szCs w:val="24"/>
          <w:lang w:eastAsia="ar-SA"/>
        </w:rPr>
        <w:t xml:space="preserve">   Other f</w:t>
      </w:r>
      <w:r w:rsidR="00A629E3">
        <w:rPr>
          <w:rFonts w:eastAsiaTheme="minorHAnsi"/>
          <w:sz w:val="24"/>
          <w:szCs w:val="24"/>
          <w:lang w:eastAsia="ar-SA"/>
        </w:rPr>
        <w:t xml:space="preserve">lexible </w:t>
      </w:r>
      <w:r w:rsidR="00893796">
        <w:rPr>
          <w:rFonts w:eastAsiaTheme="minorHAnsi"/>
          <w:sz w:val="24"/>
          <w:szCs w:val="24"/>
          <w:lang w:eastAsia="ar-SA"/>
        </w:rPr>
        <w:t>sources, as natural gas and</w:t>
      </w:r>
      <w:r w:rsidR="00A629E3">
        <w:rPr>
          <w:rFonts w:eastAsiaTheme="minorHAnsi"/>
          <w:sz w:val="24"/>
          <w:szCs w:val="24"/>
          <w:lang w:eastAsia="ar-SA"/>
        </w:rPr>
        <w:t xml:space="preserve"> </w:t>
      </w:r>
      <w:r w:rsidR="00893796">
        <w:rPr>
          <w:rFonts w:eastAsiaTheme="minorHAnsi"/>
          <w:sz w:val="24"/>
          <w:szCs w:val="24"/>
          <w:lang w:eastAsia="ar-SA"/>
        </w:rPr>
        <w:t xml:space="preserve">most </w:t>
      </w:r>
      <w:r w:rsidR="00A629E3">
        <w:rPr>
          <w:rFonts w:eastAsiaTheme="minorHAnsi"/>
          <w:sz w:val="24"/>
          <w:szCs w:val="24"/>
          <w:lang w:eastAsia="ar-SA"/>
        </w:rPr>
        <w:t xml:space="preserve">hydropower stations that remain in </w:t>
      </w:r>
      <w:proofErr w:type="gramStart"/>
      <w:r w:rsidR="00A629E3">
        <w:rPr>
          <w:rFonts w:eastAsiaTheme="minorHAnsi"/>
          <w:sz w:val="24"/>
          <w:szCs w:val="24"/>
          <w:lang w:eastAsia="ar-SA"/>
        </w:rPr>
        <w:t>use,</w:t>
      </w:r>
      <w:proofErr w:type="gramEnd"/>
      <w:r w:rsidR="00A629E3">
        <w:rPr>
          <w:rFonts w:eastAsiaTheme="minorHAnsi"/>
          <w:sz w:val="24"/>
          <w:szCs w:val="24"/>
          <w:lang w:eastAsia="ar-SA"/>
        </w:rPr>
        <w:t xml:space="preserve"> are not likely to be immediately replaced by fusion power plants.   Share of intermittent sources, due to their nature, would be </w:t>
      </w:r>
      <w:r w:rsidR="00BA571C">
        <w:rPr>
          <w:rFonts w:eastAsiaTheme="minorHAnsi"/>
          <w:sz w:val="24"/>
          <w:szCs w:val="24"/>
          <w:lang w:eastAsia="ar-SA"/>
        </w:rPr>
        <w:t xml:space="preserve">unavoidably </w:t>
      </w:r>
      <w:r w:rsidR="00A629E3">
        <w:rPr>
          <w:rFonts w:eastAsiaTheme="minorHAnsi"/>
          <w:sz w:val="24"/>
          <w:szCs w:val="24"/>
          <w:lang w:eastAsia="ar-SA"/>
        </w:rPr>
        <w:t xml:space="preserve">linked to shares of </w:t>
      </w:r>
      <w:r w:rsidR="00893796">
        <w:rPr>
          <w:rFonts w:eastAsiaTheme="minorHAnsi"/>
          <w:sz w:val="24"/>
          <w:szCs w:val="24"/>
          <w:lang w:eastAsia="ar-SA"/>
        </w:rPr>
        <w:t>flexible</w:t>
      </w:r>
      <w:r w:rsidR="00A629E3">
        <w:rPr>
          <w:rFonts w:eastAsiaTheme="minorHAnsi"/>
          <w:sz w:val="24"/>
          <w:szCs w:val="24"/>
          <w:lang w:eastAsia="ar-SA"/>
        </w:rPr>
        <w:t xml:space="preserve"> power </w:t>
      </w:r>
      <w:r w:rsidR="00893796">
        <w:rPr>
          <w:rFonts w:eastAsiaTheme="minorHAnsi"/>
          <w:sz w:val="24"/>
          <w:szCs w:val="24"/>
          <w:lang w:eastAsia="ar-SA"/>
        </w:rPr>
        <w:t xml:space="preserve">(typically gas) </w:t>
      </w:r>
      <w:r w:rsidR="00A629E3">
        <w:rPr>
          <w:rFonts w:eastAsiaTheme="minorHAnsi"/>
          <w:sz w:val="24"/>
          <w:szCs w:val="24"/>
          <w:lang w:eastAsia="ar-SA"/>
        </w:rPr>
        <w:t>stations</w:t>
      </w:r>
      <w:r w:rsidR="00893796">
        <w:rPr>
          <w:rFonts w:eastAsiaTheme="minorHAnsi"/>
          <w:sz w:val="24"/>
          <w:szCs w:val="24"/>
          <w:lang w:eastAsia="ar-SA"/>
        </w:rPr>
        <w:t xml:space="preserve"> and/or power storage </w:t>
      </w:r>
      <w:r w:rsidR="00A629E3">
        <w:rPr>
          <w:rFonts w:eastAsiaTheme="minorHAnsi"/>
          <w:sz w:val="24"/>
          <w:szCs w:val="24"/>
          <w:lang w:eastAsia="ar-SA"/>
        </w:rPr>
        <w:t>effectively in use</w:t>
      </w:r>
      <w:r w:rsidR="0003457B">
        <w:rPr>
          <w:rFonts w:eastAsiaTheme="minorHAnsi"/>
          <w:sz w:val="24"/>
          <w:szCs w:val="24"/>
          <w:lang w:eastAsia="ar-SA"/>
        </w:rPr>
        <w:t>.</w:t>
      </w:r>
      <w:r w:rsidR="00A629E3">
        <w:rPr>
          <w:rFonts w:eastAsiaTheme="minorHAnsi"/>
          <w:sz w:val="24"/>
          <w:szCs w:val="24"/>
          <w:lang w:eastAsia="ar-SA"/>
        </w:rPr>
        <w:t xml:space="preserve"> </w:t>
      </w:r>
    </w:p>
    <w:p w14:paraId="22C73555" w14:textId="437B6E5B" w:rsidR="00B432D7" w:rsidRDefault="002D2083" w:rsidP="0004692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Abated thermal</w:t>
      </w:r>
      <w:r w:rsidR="003071FC">
        <w:rPr>
          <w:rFonts w:eastAsiaTheme="minorHAnsi"/>
          <w:sz w:val="24"/>
          <w:szCs w:val="24"/>
          <w:lang w:eastAsia="ar-SA"/>
        </w:rPr>
        <w:t>-CCS/U</w:t>
      </w:r>
      <w:r w:rsidR="00B016FD">
        <w:rPr>
          <w:rFonts w:eastAsiaTheme="minorHAnsi"/>
          <w:sz w:val="24"/>
          <w:szCs w:val="24"/>
          <w:lang w:eastAsia="ar-SA"/>
        </w:rPr>
        <w:t xml:space="preserve"> power stations, </w:t>
      </w:r>
      <w:r w:rsidR="007A467A">
        <w:rPr>
          <w:rFonts w:eastAsiaTheme="minorHAnsi"/>
          <w:sz w:val="24"/>
          <w:szCs w:val="24"/>
          <w:lang w:eastAsia="ar-SA"/>
        </w:rPr>
        <w:t xml:space="preserve">are </w:t>
      </w:r>
      <w:r w:rsidR="00A61978">
        <w:rPr>
          <w:rFonts w:eastAsiaTheme="minorHAnsi"/>
          <w:sz w:val="24"/>
          <w:szCs w:val="24"/>
          <w:lang w:eastAsia="ar-SA"/>
        </w:rPr>
        <w:t>supposed to be scarce</w:t>
      </w:r>
      <w:r w:rsidR="007A467A">
        <w:rPr>
          <w:rFonts w:eastAsiaTheme="minorHAnsi"/>
          <w:sz w:val="24"/>
          <w:szCs w:val="24"/>
          <w:lang w:eastAsia="ar-SA"/>
        </w:rPr>
        <w:t xml:space="preserve"> by 2060</w:t>
      </w:r>
      <w:r w:rsidR="00870E50">
        <w:rPr>
          <w:rFonts w:eastAsiaTheme="minorHAnsi"/>
          <w:sz w:val="24"/>
          <w:szCs w:val="24"/>
          <w:lang w:eastAsia="ar-SA"/>
        </w:rPr>
        <w:t>, as said</w:t>
      </w:r>
      <w:r w:rsidR="007A467A">
        <w:rPr>
          <w:rFonts w:eastAsiaTheme="minorHAnsi"/>
          <w:sz w:val="24"/>
          <w:szCs w:val="24"/>
          <w:lang w:eastAsia="ar-SA"/>
        </w:rPr>
        <w:t>,</w:t>
      </w:r>
      <w:r w:rsidR="00A61978">
        <w:rPr>
          <w:rFonts w:eastAsiaTheme="minorHAnsi"/>
          <w:sz w:val="24"/>
          <w:szCs w:val="24"/>
          <w:lang w:eastAsia="ar-SA"/>
        </w:rPr>
        <w:t xml:space="preserve"> </w:t>
      </w:r>
      <w:r w:rsidR="00B016FD">
        <w:rPr>
          <w:rFonts w:eastAsiaTheme="minorHAnsi"/>
          <w:sz w:val="24"/>
          <w:szCs w:val="24"/>
          <w:lang w:eastAsia="ar-SA"/>
        </w:rPr>
        <w:t xml:space="preserve">therefore </w:t>
      </w:r>
      <w:r w:rsidR="007A467A">
        <w:rPr>
          <w:rFonts w:eastAsiaTheme="minorHAnsi"/>
          <w:sz w:val="24"/>
          <w:szCs w:val="24"/>
          <w:lang w:eastAsia="ar-SA"/>
        </w:rPr>
        <w:t>their replace</w:t>
      </w:r>
      <w:r w:rsidR="00701CD9">
        <w:rPr>
          <w:rFonts w:eastAsiaTheme="minorHAnsi"/>
          <w:sz w:val="24"/>
          <w:szCs w:val="24"/>
          <w:lang w:eastAsia="ar-SA"/>
        </w:rPr>
        <w:t>ment</w:t>
      </w:r>
      <w:r w:rsidR="007A467A">
        <w:rPr>
          <w:rFonts w:eastAsiaTheme="minorHAnsi"/>
          <w:sz w:val="24"/>
          <w:szCs w:val="24"/>
          <w:lang w:eastAsia="ar-SA"/>
        </w:rPr>
        <w:t xml:space="preserve"> </w:t>
      </w:r>
      <w:r w:rsidR="00B016FD">
        <w:rPr>
          <w:rFonts w:eastAsiaTheme="minorHAnsi"/>
          <w:sz w:val="24"/>
          <w:szCs w:val="24"/>
          <w:lang w:eastAsia="ar-SA"/>
        </w:rPr>
        <w:t xml:space="preserve">would not be a priority and we did not consider it for our assessment. </w:t>
      </w:r>
      <w:r w:rsidR="00B4042A">
        <w:rPr>
          <w:rFonts w:eastAsiaTheme="minorHAnsi"/>
          <w:sz w:val="24"/>
          <w:szCs w:val="24"/>
          <w:lang w:eastAsia="ar-SA"/>
        </w:rPr>
        <w:t>Replace</w:t>
      </w:r>
      <w:r w:rsidR="00701CD9">
        <w:rPr>
          <w:rFonts w:eastAsiaTheme="minorHAnsi"/>
          <w:sz w:val="24"/>
          <w:szCs w:val="24"/>
          <w:lang w:eastAsia="ar-SA"/>
        </w:rPr>
        <w:t>ment</w:t>
      </w:r>
      <w:r w:rsidR="00B4042A">
        <w:rPr>
          <w:rFonts w:eastAsiaTheme="minorHAnsi"/>
          <w:sz w:val="24"/>
          <w:szCs w:val="24"/>
          <w:lang w:eastAsia="ar-SA"/>
        </w:rPr>
        <w:t xml:space="preserve"> of other </w:t>
      </w:r>
      <w:r w:rsidR="00B016FD">
        <w:rPr>
          <w:rFonts w:eastAsiaTheme="minorHAnsi"/>
          <w:sz w:val="24"/>
          <w:szCs w:val="24"/>
          <w:lang w:eastAsia="ar-SA"/>
        </w:rPr>
        <w:t>stations by fusion power, however, would ease t</w:t>
      </w:r>
      <w:r w:rsidR="000D6087">
        <w:rPr>
          <w:rFonts w:eastAsiaTheme="minorHAnsi"/>
          <w:sz w:val="24"/>
          <w:szCs w:val="24"/>
          <w:lang w:eastAsia="ar-SA"/>
        </w:rPr>
        <w:t>he challenges detailed in (2</w:t>
      </w:r>
      <w:r w:rsidR="00381991">
        <w:rPr>
          <w:rFonts w:eastAsiaTheme="minorHAnsi"/>
          <w:sz w:val="24"/>
          <w:szCs w:val="24"/>
          <w:lang w:eastAsia="ar-SA"/>
        </w:rPr>
        <w:t xml:space="preserve">) </w:t>
      </w:r>
      <w:r w:rsidR="00B016FD">
        <w:rPr>
          <w:rFonts w:eastAsiaTheme="minorHAnsi"/>
          <w:sz w:val="24"/>
          <w:szCs w:val="24"/>
          <w:lang w:eastAsia="ar-SA"/>
        </w:rPr>
        <w:t xml:space="preserve">for sources as </w:t>
      </w:r>
      <w:r w:rsidR="00A067DC">
        <w:rPr>
          <w:rFonts w:eastAsiaTheme="minorHAnsi"/>
          <w:sz w:val="24"/>
          <w:szCs w:val="24"/>
          <w:lang w:eastAsia="ar-SA"/>
        </w:rPr>
        <w:t xml:space="preserve">conventional </w:t>
      </w:r>
      <w:r w:rsidR="00B016FD">
        <w:rPr>
          <w:rFonts w:eastAsiaTheme="minorHAnsi"/>
          <w:sz w:val="24"/>
          <w:szCs w:val="24"/>
          <w:lang w:eastAsia="ar-SA"/>
        </w:rPr>
        <w:t xml:space="preserve">nuclear fission, some hydropower and biomass.  </w:t>
      </w:r>
      <w:r w:rsidR="007344FB">
        <w:rPr>
          <w:rFonts w:eastAsiaTheme="minorHAnsi"/>
          <w:sz w:val="24"/>
          <w:szCs w:val="24"/>
          <w:lang w:eastAsia="ar-SA"/>
        </w:rPr>
        <w:t>For the assessment of scenarios, we supposed that</w:t>
      </w:r>
      <w:r w:rsidR="003071FC">
        <w:rPr>
          <w:rFonts w:eastAsiaTheme="minorHAnsi"/>
          <w:sz w:val="24"/>
          <w:szCs w:val="24"/>
          <w:lang w:eastAsia="ar-SA"/>
        </w:rPr>
        <w:t xml:space="preserve"> any new </w:t>
      </w:r>
      <w:proofErr w:type="spellStart"/>
      <w:r w:rsidR="003071FC">
        <w:rPr>
          <w:rFonts w:eastAsiaTheme="minorHAnsi"/>
          <w:sz w:val="24"/>
          <w:szCs w:val="24"/>
          <w:lang w:eastAsia="ar-SA"/>
        </w:rPr>
        <w:t>gigawatt</w:t>
      </w:r>
      <w:proofErr w:type="spellEnd"/>
      <w:r w:rsidR="003071FC">
        <w:rPr>
          <w:rFonts w:eastAsiaTheme="minorHAnsi"/>
          <w:sz w:val="24"/>
          <w:szCs w:val="24"/>
          <w:lang w:eastAsia="ar-SA"/>
        </w:rPr>
        <w:t>-hour (GW*h)</w:t>
      </w:r>
      <w:r w:rsidR="00B016FD">
        <w:rPr>
          <w:rFonts w:eastAsiaTheme="minorHAnsi"/>
          <w:sz w:val="24"/>
          <w:szCs w:val="24"/>
          <w:lang w:eastAsia="ar-SA"/>
        </w:rPr>
        <w:t xml:space="preserve"> of fusion power, replaces a</w:t>
      </w:r>
      <w:r w:rsidR="003071FC">
        <w:rPr>
          <w:rFonts w:eastAsiaTheme="minorHAnsi"/>
          <w:sz w:val="24"/>
          <w:szCs w:val="24"/>
          <w:lang w:eastAsia="ar-SA"/>
        </w:rPr>
        <w:t xml:space="preserve"> before-</w:t>
      </w:r>
      <w:r w:rsidR="00B4042A">
        <w:rPr>
          <w:rFonts w:eastAsiaTheme="minorHAnsi"/>
          <w:sz w:val="24"/>
          <w:szCs w:val="24"/>
          <w:lang w:eastAsia="ar-SA"/>
        </w:rPr>
        <w:t xml:space="preserve">existing </w:t>
      </w:r>
      <w:r w:rsidR="00B016FD">
        <w:rPr>
          <w:rFonts w:eastAsiaTheme="minorHAnsi"/>
          <w:sz w:val="24"/>
          <w:szCs w:val="24"/>
          <w:lang w:eastAsia="ar-SA"/>
        </w:rPr>
        <w:t xml:space="preserve">mix comprised of </w:t>
      </w:r>
      <w:r w:rsidR="00235DE6">
        <w:rPr>
          <w:rFonts w:eastAsiaTheme="minorHAnsi"/>
          <w:sz w:val="24"/>
          <w:szCs w:val="24"/>
          <w:lang w:eastAsia="ar-SA"/>
        </w:rPr>
        <w:t>0.</w:t>
      </w:r>
      <w:r w:rsidR="003071FC">
        <w:rPr>
          <w:rFonts w:eastAsiaTheme="minorHAnsi"/>
          <w:sz w:val="24"/>
          <w:szCs w:val="24"/>
          <w:lang w:eastAsia="ar-SA"/>
        </w:rPr>
        <w:t>73</w:t>
      </w:r>
      <w:r w:rsidR="00B4042A">
        <w:rPr>
          <w:rFonts w:eastAsiaTheme="minorHAnsi"/>
          <w:sz w:val="24"/>
          <w:szCs w:val="24"/>
          <w:lang w:eastAsia="ar-SA"/>
        </w:rPr>
        <w:t xml:space="preserve"> </w:t>
      </w:r>
      <w:r w:rsidR="003071FC">
        <w:rPr>
          <w:rFonts w:eastAsiaTheme="minorHAnsi"/>
          <w:sz w:val="24"/>
          <w:szCs w:val="24"/>
          <w:lang w:eastAsia="ar-SA"/>
        </w:rPr>
        <w:t xml:space="preserve">GW*h </w:t>
      </w:r>
      <w:r w:rsidR="00B4042A">
        <w:rPr>
          <w:rFonts w:eastAsiaTheme="minorHAnsi"/>
          <w:sz w:val="24"/>
          <w:szCs w:val="24"/>
          <w:lang w:eastAsia="ar-SA"/>
        </w:rPr>
        <w:t>nuclear</w:t>
      </w:r>
      <w:r w:rsidR="00A258D9">
        <w:rPr>
          <w:rFonts w:eastAsiaTheme="minorHAnsi"/>
          <w:sz w:val="24"/>
          <w:szCs w:val="24"/>
          <w:lang w:eastAsia="ar-SA"/>
        </w:rPr>
        <w:t xml:space="preserve"> (LWRs, </w:t>
      </w:r>
      <w:r w:rsidR="00A067DC">
        <w:rPr>
          <w:rFonts w:eastAsiaTheme="minorHAnsi"/>
          <w:sz w:val="24"/>
          <w:szCs w:val="24"/>
          <w:lang w:eastAsia="ar-SA"/>
        </w:rPr>
        <w:t>the oldest</w:t>
      </w:r>
      <w:r w:rsidR="00A258D9">
        <w:rPr>
          <w:rFonts w:eastAsiaTheme="minorHAnsi"/>
          <w:sz w:val="24"/>
          <w:szCs w:val="24"/>
          <w:lang w:eastAsia="ar-SA"/>
        </w:rPr>
        <w:t xml:space="preserve"> replaced first</w:t>
      </w:r>
      <w:r w:rsidR="00A067DC">
        <w:rPr>
          <w:rFonts w:eastAsiaTheme="minorHAnsi"/>
          <w:sz w:val="24"/>
          <w:szCs w:val="24"/>
          <w:lang w:eastAsia="ar-SA"/>
        </w:rPr>
        <w:t>)</w:t>
      </w:r>
      <w:r w:rsidR="00B4042A">
        <w:rPr>
          <w:rFonts w:eastAsiaTheme="minorHAnsi"/>
          <w:sz w:val="24"/>
          <w:szCs w:val="24"/>
          <w:lang w:eastAsia="ar-SA"/>
        </w:rPr>
        <w:t xml:space="preserve">, </w:t>
      </w:r>
      <w:r w:rsidR="00235DE6">
        <w:rPr>
          <w:rFonts w:eastAsiaTheme="minorHAnsi"/>
          <w:sz w:val="24"/>
          <w:szCs w:val="24"/>
          <w:lang w:eastAsia="ar-SA"/>
        </w:rPr>
        <w:t>0.</w:t>
      </w:r>
      <w:r w:rsidR="003071FC">
        <w:rPr>
          <w:rFonts w:eastAsiaTheme="minorHAnsi"/>
          <w:sz w:val="24"/>
          <w:szCs w:val="24"/>
          <w:lang w:eastAsia="ar-SA"/>
        </w:rPr>
        <w:t>20</w:t>
      </w:r>
      <w:r w:rsidR="00B4042A">
        <w:rPr>
          <w:rFonts w:eastAsiaTheme="minorHAnsi"/>
          <w:sz w:val="24"/>
          <w:szCs w:val="24"/>
          <w:lang w:eastAsia="ar-SA"/>
        </w:rPr>
        <w:t xml:space="preserve"> </w:t>
      </w:r>
      <w:r w:rsidR="003071FC">
        <w:rPr>
          <w:rFonts w:eastAsiaTheme="minorHAnsi"/>
          <w:sz w:val="24"/>
          <w:szCs w:val="24"/>
          <w:lang w:eastAsia="ar-SA"/>
        </w:rPr>
        <w:t xml:space="preserve">GW*h </w:t>
      </w:r>
      <w:r w:rsidR="00B4042A">
        <w:rPr>
          <w:rFonts w:eastAsiaTheme="minorHAnsi"/>
          <w:sz w:val="24"/>
          <w:szCs w:val="24"/>
          <w:lang w:eastAsia="ar-SA"/>
        </w:rPr>
        <w:t xml:space="preserve">biomass and </w:t>
      </w:r>
      <w:r w:rsidR="00235DE6">
        <w:rPr>
          <w:rFonts w:eastAsiaTheme="minorHAnsi"/>
          <w:sz w:val="24"/>
          <w:szCs w:val="24"/>
          <w:lang w:eastAsia="ar-SA"/>
        </w:rPr>
        <w:t>0.</w:t>
      </w:r>
      <w:r w:rsidR="003071FC">
        <w:rPr>
          <w:rFonts w:eastAsiaTheme="minorHAnsi"/>
          <w:sz w:val="24"/>
          <w:szCs w:val="24"/>
          <w:lang w:eastAsia="ar-SA"/>
        </w:rPr>
        <w:t>07</w:t>
      </w:r>
      <w:r w:rsidR="00B4042A">
        <w:rPr>
          <w:rFonts w:eastAsiaTheme="minorHAnsi"/>
          <w:sz w:val="24"/>
          <w:szCs w:val="24"/>
          <w:lang w:eastAsia="ar-SA"/>
        </w:rPr>
        <w:t xml:space="preserve"> </w:t>
      </w:r>
      <w:r w:rsidR="003071FC">
        <w:rPr>
          <w:rFonts w:eastAsiaTheme="minorHAnsi"/>
          <w:sz w:val="24"/>
          <w:szCs w:val="24"/>
          <w:lang w:eastAsia="ar-SA"/>
        </w:rPr>
        <w:t xml:space="preserve">GW*h </w:t>
      </w:r>
      <w:r w:rsidR="00B4042A">
        <w:rPr>
          <w:rFonts w:eastAsiaTheme="minorHAnsi"/>
          <w:sz w:val="24"/>
          <w:szCs w:val="24"/>
          <w:lang w:eastAsia="ar-SA"/>
        </w:rPr>
        <w:t>hydro; these figures results from low carbon generation shown in Table 1, accordi</w:t>
      </w:r>
      <w:r w:rsidR="000D6087">
        <w:rPr>
          <w:rFonts w:eastAsiaTheme="minorHAnsi"/>
          <w:sz w:val="24"/>
          <w:szCs w:val="24"/>
          <w:lang w:eastAsia="ar-SA"/>
        </w:rPr>
        <w:t>ng to portfolios detailed in (2</w:t>
      </w:r>
      <w:r w:rsidR="00B4042A">
        <w:rPr>
          <w:rFonts w:eastAsiaTheme="minorHAnsi"/>
          <w:sz w:val="24"/>
          <w:szCs w:val="24"/>
          <w:lang w:eastAsia="ar-SA"/>
        </w:rPr>
        <w:t xml:space="preserve">), excluding intermittent sources and accounting for just 20% hydro as </w:t>
      </w:r>
      <w:proofErr w:type="spellStart"/>
      <w:r w:rsidR="00B4042A">
        <w:rPr>
          <w:rFonts w:eastAsiaTheme="minorHAnsi"/>
          <w:sz w:val="24"/>
          <w:szCs w:val="24"/>
          <w:lang w:eastAsia="ar-SA"/>
        </w:rPr>
        <w:t>baseload</w:t>
      </w:r>
      <w:proofErr w:type="spellEnd"/>
      <w:r w:rsidR="00B4042A">
        <w:rPr>
          <w:rFonts w:eastAsiaTheme="minorHAnsi"/>
          <w:sz w:val="24"/>
          <w:szCs w:val="24"/>
          <w:lang w:eastAsia="ar-SA"/>
        </w:rPr>
        <w:t>.</w:t>
      </w:r>
      <w:r w:rsidR="003071FC">
        <w:rPr>
          <w:rFonts w:eastAsiaTheme="minorHAnsi"/>
          <w:sz w:val="24"/>
          <w:szCs w:val="24"/>
          <w:lang w:eastAsia="ar-SA"/>
        </w:rPr>
        <w:t xml:space="preserve"> </w:t>
      </w:r>
      <w:r w:rsidR="00A61978">
        <w:rPr>
          <w:rFonts w:eastAsiaTheme="minorHAnsi"/>
          <w:sz w:val="24"/>
          <w:szCs w:val="24"/>
          <w:lang w:eastAsia="ar-SA"/>
        </w:rPr>
        <w:t xml:space="preserve">  It must be highlighted that even in the most optimistic scenario for fusion, some nuclear power </w:t>
      </w:r>
      <w:r w:rsidR="00A258D9">
        <w:rPr>
          <w:rFonts w:eastAsiaTheme="minorHAnsi"/>
          <w:sz w:val="24"/>
          <w:szCs w:val="24"/>
          <w:lang w:eastAsia="ar-SA"/>
        </w:rPr>
        <w:t xml:space="preserve">will remain </w:t>
      </w:r>
      <w:r w:rsidR="007A467A">
        <w:rPr>
          <w:rFonts w:eastAsiaTheme="minorHAnsi"/>
          <w:sz w:val="24"/>
          <w:szCs w:val="24"/>
          <w:lang w:eastAsia="ar-SA"/>
        </w:rPr>
        <w:t xml:space="preserve">in grids </w:t>
      </w:r>
      <w:r w:rsidR="00A258D9">
        <w:rPr>
          <w:rFonts w:eastAsiaTheme="minorHAnsi"/>
          <w:sz w:val="24"/>
          <w:szCs w:val="24"/>
          <w:lang w:eastAsia="ar-SA"/>
        </w:rPr>
        <w:t xml:space="preserve">by 2100 and by that date, it will be </w:t>
      </w:r>
      <w:r w:rsidR="00A734E8">
        <w:rPr>
          <w:rFonts w:eastAsiaTheme="minorHAnsi"/>
          <w:sz w:val="24"/>
          <w:szCs w:val="24"/>
          <w:lang w:eastAsia="ar-SA"/>
        </w:rPr>
        <w:t>mainly</w:t>
      </w:r>
      <w:r w:rsidR="00A258D9">
        <w:rPr>
          <w:rFonts w:eastAsiaTheme="minorHAnsi"/>
          <w:sz w:val="24"/>
          <w:szCs w:val="24"/>
          <w:lang w:eastAsia="ar-SA"/>
        </w:rPr>
        <w:t xml:space="preserve"> advanced; aboveme</w:t>
      </w:r>
      <w:r w:rsidR="00526806">
        <w:rPr>
          <w:rFonts w:eastAsiaTheme="minorHAnsi"/>
          <w:sz w:val="24"/>
          <w:szCs w:val="24"/>
          <w:lang w:eastAsia="ar-SA"/>
        </w:rPr>
        <w:t xml:space="preserve">ntioned </w:t>
      </w:r>
      <w:r w:rsidR="00A258D9">
        <w:rPr>
          <w:rFonts w:eastAsiaTheme="minorHAnsi"/>
          <w:sz w:val="24"/>
          <w:szCs w:val="24"/>
          <w:lang w:eastAsia="ar-SA"/>
        </w:rPr>
        <w:t>non-ele</w:t>
      </w:r>
      <w:r w:rsidR="00870E50">
        <w:rPr>
          <w:rFonts w:eastAsiaTheme="minorHAnsi"/>
          <w:sz w:val="24"/>
          <w:szCs w:val="24"/>
          <w:lang w:eastAsia="ar-SA"/>
        </w:rPr>
        <w:t>c</w:t>
      </w:r>
      <w:r w:rsidR="00A258D9">
        <w:rPr>
          <w:rFonts w:eastAsiaTheme="minorHAnsi"/>
          <w:sz w:val="24"/>
          <w:szCs w:val="24"/>
          <w:lang w:eastAsia="ar-SA"/>
        </w:rPr>
        <w:t>trical nuclear</w:t>
      </w:r>
      <w:r w:rsidR="00526806">
        <w:rPr>
          <w:rFonts w:eastAsiaTheme="minorHAnsi"/>
          <w:sz w:val="24"/>
          <w:szCs w:val="24"/>
          <w:lang w:eastAsia="ar-SA"/>
        </w:rPr>
        <w:t xml:space="preserve"> applications</w:t>
      </w:r>
      <w:r w:rsidR="007A467A">
        <w:rPr>
          <w:rFonts w:eastAsiaTheme="minorHAnsi"/>
          <w:sz w:val="24"/>
          <w:szCs w:val="24"/>
          <w:lang w:eastAsia="ar-SA"/>
        </w:rPr>
        <w:t xml:space="preserve"> are likely also to remain in use to some extent, </w:t>
      </w:r>
      <w:r w:rsidR="001B3ECE">
        <w:rPr>
          <w:rFonts w:eastAsiaTheme="minorHAnsi"/>
          <w:sz w:val="24"/>
          <w:szCs w:val="24"/>
          <w:lang w:eastAsia="ar-SA"/>
        </w:rPr>
        <w:t>although they</w:t>
      </w:r>
      <w:r w:rsidR="00526806">
        <w:rPr>
          <w:rFonts w:eastAsiaTheme="minorHAnsi"/>
          <w:sz w:val="24"/>
          <w:szCs w:val="24"/>
          <w:lang w:eastAsia="ar-SA"/>
        </w:rPr>
        <w:t xml:space="preserve"> were not assessed here.</w:t>
      </w:r>
      <w:r w:rsidR="0071136D">
        <w:rPr>
          <w:rFonts w:eastAsiaTheme="minorHAnsi"/>
          <w:sz w:val="24"/>
          <w:szCs w:val="24"/>
          <w:lang w:eastAsia="ar-SA"/>
        </w:rPr>
        <w:t xml:space="preserve">  Flexible fast </w:t>
      </w:r>
      <w:proofErr w:type="gramStart"/>
      <w:r w:rsidR="0071136D">
        <w:rPr>
          <w:rFonts w:eastAsiaTheme="minorHAnsi"/>
          <w:sz w:val="24"/>
          <w:szCs w:val="24"/>
          <w:lang w:eastAsia="ar-SA"/>
        </w:rPr>
        <w:t>reactors,</w:t>
      </w:r>
      <w:proofErr w:type="gramEnd"/>
      <w:r w:rsidR="0071136D">
        <w:rPr>
          <w:rFonts w:eastAsiaTheme="minorHAnsi"/>
          <w:sz w:val="24"/>
          <w:szCs w:val="24"/>
          <w:lang w:eastAsia="ar-SA"/>
        </w:rPr>
        <w:t xml:space="preserve"> may indeed remain in service for a long time, during which they c</w:t>
      </w:r>
      <w:r w:rsidR="00817995">
        <w:rPr>
          <w:rFonts w:eastAsiaTheme="minorHAnsi"/>
          <w:sz w:val="24"/>
          <w:szCs w:val="24"/>
          <w:lang w:eastAsia="ar-SA"/>
        </w:rPr>
        <w:t xml:space="preserve">ould </w:t>
      </w:r>
      <w:r w:rsidR="00817995">
        <w:rPr>
          <w:rFonts w:eastAsiaTheme="minorHAnsi"/>
          <w:sz w:val="24"/>
          <w:szCs w:val="24"/>
          <w:lang w:eastAsia="ar-SA"/>
        </w:rPr>
        <w:lastRenderedPageBreak/>
        <w:t xml:space="preserve">burn actinides from </w:t>
      </w:r>
      <w:r w:rsidR="0071136D">
        <w:rPr>
          <w:rFonts w:eastAsiaTheme="minorHAnsi"/>
          <w:sz w:val="24"/>
          <w:szCs w:val="24"/>
          <w:lang w:eastAsia="ar-SA"/>
        </w:rPr>
        <w:t>LWRs</w:t>
      </w:r>
      <w:r w:rsidR="00817995">
        <w:rPr>
          <w:rFonts w:eastAsiaTheme="minorHAnsi"/>
          <w:sz w:val="24"/>
          <w:szCs w:val="24"/>
          <w:lang w:eastAsia="ar-SA"/>
        </w:rPr>
        <w:t xml:space="preserve"> </w:t>
      </w:r>
      <w:proofErr w:type="spellStart"/>
      <w:r w:rsidR="00817995">
        <w:rPr>
          <w:rFonts w:eastAsiaTheme="minorHAnsi"/>
          <w:sz w:val="24"/>
          <w:szCs w:val="24"/>
          <w:lang w:eastAsia="ar-SA"/>
        </w:rPr>
        <w:t>shutted</w:t>
      </w:r>
      <w:proofErr w:type="spellEnd"/>
      <w:r w:rsidR="00817995">
        <w:rPr>
          <w:rFonts w:eastAsiaTheme="minorHAnsi"/>
          <w:sz w:val="24"/>
          <w:szCs w:val="24"/>
          <w:lang w:eastAsia="ar-SA"/>
        </w:rPr>
        <w:t xml:space="preserve"> down</w:t>
      </w:r>
      <w:r w:rsidR="0071136D">
        <w:rPr>
          <w:rFonts w:eastAsiaTheme="minorHAnsi"/>
          <w:sz w:val="24"/>
          <w:szCs w:val="24"/>
          <w:lang w:eastAsia="ar-SA"/>
        </w:rPr>
        <w:t>, in order t</w:t>
      </w:r>
      <w:r w:rsidR="002F3D87">
        <w:rPr>
          <w:rFonts w:eastAsiaTheme="minorHAnsi"/>
          <w:sz w:val="24"/>
          <w:szCs w:val="24"/>
          <w:lang w:eastAsia="ar-SA"/>
        </w:rPr>
        <w:t>o reduce long-term radiotoxic inventory</w:t>
      </w:r>
      <w:r w:rsidR="0071136D">
        <w:rPr>
          <w:rFonts w:eastAsiaTheme="minorHAnsi"/>
          <w:sz w:val="24"/>
          <w:szCs w:val="24"/>
          <w:lang w:eastAsia="ar-SA"/>
        </w:rPr>
        <w:t xml:space="preserve"> legacy.</w:t>
      </w:r>
    </w:p>
    <w:p w14:paraId="6ADCBEB7" w14:textId="23204108" w:rsidR="00A734E8" w:rsidRPr="00AC789C" w:rsidRDefault="00382782" w:rsidP="00AC789C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 xml:space="preserve">Needs </w:t>
      </w:r>
      <w:r w:rsidR="00952205">
        <w:rPr>
          <w:rFonts w:eastAsiaTheme="minorHAnsi"/>
          <w:sz w:val="24"/>
          <w:szCs w:val="24"/>
          <w:lang w:eastAsia="ar-SA"/>
        </w:rPr>
        <w:t>of natural res</w:t>
      </w:r>
      <w:r>
        <w:rPr>
          <w:rFonts w:eastAsiaTheme="minorHAnsi"/>
          <w:sz w:val="24"/>
          <w:szCs w:val="24"/>
          <w:lang w:eastAsia="ar-SA"/>
        </w:rPr>
        <w:t>ources to properly power global society</w:t>
      </w:r>
      <w:r w:rsidR="001B4E87">
        <w:rPr>
          <w:rFonts w:eastAsiaTheme="minorHAnsi"/>
          <w:sz w:val="24"/>
          <w:szCs w:val="24"/>
          <w:lang w:eastAsia="ar-SA"/>
        </w:rPr>
        <w:t xml:space="preserve"> in the long term</w:t>
      </w:r>
      <w:r w:rsidR="00952205">
        <w:rPr>
          <w:rFonts w:eastAsiaTheme="minorHAnsi"/>
          <w:sz w:val="24"/>
          <w:szCs w:val="24"/>
          <w:lang w:eastAsia="ar-SA"/>
        </w:rPr>
        <w:t>, are summarized in Tables 2,3,4, for each of the scenarios reviewed</w:t>
      </w:r>
      <w:r>
        <w:rPr>
          <w:rFonts w:eastAsiaTheme="minorHAnsi"/>
          <w:sz w:val="24"/>
          <w:szCs w:val="24"/>
          <w:lang w:eastAsia="ar-SA"/>
        </w:rPr>
        <w:t xml:space="preserve"> of  fusion power re</w:t>
      </w:r>
      <w:r w:rsidR="000D6087">
        <w:rPr>
          <w:rFonts w:eastAsiaTheme="minorHAnsi"/>
          <w:sz w:val="24"/>
          <w:szCs w:val="24"/>
          <w:lang w:eastAsia="ar-SA"/>
        </w:rPr>
        <w:t>placing mentioned sources of (2</w:t>
      </w:r>
      <w:r>
        <w:rPr>
          <w:rFonts w:eastAsiaTheme="minorHAnsi"/>
          <w:sz w:val="24"/>
          <w:szCs w:val="24"/>
          <w:lang w:eastAsia="ar-SA"/>
        </w:rPr>
        <w:t>) forecast</w:t>
      </w:r>
      <w:r w:rsidR="00952205">
        <w:rPr>
          <w:rFonts w:eastAsiaTheme="minorHAnsi"/>
          <w:sz w:val="24"/>
          <w:szCs w:val="24"/>
          <w:lang w:eastAsia="ar-SA"/>
        </w:rPr>
        <w:t xml:space="preserve">.   </w:t>
      </w:r>
    </w:p>
    <w:p w14:paraId="6182DC9A" w14:textId="681E3B7B" w:rsidR="001B4E87" w:rsidRPr="00DF3A79" w:rsidRDefault="001B4E87" w:rsidP="001B4E87">
      <w:pPr>
        <w:pStyle w:val="Textoindependiente"/>
        <w:spacing w:before="280" w:after="28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TABLE 2.</w:t>
      </w:r>
      <w:proofErr w:type="gramEnd"/>
      <w:r>
        <w:rPr>
          <w:sz w:val="24"/>
          <w:szCs w:val="24"/>
        </w:rPr>
        <w:tab/>
      </w:r>
      <w:r w:rsidR="00C10463">
        <w:rPr>
          <w:sz w:val="24"/>
          <w:szCs w:val="24"/>
        </w:rPr>
        <w:t>POWER NEEDS/</w:t>
      </w:r>
      <w:r>
        <w:rPr>
          <w:sz w:val="24"/>
          <w:szCs w:val="24"/>
        </w:rPr>
        <w:t xml:space="preserve"> IMPACTS BY 2100</w:t>
      </w:r>
      <w:r w:rsidR="00C10463">
        <w:rPr>
          <w:sz w:val="24"/>
          <w:szCs w:val="24"/>
        </w:rPr>
        <w:t xml:space="preserve"> IN FUSION BASE CASE SCENARIO</w:t>
      </w:r>
    </w:p>
    <w:p w14:paraId="7455F08F" w14:textId="77777777" w:rsidR="001B4E87" w:rsidRPr="00DF3A79" w:rsidRDefault="001B4E87" w:rsidP="001B4E87">
      <w:pPr>
        <w:pStyle w:val="Textoindependiente"/>
        <w:spacing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1917"/>
        <w:gridCol w:w="1918"/>
        <w:gridCol w:w="1732"/>
        <w:gridCol w:w="1732"/>
      </w:tblGrid>
      <w:tr w:rsidR="001B4E87" w:rsidRPr="000552F9" w14:paraId="2D084E5A" w14:textId="77777777" w:rsidTr="008C1F8E">
        <w:trPr>
          <w:trHeight w:val="286"/>
          <w:jc w:val="center"/>
        </w:trPr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13FA95B3" w14:textId="597730A9" w:rsidR="001B4E87" w:rsidRDefault="006C7CBA" w:rsidP="008C1F8E">
            <w:pPr>
              <w:pStyle w:val="Textoindependiente"/>
              <w:ind w:firstLine="0"/>
              <w:jc w:val="left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Fusion Power by 2100</w:t>
            </w:r>
          </w:p>
          <w:p w14:paraId="1FFA9E61" w14:textId="373764DA" w:rsidR="00C10463" w:rsidRPr="000552F9" w:rsidRDefault="006C7CBA" w:rsidP="008C1F8E">
            <w:pPr>
              <w:pStyle w:val="Textoindependiente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(T</w:t>
            </w:r>
            <w:r w:rsidR="00C10463">
              <w:rPr>
                <w:rFonts w:eastAsiaTheme="minorHAnsi"/>
                <w:sz w:val="24"/>
                <w:szCs w:val="24"/>
                <w:lang w:eastAsia="ar-SA"/>
              </w:rPr>
              <w:t>W*h</w:t>
            </w:r>
            <w:r>
              <w:rPr>
                <w:rFonts w:eastAsiaTheme="minorHAnsi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eastAsiaTheme="minorHAnsi"/>
                <w:sz w:val="24"/>
                <w:szCs w:val="24"/>
                <w:lang w:eastAsia="ar-SA"/>
              </w:rPr>
              <w:t>yr</w:t>
            </w:r>
            <w:proofErr w:type="spellEnd"/>
            <w:r w:rsidR="00C10463">
              <w:rPr>
                <w:rFonts w:eastAsiaTheme="minorHAnsi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6C9AAF99" w14:textId="2550CC9D" w:rsidR="001B4E87" w:rsidRPr="000552F9" w:rsidRDefault="00C10463" w:rsidP="008C1F8E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1D22CB">
              <w:rPr>
                <w:sz w:val="22"/>
                <w:szCs w:val="22"/>
              </w:rPr>
              <w:t>ranium for n</w:t>
            </w:r>
            <w:r>
              <w:rPr>
                <w:sz w:val="22"/>
                <w:szCs w:val="22"/>
              </w:rPr>
              <w:t>uclear power (million ton U, accumulated</w:t>
            </w:r>
            <w:r w:rsidR="001B4E87">
              <w:rPr>
                <w:sz w:val="22"/>
                <w:szCs w:val="22"/>
              </w:rPr>
              <w:t>)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14:paraId="054F81EA" w14:textId="3B1F257E" w:rsidR="001B4E87" w:rsidRPr="000552F9" w:rsidRDefault="00C10463" w:rsidP="008C1F8E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 area for biomass power (million Ha)</w:t>
            </w:r>
            <w:r w:rsidR="001B4E87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14:paraId="56378EE6" w14:textId="354DF6D3" w:rsidR="001B4E87" w:rsidRPr="000552F9" w:rsidRDefault="006C7CBA" w:rsidP="000F7D3C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Land area flooded by </w:t>
            </w:r>
            <w:proofErr w:type="spellStart"/>
            <w:r>
              <w:rPr>
                <w:sz w:val="22"/>
                <w:szCs w:val="22"/>
              </w:rPr>
              <w:t>hydrpower</w:t>
            </w:r>
            <w:proofErr w:type="spellEnd"/>
            <w:r>
              <w:rPr>
                <w:sz w:val="22"/>
                <w:szCs w:val="22"/>
              </w:rPr>
              <w:t xml:space="preserve"> (million Ha)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14:paraId="2C7203CB" w14:textId="58050034" w:rsidR="001B4E87" w:rsidRPr="000552F9" w:rsidRDefault="006C7CBA" w:rsidP="008C1F8E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Crops land area seized by power needs (million Ha</w:t>
            </w:r>
            <w:r w:rsidR="00906706">
              <w:rPr>
                <w:sz w:val="22"/>
                <w:szCs w:val="22"/>
              </w:rPr>
              <w:t>)</w:t>
            </w:r>
          </w:p>
        </w:tc>
      </w:tr>
      <w:tr w:rsidR="001B4E87" w:rsidRPr="000552F9" w14:paraId="2565558D" w14:textId="77777777" w:rsidTr="008C1F8E">
        <w:trPr>
          <w:trHeight w:val="266"/>
          <w:jc w:val="center"/>
        </w:trPr>
        <w:tc>
          <w:tcPr>
            <w:tcW w:w="1944" w:type="dxa"/>
            <w:tcBorders>
              <w:top w:val="single" w:sz="4" w:space="0" w:color="auto"/>
            </w:tcBorders>
          </w:tcPr>
          <w:p w14:paraId="32B290BD" w14:textId="65066EBD" w:rsidR="001B4E87" w:rsidRPr="000552F9" w:rsidRDefault="00906706" w:rsidP="008C1F8E">
            <w:pPr>
              <w:pStyle w:val="Textoindependient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</w:t>
            </w:r>
            <w:r w:rsidR="00CC2A97">
              <w:rPr>
                <w:sz w:val="22"/>
                <w:szCs w:val="22"/>
              </w:rPr>
              <w:t>000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14:paraId="0767656D" w14:textId="533A8896" w:rsidR="001B4E87" w:rsidRPr="000552F9" w:rsidRDefault="001D22CB" w:rsidP="008C1F8E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2E4F">
              <w:rPr>
                <w:sz w:val="22"/>
                <w:szCs w:val="22"/>
              </w:rPr>
              <w:t>0.1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14:paraId="24AAB402" w14:textId="0DD2C868" w:rsidR="001B4E87" w:rsidRPr="000552F9" w:rsidRDefault="00906706" w:rsidP="008C1F8E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-no needed-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14:paraId="43C8670D" w14:textId="30D5E6E2" w:rsidR="001B4E87" w:rsidRPr="000552F9" w:rsidRDefault="00906706" w:rsidP="008C1F8E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14:paraId="7A262BA5" w14:textId="3EDD46FD" w:rsidR="001B4E87" w:rsidRPr="000552F9" w:rsidRDefault="00906706" w:rsidP="008C1F8E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</w:tr>
    </w:tbl>
    <w:p w14:paraId="4E7322E3" w14:textId="2137E5DA" w:rsidR="00FF3EBE" w:rsidRDefault="00FF3EB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6C29AB02" w14:textId="24AE5156" w:rsidR="00CB1EB7" w:rsidRPr="00DF3A79" w:rsidRDefault="00CB1EB7" w:rsidP="00CB1EB7">
      <w:pPr>
        <w:pStyle w:val="Textoindependiente"/>
        <w:spacing w:before="280" w:after="28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TABLE 3.</w:t>
      </w:r>
      <w:proofErr w:type="gramEnd"/>
      <w:r>
        <w:rPr>
          <w:sz w:val="24"/>
          <w:szCs w:val="24"/>
        </w:rPr>
        <w:tab/>
        <w:t>POWER NEEDS/ IMPACTS BY 2100 IN FUSION OPTIMISTIC SCENARIO</w:t>
      </w:r>
    </w:p>
    <w:p w14:paraId="159251A2" w14:textId="77777777" w:rsidR="00CB1EB7" w:rsidRPr="00DF3A79" w:rsidRDefault="00CB1EB7" w:rsidP="00CB1EB7">
      <w:pPr>
        <w:pStyle w:val="Textoindependiente"/>
        <w:spacing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1917"/>
        <w:gridCol w:w="1918"/>
        <w:gridCol w:w="1732"/>
        <w:gridCol w:w="1732"/>
      </w:tblGrid>
      <w:tr w:rsidR="00CB1EB7" w:rsidRPr="000552F9" w14:paraId="78C361EB" w14:textId="77777777" w:rsidTr="00CB1EB7">
        <w:trPr>
          <w:trHeight w:val="286"/>
          <w:jc w:val="center"/>
        </w:trPr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9526887" w14:textId="7DDD5B73" w:rsidR="00CB1EB7" w:rsidRDefault="00CB1EB7" w:rsidP="008C1F8E">
            <w:pPr>
              <w:pStyle w:val="Textoindependiente"/>
              <w:ind w:firstLine="0"/>
              <w:jc w:val="left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 xml:space="preserve">Fusion Power </w:t>
            </w:r>
          </w:p>
          <w:p w14:paraId="5980D11E" w14:textId="77777777" w:rsidR="00CB1EB7" w:rsidRPr="000552F9" w:rsidRDefault="00CB1EB7" w:rsidP="008C1F8E">
            <w:pPr>
              <w:pStyle w:val="Textoindependiente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(TW*h/</w:t>
            </w:r>
            <w:proofErr w:type="spellStart"/>
            <w:r>
              <w:rPr>
                <w:rFonts w:eastAsiaTheme="minorHAnsi"/>
                <w:sz w:val="24"/>
                <w:szCs w:val="24"/>
                <w:lang w:eastAsia="ar-SA"/>
              </w:rPr>
              <w:t>yr</w:t>
            </w:r>
            <w:proofErr w:type="spellEnd"/>
            <w:r>
              <w:rPr>
                <w:rFonts w:eastAsiaTheme="minorHAnsi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3DE35014" w14:textId="77777777" w:rsidR="00CB1EB7" w:rsidRPr="000552F9" w:rsidRDefault="00CB1EB7" w:rsidP="008C1F8E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Uranium for nuclear power (million ton U, accumulated)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14:paraId="5483E37C" w14:textId="77777777" w:rsidR="00CB1EB7" w:rsidRPr="000552F9" w:rsidRDefault="00CB1EB7" w:rsidP="008C1F8E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Land area for biomass power (million Ha)    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14:paraId="62BAEC2E" w14:textId="77777777" w:rsidR="00CB1EB7" w:rsidRPr="000552F9" w:rsidRDefault="00CB1EB7" w:rsidP="008C1F8E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 area flooded by hydropower (million Ha)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14:paraId="38037C46" w14:textId="0A9DB9F5" w:rsidR="00CB1EB7" w:rsidRPr="000552F9" w:rsidRDefault="00CB1EB7" w:rsidP="008C1F8E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Crops</w:t>
            </w:r>
            <w:r w:rsidR="00345F68">
              <w:rPr>
                <w:sz w:val="22"/>
                <w:szCs w:val="22"/>
              </w:rPr>
              <w:t>/ forest</w:t>
            </w:r>
            <w:r>
              <w:rPr>
                <w:sz w:val="22"/>
                <w:szCs w:val="22"/>
              </w:rPr>
              <w:t xml:space="preserve"> land area seized by power needs (million Ha)</w:t>
            </w:r>
          </w:p>
        </w:tc>
      </w:tr>
      <w:tr w:rsidR="00CB1EB7" w:rsidRPr="000552F9" w14:paraId="223F9769" w14:textId="77777777" w:rsidTr="00CB1EB7">
        <w:trPr>
          <w:trHeight w:val="266"/>
          <w:jc w:val="center"/>
        </w:trPr>
        <w:tc>
          <w:tcPr>
            <w:tcW w:w="1944" w:type="dxa"/>
            <w:tcBorders>
              <w:top w:val="single" w:sz="4" w:space="0" w:color="auto"/>
              <w:bottom w:val="nil"/>
            </w:tcBorders>
          </w:tcPr>
          <w:p w14:paraId="7A906210" w14:textId="373C4668" w:rsidR="00CB1EB7" w:rsidRPr="000552F9" w:rsidRDefault="00CC2A97" w:rsidP="008C1F8E">
            <w:pPr>
              <w:pStyle w:val="Textoindependient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15,000</w:t>
            </w:r>
            <w:r w:rsidR="00CB1EB7">
              <w:rPr>
                <w:sz w:val="22"/>
                <w:szCs w:val="22"/>
              </w:rPr>
              <w:t xml:space="preserve"> (2080)</w:t>
            </w:r>
          </w:p>
        </w:tc>
        <w:tc>
          <w:tcPr>
            <w:tcW w:w="1917" w:type="dxa"/>
            <w:tcBorders>
              <w:top w:val="single" w:sz="4" w:space="0" w:color="auto"/>
              <w:bottom w:val="nil"/>
            </w:tcBorders>
          </w:tcPr>
          <w:p w14:paraId="100EFD05" w14:textId="704D0CE2" w:rsidR="00CB1EB7" w:rsidRPr="000552F9" w:rsidRDefault="00B52E4F" w:rsidP="008C1F8E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1918" w:type="dxa"/>
            <w:tcBorders>
              <w:top w:val="single" w:sz="4" w:space="0" w:color="auto"/>
              <w:bottom w:val="nil"/>
            </w:tcBorders>
          </w:tcPr>
          <w:p w14:paraId="2A0D7060" w14:textId="77777777" w:rsidR="00CB1EB7" w:rsidRPr="000552F9" w:rsidRDefault="00CB1EB7" w:rsidP="008C1F8E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-no needed-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14:paraId="609CD842" w14:textId="1854A755" w:rsidR="00CB1EB7" w:rsidRPr="000552F9" w:rsidRDefault="00CB1EB7" w:rsidP="008C1F8E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19D8">
              <w:rPr>
                <w:sz w:val="22"/>
                <w:szCs w:val="22"/>
              </w:rPr>
              <w:t>68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14:paraId="7C213D74" w14:textId="154CCFC4" w:rsidR="00CB1EB7" w:rsidRPr="000552F9" w:rsidRDefault="00CB1EB7" w:rsidP="008C1F8E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5A2A">
              <w:rPr>
                <w:sz w:val="22"/>
                <w:szCs w:val="22"/>
              </w:rPr>
              <w:t>68</w:t>
            </w:r>
          </w:p>
        </w:tc>
      </w:tr>
      <w:tr w:rsidR="00CB1EB7" w:rsidRPr="000552F9" w14:paraId="183F23CD" w14:textId="77777777" w:rsidTr="007E4FB3">
        <w:trPr>
          <w:trHeight w:val="266"/>
          <w:jc w:val="center"/>
        </w:trPr>
        <w:tc>
          <w:tcPr>
            <w:tcW w:w="1944" w:type="dxa"/>
            <w:tcBorders>
              <w:top w:val="nil"/>
              <w:bottom w:val="nil"/>
            </w:tcBorders>
          </w:tcPr>
          <w:p w14:paraId="38ABA795" w14:textId="33E5391C" w:rsidR="00CB1EB7" w:rsidRDefault="00CC2A97" w:rsidP="008C1F8E">
            <w:pPr>
              <w:pStyle w:val="Textoindependient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0A7861">
              <w:rPr>
                <w:sz w:val="22"/>
                <w:szCs w:val="22"/>
              </w:rPr>
              <w:t>,000 (2090)</w:t>
            </w:r>
          </w:p>
        </w:tc>
        <w:tc>
          <w:tcPr>
            <w:tcW w:w="1917" w:type="dxa"/>
            <w:tcBorders>
              <w:top w:val="nil"/>
              <w:bottom w:val="nil"/>
            </w:tcBorders>
          </w:tcPr>
          <w:p w14:paraId="2C48DF30" w14:textId="1E0AA4BE" w:rsidR="00CB1EB7" w:rsidRDefault="00B52E4F" w:rsidP="008C1F8E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14:paraId="02A70909" w14:textId="17B2EAF8" w:rsidR="00CB1EB7" w:rsidRDefault="000A7861" w:rsidP="008C1F8E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-no needed-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5D125484" w14:textId="39218A83" w:rsidR="00CB1EB7" w:rsidRDefault="00D15A2A" w:rsidP="008C1F8E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23413947" w14:textId="6F2C88C2" w:rsidR="00CB1EB7" w:rsidRDefault="007E4FB3" w:rsidP="008C1F8E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5A2A">
              <w:rPr>
                <w:sz w:val="22"/>
                <w:szCs w:val="22"/>
              </w:rPr>
              <w:t>54</w:t>
            </w:r>
          </w:p>
        </w:tc>
      </w:tr>
      <w:tr w:rsidR="007E4FB3" w:rsidRPr="000552F9" w14:paraId="714256D3" w14:textId="77777777" w:rsidTr="00CB1EB7">
        <w:trPr>
          <w:trHeight w:val="266"/>
          <w:jc w:val="center"/>
        </w:trPr>
        <w:tc>
          <w:tcPr>
            <w:tcW w:w="1944" w:type="dxa"/>
            <w:tcBorders>
              <w:top w:val="nil"/>
            </w:tcBorders>
          </w:tcPr>
          <w:p w14:paraId="52C866CC" w14:textId="71CC89CD" w:rsidR="007E4FB3" w:rsidRDefault="00CC2A97" w:rsidP="008C1F8E">
            <w:pPr>
              <w:pStyle w:val="Textoindependient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E4FB3">
              <w:rPr>
                <w:sz w:val="22"/>
                <w:szCs w:val="22"/>
              </w:rPr>
              <w:t>,000 (2100)</w:t>
            </w:r>
          </w:p>
        </w:tc>
        <w:tc>
          <w:tcPr>
            <w:tcW w:w="1917" w:type="dxa"/>
            <w:tcBorders>
              <w:top w:val="nil"/>
            </w:tcBorders>
          </w:tcPr>
          <w:p w14:paraId="6D1C84E3" w14:textId="3C597F56" w:rsidR="00B52E4F" w:rsidRDefault="00B52E4F" w:rsidP="00B52E4F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1918" w:type="dxa"/>
            <w:tcBorders>
              <w:top w:val="nil"/>
            </w:tcBorders>
          </w:tcPr>
          <w:p w14:paraId="7A22DE10" w14:textId="062827EB" w:rsidR="007E4FB3" w:rsidRDefault="007E4FB3" w:rsidP="008C1F8E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-no needed-</w:t>
            </w:r>
          </w:p>
        </w:tc>
        <w:tc>
          <w:tcPr>
            <w:tcW w:w="1732" w:type="dxa"/>
            <w:tcBorders>
              <w:top w:val="nil"/>
            </w:tcBorders>
          </w:tcPr>
          <w:p w14:paraId="26AE17B5" w14:textId="56CB9DCD" w:rsidR="007E4FB3" w:rsidRDefault="00D15A2A" w:rsidP="008C1F8E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732" w:type="dxa"/>
            <w:tcBorders>
              <w:top w:val="nil"/>
            </w:tcBorders>
          </w:tcPr>
          <w:p w14:paraId="7FD03306" w14:textId="7C8B61A2" w:rsidR="007E4FB3" w:rsidRDefault="007E4FB3" w:rsidP="008C1F8E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5A2A">
              <w:rPr>
                <w:sz w:val="22"/>
                <w:szCs w:val="22"/>
              </w:rPr>
              <w:t>37</w:t>
            </w:r>
          </w:p>
        </w:tc>
      </w:tr>
    </w:tbl>
    <w:p w14:paraId="758A377C" w14:textId="40BDC7A3" w:rsidR="007E4FB3" w:rsidRPr="00DF3A79" w:rsidRDefault="000B024B" w:rsidP="007E4FB3">
      <w:pPr>
        <w:pStyle w:val="Textoindependiente"/>
        <w:spacing w:before="280" w:after="28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TABLE 4</w:t>
      </w:r>
      <w:r w:rsidR="007E4FB3">
        <w:rPr>
          <w:sz w:val="24"/>
          <w:szCs w:val="24"/>
        </w:rPr>
        <w:t>.</w:t>
      </w:r>
      <w:proofErr w:type="gramEnd"/>
      <w:r w:rsidR="007E4FB3">
        <w:rPr>
          <w:sz w:val="24"/>
          <w:szCs w:val="24"/>
        </w:rPr>
        <w:tab/>
        <w:t>POWER NEEDS/ IMPACTS BY 2100 IN FUSION BAD SCENARIO</w:t>
      </w:r>
    </w:p>
    <w:p w14:paraId="527F8828" w14:textId="77777777" w:rsidR="007E4FB3" w:rsidRPr="00DF3A79" w:rsidRDefault="007E4FB3" w:rsidP="007E4FB3">
      <w:pPr>
        <w:pStyle w:val="Textoindependiente"/>
        <w:spacing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1917"/>
        <w:gridCol w:w="1918"/>
        <w:gridCol w:w="1732"/>
        <w:gridCol w:w="1732"/>
      </w:tblGrid>
      <w:tr w:rsidR="007E4FB3" w:rsidRPr="000552F9" w14:paraId="66A4A63D" w14:textId="77777777" w:rsidTr="008C1F8E">
        <w:trPr>
          <w:trHeight w:val="286"/>
          <w:jc w:val="center"/>
        </w:trPr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019746F8" w14:textId="77777777" w:rsidR="007E4FB3" w:rsidRDefault="007E4FB3" w:rsidP="008C1F8E">
            <w:pPr>
              <w:pStyle w:val="Textoindependiente"/>
              <w:ind w:firstLine="0"/>
              <w:jc w:val="left"/>
              <w:rPr>
                <w:rFonts w:eastAsiaTheme="minorHAnsi"/>
                <w:sz w:val="24"/>
                <w:szCs w:val="24"/>
                <w:lang w:eastAsia="ar-SA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Fusion Power by 2100</w:t>
            </w:r>
          </w:p>
          <w:p w14:paraId="238A42CE" w14:textId="77777777" w:rsidR="007E4FB3" w:rsidRPr="000552F9" w:rsidRDefault="007E4FB3" w:rsidP="008C1F8E">
            <w:pPr>
              <w:pStyle w:val="Textoindependiente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4"/>
                <w:lang w:eastAsia="ar-SA"/>
              </w:rPr>
              <w:t>(TW*h/</w:t>
            </w:r>
            <w:proofErr w:type="spellStart"/>
            <w:r>
              <w:rPr>
                <w:rFonts w:eastAsiaTheme="minorHAnsi"/>
                <w:sz w:val="24"/>
                <w:szCs w:val="24"/>
                <w:lang w:eastAsia="ar-SA"/>
              </w:rPr>
              <w:t>yr</w:t>
            </w:r>
            <w:proofErr w:type="spellEnd"/>
            <w:r>
              <w:rPr>
                <w:rFonts w:eastAsiaTheme="minorHAnsi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0A31A0D9" w14:textId="77777777" w:rsidR="007E4FB3" w:rsidRPr="000552F9" w:rsidRDefault="007E4FB3" w:rsidP="008C1F8E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Uranium for nuclear power (million ton U, accumulated)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14:paraId="2CF452CD" w14:textId="77777777" w:rsidR="007E4FB3" w:rsidRPr="000552F9" w:rsidRDefault="007E4FB3" w:rsidP="008C1F8E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Land area for biomass power (million Ha)    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14:paraId="341959E1" w14:textId="77777777" w:rsidR="007E4FB3" w:rsidRPr="000552F9" w:rsidRDefault="007E4FB3" w:rsidP="008C1F8E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 area flooded by hydropower (million Ha)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14:paraId="4B99CEF0" w14:textId="77777777" w:rsidR="007E4FB3" w:rsidRPr="000552F9" w:rsidRDefault="007E4FB3" w:rsidP="008C1F8E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Crops land area seized by power needs (million Ha)</w:t>
            </w:r>
          </w:p>
        </w:tc>
      </w:tr>
      <w:tr w:rsidR="007E4FB3" w:rsidRPr="000552F9" w14:paraId="6C1947C2" w14:textId="77777777" w:rsidTr="008C1F8E">
        <w:trPr>
          <w:trHeight w:val="266"/>
          <w:jc w:val="center"/>
        </w:trPr>
        <w:tc>
          <w:tcPr>
            <w:tcW w:w="1944" w:type="dxa"/>
            <w:tcBorders>
              <w:top w:val="single" w:sz="4" w:space="0" w:color="auto"/>
            </w:tcBorders>
          </w:tcPr>
          <w:p w14:paraId="558A5A9C" w14:textId="49F64205" w:rsidR="007E4FB3" w:rsidRPr="000552F9" w:rsidRDefault="007E4FB3" w:rsidP="008C1F8E">
            <w:pPr>
              <w:pStyle w:val="Textoindependient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3,000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14:paraId="37C2F474" w14:textId="275EE8CB" w:rsidR="007E4FB3" w:rsidRPr="000552F9" w:rsidRDefault="007E4FB3" w:rsidP="008C1F8E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5A2A">
              <w:rPr>
                <w:sz w:val="22"/>
                <w:szCs w:val="22"/>
              </w:rPr>
              <w:t>3.2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14:paraId="4D28E18D" w14:textId="4A9EE3F5" w:rsidR="007E4FB3" w:rsidRPr="000552F9" w:rsidRDefault="00302131" w:rsidP="008C1F8E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14:paraId="3461CF24" w14:textId="28224818" w:rsidR="007E4FB3" w:rsidRPr="000552F9" w:rsidRDefault="00302131" w:rsidP="008C1F8E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14:paraId="275467A7" w14:textId="7358AA87" w:rsidR="007E4FB3" w:rsidRPr="000552F9" w:rsidRDefault="00302131" w:rsidP="008C1F8E">
            <w:pPr>
              <w:pStyle w:val="Textoindependient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</w:tr>
    </w:tbl>
    <w:p w14:paraId="29F188B5" w14:textId="1FE6A71C" w:rsidR="00B90025" w:rsidRPr="00DF3A79" w:rsidRDefault="00345F68" w:rsidP="00345F6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From above data, we highlight the following remarks:</w:t>
      </w:r>
    </w:p>
    <w:p w14:paraId="14841FEF" w14:textId="1BF50E42" w:rsidR="00EC40A7" w:rsidRDefault="00345F68" w:rsidP="00EC40A7">
      <w:pPr>
        <w:pStyle w:val="ListEmdas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Early deployment of fusion, coupled with </w:t>
      </w:r>
      <w:r w:rsidR="00A61978">
        <w:rPr>
          <w:sz w:val="24"/>
          <w:szCs w:val="24"/>
        </w:rPr>
        <w:t>a smoothly deployed</w:t>
      </w:r>
      <w:r w:rsidR="002D70F0">
        <w:rPr>
          <w:sz w:val="24"/>
          <w:szCs w:val="24"/>
        </w:rPr>
        <w:t xml:space="preserve"> and </w:t>
      </w:r>
      <w:r w:rsidR="00A067DC">
        <w:rPr>
          <w:sz w:val="24"/>
          <w:szCs w:val="24"/>
        </w:rPr>
        <w:t xml:space="preserve"> probably achievable </w:t>
      </w:r>
      <w:r w:rsidR="00FD5E4D">
        <w:rPr>
          <w:sz w:val="24"/>
          <w:szCs w:val="24"/>
        </w:rPr>
        <w:t>shift to advanced fission cycles, may limit global use of uranium in the long term, just to somewhat plus than currently proven reserves</w:t>
      </w:r>
      <w:r w:rsidR="00227FE7">
        <w:rPr>
          <w:sz w:val="24"/>
          <w:szCs w:val="24"/>
        </w:rPr>
        <w:t xml:space="preserve"> (some 8 million tons </w:t>
      </w:r>
      <w:r w:rsidR="00227FE7" w:rsidRPr="00227FE7">
        <w:rPr>
          <w:sz w:val="24"/>
          <w:szCs w:val="24"/>
          <w:u w:val="single"/>
        </w:rPr>
        <w:t>U</w:t>
      </w:r>
      <w:r w:rsidR="00227FE7">
        <w:rPr>
          <w:sz w:val="24"/>
          <w:szCs w:val="24"/>
        </w:rPr>
        <w:t xml:space="preserve">) </w:t>
      </w:r>
      <w:r w:rsidR="007C59B4">
        <w:rPr>
          <w:sz w:val="24"/>
          <w:szCs w:val="24"/>
        </w:rPr>
        <w:t>and clearly within reasonable assured resources</w:t>
      </w:r>
      <w:r w:rsidR="00227FE7">
        <w:rPr>
          <w:sz w:val="24"/>
          <w:szCs w:val="24"/>
        </w:rPr>
        <w:t xml:space="preserve"> (12.8 million tons </w:t>
      </w:r>
      <w:r w:rsidR="00227FE7" w:rsidRPr="00227FE7">
        <w:rPr>
          <w:sz w:val="24"/>
          <w:szCs w:val="24"/>
          <w:u w:val="single"/>
        </w:rPr>
        <w:t>U</w:t>
      </w:r>
      <w:r w:rsidR="00227FE7">
        <w:rPr>
          <w:sz w:val="24"/>
          <w:szCs w:val="24"/>
        </w:rPr>
        <w:t>)</w:t>
      </w:r>
      <w:r w:rsidR="00D91B7A">
        <w:rPr>
          <w:sz w:val="24"/>
          <w:szCs w:val="24"/>
        </w:rPr>
        <w:t xml:space="preserve"> (5</w:t>
      </w:r>
      <w:r w:rsidR="007C59B4">
        <w:rPr>
          <w:sz w:val="24"/>
          <w:szCs w:val="24"/>
        </w:rPr>
        <w:t>)</w:t>
      </w:r>
      <w:r w:rsidR="00EC40A7">
        <w:rPr>
          <w:sz w:val="24"/>
          <w:szCs w:val="24"/>
        </w:rPr>
        <w:t xml:space="preserve">. </w:t>
      </w:r>
    </w:p>
    <w:p w14:paraId="56C58B8E" w14:textId="704BC9E5" w:rsidR="00EC40A7" w:rsidRPr="00EC40A7" w:rsidRDefault="00EC40A7" w:rsidP="00EC40A7">
      <w:pPr>
        <w:pStyle w:val="ListEmdash"/>
        <w:numPr>
          <w:ilvl w:val="3"/>
          <w:numId w:val="20"/>
        </w:numPr>
        <w:ind w:left="700"/>
        <w:rPr>
          <w:sz w:val="24"/>
          <w:szCs w:val="24"/>
        </w:rPr>
      </w:pPr>
      <w:r>
        <w:rPr>
          <w:sz w:val="24"/>
          <w:szCs w:val="24"/>
        </w:rPr>
        <w:t>Thorium reserves would be more than enough, although global infrastructure available from 2050s on for reprocessing or fuel fabrication must be assessed.</w:t>
      </w:r>
    </w:p>
    <w:p w14:paraId="30AD5E23" w14:textId="40182899" w:rsidR="00B54CDF" w:rsidRDefault="00FD5E4D" w:rsidP="00B54CDF">
      <w:pPr>
        <w:pStyle w:val="Textoindependiente"/>
        <w:numPr>
          <w:ilvl w:val="0"/>
          <w:numId w:val="20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This earl</w:t>
      </w:r>
      <w:r w:rsidR="00D15A2A">
        <w:rPr>
          <w:sz w:val="24"/>
          <w:szCs w:val="24"/>
        </w:rPr>
        <w:t>y deployment, also may recover some</w:t>
      </w:r>
      <w:r w:rsidR="00A61978">
        <w:rPr>
          <w:sz w:val="24"/>
          <w:szCs w:val="24"/>
        </w:rPr>
        <w:t xml:space="preserve"> </w:t>
      </w:r>
      <w:r w:rsidR="00EC40A7">
        <w:rPr>
          <w:sz w:val="24"/>
          <w:szCs w:val="24"/>
        </w:rPr>
        <w:t>130 - 16</w:t>
      </w:r>
      <w:r w:rsidR="00D15A2A">
        <w:rPr>
          <w:sz w:val="24"/>
          <w:szCs w:val="24"/>
        </w:rPr>
        <w:t xml:space="preserve">0 </w:t>
      </w:r>
      <w:r w:rsidR="00235DE6">
        <w:rPr>
          <w:sz w:val="24"/>
          <w:szCs w:val="24"/>
        </w:rPr>
        <w:t>million Ha (otherwise</w:t>
      </w:r>
      <w:r>
        <w:rPr>
          <w:sz w:val="24"/>
          <w:szCs w:val="24"/>
        </w:rPr>
        <w:t xml:space="preserve"> flooded or used for energy crops) to </w:t>
      </w:r>
      <w:r w:rsidR="00EF3DCD">
        <w:rPr>
          <w:sz w:val="24"/>
          <w:szCs w:val="24"/>
        </w:rPr>
        <w:t xml:space="preserve">help in the </w:t>
      </w:r>
      <w:r>
        <w:rPr>
          <w:sz w:val="24"/>
          <w:szCs w:val="24"/>
        </w:rPr>
        <w:t>feed</w:t>
      </w:r>
      <w:r w:rsidR="009D5CCC">
        <w:rPr>
          <w:sz w:val="24"/>
          <w:szCs w:val="24"/>
        </w:rPr>
        <w:t xml:space="preserve">ing of </w:t>
      </w:r>
      <w:r w:rsidR="00D15A2A">
        <w:rPr>
          <w:sz w:val="24"/>
          <w:szCs w:val="24"/>
        </w:rPr>
        <w:t>23</w:t>
      </w:r>
      <w:r w:rsidR="000B024B">
        <w:rPr>
          <w:sz w:val="24"/>
          <w:szCs w:val="24"/>
        </w:rPr>
        <w:t xml:space="preserve"> million person</w:t>
      </w:r>
      <w:r w:rsidR="00EF3DCD">
        <w:rPr>
          <w:sz w:val="24"/>
          <w:szCs w:val="24"/>
        </w:rPr>
        <w:t>s and have more forest that will help to smooth the temperature overshot</w:t>
      </w:r>
      <w:r w:rsidR="00EC40A7">
        <w:rPr>
          <w:sz w:val="24"/>
          <w:szCs w:val="24"/>
        </w:rPr>
        <w:t>.</w:t>
      </w:r>
      <w:r w:rsidR="00A067DC">
        <w:rPr>
          <w:sz w:val="24"/>
          <w:szCs w:val="24"/>
        </w:rPr>
        <w:t xml:space="preserve"> </w:t>
      </w:r>
    </w:p>
    <w:p w14:paraId="4A68CAC8" w14:textId="11BFC538" w:rsidR="005F4AF8" w:rsidRDefault="00EF3DCD" w:rsidP="00EC40A7">
      <w:pPr>
        <w:pStyle w:val="Textoindependiente"/>
        <w:numPr>
          <w:ilvl w:val="0"/>
          <w:numId w:val="20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Sustainability of climate, energy security and land use in the event of no </w:t>
      </w:r>
      <w:r w:rsidR="000B024B">
        <w:rPr>
          <w:sz w:val="24"/>
          <w:szCs w:val="24"/>
        </w:rPr>
        <w:t>fusion until 2100, would be strongly</w:t>
      </w:r>
      <w:r>
        <w:rPr>
          <w:sz w:val="24"/>
          <w:szCs w:val="24"/>
        </w:rPr>
        <w:t xml:space="preserve"> dependent on availability of </w:t>
      </w:r>
      <w:r w:rsidR="00A067DC">
        <w:rPr>
          <w:sz w:val="24"/>
          <w:szCs w:val="24"/>
        </w:rPr>
        <w:t xml:space="preserve">a huge capacity of </w:t>
      </w:r>
      <w:r>
        <w:rPr>
          <w:sz w:val="24"/>
          <w:szCs w:val="24"/>
        </w:rPr>
        <w:t>thermal power fitted with CCS/ U</w:t>
      </w:r>
      <w:r w:rsidR="00A067DC">
        <w:rPr>
          <w:sz w:val="24"/>
          <w:szCs w:val="24"/>
        </w:rPr>
        <w:t xml:space="preserve"> (very unlikely</w:t>
      </w:r>
      <w:r w:rsidR="00A61978">
        <w:rPr>
          <w:sz w:val="24"/>
          <w:szCs w:val="24"/>
        </w:rPr>
        <w:t xml:space="preserve"> to attain</w:t>
      </w:r>
      <w:r w:rsidR="00A067DC">
        <w:rPr>
          <w:sz w:val="24"/>
          <w:szCs w:val="24"/>
        </w:rPr>
        <w:t xml:space="preserve">) </w:t>
      </w:r>
      <w:r>
        <w:rPr>
          <w:sz w:val="24"/>
          <w:szCs w:val="24"/>
        </w:rPr>
        <w:t>or</w:t>
      </w:r>
      <w:r w:rsidR="00701CD9">
        <w:rPr>
          <w:sz w:val="24"/>
          <w:szCs w:val="24"/>
        </w:rPr>
        <w:t xml:space="preserve"> </w:t>
      </w:r>
      <w:r>
        <w:rPr>
          <w:sz w:val="24"/>
          <w:szCs w:val="24"/>
        </w:rPr>
        <w:t>massive use of advanced nuclear fission</w:t>
      </w:r>
      <w:r w:rsidR="00B54CDF" w:rsidRPr="00DF3A79">
        <w:rPr>
          <w:sz w:val="24"/>
          <w:szCs w:val="24"/>
        </w:rPr>
        <w:t xml:space="preserve">. </w:t>
      </w:r>
    </w:p>
    <w:p w14:paraId="04FDAA3F" w14:textId="4488FFAE" w:rsidR="00EC40A7" w:rsidRPr="00EC40A7" w:rsidRDefault="00EC40A7" w:rsidP="00EC40A7">
      <w:pPr>
        <w:pStyle w:val="Textoindependiente"/>
        <w:ind w:left="1607" w:firstLine="0"/>
        <w:rPr>
          <w:sz w:val="24"/>
          <w:szCs w:val="24"/>
        </w:rPr>
      </w:pPr>
    </w:p>
    <w:p w14:paraId="28BBD8BF" w14:textId="491135F1" w:rsidR="000B024B" w:rsidRDefault="000D6087" w:rsidP="00046928">
      <w:pPr>
        <w:pStyle w:val="Textoindependiente"/>
        <w:spacing w:before="280" w:after="280"/>
        <w:ind w:firstLine="0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lastRenderedPageBreak/>
        <w:t>It was mentioned in (2</w:t>
      </w:r>
      <w:r w:rsidR="000B024B">
        <w:rPr>
          <w:rFonts w:eastAsiaTheme="minorHAnsi"/>
          <w:sz w:val="24"/>
          <w:szCs w:val="24"/>
          <w:lang w:eastAsia="ar-SA"/>
        </w:rPr>
        <w:t xml:space="preserve">), that relying in 32% nuclear power </w:t>
      </w:r>
      <w:r w:rsidR="004B07DA">
        <w:rPr>
          <w:rFonts w:eastAsiaTheme="minorHAnsi"/>
          <w:sz w:val="24"/>
          <w:szCs w:val="24"/>
          <w:lang w:eastAsia="ar-SA"/>
        </w:rPr>
        <w:t xml:space="preserve">(LWR) </w:t>
      </w:r>
      <w:r w:rsidR="000B024B">
        <w:rPr>
          <w:rFonts w:eastAsiaTheme="minorHAnsi"/>
          <w:sz w:val="24"/>
          <w:szCs w:val="24"/>
          <w:lang w:eastAsia="ar-SA"/>
        </w:rPr>
        <w:t>by 2050,</w:t>
      </w:r>
      <w:r w:rsidR="00235DE6">
        <w:rPr>
          <w:rFonts w:eastAsiaTheme="minorHAnsi"/>
          <w:sz w:val="24"/>
          <w:szCs w:val="24"/>
          <w:lang w:eastAsia="ar-SA"/>
        </w:rPr>
        <w:t xml:space="preserve"> besides uranium reserves issue</w:t>
      </w:r>
      <w:r w:rsidR="000B024B">
        <w:rPr>
          <w:rFonts w:eastAsiaTheme="minorHAnsi"/>
          <w:sz w:val="24"/>
          <w:szCs w:val="24"/>
          <w:lang w:eastAsia="ar-SA"/>
        </w:rPr>
        <w:t>s, would be challenging due to the uranium enrichment capacity required</w:t>
      </w:r>
      <w:r w:rsidR="00874B33">
        <w:rPr>
          <w:rFonts w:eastAsiaTheme="minorHAnsi"/>
          <w:sz w:val="24"/>
          <w:szCs w:val="24"/>
          <w:lang w:eastAsia="ar-SA"/>
        </w:rPr>
        <w:t>. A</w:t>
      </w:r>
      <w:r w:rsidR="00714C67">
        <w:rPr>
          <w:rFonts w:eastAsiaTheme="minorHAnsi"/>
          <w:sz w:val="24"/>
          <w:szCs w:val="24"/>
          <w:lang w:eastAsia="ar-SA"/>
        </w:rPr>
        <w:t xml:space="preserve">bovementioned use </w:t>
      </w:r>
      <w:r w:rsidR="00874B33">
        <w:rPr>
          <w:rFonts w:eastAsiaTheme="minorHAnsi"/>
          <w:sz w:val="24"/>
          <w:szCs w:val="24"/>
          <w:lang w:eastAsia="ar-SA"/>
        </w:rPr>
        <w:t xml:space="preserve">of fast reactors </w:t>
      </w:r>
      <w:r w:rsidR="00911024">
        <w:rPr>
          <w:rFonts w:eastAsiaTheme="minorHAnsi"/>
          <w:sz w:val="24"/>
          <w:szCs w:val="24"/>
          <w:lang w:eastAsia="ar-SA"/>
        </w:rPr>
        <w:t>by 2050</w:t>
      </w:r>
      <w:r w:rsidR="0071136D">
        <w:rPr>
          <w:rFonts w:eastAsiaTheme="minorHAnsi"/>
          <w:sz w:val="24"/>
          <w:szCs w:val="24"/>
          <w:lang w:eastAsia="ar-SA"/>
        </w:rPr>
        <w:t xml:space="preserve"> would require some 10 - 30</w:t>
      </w:r>
      <w:r w:rsidR="00874B33">
        <w:rPr>
          <w:rFonts w:eastAsiaTheme="minorHAnsi"/>
          <w:sz w:val="24"/>
          <w:szCs w:val="24"/>
          <w:lang w:eastAsia="ar-SA"/>
        </w:rPr>
        <w:t xml:space="preserve"> million SWU/year of high </w:t>
      </w:r>
      <w:r w:rsidR="0071136D">
        <w:rPr>
          <w:rFonts w:eastAsiaTheme="minorHAnsi"/>
          <w:sz w:val="24"/>
          <w:szCs w:val="24"/>
          <w:lang w:eastAsia="ar-SA"/>
        </w:rPr>
        <w:t xml:space="preserve">(20% </w:t>
      </w:r>
      <w:r w:rsidR="0071136D" w:rsidRPr="0071136D">
        <w:rPr>
          <w:rFonts w:eastAsiaTheme="minorHAnsi"/>
          <w:sz w:val="24"/>
          <w:szCs w:val="24"/>
          <w:vertAlign w:val="superscript"/>
          <w:lang w:eastAsia="ar-SA"/>
        </w:rPr>
        <w:t>235</w:t>
      </w:r>
      <w:r w:rsidR="0071136D">
        <w:rPr>
          <w:rFonts w:eastAsiaTheme="minorHAnsi"/>
          <w:sz w:val="24"/>
          <w:szCs w:val="24"/>
          <w:lang w:eastAsia="ar-SA"/>
        </w:rPr>
        <w:t xml:space="preserve">U) </w:t>
      </w:r>
      <w:r w:rsidR="00874B33">
        <w:rPr>
          <w:rFonts w:eastAsiaTheme="minorHAnsi"/>
          <w:sz w:val="24"/>
          <w:szCs w:val="24"/>
          <w:lang w:eastAsia="ar-SA"/>
        </w:rPr>
        <w:t>enrichment capacity</w:t>
      </w:r>
      <w:r w:rsidR="0071136D">
        <w:rPr>
          <w:rFonts w:eastAsiaTheme="minorHAnsi"/>
          <w:sz w:val="24"/>
          <w:szCs w:val="24"/>
          <w:lang w:eastAsia="ar-SA"/>
        </w:rPr>
        <w:t>, depending on reactor type</w:t>
      </w:r>
      <w:r w:rsidR="00874B33">
        <w:rPr>
          <w:rFonts w:eastAsiaTheme="minorHAnsi"/>
          <w:sz w:val="24"/>
          <w:szCs w:val="24"/>
          <w:lang w:eastAsia="ar-SA"/>
        </w:rPr>
        <w:t xml:space="preserve">, to our estimation, and such capacity is </w:t>
      </w:r>
      <w:proofErr w:type="gramStart"/>
      <w:r w:rsidR="00874B33">
        <w:rPr>
          <w:rFonts w:eastAsiaTheme="minorHAnsi"/>
          <w:sz w:val="24"/>
          <w:szCs w:val="24"/>
          <w:lang w:eastAsia="ar-SA"/>
        </w:rPr>
        <w:t>currently</w:t>
      </w:r>
      <w:r w:rsidR="00A734E8">
        <w:rPr>
          <w:rFonts w:eastAsiaTheme="minorHAnsi"/>
          <w:sz w:val="24"/>
          <w:szCs w:val="24"/>
          <w:lang w:eastAsia="ar-SA"/>
        </w:rPr>
        <w:t>,</w:t>
      </w:r>
      <w:proofErr w:type="gramEnd"/>
      <w:r w:rsidR="00874B33">
        <w:rPr>
          <w:rFonts w:eastAsiaTheme="minorHAnsi"/>
          <w:sz w:val="24"/>
          <w:szCs w:val="24"/>
          <w:lang w:eastAsia="ar-SA"/>
        </w:rPr>
        <w:t xml:space="preserve"> </w:t>
      </w:r>
      <w:r w:rsidR="00A734E8">
        <w:rPr>
          <w:rFonts w:eastAsiaTheme="minorHAnsi"/>
          <w:sz w:val="24"/>
          <w:szCs w:val="24"/>
          <w:lang w:eastAsia="ar-SA"/>
        </w:rPr>
        <w:t xml:space="preserve">technically </w:t>
      </w:r>
      <w:r w:rsidR="00874B33">
        <w:rPr>
          <w:rFonts w:eastAsiaTheme="minorHAnsi"/>
          <w:sz w:val="24"/>
          <w:szCs w:val="24"/>
          <w:lang w:eastAsia="ar-SA"/>
        </w:rPr>
        <w:t>available</w:t>
      </w:r>
      <w:r w:rsidR="00A734E8">
        <w:rPr>
          <w:rFonts w:eastAsiaTheme="minorHAnsi"/>
          <w:sz w:val="24"/>
          <w:szCs w:val="24"/>
          <w:lang w:eastAsia="ar-SA"/>
        </w:rPr>
        <w:t>, even should some retrofitting be required</w:t>
      </w:r>
      <w:r w:rsidR="000B024B">
        <w:rPr>
          <w:rFonts w:eastAsiaTheme="minorHAnsi"/>
          <w:sz w:val="24"/>
          <w:szCs w:val="24"/>
          <w:lang w:eastAsia="ar-SA"/>
        </w:rPr>
        <w:t>.</w:t>
      </w:r>
      <w:r w:rsidR="00EA7980">
        <w:rPr>
          <w:rFonts w:eastAsiaTheme="minorHAnsi"/>
          <w:sz w:val="24"/>
          <w:szCs w:val="24"/>
          <w:lang w:eastAsia="ar-SA"/>
        </w:rPr>
        <w:t xml:space="preserve"> </w:t>
      </w:r>
      <w:r w:rsidR="00874B33">
        <w:rPr>
          <w:rFonts w:eastAsiaTheme="minorHAnsi"/>
          <w:sz w:val="24"/>
          <w:szCs w:val="24"/>
          <w:lang w:eastAsia="ar-SA"/>
        </w:rPr>
        <w:t xml:space="preserve">  If </w:t>
      </w:r>
      <w:r w:rsidR="00714C67">
        <w:rPr>
          <w:rFonts w:eastAsiaTheme="minorHAnsi"/>
          <w:sz w:val="24"/>
          <w:szCs w:val="24"/>
          <w:lang w:eastAsia="ar-SA"/>
        </w:rPr>
        <w:t>amounts of low enriched uranium and plutonium are stockpiled from the 2020s</w:t>
      </w:r>
      <w:r w:rsidR="00874B33">
        <w:rPr>
          <w:rFonts w:eastAsiaTheme="minorHAnsi"/>
          <w:sz w:val="24"/>
          <w:szCs w:val="24"/>
          <w:lang w:eastAsia="ar-SA"/>
        </w:rPr>
        <w:t xml:space="preserve"> on, </w:t>
      </w:r>
      <w:r w:rsidR="00714C67">
        <w:rPr>
          <w:rFonts w:eastAsiaTheme="minorHAnsi"/>
          <w:sz w:val="24"/>
          <w:szCs w:val="24"/>
          <w:lang w:eastAsia="ar-SA"/>
        </w:rPr>
        <w:t>using existing enrichment and reprocessing capacities</w:t>
      </w:r>
      <w:r w:rsidR="0096677C">
        <w:rPr>
          <w:rFonts w:eastAsiaTheme="minorHAnsi"/>
          <w:sz w:val="24"/>
          <w:szCs w:val="24"/>
          <w:lang w:eastAsia="ar-SA"/>
        </w:rPr>
        <w:t xml:space="preserve">, these issues could be </w:t>
      </w:r>
      <w:r w:rsidR="00714C67">
        <w:rPr>
          <w:rFonts w:eastAsiaTheme="minorHAnsi"/>
          <w:sz w:val="24"/>
          <w:szCs w:val="24"/>
          <w:lang w:eastAsia="ar-SA"/>
        </w:rPr>
        <w:t xml:space="preserve">relieved, </w:t>
      </w:r>
      <w:r w:rsidR="0096677C">
        <w:rPr>
          <w:rFonts w:eastAsiaTheme="minorHAnsi"/>
          <w:sz w:val="24"/>
          <w:szCs w:val="24"/>
          <w:lang w:eastAsia="ar-SA"/>
        </w:rPr>
        <w:t xml:space="preserve">as </w:t>
      </w:r>
      <w:r w:rsidR="00683F1E">
        <w:rPr>
          <w:rFonts w:eastAsiaTheme="minorHAnsi"/>
          <w:sz w:val="24"/>
          <w:szCs w:val="24"/>
          <w:lang w:eastAsia="ar-SA"/>
        </w:rPr>
        <w:t>LWR-fission would see a sharp drop</w:t>
      </w:r>
      <w:r w:rsidR="000063E9">
        <w:rPr>
          <w:rFonts w:eastAsiaTheme="minorHAnsi"/>
          <w:sz w:val="24"/>
          <w:szCs w:val="24"/>
          <w:lang w:eastAsia="ar-SA"/>
        </w:rPr>
        <w:t xml:space="preserve"> </w:t>
      </w:r>
      <w:r w:rsidR="00683F1E">
        <w:rPr>
          <w:rFonts w:eastAsiaTheme="minorHAnsi"/>
          <w:sz w:val="24"/>
          <w:szCs w:val="24"/>
          <w:lang w:eastAsia="ar-SA"/>
        </w:rPr>
        <w:t xml:space="preserve">from </w:t>
      </w:r>
      <w:r w:rsidR="009D5CCC">
        <w:rPr>
          <w:rFonts w:eastAsiaTheme="minorHAnsi"/>
          <w:sz w:val="24"/>
          <w:szCs w:val="24"/>
          <w:lang w:eastAsia="ar-SA"/>
        </w:rPr>
        <w:t>2060</w:t>
      </w:r>
      <w:r w:rsidR="002E0203">
        <w:rPr>
          <w:rFonts w:eastAsiaTheme="minorHAnsi"/>
          <w:sz w:val="24"/>
          <w:szCs w:val="24"/>
          <w:lang w:eastAsia="ar-SA"/>
        </w:rPr>
        <w:t>, when it starts to be</w:t>
      </w:r>
      <w:r w:rsidR="00683F1E">
        <w:rPr>
          <w:rFonts w:eastAsiaTheme="minorHAnsi"/>
          <w:sz w:val="24"/>
          <w:szCs w:val="24"/>
          <w:lang w:eastAsia="ar-SA"/>
        </w:rPr>
        <w:t xml:space="preserve"> replaced by fusion in the fusion optimistic case, </w:t>
      </w:r>
      <w:r w:rsidR="002D70F0">
        <w:rPr>
          <w:rFonts w:eastAsiaTheme="minorHAnsi"/>
          <w:sz w:val="24"/>
          <w:szCs w:val="24"/>
          <w:lang w:eastAsia="ar-SA"/>
        </w:rPr>
        <w:t>and nuclear power gradually turns fully to advanced nuclear</w:t>
      </w:r>
      <w:r w:rsidR="00A61978">
        <w:rPr>
          <w:rFonts w:eastAsiaTheme="minorHAnsi"/>
          <w:sz w:val="24"/>
          <w:szCs w:val="24"/>
          <w:lang w:eastAsia="ar-SA"/>
        </w:rPr>
        <w:t>, as the latter are the remaining nuclear units</w:t>
      </w:r>
      <w:r w:rsidR="00873A33">
        <w:rPr>
          <w:rFonts w:eastAsiaTheme="minorHAnsi"/>
          <w:sz w:val="24"/>
          <w:szCs w:val="24"/>
          <w:lang w:eastAsia="ar-SA"/>
        </w:rPr>
        <w:t>, besides expanding themselves</w:t>
      </w:r>
      <w:r w:rsidR="002D70F0">
        <w:rPr>
          <w:rFonts w:eastAsiaTheme="minorHAnsi"/>
          <w:sz w:val="24"/>
          <w:szCs w:val="24"/>
          <w:lang w:eastAsia="ar-SA"/>
        </w:rPr>
        <w:t xml:space="preserve">.  </w:t>
      </w:r>
      <w:r w:rsidR="00E3192A">
        <w:rPr>
          <w:rFonts w:eastAsiaTheme="minorHAnsi"/>
          <w:sz w:val="24"/>
          <w:szCs w:val="24"/>
          <w:lang w:eastAsia="ar-SA"/>
        </w:rPr>
        <w:t>A</w:t>
      </w:r>
      <w:r w:rsidR="000063E9">
        <w:rPr>
          <w:rFonts w:eastAsiaTheme="minorHAnsi"/>
          <w:sz w:val="24"/>
          <w:szCs w:val="24"/>
          <w:lang w:eastAsia="ar-SA"/>
        </w:rPr>
        <w:t>dditional reprocessing capac</w:t>
      </w:r>
      <w:r w:rsidR="00683F1E">
        <w:rPr>
          <w:rFonts w:eastAsiaTheme="minorHAnsi"/>
          <w:sz w:val="24"/>
          <w:szCs w:val="24"/>
          <w:lang w:eastAsia="ar-SA"/>
        </w:rPr>
        <w:t xml:space="preserve">ities (including </w:t>
      </w:r>
      <w:r w:rsidR="00E941C6">
        <w:rPr>
          <w:rFonts w:eastAsiaTheme="minorHAnsi"/>
          <w:sz w:val="24"/>
          <w:szCs w:val="24"/>
          <w:lang w:eastAsia="ar-SA"/>
        </w:rPr>
        <w:t xml:space="preserve">plutonium from breeders and advanced ones </w:t>
      </w:r>
      <w:r w:rsidR="000063E9">
        <w:rPr>
          <w:rFonts w:eastAsiaTheme="minorHAnsi"/>
          <w:sz w:val="24"/>
          <w:szCs w:val="24"/>
          <w:lang w:eastAsia="ar-SA"/>
        </w:rPr>
        <w:t>that will recycle minor actinides)</w:t>
      </w:r>
      <w:r w:rsidR="0096677C">
        <w:rPr>
          <w:rFonts w:eastAsiaTheme="minorHAnsi"/>
          <w:sz w:val="24"/>
          <w:szCs w:val="24"/>
          <w:lang w:eastAsia="ar-SA"/>
        </w:rPr>
        <w:t xml:space="preserve"> installed from </w:t>
      </w:r>
      <w:r w:rsidR="00DB6B5E">
        <w:rPr>
          <w:rFonts w:eastAsiaTheme="minorHAnsi"/>
          <w:sz w:val="24"/>
          <w:szCs w:val="24"/>
          <w:lang w:eastAsia="ar-SA"/>
        </w:rPr>
        <w:t>204</w:t>
      </w:r>
      <w:r w:rsidR="00E3192A">
        <w:rPr>
          <w:rFonts w:eastAsiaTheme="minorHAnsi"/>
          <w:sz w:val="24"/>
          <w:szCs w:val="24"/>
          <w:lang w:eastAsia="ar-SA"/>
        </w:rPr>
        <w:t>0</w:t>
      </w:r>
      <w:r w:rsidR="00EE19D8">
        <w:rPr>
          <w:rFonts w:eastAsiaTheme="minorHAnsi"/>
          <w:sz w:val="24"/>
          <w:szCs w:val="24"/>
          <w:lang w:eastAsia="ar-SA"/>
        </w:rPr>
        <w:t>s</w:t>
      </w:r>
      <w:r w:rsidR="00E3192A">
        <w:rPr>
          <w:rFonts w:eastAsiaTheme="minorHAnsi"/>
          <w:sz w:val="24"/>
          <w:szCs w:val="24"/>
          <w:lang w:eastAsia="ar-SA"/>
        </w:rPr>
        <w:t xml:space="preserve">, could close the gap.  </w:t>
      </w:r>
      <w:r w:rsidR="0096677C">
        <w:rPr>
          <w:rFonts w:eastAsiaTheme="minorHAnsi"/>
          <w:sz w:val="24"/>
          <w:szCs w:val="24"/>
          <w:lang w:eastAsia="ar-SA"/>
        </w:rPr>
        <w:t>It is not to be forgotten the s</w:t>
      </w:r>
      <w:r w:rsidR="00714C67">
        <w:rPr>
          <w:rFonts w:eastAsiaTheme="minorHAnsi"/>
          <w:sz w:val="24"/>
          <w:szCs w:val="24"/>
          <w:lang w:eastAsia="ar-SA"/>
        </w:rPr>
        <w:t>trong pressure on safeguards</w:t>
      </w:r>
      <w:r w:rsidR="00874B33">
        <w:rPr>
          <w:rFonts w:eastAsiaTheme="minorHAnsi"/>
          <w:sz w:val="24"/>
          <w:szCs w:val="24"/>
          <w:lang w:eastAsia="ar-SA"/>
        </w:rPr>
        <w:t xml:space="preserve"> and security</w:t>
      </w:r>
      <w:r w:rsidR="0096677C">
        <w:rPr>
          <w:rFonts w:eastAsiaTheme="minorHAnsi"/>
          <w:sz w:val="24"/>
          <w:szCs w:val="24"/>
          <w:lang w:eastAsia="ar-SA"/>
        </w:rPr>
        <w:t xml:space="preserve"> that these stockpiles would put</w:t>
      </w:r>
      <w:r w:rsidR="00714C67">
        <w:rPr>
          <w:rFonts w:eastAsiaTheme="minorHAnsi"/>
          <w:sz w:val="24"/>
          <w:szCs w:val="24"/>
          <w:lang w:eastAsia="ar-SA"/>
        </w:rPr>
        <w:t>.</w:t>
      </w:r>
    </w:p>
    <w:p w14:paraId="161B1F49" w14:textId="77777777" w:rsidR="00714C67" w:rsidRDefault="00714C67" w:rsidP="00046928">
      <w:pPr>
        <w:pStyle w:val="Textoindependiente"/>
        <w:spacing w:before="280" w:after="280"/>
        <w:ind w:firstLine="0"/>
        <w:rPr>
          <w:rFonts w:eastAsiaTheme="minorHAnsi"/>
          <w:sz w:val="24"/>
          <w:szCs w:val="24"/>
          <w:lang w:eastAsia="ar-SA"/>
        </w:rPr>
      </w:pPr>
    </w:p>
    <w:p w14:paraId="298BFED3" w14:textId="385D2072" w:rsidR="00714C67" w:rsidRDefault="00FA63C6" w:rsidP="00046928">
      <w:pPr>
        <w:pStyle w:val="Textoindependiente"/>
        <w:spacing w:before="280" w:after="280"/>
        <w:ind w:firstLine="0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For the transition</w:t>
      </w:r>
      <w:r w:rsidR="00517F23">
        <w:rPr>
          <w:rFonts w:eastAsiaTheme="minorHAnsi"/>
          <w:sz w:val="24"/>
          <w:szCs w:val="24"/>
          <w:lang w:eastAsia="ar-SA"/>
        </w:rPr>
        <w:t xml:space="preserve"> </w:t>
      </w:r>
      <w:r w:rsidR="00FF6C2B">
        <w:rPr>
          <w:rFonts w:eastAsiaTheme="minorHAnsi"/>
          <w:sz w:val="24"/>
          <w:szCs w:val="24"/>
          <w:lang w:eastAsia="ar-SA"/>
        </w:rPr>
        <w:t>phase until fusion surges as</w:t>
      </w:r>
      <w:r>
        <w:rPr>
          <w:rFonts w:eastAsiaTheme="minorHAnsi"/>
          <w:sz w:val="24"/>
          <w:szCs w:val="24"/>
          <w:lang w:eastAsia="ar-SA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ar-SA"/>
        </w:rPr>
        <w:t>baseload</w:t>
      </w:r>
      <w:proofErr w:type="spellEnd"/>
      <w:r>
        <w:rPr>
          <w:rFonts w:eastAsiaTheme="minorHAnsi"/>
          <w:sz w:val="24"/>
          <w:szCs w:val="24"/>
          <w:lang w:eastAsia="ar-SA"/>
        </w:rPr>
        <w:t xml:space="preserve"> source, deployment of advanced fission cycles by countries with great expertise in the nuclear field, could be achievable and would let developing countries rely</w:t>
      </w:r>
      <w:r w:rsidR="00517F23">
        <w:rPr>
          <w:rFonts w:eastAsiaTheme="minorHAnsi"/>
          <w:sz w:val="24"/>
          <w:szCs w:val="24"/>
          <w:lang w:eastAsia="ar-SA"/>
        </w:rPr>
        <w:t>,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="00481920">
        <w:rPr>
          <w:rFonts w:eastAsiaTheme="minorHAnsi"/>
          <w:sz w:val="24"/>
          <w:szCs w:val="24"/>
          <w:lang w:eastAsia="ar-SA"/>
        </w:rPr>
        <w:t>at first stage</w:t>
      </w:r>
      <w:r w:rsidR="00DB6B5E">
        <w:rPr>
          <w:rFonts w:eastAsiaTheme="minorHAnsi"/>
          <w:sz w:val="24"/>
          <w:szCs w:val="24"/>
          <w:lang w:eastAsia="ar-SA"/>
        </w:rPr>
        <w:t>,</w:t>
      </w:r>
      <w:r w:rsidR="00481920">
        <w:rPr>
          <w:rFonts w:eastAsiaTheme="minorHAnsi"/>
          <w:sz w:val="24"/>
          <w:szCs w:val="24"/>
          <w:lang w:eastAsia="ar-SA"/>
        </w:rPr>
        <w:t xml:space="preserve"> </w:t>
      </w:r>
      <w:r w:rsidR="00DB6B5E">
        <w:rPr>
          <w:rFonts w:eastAsiaTheme="minorHAnsi"/>
          <w:sz w:val="24"/>
          <w:szCs w:val="24"/>
          <w:lang w:eastAsia="ar-SA"/>
        </w:rPr>
        <w:t>mainly</w:t>
      </w:r>
      <w:bookmarkStart w:id="0" w:name="_GoBack"/>
      <w:bookmarkEnd w:id="0"/>
      <w:r w:rsidR="00517F23">
        <w:rPr>
          <w:rFonts w:eastAsiaTheme="minorHAnsi"/>
          <w:sz w:val="24"/>
          <w:szCs w:val="24"/>
          <w:lang w:eastAsia="ar-SA"/>
        </w:rPr>
        <w:t xml:space="preserve"> </w:t>
      </w:r>
      <w:r>
        <w:rPr>
          <w:rFonts w:eastAsiaTheme="minorHAnsi"/>
          <w:sz w:val="24"/>
          <w:szCs w:val="24"/>
          <w:lang w:eastAsia="ar-SA"/>
        </w:rPr>
        <w:t>on LWR</w:t>
      </w:r>
      <w:r w:rsidR="00517F23">
        <w:rPr>
          <w:rFonts w:eastAsiaTheme="minorHAnsi"/>
          <w:sz w:val="24"/>
          <w:szCs w:val="24"/>
          <w:lang w:eastAsia="ar-SA"/>
        </w:rPr>
        <w:t xml:space="preserve">s, for which large </w:t>
      </w:r>
      <w:r w:rsidR="00E52BE8">
        <w:rPr>
          <w:rFonts w:eastAsiaTheme="minorHAnsi"/>
          <w:sz w:val="24"/>
          <w:szCs w:val="24"/>
          <w:lang w:eastAsia="ar-SA"/>
        </w:rPr>
        <w:t xml:space="preserve">operational </w:t>
      </w:r>
      <w:r w:rsidR="00517F23">
        <w:rPr>
          <w:rFonts w:eastAsiaTheme="minorHAnsi"/>
          <w:sz w:val="24"/>
          <w:szCs w:val="24"/>
          <w:lang w:eastAsia="ar-SA"/>
        </w:rPr>
        <w:t>experience and criteria for regulation purposes is widely avail</w:t>
      </w:r>
      <w:r w:rsidR="00D91B7A">
        <w:rPr>
          <w:rFonts w:eastAsiaTheme="minorHAnsi"/>
          <w:sz w:val="24"/>
          <w:szCs w:val="24"/>
          <w:lang w:eastAsia="ar-SA"/>
        </w:rPr>
        <w:t>able (6</w:t>
      </w:r>
      <w:r w:rsidR="00517F23">
        <w:rPr>
          <w:rFonts w:eastAsiaTheme="minorHAnsi"/>
          <w:sz w:val="24"/>
          <w:szCs w:val="24"/>
          <w:lang w:eastAsia="ar-SA"/>
        </w:rPr>
        <w:t>)</w:t>
      </w:r>
      <w:r w:rsidR="00D15A2A">
        <w:rPr>
          <w:rFonts w:eastAsiaTheme="minorHAnsi"/>
          <w:sz w:val="24"/>
          <w:szCs w:val="24"/>
          <w:lang w:eastAsia="ar-SA"/>
        </w:rPr>
        <w:t xml:space="preserve">, so energy-turn in </w:t>
      </w:r>
      <w:r w:rsidR="00D91B7A">
        <w:rPr>
          <w:rFonts w:eastAsiaTheme="minorHAnsi"/>
          <w:sz w:val="24"/>
          <w:szCs w:val="24"/>
          <w:lang w:eastAsia="ar-SA"/>
        </w:rPr>
        <w:t xml:space="preserve">these countries would be </w:t>
      </w:r>
      <w:r w:rsidR="00D15A2A">
        <w:rPr>
          <w:rFonts w:eastAsiaTheme="minorHAnsi"/>
          <w:sz w:val="24"/>
          <w:szCs w:val="24"/>
          <w:lang w:eastAsia="ar-SA"/>
        </w:rPr>
        <w:t>eased</w:t>
      </w:r>
      <w:r w:rsidR="00517F23">
        <w:rPr>
          <w:rFonts w:eastAsiaTheme="minorHAnsi"/>
          <w:sz w:val="24"/>
          <w:szCs w:val="24"/>
          <w:lang w:eastAsia="ar-SA"/>
        </w:rPr>
        <w:t>.</w:t>
      </w:r>
    </w:p>
    <w:p w14:paraId="510A4B1A" w14:textId="77777777" w:rsidR="00517F23" w:rsidRDefault="00517F23" w:rsidP="00046928">
      <w:pPr>
        <w:pStyle w:val="Textoindependiente"/>
        <w:spacing w:before="280" w:after="280"/>
        <w:ind w:firstLine="0"/>
        <w:rPr>
          <w:rFonts w:eastAsiaTheme="minorHAnsi"/>
          <w:sz w:val="24"/>
          <w:szCs w:val="24"/>
          <w:lang w:eastAsia="ar-SA"/>
        </w:rPr>
      </w:pPr>
    </w:p>
    <w:p w14:paraId="672A5F54" w14:textId="34D62A8E" w:rsidR="0091220F" w:rsidRPr="000E7875" w:rsidRDefault="00517F23" w:rsidP="000E7875">
      <w:pPr>
        <w:pStyle w:val="Textoindependiente"/>
        <w:spacing w:before="280" w:after="280"/>
        <w:ind w:firstLine="0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 xml:space="preserve">On the long term, nuclear fusion is the promise for </w:t>
      </w:r>
      <w:r w:rsidR="00E3192A">
        <w:rPr>
          <w:rFonts w:eastAsiaTheme="minorHAnsi"/>
          <w:sz w:val="24"/>
          <w:szCs w:val="24"/>
          <w:lang w:eastAsia="ar-SA"/>
        </w:rPr>
        <w:t xml:space="preserve">sustainable </w:t>
      </w:r>
      <w:r w:rsidR="00FF6C2B">
        <w:rPr>
          <w:rFonts w:eastAsiaTheme="minorHAnsi"/>
          <w:sz w:val="24"/>
          <w:szCs w:val="24"/>
          <w:lang w:eastAsia="ar-SA"/>
        </w:rPr>
        <w:t>power.   During</w:t>
      </w:r>
      <w:r w:rsidR="008B238E">
        <w:rPr>
          <w:rFonts w:eastAsiaTheme="minorHAnsi"/>
          <w:sz w:val="24"/>
          <w:szCs w:val="24"/>
          <w:lang w:eastAsia="ar-SA"/>
        </w:rPr>
        <w:t xml:space="preserve"> 21</w:t>
      </w:r>
      <w:r w:rsidR="008B238E" w:rsidRPr="008B238E">
        <w:rPr>
          <w:rFonts w:eastAsiaTheme="minorHAnsi"/>
          <w:sz w:val="24"/>
          <w:szCs w:val="24"/>
          <w:u w:val="single"/>
          <w:vertAlign w:val="superscript"/>
          <w:lang w:eastAsia="ar-SA"/>
        </w:rPr>
        <w:t>st</w:t>
      </w:r>
      <w:r w:rsidR="00E52BE8">
        <w:rPr>
          <w:rFonts w:eastAsiaTheme="minorHAnsi"/>
          <w:sz w:val="24"/>
          <w:szCs w:val="24"/>
          <w:lang w:eastAsia="ar-SA"/>
        </w:rPr>
        <w:t xml:space="preserve"> Century, </w:t>
      </w:r>
      <w:r w:rsidR="00FF6C2B">
        <w:rPr>
          <w:rFonts w:eastAsiaTheme="minorHAnsi"/>
          <w:sz w:val="24"/>
          <w:szCs w:val="24"/>
          <w:lang w:eastAsia="ar-SA"/>
        </w:rPr>
        <w:t xml:space="preserve">its </w:t>
      </w:r>
      <w:r w:rsidR="00992D22">
        <w:rPr>
          <w:rFonts w:eastAsiaTheme="minorHAnsi"/>
          <w:sz w:val="24"/>
          <w:szCs w:val="24"/>
          <w:lang w:eastAsia="ar-SA"/>
        </w:rPr>
        <w:t xml:space="preserve"> deployment </w:t>
      </w:r>
      <w:r w:rsidR="00E941C6">
        <w:rPr>
          <w:rFonts w:eastAsiaTheme="minorHAnsi"/>
          <w:sz w:val="24"/>
          <w:szCs w:val="24"/>
          <w:lang w:eastAsia="ar-SA"/>
        </w:rPr>
        <w:t xml:space="preserve">as early as </w:t>
      </w:r>
      <w:r w:rsidR="001D5B1D">
        <w:rPr>
          <w:rFonts w:eastAsiaTheme="minorHAnsi"/>
          <w:sz w:val="24"/>
          <w:szCs w:val="24"/>
          <w:lang w:eastAsia="ar-SA"/>
        </w:rPr>
        <w:t xml:space="preserve">operationally </w:t>
      </w:r>
      <w:r w:rsidR="00E941C6">
        <w:rPr>
          <w:rFonts w:eastAsiaTheme="minorHAnsi"/>
          <w:sz w:val="24"/>
          <w:szCs w:val="24"/>
          <w:lang w:eastAsia="ar-SA"/>
        </w:rPr>
        <w:t xml:space="preserve">possible, </w:t>
      </w:r>
      <w:r w:rsidR="00992D22">
        <w:rPr>
          <w:rFonts w:eastAsiaTheme="minorHAnsi"/>
          <w:sz w:val="24"/>
          <w:szCs w:val="24"/>
          <w:lang w:eastAsia="ar-SA"/>
        </w:rPr>
        <w:t>synergized with nuclear power (</w:t>
      </w:r>
      <w:r w:rsidR="00FF6C2B">
        <w:rPr>
          <w:rFonts w:eastAsiaTheme="minorHAnsi"/>
          <w:sz w:val="24"/>
          <w:szCs w:val="24"/>
          <w:lang w:eastAsia="ar-SA"/>
        </w:rPr>
        <w:t xml:space="preserve">taking advantage of its current and future facilities, that transition to </w:t>
      </w:r>
      <w:proofErr w:type="spellStart"/>
      <w:r w:rsidR="00E941C6">
        <w:rPr>
          <w:rFonts w:eastAsiaTheme="minorHAnsi"/>
          <w:sz w:val="24"/>
          <w:szCs w:val="24"/>
          <w:lang w:eastAsia="ar-SA"/>
        </w:rPr>
        <w:t>advanced</w:t>
      </w:r>
      <w:proofErr w:type="spellEnd"/>
      <w:r w:rsidR="00D91B7A">
        <w:rPr>
          <w:rFonts w:eastAsiaTheme="minorHAnsi"/>
          <w:sz w:val="24"/>
          <w:szCs w:val="24"/>
          <w:lang w:eastAsia="ar-SA"/>
        </w:rPr>
        <w:t xml:space="preserve"> near the</w:t>
      </w:r>
      <w:r w:rsidR="00992D22">
        <w:rPr>
          <w:rFonts w:eastAsiaTheme="minorHAnsi"/>
          <w:sz w:val="24"/>
          <w:szCs w:val="24"/>
          <w:lang w:eastAsia="ar-SA"/>
        </w:rPr>
        <w:t xml:space="preserve"> end of the Century)</w:t>
      </w:r>
      <w:r w:rsidR="00E52BE8">
        <w:rPr>
          <w:rFonts w:eastAsiaTheme="minorHAnsi"/>
          <w:sz w:val="24"/>
          <w:szCs w:val="24"/>
          <w:lang w:eastAsia="ar-SA"/>
        </w:rPr>
        <w:t xml:space="preserve"> would </w:t>
      </w:r>
      <w:r w:rsidR="00571DAF">
        <w:rPr>
          <w:rFonts w:eastAsiaTheme="minorHAnsi"/>
          <w:sz w:val="24"/>
          <w:szCs w:val="24"/>
          <w:lang w:eastAsia="ar-SA"/>
        </w:rPr>
        <w:t>allow</w:t>
      </w:r>
      <w:r w:rsidR="00B22159">
        <w:rPr>
          <w:rFonts w:eastAsiaTheme="minorHAnsi"/>
          <w:sz w:val="24"/>
          <w:szCs w:val="24"/>
          <w:lang w:eastAsia="ar-SA"/>
        </w:rPr>
        <w:t xml:space="preserve"> </w:t>
      </w:r>
      <w:r>
        <w:rPr>
          <w:rFonts w:eastAsiaTheme="minorHAnsi"/>
          <w:sz w:val="24"/>
          <w:szCs w:val="24"/>
          <w:lang w:eastAsia="ar-SA"/>
        </w:rPr>
        <w:t>address</w:t>
      </w:r>
      <w:r w:rsidR="00B22159">
        <w:rPr>
          <w:rFonts w:eastAsiaTheme="minorHAnsi"/>
          <w:sz w:val="24"/>
          <w:szCs w:val="24"/>
          <w:lang w:eastAsia="ar-SA"/>
        </w:rPr>
        <w:t>ing</w:t>
      </w:r>
      <w:r>
        <w:rPr>
          <w:rFonts w:eastAsiaTheme="minorHAnsi"/>
          <w:sz w:val="24"/>
          <w:szCs w:val="24"/>
          <w:lang w:eastAsia="ar-SA"/>
        </w:rPr>
        <w:t xml:space="preserve"> urgent environmental and societal matters</w:t>
      </w:r>
      <w:r w:rsidR="00E3192A">
        <w:rPr>
          <w:rFonts w:eastAsiaTheme="minorHAnsi"/>
          <w:sz w:val="24"/>
          <w:szCs w:val="24"/>
          <w:lang w:eastAsia="ar-SA"/>
        </w:rPr>
        <w:t xml:space="preserve"> in an achievable way</w:t>
      </w:r>
      <w:r>
        <w:rPr>
          <w:rFonts w:eastAsiaTheme="minorHAnsi"/>
          <w:sz w:val="24"/>
          <w:szCs w:val="24"/>
          <w:lang w:eastAsia="ar-SA"/>
        </w:rPr>
        <w:t xml:space="preserve">.  </w:t>
      </w:r>
    </w:p>
    <w:p w14:paraId="197201E0" w14:textId="320E45B8" w:rsidR="00604C59" w:rsidRPr="00DF3A79" w:rsidRDefault="00604C59" w:rsidP="00046928">
      <w:pPr>
        <w:pStyle w:val="Otherunnumberedheadings"/>
        <w:spacing w:before="280" w:beforeAutospacing="0" w:after="280" w:afterAutospacing="0"/>
        <w:rPr>
          <w:rFonts w:ascii="Times New Roman" w:hAnsi="Times New Roman"/>
          <w:sz w:val="24"/>
          <w:szCs w:val="24"/>
        </w:rPr>
      </w:pPr>
      <w:r w:rsidRPr="00DF3A79">
        <w:rPr>
          <w:rFonts w:ascii="Times New Roman" w:hAnsi="Times New Roman"/>
          <w:sz w:val="24"/>
          <w:szCs w:val="24"/>
        </w:rPr>
        <w:t>References</w:t>
      </w:r>
    </w:p>
    <w:p w14:paraId="5D5A9C62" w14:textId="77777777" w:rsidR="0091220F" w:rsidRDefault="0091220F" w:rsidP="0091220F">
      <w:pPr>
        <w:pStyle w:val="Referencelist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INTERNATIONAL PANEL ON CLIMATE CHANGE (MASSON-DELMOTTE, V ET AL), </w:t>
      </w:r>
    </w:p>
    <w:p w14:paraId="1113CA80" w14:textId="2A51A63D" w:rsidR="0091220F" w:rsidRDefault="0091220F" w:rsidP="0091220F">
      <w:pPr>
        <w:pStyle w:val="Referencelist"/>
        <w:numPr>
          <w:ilvl w:val="0"/>
          <w:numId w:val="0"/>
        </w:numPr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63492C">
        <w:rPr>
          <w:sz w:val="22"/>
          <w:szCs w:val="22"/>
        </w:rPr>
        <w:t>“</w:t>
      </w:r>
      <w:r w:rsidR="005A2312">
        <w:rPr>
          <w:sz w:val="22"/>
          <w:szCs w:val="22"/>
        </w:rPr>
        <w:t>Global Warning of 1.</w:t>
      </w:r>
      <w:r>
        <w:rPr>
          <w:sz w:val="22"/>
          <w:szCs w:val="22"/>
        </w:rPr>
        <w:t xml:space="preserve">5 </w:t>
      </w:r>
      <w:r w:rsidR="00446C63">
        <w:rPr>
          <w:sz w:val="22"/>
          <w:szCs w:val="22"/>
        </w:rPr>
        <w:t>º</w:t>
      </w:r>
      <w:r>
        <w:rPr>
          <w:sz w:val="22"/>
          <w:szCs w:val="22"/>
        </w:rPr>
        <w:t>C.</w:t>
      </w:r>
      <w:proofErr w:type="gramEnd"/>
      <w:r>
        <w:rPr>
          <w:sz w:val="22"/>
          <w:szCs w:val="22"/>
        </w:rPr>
        <w:t xml:space="preserve"> An IPCC Special Report on the impacts of global warning of 1.5 </w:t>
      </w:r>
      <w:r w:rsidR="00446C63">
        <w:rPr>
          <w:sz w:val="22"/>
          <w:szCs w:val="22"/>
        </w:rPr>
        <w:t>º</w:t>
      </w:r>
      <w:r>
        <w:rPr>
          <w:sz w:val="22"/>
          <w:szCs w:val="22"/>
        </w:rPr>
        <w:t xml:space="preserve">C </w:t>
      </w:r>
    </w:p>
    <w:p w14:paraId="2CF59689" w14:textId="4FA2C42B" w:rsidR="0091220F" w:rsidRDefault="0091220F" w:rsidP="0091220F">
      <w:pPr>
        <w:pStyle w:val="Referencelist"/>
        <w:numPr>
          <w:ilvl w:val="0"/>
          <w:numId w:val="0"/>
        </w:numPr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46C6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above</w:t>
      </w:r>
      <w:proofErr w:type="gramEnd"/>
      <w:r>
        <w:rPr>
          <w:sz w:val="22"/>
          <w:szCs w:val="22"/>
        </w:rPr>
        <w:t xml:space="preserve"> pre-industrial levels and related global greenhouse gas emission pathways, in the context </w:t>
      </w:r>
    </w:p>
    <w:p w14:paraId="4B0F4F18" w14:textId="324C88AD" w:rsidR="0091220F" w:rsidRDefault="0091220F" w:rsidP="0091220F">
      <w:pPr>
        <w:pStyle w:val="Referencelist"/>
        <w:numPr>
          <w:ilvl w:val="0"/>
          <w:numId w:val="0"/>
        </w:numPr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46C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streghtening</w:t>
      </w:r>
      <w:proofErr w:type="spellEnd"/>
      <w:r>
        <w:rPr>
          <w:sz w:val="22"/>
          <w:szCs w:val="22"/>
        </w:rPr>
        <w:t xml:space="preserve"> the global response to the </w:t>
      </w:r>
      <w:proofErr w:type="spellStart"/>
      <w:r>
        <w:rPr>
          <w:sz w:val="22"/>
          <w:szCs w:val="22"/>
        </w:rPr>
        <w:t>treath</w:t>
      </w:r>
      <w:proofErr w:type="spellEnd"/>
      <w:r>
        <w:rPr>
          <w:sz w:val="22"/>
          <w:szCs w:val="22"/>
        </w:rPr>
        <w:t xml:space="preserve"> of climate change, sustainable development,</w:t>
      </w:r>
    </w:p>
    <w:p w14:paraId="45BEA11A" w14:textId="63A00C72" w:rsidR="00604C59" w:rsidRPr="0091220F" w:rsidRDefault="0091220F" w:rsidP="0091220F">
      <w:pPr>
        <w:pStyle w:val="Referencelist"/>
        <w:numPr>
          <w:ilvl w:val="0"/>
          <w:numId w:val="0"/>
        </w:numPr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46C6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efforts to eradicate poverty</w:t>
      </w:r>
      <w:r w:rsidR="0063492C">
        <w:rPr>
          <w:sz w:val="22"/>
          <w:szCs w:val="22"/>
        </w:rPr>
        <w:t xml:space="preserve">”. </w:t>
      </w:r>
      <w:proofErr w:type="gramStart"/>
      <w:r w:rsidR="0063492C">
        <w:rPr>
          <w:sz w:val="22"/>
          <w:szCs w:val="22"/>
        </w:rPr>
        <w:t>IPCC</w:t>
      </w:r>
      <w:r>
        <w:rPr>
          <w:sz w:val="22"/>
          <w:szCs w:val="22"/>
        </w:rPr>
        <w:t xml:space="preserve"> (2018)</w:t>
      </w:r>
      <w:r w:rsidR="00604C59" w:rsidRPr="0091220F">
        <w:rPr>
          <w:sz w:val="22"/>
          <w:szCs w:val="22"/>
        </w:rPr>
        <w:t>.</w:t>
      </w:r>
      <w:proofErr w:type="gramEnd"/>
    </w:p>
    <w:p w14:paraId="0AE57023" w14:textId="26DF8938" w:rsidR="00604C59" w:rsidRPr="00434009" w:rsidRDefault="00446C63" w:rsidP="00434009">
      <w:pPr>
        <w:pStyle w:val="Referencelist"/>
        <w:ind w:left="567" w:hanging="567"/>
        <w:jc w:val="left"/>
        <w:rPr>
          <w:sz w:val="22"/>
          <w:szCs w:val="22"/>
        </w:rPr>
      </w:pPr>
      <w:r>
        <w:rPr>
          <w:sz w:val="22"/>
          <w:szCs w:val="22"/>
        </w:rPr>
        <w:t>MORALES, E., “</w:t>
      </w:r>
      <w:r w:rsidRPr="00446C63">
        <w:rPr>
          <w:sz w:val="22"/>
          <w:szCs w:val="22"/>
        </w:rPr>
        <w:t>Nuclear shares in power and</w:t>
      </w:r>
      <w:r w:rsidR="005A2312">
        <w:rPr>
          <w:sz w:val="22"/>
          <w:szCs w:val="22"/>
        </w:rPr>
        <w:t xml:space="preserve"> final energy consistent with 1.</w:t>
      </w:r>
      <w:r w:rsidRPr="00446C63">
        <w:rPr>
          <w:sz w:val="22"/>
          <w:szCs w:val="22"/>
        </w:rPr>
        <w:t xml:space="preserve">5 ºC scenarios – Considerations </w:t>
      </w:r>
      <w:proofErr w:type="gramStart"/>
      <w:r w:rsidRPr="00446C63">
        <w:rPr>
          <w:sz w:val="22"/>
          <w:szCs w:val="22"/>
        </w:rPr>
        <w:t>for  National</w:t>
      </w:r>
      <w:proofErr w:type="gramEnd"/>
      <w:r w:rsidRPr="00446C63">
        <w:rPr>
          <w:sz w:val="22"/>
          <w:szCs w:val="22"/>
        </w:rPr>
        <w:t xml:space="preserve"> Climate Strategies</w:t>
      </w:r>
      <w:r>
        <w:rPr>
          <w:sz w:val="22"/>
          <w:szCs w:val="22"/>
        </w:rPr>
        <w:t>”, International Confer</w:t>
      </w:r>
      <w:r w:rsidR="0063492C">
        <w:rPr>
          <w:sz w:val="22"/>
          <w:szCs w:val="22"/>
        </w:rPr>
        <w:t>ence on Climate Change and the R</w:t>
      </w:r>
      <w:r>
        <w:rPr>
          <w:sz w:val="22"/>
          <w:szCs w:val="22"/>
        </w:rPr>
        <w:t>ole of Nuclear Power</w:t>
      </w:r>
      <w:r w:rsidR="0063492C">
        <w:rPr>
          <w:sz w:val="22"/>
          <w:szCs w:val="22"/>
        </w:rPr>
        <w:t>.  IAEA, Vienna (2019).</w:t>
      </w:r>
    </w:p>
    <w:p w14:paraId="1F0B92D5" w14:textId="4E327BD3" w:rsidR="00604C59" w:rsidRDefault="000D6087" w:rsidP="00434009">
      <w:pPr>
        <w:pStyle w:val="Referencelist"/>
        <w:ind w:left="567" w:hanging="567"/>
        <w:jc w:val="left"/>
        <w:rPr>
          <w:sz w:val="22"/>
          <w:szCs w:val="22"/>
        </w:rPr>
      </w:pPr>
      <w:r>
        <w:rPr>
          <w:sz w:val="22"/>
          <w:szCs w:val="22"/>
        </w:rPr>
        <w:t>INTERNATIONAL ATOMI</w:t>
      </w:r>
      <w:r w:rsidR="00E17090">
        <w:rPr>
          <w:sz w:val="22"/>
          <w:szCs w:val="22"/>
        </w:rPr>
        <w:t xml:space="preserve">C ENERGY AGENCY, Fusion </w:t>
      </w:r>
      <w:r>
        <w:rPr>
          <w:sz w:val="22"/>
          <w:szCs w:val="22"/>
        </w:rPr>
        <w:t xml:space="preserve">Brochure </w:t>
      </w:r>
      <w:r w:rsidR="00E17090">
        <w:rPr>
          <w:sz w:val="22"/>
          <w:szCs w:val="22"/>
        </w:rPr>
        <w:t xml:space="preserve">02 </w:t>
      </w:r>
      <w:r>
        <w:rPr>
          <w:sz w:val="22"/>
          <w:szCs w:val="22"/>
        </w:rPr>
        <w:t>(</w:t>
      </w:r>
      <w:r w:rsidR="00714C24">
        <w:rPr>
          <w:sz w:val="22"/>
          <w:szCs w:val="22"/>
        </w:rPr>
        <w:t>2015</w:t>
      </w:r>
      <w:r>
        <w:rPr>
          <w:sz w:val="22"/>
          <w:szCs w:val="22"/>
        </w:rPr>
        <w:t>)</w:t>
      </w:r>
      <w:r w:rsidR="00604C59" w:rsidRPr="00DF3A79">
        <w:rPr>
          <w:sz w:val="22"/>
          <w:szCs w:val="22"/>
        </w:rPr>
        <w:t>.</w:t>
      </w:r>
    </w:p>
    <w:p w14:paraId="296496F5" w14:textId="50A7FE43" w:rsidR="00D91B7A" w:rsidRPr="00D91B7A" w:rsidRDefault="00D91B7A" w:rsidP="00D91B7A">
      <w:pPr>
        <w:pStyle w:val="Referencelist"/>
        <w:ind w:left="567" w:hanging="567"/>
        <w:jc w:val="left"/>
        <w:rPr>
          <w:rFonts w:eastAsiaTheme="minorHAnsi"/>
          <w:sz w:val="22"/>
          <w:szCs w:val="20"/>
          <w:lang w:eastAsia="ar-SA"/>
        </w:rPr>
      </w:pPr>
      <w:r>
        <w:rPr>
          <w:sz w:val="22"/>
          <w:szCs w:val="22"/>
        </w:rPr>
        <w:t>INTERNATIONAL ATOMIC ENERGY AGENCY, Benefits and Challenges of Small Fast Modular Reactors</w:t>
      </w:r>
      <w:proofErr w:type="gramStart"/>
      <w:r>
        <w:rPr>
          <w:sz w:val="22"/>
          <w:szCs w:val="22"/>
        </w:rPr>
        <w:t xml:space="preserve">, </w:t>
      </w:r>
      <w:r>
        <w:rPr>
          <w:rFonts w:eastAsiaTheme="minorHAnsi"/>
          <w:sz w:val="22"/>
          <w:szCs w:val="20"/>
          <w:lang w:eastAsia="ar-SA"/>
        </w:rPr>
        <w:t xml:space="preserve"> IAEA</w:t>
      </w:r>
      <w:proofErr w:type="gramEnd"/>
      <w:r>
        <w:rPr>
          <w:rFonts w:eastAsiaTheme="minorHAnsi"/>
          <w:sz w:val="22"/>
          <w:szCs w:val="20"/>
          <w:lang w:eastAsia="ar-SA"/>
        </w:rPr>
        <w:t>-TECDOC-1972, (2021</w:t>
      </w:r>
      <w:r w:rsidRPr="00434009">
        <w:rPr>
          <w:rFonts w:eastAsiaTheme="minorHAnsi"/>
          <w:sz w:val="22"/>
          <w:szCs w:val="20"/>
          <w:lang w:eastAsia="ar-SA"/>
        </w:rPr>
        <w:t>).</w:t>
      </w:r>
    </w:p>
    <w:p w14:paraId="1A0CBDFD" w14:textId="5C98AA5A" w:rsidR="00604C59" w:rsidRDefault="005A2312" w:rsidP="00434009">
      <w:pPr>
        <w:pStyle w:val="Referencelist"/>
        <w:ind w:left="567" w:hanging="567"/>
        <w:jc w:val="left"/>
        <w:rPr>
          <w:sz w:val="22"/>
          <w:szCs w:val="22"/>
        </w:rPr>
      </w:pPr>
      <w:r>
        <w:rPr>
          <w:sz w:val="22"/>
          <w:szCs w:val="22"/>
        </w:rPr>
        <w:t>INTERNATIONAL ATOMIC ENERGY AGENCY – NUCLEAR ENERGY AGENCY (OECD), “Uranium 2018, Resources, Production and Demand”, Joint Report, OECD, Boulogne-Billancourt, 2018</w:t>
      </w:r>
      <w:r w:rsidR="00604C59" w:rsidRPr="00DF3A79">
        <w:rPr>
          <w:sz w:val="22"/>
          <w:szCs w:val="22"/>
        </w:rPr>
        <w:t>.</w:t>
      </w:r>
    </w:p>
    <w:p w14:paraId="52100E5E" w14:textId="21874CF3" w:rsidR="005A2312" w:rsidRPr="00DF3A79" w:rsidRDefault="005A2312" w:rsidP="00434009">
      <w:pPr>
        <w:pStyle w:val="Referencelist"/>
        <w:ind w:left="567" w:hanging="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MORALES, E., “Un Uruguay Nuclear? </w:t>
      </w:r>
      <w:proofErr w:type="spellStart"/>
      <w:r>
        <w:rPr>
          <w:sz w:val="22"/>
          <w:szCs w:val="22"/>
        </w:rPr>
        <w:t>Respuestas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sobre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Seguridad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Regulación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Estatal</w:t>
      </w:r>
      <w:proofErr w:type="spellEnd"/>
      <w:r>
        <w:rPr>
          <w:sz w:val="22"/>
          <w:szCs w:val="22"/>
        </w:rPr>
        <w:t xml:space="preserve">”, </w:t>
      </w:r>
      <w:r w:rsidR="00E4332C">
        <w:rPr>
          <w:sz w:val="22"/>
          <w:szCs w:val="22"/>
        </w:rPr>
        <w:t xml:space="preserve">ISBN: 978-3’659-00765-1, Editorial </w:t>
      </w:r>
      <w:proofErr w:type="spellStart"/>
      <w:r w:rsidR="00E4332C">
        <w:rPr>
          <w:sz w:val="22"/>
          <w:szCs w:val="22"/>
        </w:rPr>
        <w:t>Académica</w:t>
      </w:r>
      <w:proofErr w:type="spellEnd"/>
      <w:r w:rsidR="00E4332C">
        <w:rPr>
          <w:sz w:val="22"/>
          <w:szCs w:val="22"/>
        </w:rPr>
        <w:t xml:space="preserve"> Española, </w:t>
      </w:r>
      <w:proofErr w:type="spellStart"/>
      <w:r w:rsidR="00E4332C">
        <w:rPr>
          <w:sz w:val="22"/>
          <w:szCs w:val="22"/>
        </w:rPr>
        <w:t>Saarbrücken</w:t>
      </w:r>
      <w:proofErr w:type="spellEnd"/>
      <w:r w:rsidR="00E4332C">
        <w:rPr>
          <w:sz w:val="22"/>
          <w:szCs w:val="22"/>
        </w:rPr>
        <w:t xml:space="preserve"> (2012)</w:t>
      </w:r>
    </w:p>
    <w:p w14:paraId="254B4264" w14:textId="77777777" w:rsidR="00434009" w:rsidRPr="00DF3A79" w:rsidRDefault="00434009" w:rsidP="00434009">
      <w:pPr>
        <w:pStyle w:val="Referencelist"/>
        <w:numPr>
          <w:ilvl w:val="0"/>
          <w:numId w:val="0"/>
        </w:numPr>
        <w:ind w:left="720" w:hanging="360"/>
        <w:rPr>
          <w:rFonts w:eastAsiaTheme="minorHAnsi"/>
          <w:sz w:val="22"/>
          <w:szCs w:val="20"/>
          <w:lang w:eastAsia="ar-SA"/>
        </w:rPr>
      </w:pPr>
    </w:p>
    <w:sectPr w:rsidR="00434009" w:rsidRPr="00DF3A79" w:rsidSect="0026525A"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E23DF" w14:textId="77777777" w:rsidR="00490999" w:rsidRDefault="00490999">
      <w:r>
        <w:separator/>
      </w:r>
    </w:p>
  </w:endnote>
  <w:endnote w:type="continuationSeparator" w:id="0">
    <w:p w14:paraId="3AB06BAA" w14:textId="77777777" w:rsidR="00490999" w:rsidRDefault="0049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ACF06" w14:textId="77777777"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200521DA" w14:textId="77777777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0B193" w14:textId="6E1AF563" w:rsidR="00E20E70" w:rsidRPr="00C95D35" w:rsidRDefault="00E20E70" w:rsidP="00C95D35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20E70" w14:paraId="55EDCE14" w14:textId="77777777">
      <w:trPr>
        <w:cantSplit/>
      </w:trPr>
      <w:tc>
        <w:tcPr>
          <w:tcW w:w="4644" w:type="dxa"/>
        </w:tcPr>
        <w:p w14:paraId="4046DEF9" w14:textId="77777777" w:rsidR="00E20E70" w:rsidRDefault="00E20E70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79E4DC95" w14:textId="77777777" w:rsidR="00E20E70" w:rsidRDefault="00E20E70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2" w:name="DOC_bkmClassification2"/>
      <w:tc>
        <w:tcPr>
          <w:tcW w:w="5670" w:type="dxa"/>
          <w:tcMar>
            <w:right w:w="249" w:type="dxa"/>
          </w:tcMar>
        </w:tcPr>
        <w:p w14:paraId="5BEF3012" w14:textId="77777777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2"/>
        <w:p w14:paraId="02140AC5" w14:textId="77777777" w:rsidR="00E20E70" w:rsidRDefault="00E20E70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3" w:name="DOC_bkmFileName"/>
  <w:p w14:paraId="1F07BD0C" w14:textId="77777777" w:rsidR="00E20E70" w:rsidRDefault="00E20E70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EC10FC">
      <w:rPr>
        <w:noProof/>
        <w:sz w:val="16"/>
      </w:rPr>
      <w:t>Example paper.docx</w:t>
    </w:r>
    <w:r>
      <w:rPr>
        <w:sz w:val="16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3A357" w14:textId="77777777" w:rsidR="00490999" w:rsidRDefault="00490999">
      <w:r>
        <w:t>___________________________________________________________________________</w:t>
      </w:r>
    </w:p>
  </w:footnote>
  <w:footnote w:type="continuationSeparator" w:id="0">
    <w:p w14:paraId="731A984F" w14:textId="77777777" w:rsidR="00490999" w:rsidRDefault="00490999">
      <w:r>
        <w:t>___________________________________________________________________________</w:t>
      </w:r>
    </w:p>
  </w:footnote>
  <w:footnote w:type="continuationNotice" w:id="1">
    <w:p w14:paraId="094CB11F" w14:textId="77777777" w:rsidR="00490999" w:rsidRDefault="004909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20E70" w14:paraId="1492AB90" w14:textId="77777777">
      <w:trPr>
        <w:cantSplit/>
        <w:trHeight w:val="716"/>
      </w:trPr>
      <w:tc>
        <w:tcPr>
          <w:tcW w:w="979" w:type="dxa"/>
          <w:vMerge w:val="restart"/>
        </w:tcPr>
        <w:p w14:paraId="3504C8F1" w14:textId="77777777" w:rsidR="00E20E70" w:rsidRDefault="00E20E7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139D94AE" w14:textId="77777777" w:rsidR="00E20E70" w:rsidRDefault="00E20E70">
          <w:pPr>
            <w:spacing w:after="20"/>
          </w:pPr>
        </w:p>
      </w:tc>
      <w:bookmarkStart w:id="1" w:name="DOC_bkmClassification1"/>
      <w:tc>
        <w:tcPr>
          <w:tcW w:w="5702" w:type="dxa"/>
          <w:vMerge w:val="restart"/>
          <w:tcMar>
            <w:right w:w="193" w:type="dxa"/>
          </w:tcMar>
        </w:tcPr>
        <w:p w14:paraId="1F5D837F" w14:textId="77777777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14:paraId="618A6006" w14:textId="77777777" w:rsidR="00E20E70" w:rsidRDefault="00E20E70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E20E70" w14:paraId="624C849A" w14:textId="77777777">
      <w:trPr>
        <w:cantSplit/>
        <w:trHeight w:val="167"/>
      </w:trPr>
      <w:tc>
        <w:tcPr>
          <w:tcW w:w="979" w:type="dxa"/>
          <w:vMerge/>
        </w:tcPr>
        <w:p w14:paraId="59CC5D92" w14:textId="77777777" w:rsidR="00E20E70" w:rsidRDefault="00E20E70">
          <w:pPr>
            <w:spacing w:before="57"/>
          </w:pPr>
        </w:p>
      </w:tc>
      <w:tc>
        <w:tcPr>
          <w:tcW w:w="3638" w:type="dxa"/>
          <w:vAlign w:val="bottom"/>
        </w:tcPr>
        <w:p w14:paraId="102E94F7" w14:textId="77777777" w:rsidR="00E20E70" w:rsidRDefault="00E20E70">
          <w:pPr>
            <w:pStyle w:val="Ttulo9"/>
            <w:spacing w:before="0" w:after="10"/>
          </w:pPr>
        </w:p>
      </w:tc>
      <w:tc>
        <w:tcPr>
          <w:tcW w:w="5702" w:type="dxa"/>
          <w:vMerge/>
          <w:vAlign w:val="bottom"/>
        </w:tcPr>
        <w:p w14:paraId="661582EC" w14:textId="77777777" w:rsidR="00E20E70" w:rsidRDefault="00E20E70">
          <w:pPr>
            <w:pStyle w:val="Ttulo9"/>
            <w:spacing w:before="0" w:after="10"/>
          </w:pPr>
        </w:p>
      </w:tc>
    </w:tr>
  </w:tbl>
  <w:p w14:paraId="2C88053A" w14:textId="77777777" w:rsidR="00E20E70" w:rsidRDefault="00E20E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B6AD5A"/>
    <w:lvl w:ilvl="0">
      <w:numFmt w:val="decimal"/>
      <w:lvlText w:val="*"/>
      <w:lvlJc w:val="left"/>
    </w:lvl>
  </w:abstractNum>
  <w:abstractNum w:abstractNumId="1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3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Ttulo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Ttulo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2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1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Ttulo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Ttulo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>
    <w:abstractNumId w:val="11"/>
  </w:num>
  <w:num w:numId="12">
    <w:abstractNumId w:val="11"/>
  </w:num>
  <w:num w:numId="13">
    <w:abstractNumId w:val="11"/>
  </w:num>
  <w:num w:numId="14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Ttulo3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Ttulo4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1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</w:num>
  <w:num w:numId="21">
    <w:abstractNumId w:val="11"/>
  </w:num>
  <w:num w:numId="22">
    <w:abstractNumId w:val="4"/>
  </w:num>
  <w:num w:numId="23">
    <w:abstractNumId w:val="1"/>
  </w:num>
  <w:num w:numId="24">
    <w:abstractNumId w:val="10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7"/>
  </w:num>
  <w:num w:numId="31">
    <w:abstractNumId w:val="7"/>
  </w:num>
  <w:num w:numId="32">
    <w:abstractNumId w:val="11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UY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02DEF"/>
    <w:rsid w:val="000063E9"/>
    <w:rsid w:val="00011C41"/>
    <w:rsid w:val="00017BAC"/>
    <w:rsid w:val="000229AB"/>
    <w:rsid w:val="0002569A"/>
    <w:rsid w:val="000300A7"/>
    <w:rsid w:val="00031E25"/>
    <w:rsid w:val="0003457B"/>
    <w:rsid w:val="00037321"/>
    <w:rsid w:val="00045818"/>
    <w:rsid w:val="00046928"/>
    <w:rsid w:val="000552F9"/>
    <w:rsid w:val="00071189"/>
    <w:rsid w:val="00073700"/>
    <w:rsid w:val="00077D7F"/>
    <w:rsid w:val="00091FF0"/>
    <w:rsid w:val="000A0299"/>
    <w:rsid w:val="000A7861"/>
    <w:rsid w:val="000B024B"/>
    <w:rsid w:val="000B75FF"/>
    <w:rsid w:val="000C6874"/>
    <w:rsid w:val="000D6087"/>
    <w:rsid w:val="000E7875"/>
    <w:rsid w:val="000F45EA"/>
    <w:rsid w:val="000F7D3C"/>
    <w:rsid w:val="000F7E94"/>
    <w:rsid w:val="00107F61"/>
    <w:rsid w:val="001119D6"/>
    <w:rsid w:val="00113329"/>
    <w:rsid w:val="00115147"/>
    <w:rsid w:val="0012117D"/>
    <w:rsid w:val="00126389"/>
    <w:rsid w:val="001308F2"/>
    <w:rsid w:val="001313E8"/>
    <w:rsid w:val="001459C3"/>
    <w:rsid w:val="0019014D"/>
    <w:rsid w:val="00196E9E"/>
    <w:rsid w:val="001B3ECE"/>
    <w:rsid w:val="001B4E87"/>
    <w:rsid w:val="001C58F5"/>
    <w:rsid w:val="001D22CB"/>
    <w:rsid w:val="001D5B1D"/>
    <w:rsid w:val="001D5CEE"/>
    <w:rsid w:val="001F49FB"/>
    <w:rsid w:val="002071D9"/>
    <w:rsid w:val="00222270"/>
    <w:rsid w:val="00227FE7"/>
    <w:rsid w:val="00235900"/>
    <w:rsid w:val="00235DE6"/>
    <w:rsid w:val="002431C2"/>
    <w:rsid w:val="00256822"/>
    <w:rsid w:val="0026525A"/>
    <w:rsid w:val="00265CBF"/>
    <w:rsid w:val="00274790"/>
    <w:rsid w:val="00285755"/>
    <w:rsid w:val="002A1F9C"/>
    <w:rsid w:val="002B29C2"/>
    <w:rsid w:val="002C2948"/>
    <w:rsid w:val="002C4208"/>
    <w:rsid w:val="002D2083"/>
    <w:rsid w:val="002D70F0"/>
    <w:rsid w:val="002E0203"/>
    <w:rsid w:val="002E5D31"/>
    <w:rsid w:val="002F3D87"/>
    <w:rsid w:val="00302131"/>
    <w:rsid w:val="00306628"/>
    <w:rsid w:val="003071FC"/>
    <w:rsid w:val="003169E5"/>
    <w:rsid w:val="0032732F"/>
    <w:rsid w:val="00337542"/>
    <w:rsid w:val="00345F68"/>
    <w:rsid w:val="0035035B"/>
    <w:rsid w:val="00352DE1"/>
    <w:rsid w:val="003658B9"/>
    <w:rsid w:val="003728E6"/>
    <w:rsid w:val="003760DD"/>
    <w:rsid w:val="00381991"/>
    <w:rsid w:val="00382782"/>
    <w:rsid w:val="003A2279"/>
    <w:rsid w:val="003B4753"/>
    <w:rsid w:val="003B5E0E"/>
    <w:rsid w:val="003D255A"/>
    <w:rsid w:val="00403E7C"/>
    <w:rsid w:val="00416949"/>
    <w:rsid w:val="00434009"/>
    <w:rsid w:val="004370D8"/>
    <w:rsid w:val="00446113"/>
    <w:rsid w:val="00446C63"/>
    <w:rsid w:val="0046288E"/>
    <w:rsid w:val="0047261F"/>
    <w:rsid w:val="00472C43"/>
    <w:rsid w:val="00477B19"/>
    <w:rsid w:val="00481920"/>
    <w:rsid w:val="00490999"/>
    <w:rsid w:val="004910D8"/>
    <w:rsid w:val="004B07DA"/>
    <w:rsid w:val="004C7930"/>
    <w:rsid w:val="004D66F7"/>
    <w:rsid w:val="00516714"/>
    <w:rsid w:val="00517F23"/>
    <w:rsid w:val="00526806"/>
    <w:rsid w:val="00537496"/>
    <w:rsid w:val="00540598"/>
    <w:rsid w:val="00544ED3"/>
    <w:rsid w:val="00547F26"/>
    <w:rsid w:val="00552E53"/>
    <w:rsid w:val="0057131A"/>
    <w:rsid w:val="00571DAF"/>
    <w:rsid w:val="0058477B"/>
    <w:rsid w:val="0058654F"/>
    <w:rsid w:val="00596ACA"/>
    <w:rsid w:val="005A2312"/>
    <w:rsid w:val="005B7E6B"/>
    <w:rsid w:val="005C5D2D"/>
    <w:rsid w:val="005D0D30"/>
    <w:rsid w:val="005E39BC"/>
    <w:rsid w:val="005F00A0"/>
    <w:rsid w:val="005F4AF8"/>
    <w:rsid w:val="005F6F43"/>
    <w:rsid w:val="006000B2"/>
    <w:rsid w:val="00604C59"/>
    <w:rsid w:val="00612CB0"/>
    <w:rsid w:val="006164B7"/>
    <w:rsid w:val="0063492C"/>
    <w:rsid w:val="00642BE7"/>
    <w:rsid w:val="00647F33"/>
    <w:rsid w:val="00654B09"/>
    <w:rsid w:val="00662532"/>
    <w:rsid w:val="0067380E"/>
    <w:rsid w:val="00675240"/>
    <w:rsid w:val="00683F1E"/>
    <w:rsid w:val="00684298"/>
    <w:rsid w:val="006B2274"/>
    <w:rsid w:val="006B5FA0"/>
    <w:rsid w:val="006C7CBA"/>
    <w:rsid w:val="00701CD9"/>
    <w:rsid w:val="0071136D"/>
    <w:rsid w:val="007113E8"/>
    <w:rsid w:val="00714C24"/>
    <w:rsid w:val="00714C67"/>
    <w:rsid w:val="00717C6F"/>
    <w:rsid w:val="00722A78"/>
    <w:rsid w:val="00732195"/>
    <w:rsid w:val="007344FB"/>
    <w:rsid w:val="007445DA"/>
    <w:rsid w:val="00752871"/>
    <w:rsid w:val="00752E31"/>
    <w:rsid w:val="00765630"/>
    <w:rsid w:val="0077532F"/>
    <w:rsid w:val="00790E9A"/>
    <w:rsid w:val="00794C41"/>
    <w:rsid w:val="007A237F"/>
    <w:rsid w:val="007A467A"/>
    <w:rsid w:val="007B4FD1"/>
    <w:rsid w:val="007B57CF"/>
    <w:rsid w:val="007C127C"/>
    <w:rsid w:val="007C59B4"/>
    <w:rsid w:val="007D0519"/>
    <w:rsid w:val="007E4CBE"/>
    <w:rsid w:val="007E4FB3"/>
    <w:rsid w:val="00800B84"/>
    <w:rsid w:val="00802381"/>
    <w:rsid w:val="00814137"/>
    <w:rsid w:val="00815F3A"/>
    <w:rsid w:val="00817995"/>
    <w:rsid w:val="00823FB7"/>
    <w:rsid w:val="008270D0"/>
    <w:rsid w:val="00827B38"/>
    <w:rsid w:val="00837299"/>
    <w:rsid w:val="0084648D"/>
    <w:rsid w:val="0085046A"/>
    <w:rsid w:val="008601BE"/>
    <w:rsid w:val="00863CDF"/>
    <w:rsid w:val="00870E50"/>
    <w:rsid w:val="00873A33"/>
    <w:rsid w:val="00874B33"/>
    <w:rsid w:val="00883848"/>
    <w:rsid w:val="00893796"/>
    <w:rsid w:val="00897ED5"/>
    <w:rsid w:val="008B238E"/>
    <w:rsid w:val="008B6BB9"/>
    <w:rsid w:val="008C3C89"/>
    <w:rsid w:val="008E410A"/>
    <w:rsid w:val="008F4C98"/>
    <w:rsid w:val="008F7F4C"/>
    <w:rsid w:val="00906706"/>
    <w:rsid w:val="00911024"/>
    <w:rsid w:val="00911543"/>
    <w:rsid w:val="0091220F"/>
    <w:rsid w:val="00927380"/>
    <w:rsid w:val="009519C9"/>
    <w:rsid w:val="00952205"/>
    <w:rsid w:val="0096677C"/>
    <w:rsid w:val="00992D22"/>
    <w:rsid w:val="009A0058"/>
    <w:rsid w:val="009D0B86"/>
    <w:rsid w:val="009D21F0"/>
    <w:rsid w:val="009D5CCC"/>
    <w:rsid w:val="009E0D5B"/>
    <w:rsid w:val="009E1558"/>
    <w:rsid w:val="009F6B1E"/>
    <w:rsid w:val="00A067DC"/>
    <w:rsid w:val="00A258D9"/>
    <w:rsid w:val="00A42898"/>
    <w:rsid w:val="00A61978"/>
    <w:rsid w:val="00A629E3"/>
    <w:rsid w:val="00A65CCE"/>
    <w:rsid w:val="00A67CE0"/>
    <w:rsid w:val="00A734E8"/>
    <w:rsid w:val="00A73CF2"/>
    <w:rsid w:val="00A873EE"/>
    <w:rsid w:val="00A964E3"/>
    <w:rsid w:val="00AA44A0"/>
    <w:rsid w:val="00AB6ACE"/>
    <w:rsid w:val="00AC5A3A"/>
    <w:rsid w:val="00AC789C"/>
    <w:rsid w:val="00AD6BB4"/>
    <w:rsid w:val="00AE0337"/>
    <w:rsid w:val="00AE0AE2"/>
    <w:rsid w:val="00AE6705"/>
    <w:rsid w:val="00AF1B54"/>
    <w:rsid w:val="00AF310F"/>
    <w:rsid w:val="00B016FD"/>
    <w:rsid w:val="00B1238A"/>
    <w:rsid w:val="00B1443F"/>
    <w:rsid w:val="00B22159"/>
    <w:rsid w:val="00B4042A"/>
    <w:rsid w:val="00B432D7"/>
    <w:rsid w:val="00B50EBA"/>
    <w:rsid w:val="00B52E4F"/>
    <w:rsid w:val="00B54CDF"/>
    <w:rsid w:val="00B77BA2"/>
    <w:rsid w:val="00B808D8"/>
    <w:rsid w:val="00B82FA5"/>
    <w:rsid w:val="00B90025"/>
    <w:rsid w:val="00B9083B"/>
    <w:rsid w:val="00B9359F"/>
    <w:rsid w:val="00BA571C"/>
    <w:rsid w:val="00BC03F8"/>
    <w:rsid w:val="00BC0D33"/>
    <w:rsid w:val="00BD1400"/>
    <w:rsid w:val="00BD196C"/>
    <w:rsid w:val="00BD605C"/>
    <w:rsid w:val="00BE2A76"/>
    <w:rsid w:val="00C10463"/>
    <w:rsid w:val="00C520EE"/>
    <w:rsid w:val="00C54F33"/>
    <w:rsid w:val="00C655B9"/>
    <w:rsid w:val="00C65D34"/>
    <w:rsid w:val="00C65E60"/>
    <w:rsid w:val="00C80532"/>
    <w:rsid w:val="00C80A69"/>
    <w:rsid w:val="00C95D35"/>
    <w:rsid w:val="00CA2EC6"/>
    <w:rsid w:val="00CB0288"/>
    <w:rsid w:val="00CB1EB7"/>
    <w:rsid w:val="00CC203D"/>
    <w:rsid w:val="00CC2A97"/>
    <w:rsid w:val="00CD23AD"/>
    <w:rsid w:val="00CD7ABF"/>
    <w:rsid w:val="00CE5A52"/>
    <w:rsid w:val="00CF7AF3"/>
    <w:rsid w:val="00D15A2A"/>
    <w:rsid w:val="00D26ADA"/>
    <w:rsid w:val="00D33D36"/>
    <w:rsid w:val="00D35A78"/>
    <w:rsid w:val="00D53F8A"/>
    <w:rsid w:val="00D555A1"/>
    <w:rsid w:val="00D64DC2"/>
    <w:rsid w:val="00D66702"/>
    <w:rsid w:val="00D91B7A"/>
    <w:rsid w:val="00D94F39"/>
    <w:rsid w:val="00DA46CA"/>
    <w:rsid w:val="00DA64A3"/>
    <w:rsid w:val="00DB6B5E"/>
    <w:rsid w:val="00DB7C80"/>
    <w:rsid w:val="00DC128B"/>
    <w:rsid w:val="00DC41BF"/>
    <w:rsid w:val="00DC5AC8"/>
    <w:rsid w:val="00DE5C99"/>
    <w:rsid w:val="00DE7061"/>
    <w:rsid w:val="00DF21EB"/>
    <w:rsid w:val="00DF3A79"/>
    <w:rsid w:val="00E06C71"/>
    <w:rsid w:val="00E17090"/>
    <w:rsid w:val="00E20E70"/>
    <w:rsid w:val="00E25B68"/>
    <w:rsid w:val="00E3192A"/>
    <w:rsid w:val="00E4332C"/>
    <w:rsid w:val="00E50C8F"/>
    <w:rsid w:val="00E52BE8"/>
    <w:rsid w:val="00E84003"/>
    <w:rsid w:val="00E941C6"/>
    <w:rsid w:val="00EA7980"/>
    <w:rsid w:val="00EC10FC"/>
    <w:rsid w:val="00EC40A7"/>
    <w:rsid w:val="00EE0041"/>
    <w:rsid w:val="00EE19D8"/>
    <w:rsid w:val="00EE29B9"/>
    <w:rsid w:val="00EE30B2"/>
    <w:rsid w:val="00EF3DCD"/>
    <w:rsid w:val="00EF5DCA"/>
    <w:rsid w:val="00F004EE"/>
    <w:rsid w:val="00F041CD"/>
    <w:rsid w:val="00F42E23"/>
    <w:rsid w:val="00F45EEE"/>
    <w:rsid w:val="00F475DE"/>
    <w:rsid w:val="00F51E9C"/>
    <w:rsid w:val="00F523CA"/>
    <w:rsid w:val="00F70F80"/>
    <w:rsid w:val="00F74A9D"/>
    <w:rsid w:val="00F81411"/>
    <w:rsid w:val="00F82AA3"/>
    <w:rsid w:val="00F9590C"/>
    <w:rsid w:val="00FA63C6"/>
    <w:rsid w:val="00FC74DC"/>
    <w:rsid w:val="00FD3A64"/>
    <w:rsid w:val="00FD5E4D"/>
    <w:rsid w:val="00FE4D40"/>
    <w:rsid w:val="00FE796F"/>
    <w:rsid w:val="00FF1379"/>
    <w:rsid w:val="00FF386F"/>
    <w:rsid w:val="00FF3EBE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0A9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1" w:defUnhideWhenUsed="1" w:defQFormat="0" w:count="267">
    <w:lsdException w:name="Normal" w:locked="0" w:semiHidden="0" w:unhideWhenUsed="0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uiPriority="4" w:qFormat="1"/>
    <w:lsdException w:name="heading 4" w:locked="0" w:uiPriority="0" w:qFormat="1"/>
    <w:lsdException w:name="heading 5" w:locked="0" w:uiPriority="0"/>
    <w:lsdException w:name="heading 6" w:locked="0" w:uiPriority="0"/>
    <w:lsdException w:name="heading 7" w:locked="0" w:uiPriority="0"/>
    <w:lsdException w:name="heading 8" w:locked="0" w:uiPriority="0"/>
    <w:lsdException w:name="heading 9" w:locked="0" w:uiPriority="0"/>
    <w:lsdException w:name="footnote text" w:locked="0" w:uiPriority="0"/>
    <w:lsdException w:name="header" w:locked="0" w:uiPriority="0"/>
    <w:lsdException w:name="footer" w:locked="0" w:uiPriority="99"/>
    <w:lsdException w:name="caption" w:locked="0" w:uiPriority="0"/>
    <w:lsdException w:name="footnote reference" w:locked="0" w:uiPriority="0"/>
    <w:lsdException w:name="macro" w:semiHidden="0" w:unhideWhenUsed="0"/>
    <w:lsdException w:name="List Bullet" w:locked="0" w:semiHidden="0" w:unhideWhenUsed="0"/>
    <w:lsdException w:name="List Number" w:semiHidden="0" w:unhideWhenUsed="0"/>
    <w:lsdException w:name="Title" w:locked="0" w:semiHidden="0" w:uiPriority="0" w:unhideWhenUsed="0"/>
    <w:lsdException w:name="Default Paragraph Font" w:locked="0" w:uiPriority="0"/>
    <w:lsdException w:name="Body Text" w:locked="0" w:uiPriority="0" w:qFormat="1"/>
    <w:lsdException w:name="Body Text Indent" w:locked="0" w:uiPriority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0" w:semiHidden="0" w:uiPriority="0" w:unhideWhenUsed="0" w:qFormat="1"/>
    <w:lsdException w:name="Strong" w:semiHidden="0" w:unhideWhenUsed="0"/>
    <w:lsdException w:name="Emphasis" w:semiHidden="0" w:unhideWhenUsed="0"/>
    <w:lsdException w:name="HTML Top of Form" w:locked="0" w:uiPriority="0"/>
    <w:lsdException w:name="HTML Bottom of Form" w:locked="0" w:uiPriority="0"/>
    <w:lsdException w:name="HTML Acronym" w:uiPriority="19"/>
    <w:lsdException w:name="HTML Address" w:uiPriority="19"/>
    <w:lsdException w:name="Normal Table" w:locked="0" w:uiPriority="0"/>
    <w:lsdException w:name="No List" w:locked="0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locked="0" w:semiHidden="0" w:uiPriority="0" w:unhideWhenUsed="0"/>
    <w:lsdException w:name="Table Theme" w:uiPriority="0"/>
    <w:lsdException w:name="Placeholder Text" w:uiPriority="9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Ttulo1">
    <w:name w:val="heading 1"/>
    <w:aliases w:val="Paper title"/>
    <w:next w:val="Subttulo"/>
    <w:link w:val="Ttulo1Car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Ttulo2">
    <w:name w:val="heading 2"/>
    <w:aliases w:val="1st level paper heading"/>
    <w:next w:val="Textoindependiente"/>
    <w:link w:val="Ttulo2Car"/>
    <w:qFormat/>
    <w:rsid w:val="00EE0041"/>
    <w:pPr>
      <w:widowControl w:val="0"/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Ttulo3">
    <w:name w:val="heading 3"/>
    <w:aliases w:val="2nd level paper heading"/>
    <w:next w:val="Textoindependiente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eastAsia="en-US"/>
    </w:rPr>
  </w:style>
  <w:style w:type="paragraph" w:styleId="Ttulo4">
    <w:name w:val="heading 4"/>
    <w:aliases w:val="3rd level paper heading"/>
    <w:basedOn w:val="Normal"/>
    <w:next w:val="Textoindependiente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Ttulo5">
    <w:name w:val="heading 5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Ttulo7">
    <w:name w:val="heading 7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Ttulo8">
    <w:name w:val="heading 8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Ttulo9">
    <w:name w:val="heading 9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link w:val="TextoindependienteCar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Sangradetextonormal">
    <w:name w:val="Body Text Indent"/>
    <w:basedOn w:val="Textoindependiente"/>
    <w:uiPriority w:val="49"/>
    <w:locked/>
    <w:pPr>
      <w:ind w:left="1134" w:hanging="675"/>
    </w:pPr>
  </w:style>
  <w:style w:type="paragraph" w:customStyle="1" w:styleId="BodyTextMultiline">
    <w:name w:val="Body Text Multiline"/>
    <w:basedOn w:val="Textoindependiente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Epgrafe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Textonotapie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Encabezado">
    <w:name w:val="header"/>
    <w:next w:val="Textoindependiente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Textoindependiente"/>
    <w:uiPriority w:val="6"/>
    <w:qFormat/>
    <w:rsid w:val="00717C6F"/>
    <w:pPr>
      <w:numPr>
        <w:numId w:val="20"/>
      </w:numPr>
    </w:pPr>
  </w:style>
  <w:style w:type="paragraph" w:customStyle="1" w:styleId="ListNumbered">
    <w:name w:val="List Numbered"/>
    <w:basedOn w:val="Textoindependiente"/>
    <w:uiPriority w:val="5"/>
    <w:qFormat/>
    <w:locked/>
    <w:rsid w:val="00717C6F"/>
    <w:pPr>
      <w:numPr>
        <w:numId w:val="22"/>
      </w:numPr>
    </w:pPr>
  </w:style>
  <w:style w:type="paragraph" w:styleId="Ttulo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Normal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Refdenotaalpie">
    <w:name w:val="footnote reference"/>
    <w:basedOn w:val="Fuentedeprrafopredeter"/>
    <w:semiHidden/>
    <w:locked/>
    <w:rPr>
      <w:vertAlign w:val="superscript"/>
    </w:rPr>
  </w:style>
  <w:style w:type="paragraph" w:styleId="Subttulo">
    <w:name w:val="Subtitle"/>
    <w:next w:val="Textoindependiente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Textoindependiente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Piedepgina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Normal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Fuentedeprrafopredeter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647F33"/>
    <w:rPr>
      <w:lang w:eastAsia="en-US"/>
    </w:rPr>
  </w:style>
  <w:style w:type="character" w:customStyle="1" w:styleId="AuthornameandaffiliationChar">
    <w:name w:val="Author name and affiliation Char"/>
    <w:basedOn w:val="TextoindependienteCar"/>
    <w:link w:val="Authornameandaffiliation"/>
    <w:uiPriority w:val="49"/>
    <w:rsid w:val="00647F33"/>
    <w:rPr>
      <w:lang w:val="en-US" w:eastAsia="en-US"/>
    </w:rPr>
  </w:style>
  <w:style w:type="table" w:styleId="Tablaconcuadrcula">
    <w:name w:val="Table Grid"/>
    <w:basedOn w:val="Tablanormal"/>
    <w:locked/>
    <w:rsid w:val="0047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Textodeglobo">
    <w:name w:val="Balloon Text"/>
    <w:basedOn w:val="Normal"/>
    <w:link w:val="TextodegloboCar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Textoindependiente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Textoindependiente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TextoindependienteCar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Textoindependiente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TextoindependienteCar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TextoindependienteCar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Textoindependiente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TextoindependienteCar"/>
    <w:link w:val="Tabletext"/>
    <w:uiPriority w:val="49"/>
    <w:rsid w:val="00883848"/>
    <w:rPr>
      <w:lang w:eastAsia="en-US"/>
    </w:rPr>
  </w:style>
  <w:style w:type="character" w:customStyle="1" w:styleId="Ttulo1Car">
    <w:name w:val="Título 1 Car"/>
    <w:aliases w:val="Paper title Car"/>
    <w:basedOn w:val="Fuentedeprrafopredeter"/>
    <w:link w:val="Ttulo1"/>
    <w:rsid w:val="00477B19"/>
    <w:rPr>
      <w:rFonts w:ascii="Times New Roman Bold" w:hAnsi="Times New Roman Bold"/>
      <w:b/>
      <w:caps/>
      <w:sz w:val="24"/>
      <w:lang w:val="en-US" w:eastAsia="en-US"/>
    </w:rPr>
  </w:style>
  <w:style w:type="character" w:customStyle="1" w:styleId="Ttulo2Car">
    <w:name w:val="Título 2 Car"/>
    <w:aliases w:val="1st level paper heading Car"/>
    <w:basedOn w:val="Fuentedeprrafopredeter"/>
    <w:link w:val="Ttulo2"/>
    <w:rsid w:val="00011C41"/>
    <w:rPr>
      <w:cap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1" w:defUnhideWhenUsed="1" w:defQFormat="0" w:count="267">
    <w:lsdException w:name="Normal" w:locked="0" w:semiHidden="0" w:unhideWhenUsed="0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uiPriority="4" w:qFormat="1"/>
    <w:lsdException w:name="heading 4" w:locked="0" w:uiPriority="0" w:qFormat="1"/>
    <w:lsdException w:name="heading 5" w:locked="0" w:uiPriority="0"/>
    <w:lsdException w:name="heading 6" w:locked="0" w:uiPriority="0"/>
    <w:lsdException w:name="heading 7" w:locked="0" w:uiPriority="0"/>
    <w:lsdException w:name="heading 8" w:locked="0" w:uiPriority="0"/>
    <w:lsdException w:name="heading 9" w:locked="0" w:uiPriority="0"/>
    <w:lsdException w:name="footnote text" w:locked="0" w:uiPriority="0"/>
    <w:lsdException w:name="header" w:locked="0" w:uiPriority="0"/>
    <w:lsdException w:name="footer" w:locked="0" w:uiPriority="99"/>
    <w:lsdException w:name="caption" w:locked="0" w:uiPriority="0"/>
    <w:lsdException w:name="footnote reference" w:locked="0" w:uiPriority="0"/>
    <w:lsdException w:name="macro" w:semiHidden="0" w:unhideWhenUsed="0"/>
    <w:lsdException w:name="List Bullet" w:locked="0" w:semiHidden="0" w:unhideWhenUsed="0"/>
    <w:lsdException w:name="List Number" w:semiHidden="0" w:unhideWhenUsed="0"/>
    <w:lsdException w:name="Title" w:locked="0" w:semiHidden="0" w:uiPriority="0" w:unhideWhenUsed="0"/>
    <w:lsdException w:name="Default Paragraph Font" w:locked="0" w:uiPriority="0"/>
    <w:lsdException w:name="Body Text" w:locked="0" w:uiPriority="0" w:qFormat="1"/>
    <w:lsdException w:name="Body Text Indent" w:locked="0" w:uiPriority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0" w:semiHidden="0" w:uiPriority="0" w:unhideWhenUsed="0" w:qFormat="1"/>
    <w:lsdException w:name="Strong" w:semiHidden="0" w:unhideWhenUsed="0"/>
    <w:lsdException w:name="Emphasis" w:semiHidden="0" w:unhideWhenUsed="0"/>
    <w:lsdException w:name="HTML Top of Form" w:locked="0" w:uiPriority="0"/>
    <w:lsdException w:name="HTML Bottom of Form" w:locked="0" w:uiPriority="0"/>
    <w:lsdException w:name="HTML Acronym" w:uiPriority="19"/>
    <w:lsdException w:name="HTML Address" w:uiPriority="19"/>
    <w:lsdException w:name="Normal Table" w:locked="0" w:uiPriority="0"/>
    <w:lsdException w:name="No List" w:locked="0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locked="0" w:semiHidden="0" w:uiPriority="0" w:unhideWhenUsed="0"/>
    <w:lsdException w:name="Table Theme" w:uiPriority="0"/>
    <w:lsdException w:name="Placeholder Text" w:uiPriority="9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Ttulo1">
    <w:name w:val="heading 1"/>
    <w:aliases w:val="Paper title"/>
    <w:next w:val="Subttulo"/>
    <w:link w:val="Ttulo1Car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Ttulo2">
    <w:name w:val="heading 2"/>
    <w:aliases w:val="1st level paper heading"/>
    <w:next w:val="Textoindependiente"/>
    <w:link w:val="Ttulo2Car"/>
    <w:qFormat/>
    <w:rsid w:val="00EE0041"/>
    <w:pPr>
      <w:widowControl w:val="0"/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Ttulo3">
    <w:name w:val="heading 3"/>
    <w:aliases w:val="2nd level paper heading"/>
    <w:next w:val="Textoindependiente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eastAsia="en-US"/>
    </w:rPr>
  </w:style>
  <w:style w:type="paragraph" w:styleId="Ttulo4">
    <w:name w:val="heading 4"/>
    <w:aliases w:val="3rd level paper heading"/>
    <w:basedOn w:val="Normal"/>
    <w:next w:val="Textoindependiente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Ttulo5">
    <w:name w:val="heading 5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Ttulo7">
    <w:name w:val="heading 7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Ttulo8">
    <w:name w:val="heading 8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Ttulo9">
    <w:name w:val="heading 9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link w:val="TextoindependienteCar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Sangradetextonormal">
    <w:name w:val="Body Text Indent"/>
    <w:basedOn w:val="Textoindependiente"/>
    <w:uiPriority w:val="49"/>
    <w:locked/>
    <w:pPr>
      <w:ind w:left="1134" w:hanging="675"/>
    </w:pPr>
  </w:style>
  <w:style w:type="paragraph" w:customStyle="1" w:styleId="BodyTextMultiline">
    <w:name w:val="Body Text Multiline"/>
    <w:basedOn w:val="Textoindependiente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Epgrafe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Textonotapie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Encabezado">
    <w:name w:val="header"/>
    <w:next w:val="Textoindependiente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Textoindependiente"/>
    <w:uiPriority w:val="6"/>
    <w:qFormat/>
    <w:rsid w:val="00717C6F"/>
    <w:pPr>
      <w:numPr>
        <w:numId w:val="20"/>
      </w:numPr>
    </w:pPr>
  </w:style>
  <w:style w:type="paragraph" w:customStyle="1" w:styleId="ListNumbered">
    <w:name w:val="List Numbered"/>
    <w:basedOn w:val="Textoindependiente"/>
    <w:uiPriority w:val="5"/>
    <w:qFormat/>
    <w:locked/>
    <w:rsid w:val="00717C6F"/>
    <w:pPr>
      <w:numPr>
        <w:numId w:val="22"/>
      </w:numPr>
    </w:pPr>
  </w:style>
  <w:style w:type="paragraph" w:styleId="Ttulo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Normal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Refdenotaalpie">
    <w:name w:val="footnote reference"/>
    <w:basedOn w:val="Fuentedeprrafopredeter"/>
    <w:semiHidden/>
    <w:locked/>
    <w:rPr>
      <w:vertAlign w:val="superscript"/>
    </w:rPr>
  </w:style>
  <w:style w:type="paragraph" w:styleId="Subttulo">
    <w:name w:val="Subtitle"/>
    <w:next w:val="Textoindependiente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Textoindependiente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Piedepgina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Normal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Fuentedeprrafopredeter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647F33"/>
    <w:rPr>
      <w:lang w:eastAsia="en-US"/>
    </w:rPr>
  </w:style>
  <w:style w:type="character" w:customStyle="1" w:styleId="AuthornameandaffiliationChar">
    <w:name w:val="Author name and affiliation Char"/>
    <w:basedOn w:val="TextoindependienteCar"/>
    <w:link w:val="Authornameandaffiliation"/>
    <w:uiPriority w:val="49"/>
    <w:rsid w:val="00647F33"/>
    <w:rPr>
      <w:lang w:val="en-US" w:eastAsia="en-US"/>
    </w:rPr>
  </w:style>
  <w:style w:type="table" w:styleId="Tablaconcuadrcula">
    <w:name w:val="Table Grid"/>
    <w:basedOn w:val="Tablanormal"/>
    <w:locked/>
    <w:rsid w:val="0047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Textodeglobo">
    <w:name w:val="Balloon Text"/>
    <w:basedOn w:val="Normal"/>
    <w:link w:val="TextodegloboCar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Textoindependiente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Textoindependiente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TextoindependienteCar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Textoindependiente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TextoindependienteCar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TextoindependienteCar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Textoindependiente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TextoindependienteCar"/>
    <w:link w:val="Tabletext"/>
    <w:uiPriority w:val="49"/>
    <w:rsid w:val="00883848"/>
    <w:rPr>
      <w:lang w:eastAsia="en-US"/>
    </w:rPr>
  </w:style>
  <w:style w:type="character" w:customStyle="1" w:styleId="Ttulo1Car">
    <w:name w:val="Título 1 Car"/>
    <w:aliases w:val="Paper title Car"/>
    <w:basedOn w:val="Fuentedeprrafopredeter"/>
    <w:link w:val="Ttulo1"/>
    <w:rsid w:val="00477B19"/>
    <w:rPr>
      <w:rFonts w:ascii="Times New Roman Bold" w:hAnsi="Times New Roman Bold"/>
      <w:b/>
      <w:caps/>
      <w:sz w:val="24"/>
      <w:lang w:val="en-US" w:eastAsia="en-US"/>
    </w:rPr>
  </w:style>
  <w:style w:type="character" w:customStyle="1" w:styleId="Ttulo2Car">
    <w:name w:val="Título 2 Car"/>
    <w:aliases w:val="1st level paper heading Car"/>
    <w:basedOn w:val="Fuentedeprrafopredeter"/>
    <w:link w:val="Ttulo2"/>
    <w:rsid w:val="00011C41"/>
    <w:rPr>
      <w:cap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UY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Hoja1!$F$6</c:f>
              <c:strCache>
                <c:ptCount val="1"/>
                <c:pt idx="0">
                  <c:v>Nuclear advanced shares</c:v>
                </c:pt>
              </c:strCache>
            </c:strRef>
          </c:tx>
          <c:cat>
            <c:strRef>
              <c:f>Hoja1!$C$7:$E$9</c:f>
              <c:strCache>
                <c:ptCount val="3"/>
                <c:pt idx="0">
                  <c:v>Thorium</c:v>
                </c:pt>
                <c:pt idx="1">
                  <c:v>Fast reactors</c:v>
                </c:pt>
                <c:pt idx="2">
                  <c:v>Fast breeder reactors</c:v>
                </c:pt>
              </c:strCache>
            </c:strRef>
          </c:cat>
          <c:val>
            <c:numRef>
              <c:f>Hoja1!$F$7:$F$9</c:f>
              <c:numCache>
                <c:formatCode>General</c:formatCode>
                <c:ptCount val="3"/>
                <c:pt idx="0">
                  <c:v>1000</c:v>
                </c:pt>
                <c:pt idx="1">
                  <c:v>800</c:v>
                </c:pt>
                <c:pt idx="2">
                  <c:v>1500</c:v>
                </c:pt>
              </c:numCache>
            </c:numRef>
          </c:val>
        </c:ser>
        <c:ser>
          <c:idx val="1"/>
          <c:order val="1"/>
          <c:tx>
            <c:strRef>
              <c:f>Hoja1!$G$6</c:f>
              <c:strCache>
                <c:ptCount val="1"/>
              </c:strCache>
            </c:strRef>
          </c:tx>
          <c:cat>
            <c:strRef>
              <c:f>Hoja1!$C$7:$E$9</c:f>
              <c:strCache>
                <c:ptCount val="3"/>
                <c:pt idx="0">
                  <c:v>Thorium</c:v>
                </c:pt>
                <c:pt idx="1">
                  <c:v>Fast reactors</c:v>
                </c:pt>
                <c:pt idx="2">
                  <c:v>Fast breeder reactors</c:v>
                </c:pt>
              </c:strCache>
            </c:strRef>
          </c:cat>
          <c:val>
            <c:numRef>
              <c:f>Hoja1!$G$7:$G$9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04DD3E36ADA4B92EE7D9E39D8DAF8" ma:contentTypeVersion="2" ma:contentTypeDescription="Create a new document." ma:contentTypeScope="" ma:versionID="a4648eff60659d46ad5efc00a5bb5677">
  <xsd:schema xmlns:xsd="http://www.w3.org/2001/XMLSchema" xmlns:xs="http://www.w3.org/2001/XMLSchema" xmlns:p="http://schemas.microsoft.com/office/2006/metadata/properties" xmlns:ns2="5fab57e6-9ee8-46b6-b53f-50dcb88dcbfd" targetNamespace="http://schemas.microsoft.com/office/2006/metadata/properties" ma:root="true" ma:fieldsID="fb214c4c02a937ba04f4bca321e30c18" ns2:_="">
    <xsd:import namespace="5fab57e6-9ee8-46b6-b53f-50dcb88dcb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b57e6-9ee8-46b6-b53f-50dcb88dcb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60472CCC-200B-45DB-BAFA-1F39767D8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8D096D-FB69-4394-B957-B7A660035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24336-44D2-4810-8AC5-ABFCEAFBE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b57e6-9ee8-46b6-b53f-50dcb88dc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98D396-C82E-464F-90AC-81D6CF3A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</Template>
  <TotalTime>1607</TotalTime>
  <Pages>5</Pages>
  <Words>2321</Words>
  <Characters>12770</Characters>
  <Application>Microsoft Office Word</Application>
  <DocSecurity>0</DocSecurity>
  <Lines>106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Extended Abtract</vt:lpstr>
      <vt:lpstr>Extended Abtract</vt:lpstr>
    </vt:vector>
  </TitlesOfParts>
  <Company>IAEA</Company>
  <LinksUpToDate>false</LinksUpToDate>
  <CharactersWithSpaces>15061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Abtract</dc:title>
  <dc:creator>Chirayu.Batra@iaea.org</dc:creator>
  <cp:lastModifiedBy>Enrique Fernando Morales</cp:lastModifiedBy>
  <cp:revision>47</cp:revision>
  <cp:lastPrinted>2015-12-01T10:27:00Z</cp:lastPrinted>
  <dcterms:created xsi:type="dcterms:W3CDTF">2022-01-25T14:20:00Z</dcterms:created>
  <dcterms:modified xsi:type="dcterms:W3CDTF">2022-02-21T00:27:00Z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0x010100A3104DD3E36ADA4B92EE7D9E39D8DAF8</vt:lpwstr>
  </property>
</Properties>
</file>