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5FFB9F11" w:rsidR="00604C59" w:rsidRPr="00073700" w:rsidRDefault="004738C9"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emergency preparedness and response: towards identifying </w:t>
      </w:r>
      <w:r w:rsidR="00BF2A06">
        <w:rPr>
          <w:rFonts w:ascii="Times New Roman" w:hAnsi="Times New Roman"/>
          <w:bCs/>
          <w:noProof/>
          <w:szCs w:val="24"/>
          <w:lang w:val="en-GB"/>
        </w:rPr>
        <w:t>synergies between fission and fusion power reactors</w:t>
      </w:r>
    </w:p>
    <w:p w14:paraId="2A7F935C" w14:textId="77777777" w:rsidR="00604C59" w:rsidRPr="00073700" w:rsidRDefault="00604C59" w:rsidP="00073700">
      <w:pPr>
        <w:pStyle w:val="Authornameandaffiliation"/>
        <w:ind w:left="0"/>
        <w:jc w:val="both"/>
        <w:rPr>
          <w:sz w:val="24"/>
          <w:szCs w:val="24"/>
          <w:lang w:val="en-GB"/>
        </w:rPr>
      </w:pPr>
    </w:p>
    <w:p w14:paraId="7B44FDE5" w14:textId="759CB89A" w:rsidR="00604C59" w:rsidRPr="00073700" w:rsidRDefault="00BF2A06" w:rsidP="00073700">
      <w:pPr>
        <w:pStyle w:val="Authornameandaffiliation"/>
        <w:ind w:left="0"/>
        <w:jc w:val="both"/>
        <w:rPr>
          <w:sz w:val="24"/>
          <w:szCs w:val="24"/>
          <w:lang w:val="en-GB"/>
        </w:rPr>
      </w:pPr>
      <w:r>
        <w:rPr>
          <w:sz w:val="24"/>
          <w:szCs w:val="24"/>
          <w:lang w:val="en-GB"/>
        </w:rPr>
        <w:t>F. STEPHANI</w:t>
      </w:r>
    </w:p>
    <w:p w14:paraId="20CD335A" w14:textId="331C340C" w:rsidR="00604C59" w:rsidRPr="00073700" w:rsidRDefault="00BF2A06" w:rsidP="00073700">
      <w:pPr>
        <w:pStyle w:val="Authornameandaffiliation"/>
        <w:ind w:left="0"/>
        <w:jc w:val="both"/>
        <w:rPr>
          <w:sz w:val="24"/>
          <w:szCs w:val="24"/>
          <w:lang w:val="en-GB"/>
        </w:rPr>
      </w:pPr>
      <w:r>
        <w:rPr>
          <w:sz w:val="24"/>
          <w:szCs w:val="24"/>
          <w:lang w:val="en-GB"/>
        </w:rPr>
        <w:t>International Atomic Energy Agency (IAEA)</w:t>
      </w:r>
    </w:p>
    <w:p w14:paraId="7B37D297" w14:textId="717C6174" w:rsidR="00604C59" w:rsidRPr="00D6426C" w:rsidRDefault="00BF2A06" w:rsidP="00073700">
      <w:pPr>
        <w:pStyle w:val="Authornameandaffiliation"/>
        <w:ind w:left="0"/>
        <w:jc w:val="both"/>
        <w:rPr>
          <w:sz w:val="24"/>
          <w:szCs w:val="24"/>
          <w:lang w:val="en-GB"/>
        </w:rPr>
      </w:pPr>
      <w:r w:rsidRPr="00D6426C">
        <w:rPr>
          <w:sz w:val="24"/>
          <w:szCs w:val="24"/>
          <w:lang w:val="en-GB"/>
        </w:rPr>
        <w:t>Vienna, Austria</w:t>
      </w:r>
    </w:p>
    <w:p w14:paraId="2796F553" w14:textId="13F2A8FE" w:rsidR="00604C59" w:rsidRPr="00AE2B7A" w:rsidRDefault="00604C59" w:rsidP="00073700">
      <w:pPr>
        <w:pStyle w:val="Authornameandaffiliation"/>
        <w:ind w:left="0"/>
        <w:jc w:val="both"/>
        <w:rPr>
          <w:sz w:val="24"/>
          <w:szCs w:val="24"/>
          <w:lang w:val="en-GB"/>
        </w:rPr>
      </w:pPr>
      <w:r w:rsidRPr="00AE2B7A">
        <w:rPr>
          <w:sz w:val="24"/>
          <w:szCs w:val="24"/>
          <w:lang w:val="en-GB"/>
        </w:rPr>
        <w:t xml:space="preserve">Email: </w:t>
      </w:r>
      <w:hyperlink r:id="rId11" w:history="1">
        <w:r w:rsidR="00BF2A06" w:rsidRPr="00AE2B7A">
          <w:rPr>
            <w:rStyle w:val="Hyperlink"/>
            <w:sz w:val="24"/>
            <w:szCs w:val="24"/>
            <w:lang w:val="en-GB"/>
          </w:rPr>
          <w:t>f.stephani@iaea.org</w:t>
        </w:r>
      </w:hyperlink>
      <w:r w:rsidR="00BF2A06" w:rsidRPr="00AE2B7A">
        <w:rPr>
          <w:sz w:val="24"/>
          <w:szCs w:val="24"/>
          <w:lang w:val="en-GB"/>
        </w:rPr>
        <w:t xml:space="preserve"> </w:t>
      </w:r>
    </w:p>
    <w:p w14:paraId="654E3E67" w14:textId="77777777" w:rsidR="00604C59" w:rsidRPr="00AE2B7A" w:rsidRDefault="00604C59" w:rsidP="00073700">
      <w:pPr>
        <w:pStyle w:val="Authornameandaffiliation"/>
        <w:ind w:left="0"/>
        <w:jc w:val="both"/>
        <w:rPr>
          <w:sz w:val="24"/>
          <w:szCs w:val="24"/>
          <w:lang w:val="en-GB"/>
        </w:rPr>
      </w:pPr>
    </w:p>
    <w:p w14:paraId="338D162C" w14:textId="77777777" w:rsidR="00CD7ABF" w:rsidRPr="00073700" w:rsidRDefault="00CD7ABF" w:rsidP="00073700">
      <w:pPr>
        <w:pStyle w:val="Authornameandaffiliation"/>
        <w:ind w:left="0"/>
        <w:jc w:val="both"/>
        <w:rPr>
          <w:sz w:val="24"/>
          <w:szCs w:val="24"/>
          <w:lang w:val="en-GB"/>
        </w:rPr>
      </w:pPr>
    </w:p>
    <w:p w14:paraId="2D45C6B7" w14:textId="6C672D14" w:rsidR="004738C9" w:rsidRDefault="004738C9" w:rsidP="004738C9">
      <w:pPr>
        <w:overflowPunct/>
        <w:autoSpaceDE/>
        <w:autoSpaceDN/>
        <w:adjustRightInd/>
        <w:spacing w:before="280" w:after="280"/>
        <w:ind w:firstLine="360"/>
        <w:jc w:val="both"/>
        <w:textAlignment w:val="auto"/>
        <w:rPr>
          <w:rFonts w:eastAsiaTheme="minorHAnsi"/>
          <w:sz w:val="24"/>
          <w:szCs w:val="24"/>
          <w:lang w:eastAsia="ar-SA"/>
        </w:rPr>
      </w:pPr>
      <w:r>
        <w:rPr>
          <w:rFonts w:eastAsiaTheme="minorHAnsi"/>
          <w:sz w:val="24"/>
          <w:szCs w:val="24"/>
          <w:lang w:eastAsia="ar-SA"/>
        </w:rPr>
        <w:t xml:space="preserve">The IAEA </w:t>
      </w:r>
      <w:r w:rsidRPr="00A24A72">
        <w:rPr>
          <w:rFonts w:eastAsiaTheme="minorHAnsi"/>
          <w:sz w:val="24"/>
          <w:szCs w:val="24"/>
          <w:lang w:eastAsia="ar-SA"/>
        </w:rPr>
        <w:t xml:space="preserve">Safety </w:t>
      </w:r>
      <w:r>
        <w:rPr>
          <w:rFonts w:eastAsiaTheme="minorHAnsi"/>
          <w:sz w:val="24"/>
          <w:szCs w:val="24"/>
          <w:lang w:eastAsia="ar-SA"/>
        </w:rPr>
        <w:t>Standards Series No. GSR</w:t>
      </w:r>
      <w:r w:rsidRPr="00A24A72">
        <w:rPr>
          <w:rFonts w:eastAsiaTheme="minorHAnsi"/>
          <w:sz w:val="24"/>
          <w:szCs w:val="24"/>
          <w:lang w:eastAsia="ar-SA"/>
        </w:rPr>
        <w:t xml:space="preserve"> Part 7</w:t>
      </w:r>
      <w:r>
        <w:rPr>
          <w:rFonts w:eastAsiaTheme="minorHAnsi"/>
          <w:sz w:val="24"/>
          <w:szCs w:val="24"/>
          <w:lang w:eastAsia="ar-SA"/>
        </w:rPr>
        <w:t xml:space="preserve"> </w:t>
      </w:r>
      <w:r w:rsidRPr="00417F4D">
        <w:rPr>
          <w:rFonts w:eastAsiaTheme="minorHAnsi"/>
          <w:sz w:val="24"/>
          <w:szCs w:val="24"/>
          <w:lang w:eastAsia="ar-SA"/>
        </w:rPr>
        <w:t>[1]</w:t>
      </w:r>
      <w:r>
        <w:rPr>
          <w:rFonts w:eastAsiaTheme="minorHAnsi"/>
          <w:sz w:val="24"/>
          <w:szCs w:val="24"/>
          <w:lang w:eastAsia="ar-SA"/>
        </w:rPr>
        <w:t>, endorsed in 2015 in a joint sponsorship of 13 international intergovernmental organizations,</w:t>
      </w:r>
      <w:r w:rsidRPr="00A24A72">
        <w:rPr>
          <w:rFonts w:eastAsiaTheme="minorHAnsi"/>
          <w:sz w:val="24"/>
          <w:szCs w:val="24"/>
          <w:lang w:eastAsia="ar-SA"/>
        </w:rPr>
        <w:t xml:space="preserve"> </w:t>
      </w:r>
      <w:r>
        <w:rPr>
          <w:rFonts w:eastAsiaTheme="minorHAnsi"/>
          <w:sz w:val="24"/>
          <w:szCs w:val="24"/>
          <w:lang w:eastAsia="ar-SA"/>
        </w:rPr>
        <w:t>provides the safety requirements</w:t>
      </w:r>
      <w:r w:rsidRPr="00A24A72">
        <w:rPr>
          <w:rFonts w:eastAsiaTheme="minorHAnsi"/>
          <w:sz w:val="24"/>
          <w:szCs w:val="24"/>
          <w:lang w:eastAsia="ar-SA"/>
        </w:rPr>
        <w:t xml:space="preserve"> for</w:t>
      </w:r>
      <w:r>
        <w:rPr>
          <w:rFonts w:eastAsiaTheme="minorHAnsi"/>
          <w:sz w:val="24"/>
          <w:szCs w:val="24"/>
          <w:lang w:eastAsia="ar-SA"/>
        </w:rPr>
        <w:t xml:space="preserve"> an adequate level of</w:t>
      </w:r>
      <w:r w:rsidRPr="00A24A72">
        <w:rPr>
          <w:rFonts w:eastAsiaTheme="minorHAnsi"/>
          <w:sz w:val="24"/>
          <w:szCs w:val="24"/>
          <w:lang w:eastAsia="ar-SA"/>
        </w:rPr>
        <w:t xml:space="preserve"> preparedness and response for any nuclear or radiological emergency that could occur in relation to a facility, an activity or a source, irrespective of the cause. GSR Part</w:t>
      </w:r>
      <w:r>
        <w:rPr>
          <w:rFonts w:eastAsiaTheme="minorHAnsi"/>
          <w:sz w:val="24"/>
          <w:szCs w:val="24"/>
          <w:lang w:eastAsia="ar-SA"/>
        </w:rPr>
        <w:t> </w:t>
      </w:r>
      <w:r w:rsidRPr="00A24A72">
        <w:rPr>
          <w:rFonts w:eastAsiaTheme="minorHAnsi"/>
          <w:sz w:val="24"/>
          <w:szCs w:val="24"/>
          <w:lang w:eastAsia="ar-SA"/>
        </w:rPr>
        <w:t xml:space="preserve">7 </w:t>
      </w:r>
      <w:r w:rsidR="00AF7E6C">
        <w:rPr>
          <w:rFonts w:eastAsiaTheme="minorHAnsi"/>
          <w:sz w:val="24"/>
          <w:szCs w:val="24"/>
          <w:lang w:eastAsia="ar-SA"/>
        </w:rPr>
        <w:t>follows</w:t>
      </w:r>
      <w:r w:rsidR="00AF7E6C" w:rsidRPr="00A24A72">
        <w:rPr>
          <w:rFonts w:eastAsiaTheme="minorHAnsi"/>
          <w:sz w:val="24"/>
          <w:szCs w:val="24"/>
          <w:lang w:eastAsia="ar-SA"/>
        </w:rPr>
        <w:t xml:space="preserve"> </w:t>
      </w:r>
      <w:r w:rsidRPr="00A24A72">
        <w:rPr>
          <w:rFonts w:eastAsiaTheme="minorHAnsi"/>
          <w:sz w:val="24"/>
          <w:szCs w:val="24"/>
          <w:lang w:eastAsia="ar-SA"/>
        </w:rPr>
        <w:t>a graded approach</w:t>
      </w:r>
      <w:r>
        <w:rPr>
          <w:rFonts w:eastAsiaTheme="minorHAnsi"/>
          <w:sz w:val="24"/>
          <w:szCs w:val="24"/>
          <w:lang w:eastAsia="ar-SA"/>
        </w:rPr>
        <w:t xml:space="preserve"> </w:t>
      </w:r>
      <w:r w:rsidR="00AF7E6C">
        <w:rPr>
          <w:rFonts w:eastAsiaTheme="minorHAnsi"/>
          <w:sz w:val="24"/>
          <w:szCs w:val="24"/>
          <w:lang w:eastAsia="ar-SA"/>
        </w:rPr>
        <w:t xml:space="preserve">to </w:t>
      </w:r>
      <w:r>
        <w:rPr>
          <w:rFonts w:eastAsiaTheme="minorHAnsi"/>
          <w:sz w:val="24"/>
          <w:szCs w:val="24"/>
          <w:lang w:eastAsia="ar-SA"/>
        </w:rPr>
        <w:t>defin</w:t>
      </w:r>
      <w:r w:rsidR="00AF7E6C">
        <w:rPr>
          <w:rFonts w:eastAsiaTheme="minorHAnsi"/>
          <w:sz w:val="24"/>
          <w:szCs w:val="24"/>
          <w:lang w:eastAsia="ar-SA"/>
        </w:rPr>
        <w:t>e</w:t>
      </w:r>
      <w:r>
        <w:rPr>
          <w:rFonts w:eastAsiaTheme="minorHAnsi"/>
          <w:sz w:val="24"/>
          <w:szCs w:val="24"/>
          <w:lang w:eastAsia="ar-SA"/>
        </w:rPr>
        <w:t xml:space="preserve"> the</w:t>
      </w:r>
      <w:r w:rsidR="00AF7E6C">
        <w:rPr>
          <w:rFonts w:eastAsiaTheme="minorHAnsi"/>
          <w:sz w:val="24"/>
          <w:szCs w:val="24"/>
          <w:lang w:eastAsia="ar-SA"/>
        </w:rPr>
        <w:t>se</w:t>
      </w:r>
      <w:r>
        <w:rPr>
          <w:rFonts w:eastAsiaTheme="minorHAnsi"/>
          <w:sz w:val="24"/>
          <w:szCs w:val="24"/>
          <w:lang w:eastAsia="ar-SA"/>
        </w:rPr>
        <w:t xml:space="preserve"> requirements and their application at</w:t>
      </w:r>
      <w:r w:rsidR="00AF7E6C">
        <w:rPr>
          <w:rFonts w:eastAsiaTheme="minorHAnsi"/>
          <w:sz w:val="24"/>
          <w:szCs w:val="24"/>
          <w:lang w:eastAsia="ar-SA"/>
        </w:rPr>
        <w:t xml:space="preserve"> the</w:t>
      </w:r>
      <w:r>
        <w:rPr>
          <w:rFonts w:eastAsiaTheme="minorHAnsi"/>
          <w:sz w:val="24"/>
          <w:szCs w:val="24"/>
          <w:lang w:eastAsia="ar-SA"/>
        </w:rPr>
        <w:t xml:space="preserve"> national level to ensure that the emergency arrangements are commensurate with the</w:t>
      </w:r>
      <w:r w:rsidRPr="00A24A72">
        <w:rPr>
          <w:rFonts w:eastAsiaTheme="minorHAnsi"/>
          <w:sz w:val="24"/>
          <w:szCs w:val="24"/>
          <w:lang w:eastAsia="ar-SA"/>
        </w:rPr>
        <w:t xml:space="preserve"> hazards associated with a facility, an activity or a source</w:t>
      </w:r>
      <w:r>
        <w:rPr>
          <w:rFonts w:eastAsiaTheme="minorHAnsi"/>
          <w:sz w:val="24"/>
          <w:szCs w:val="24"/>
          <w:lang w:eastAsia="ar-SA"/>
        </w:rPr>
        <w:t>,</w:t>
      </w:r>
      <w:r w:rsidRPr="00A24A72">
        <w:rPr>
          <w:rFonts w:eastAsiaTheme="minorHAnsi"/>
          <w:sz w:val="24"/>
          <w:szCs w:val="24"/>
          <w:lang w:eastAsia="ar-SA"/>
        </w:rPr>
        <w:t xml:space="preserve"> and </w:t>
      </w:r>
      <w:r>
        <w:rPr>
          <w:rFonts w:eastAsiaTheme="minorHAnsi"/>
          <w:sz w:val="24"/>
          <w:szCs w:val="24"/>
          <w:lang w:eastAsia="ar-SA"/>
        </w:rPr>
        <w:t xml:space="preserve">the related </w:t>
      </w:r>
      <w:r w:rsidRPr="00A24A72">
        <w:rPr>
          <w:rFonts w:eastAsiaTheme="minorHAnsi"/>
          <w:sz w:val="24"/>
          <w:szCs w:val="24"/>
          <w:lang w:eastAsia="ar-SA"/>
        </w:rPr>
        <w:t xml:space="preserve">potential consequences. </w:t>
      </w:r>
      <w:r>
        <w:rPr>
          <w:rFonts w:eastAsiaTheme="minorHAnsi"/>
          <w:sz w:val="24"/>
          <w:szCs w:val="24"/>
          <w:lang w:eastAsia="ar-SA"/>
        </w:rPr>
        <w:t>In this context, it calls for Member States to perform a h</w:t>
      </w:r>
      <w:r w:rsidRPr="00A24A72">
        <w:rPr>
          <w:rFonts w:eastAsiaTheme="minorHAnsi"/>
          <w:sz w:val="24"/>
          <w:szCs w:val="24"/>
          <w:lang w:eastAsia="ar-SA"/>
        </w:rPr>
        <w:t>azard assessment</w:t>
      </w:r>
      <w:r>
        <w:rPr>
          <w:rFonts w:eastAsiaTheme="minorHAnsi"/>
          <w:sz w:val="24"/>
          <w:szCs w:val="24"/>
          <w:lang w:eastAsia="ar-SA"/>
        </w:rPr>
        <w:t xml:space="preserve"> to</w:t>
      </w:r>
      <w:r w:rsidRPr="00A24A72">
        <w:rPr>
          <w:rFonts w:eastAsiaTheme="minorHAnsi"/>
          <w:sz w:val="24"/>
          <w:szCs w:val="24"/>
          <w:lang w:eastAsia="ar-SA"/>
        </w:rPr>
        <w:t xml:space="preserve"> inform decision on the level of </w:t>
      </w:r>
      <w:r w:rsidR="00AF7E6C">
        <w:rPr>
          <w:rFonts w:eastAsiaTheme="minorHAnsi"/>
          <w:sz w:val="24"/>
          <w:szCs w:val="24"/>
          <w:lang w:eastAsia="ar-SA"/>
        </w:rPr>
        <w:t>Emergency P</w:t>
      </w:r>
      <w:r w:rsidRPr="00A24A72">
        <w:rPr>
          <w:rFonts w:eastAsiaTheme="minorHAnsi"/>
          <w:sz w:val="24"/>
          <w:szCs w:val="24"/>
          <w:lang w:eastAsia="ar-SA"/>
        </w:rPr>
        <w:t xml:space="preserve">reparedness and </w:t>
      </w:r>
      <w:r w:rsidR="00AF7E6C">
        <w:rPr>
          <w:rFonts w:eastAsiaTheme="minorHAnsi"/>
          <w:sz w:val="24"/>
          <w:szCs w:val="24"/>
          <w:lang w:eastAsia="ar-SA"/>
        </w:rPr>
        <w:t>R</w:t>
      </w:r>
      <w:r w:rsidRPr="00A24A72">
        <w:rPr>
          <w:rFonts w:eastAsiaTheme="minorHAnsi"/>
          <w:sz w:val="24"/>
          <w:szCs w:val="24"/>
          <w:lang w:eastAsia="ar-SA"/>
        </w:rPr>
        <w:t>esponse</w:t>
      </w:r>
      <w:r w:rsidR="00AF7E6C">
        <w:rPr>
          <w:rFonts w:eastAsiaTheme="minorHAnsi"/>
          <w:sz w:val="24"/>
          <w:szCs w:val="24"/>
          <w:lang w:eastAsia="ar-SA"/>
        </w:rPr>
        <w:t xml:space="preserve"> (EPR)</w:t>
      </w:r>
      <w:r w:rsidRPr="00A24A72">
        <w:rPr>
          <w:rFonts w:eastAsiaTheme="minorHAnsi"/>
          <w:sz w:val="24"/>
          <w:szCs w:val="24"/>
          <w:lang w:eastAsia="ar-SA"/>
        </w:rPr>
        <w:t xml:space="preserve"> needed</w:t>
      </w:r>
      <w:r>
        <w:rPr>
          <w:rFonts w:eastAsiaTheme="minorHAnsi"/>
          <w:sz w:val="24"/>
          <w:szCs w:val="24"/>
          <w:lang w:eastAsia="ar-SA"/>
        </w:rPr>
        <w:t>,</w:t>
      </w:r>
      <w:r w:rsidRPr="00A24A72">
        <w:rPr>
          <w:rFonts w:eastAsiaTheme="minorHAnsi"/>
          <w:sz w:val="24"/>
          <w:szCs w:val="24"/>
          <w:lang w:eastAsia="ar-SA"/>
        </w:rPr>
        <w:t xml:space="preserve"> </w:t>
      </w:r>
      <w:r>
        <w:rPr>
          <w:rFonts w:eastAsiaTheme="minorHAnsi"/>
          <w:sz w:val="24"/>
          <w:szCs w:val="24"/>
          <w:lang w:eastAsia="ar-SA"/>
        </w:rPr>
        <w:t>as well as the</w:t>
      </w:r>
      <w:r w:rsidRPr="00A24A72">
        <w:rPr>
          <w:rFonts w:eastAsiaTheme="minorHAnsi"/>
          <w:sz w:val="24"/>
          <w:szCs w:val="24"/>
          <w:lang w:eastAsia="ar-SA"/>
        </w:rPr>
        <w:t xml:space="preserve"> associated emergency arrangements</w:t>
      </w:r>
      <w:r>
        <w:rPr>
          <w:rFonts w:eastAsiaTheme="minorHAnsi"/>
          <w:sz w:val="24"/>
          <w:szCs w:val="24"/>
          <w:lang w:eastAsia="ar-SA"/>
        </w:rPr>
        <w:t xml:space="preserve"> to be implemented for the facilities, activities and sources on their </w:t>
      </w:r>
      <w:r w:rsidR="00AA666C">
        <w:rPr>
          <w:rFonts w:eastAsiaTheme="minorHAnsi"/>
          <w:sz w:val="24"/>
          <w:szCs w:val="24"/>
          <w:lang w:eastAsia="ar-SA"/>
        </w:rPr>
        <w:t xml:space="preserve">national </w:t>
      </w:r>
      <w:r>
        <w:rPr>
          <w:rFonts w:eastAsiaTheme="minorHAnsi"/>
          <w:sz w:val="24"/>
          <w:szCs w:val="24"/>
          <w:lang w:eastAsia="ar-SA"/>
        </w:rPr>
        <w:t>territory</w:t>
      </w:r>
      <w:r w:rsidR="00AF7E6C">
        <w:rPr>
          <w:rFonts w:eastAsiaTheme="minorHAnsi"/>
          <w:sz w:val="24"/>
          <w:szCs w:val="24"/>
          <w:lang w:eastAsia="ar-SA"/>
        </w:rPr>
        <w:t>,</w:t>
      </w:r>
      <w:r>
        <w:rPr>
          <w:rFonts w:eastAsiaTheme="minorHAnsi"/>
          <w:sz w:val="24"/>
          <w:szCs w:val="24"/>
          <w:lang w:eastAsia="ar-SA"/>
        </w:rPr>
        <w:t xml:space="preserve"> or those </w:t>
      </w:r>
      <w:r w:rsidR="00AA666C">
        <w:rPr>
          <w:rFonts w:eastAsiaTheme="minorHAnsi"/>
          <w:sz w:val="24"/>
          <w:szCs w:val="24"/>
          <w:lang w:eastAsia="ar-SA"/>
        </w:rPr>
        <w:t xml:space="preserve">located </w:t>
      </w:r>
      <w:r w:rsidR="00AF7E6C">
        <w:rPr>
          <w:rFonts w:eastAsiaTheme="minorHAnsi"/>
          <w:sz w:val="24"/>
          <w:szCs w:val="24"/>
          <w:lang w:eastAsia="ar-SA"/>
        </w:rPr>
        <w:t>abroad</w:t>
      </w:r>
      <w:r>
        <w:rPr>
          <w:rFonts w:eastAsiaTheme="minorHAnsi"/>
          <w:sz w:val="24"/>
          <w:szCs w:val="24"/>
          <w:lang w:eastAsia="ar-SA"/>
        </w:rPr>
        <w:t xml:space="preserve"> </w:t>
      </w:r>
      <w:r w:rsidR="00AA666C">
        <w:rPr>
          <w:rFonts w:eastAsiaTheme="minorHAnsi"/>
          <w:sz w:val="24"/>
          <w:szCs w:val="24"/>
          <w:lang w:eastAsia="ar-SA"/>
        </w:rPr>
        <w:t xml:space="preserve">that </w:t>
      </w:r>
      <w:r w:rsidR="00AF7E6C">
        <w:rPr>
          <w:rFonts w:eastAsiaTheme="minorHAnsi"/>
          <w:sz w:val="24"/>
          <w:szCs w:val="24"/>
          <w:lang w:eastAsia="ar-SA"/>
        </w:rPr>
        <w:t xml:space="preserve">might </w:t>
      </w:r>
      <w:r>
        <w:rPr>
          <w:rFonts w:eastAsiaTheme="minorHAnsi"/>
          <w:sz w:val="24"/>
          <w:szCs w:val="24"/>
          <w:lang w:eastAsia="ar-SA"/>
        </w:rPr>
        <w:t>have impact</w:t>
      </w:r>
      <w:r w:rsidR="00AF7E6C">
        <w:rPr>
          <w:rFonts w:eastAsiaTheme="minorHAnsi"/>
          <w:sz w:val="24"/>
          <w:szCs w:val="24"/>
          <w:lang w:eastAsia="ar-SA"/>
        </w:rPr>
        <w:t>s</w:t>
      </w:r>
      <w:r>
        <w:rPr>
          <w:rFonts w:eastAsiaTheme="minorHAnsi"/>
          <w:sz w:val="24"/>
          <w:szCs w:val="24"/>
          <w:lang w:eastAsia="ar-SA"/>
        </w:rPr>
        <w:t xml:space="preserve"> within their </w:t>
      </w:r>
      <w:r w:rsidR="00AF7E6C">
        <w:rPr>
          <w:rFonts w:eastAsiaTheme="minorHAnsi"/>
          <w:sz w:val="24"/>
          <w:szCs w:val="24"/>
          <w:lang w:eastAsia="ar-SA"/>
        </w:rPr>
        <w:t xml:space="preserve">national </w:t>
      </w:r>
      <w:r>
        <w:rPr>
          <w:rFonts w:eastAsiaTheme="minorHAnsi"/>
          <w:sz w:val="24"/>
          <w:szCs w:val="24"/>
          <w:lang w:eastAsia="ar-SA"/>
        </w:rPr>
        <w:t>jurisdiction</w:t>
      </w:r>
      <w:r w:rsidR="00AF7E6C">
        <w:rPr>
          <w:rFonts w:eastAsiaTheme="minorHAnsi"/>
          <w:sz w:val="24"/>
          <w:szCs w:val="24"/>
          <w:lang w:eastAsia="ar-SA"/>
        </w:rPr>
        <w:t xml:space="preserve"> in case of an emergency</w:t>
      </w:r>
      <w:r w:rsidRPr="00A24A72">
        <w:rPr>
          <w:rFonts w:eastAsiaTheme="minorHAnsi"/>
          <w:sz w:val="24"/>
          <w:szCs w:val="24"/>
          <w:lang w:eastAsia="ar-SA"/>
        </w:rPr>
        <w:t xml:space="preserve">. </w:t>
      </w:r>
    </w:p>
    <w:p w14:paraId="23CDBCEB" w14:textId="2EE70C1D" w:rsidR="004738C9" w:rsidRDefault="00AF7E6C" w:rsidP="00361FB2">
      <w:pPr>
        <w:overflowPunct/>
        <w:autoSpaceDE/>
        <w:autoSpaceDN/>
        <w:adjustRightInd/>
        <w:spacing w:before="280" w:after="280"/>
        <w:ind w:firstLine="360"/>
        <w:jc w:val="both"/>
        <w:textAlignment w:val="auto"/>
        <w:rPr>
          <w:rFonts w:eastAsiaTheme="minorHAnsi"/>
          <w:sz w:val="24"/>
          <w:szCs w:val="24"/>
          <w:lang w:eastAsia="ar-SA"/>
        </w:rPr>
      </w:pPr>
      <w:r>
        <w:rPr>
          <w:rFonts w:eastAsiaTheme="minorHAnsi"/>
          <w:sz w:val="24"/>
          <w:szCs w:val="24"/>
          <w:lang w:eastAsia="ar-SA"/>
        </w:rPr>
        <w:t>Besides</w:t>
      </w:r>
      <w:r w:rsidR="004738C9">
        <w:rPr>
          <w:rFonts w:eastAsiaTheme="minorHAnsi"/>
          <w:sz w:val="24"/>
          <w:szCs w:val="24"/>
          <w:lang w:eastAsia="ar-SA"/>
        </w:rPr>
        <w:t>, GSR Part 7 defines</w:t>
      </w:r>
      <w:r w:rsidR="004738C9" w:rsidRPr="00A24A72">
        <w:rPr>
          <w:rFonts w:eastAsiaTheme="minorHAnsi"/>
          <w:sz w:val="24"/>
          <w:szCs w:val="24"/>
          <w:lang w:eastAsia="ar-SA"/>
        </w:rPr>
        <w:t xml:space="preserve"> five Emergency Preparedness Categories (EPCs)</w:t>
      </w:r>
      <w:r w:rsidR="004738C9">
        <w:rPr>
          <w:rFonts w:eastAsiaTheme="minorHAnsi"/>
          <w:sz w:val="24"/>
          <w:szCs w:val="24"/>
          <w:lang w:eastAsia="ar-SA"/>
        </w:rPr>
        <w:t xml:space="preserve"> on the basis of the expected radiological consequences on-site and off-site,</w:t>
      </w:r>
      <w:r w:rsidR="004738C9" w:rsidRPr="00A24A72">
        <w:rPr>
          <w:rFonts w:eastAsiaTheme="minorHAnsi"/>
          <w:sz w:val="24"/>
          <w:szCs w:val="24"/>
          <w:lang w:eastAsia="ar-SA"/>
        </w:rPr>
        <w:t xml:space="preserve"> with EPC I to III </w:t>
      </w:r>
      <w:r w:rsidR="004738C9">
        <w:rPr>
          <w:rFonts w:eastAsiaTheme="minorHAnsi"/>
          <w:sz w:val="24"/>
          <w:szCs w:val="24"/>
          <w:lang w:eastAsia="ar-SA"/>
        </w:rPr>
        <w:t>associated</w:t>
      </w:r>
      <w:r w:rsidR="004738C9" w:rsidRPr="00A24A72">
        <w:rPr>
          <w:rFonts w:eastAsiaTheme="minorHAnsi"/>
          <w:sz w:val="24"/>
          <w:szCs w:val="24"/>
          <w:lang w:eastAsia="ar-SA"/>
        </w:rPr>
        <w:t xml:space="preserve"> with facilities</w:t>
      </w:r>
      <w:r w:rsidR="00AA666C">
        <w:rPr>
          <w:rFonts w:eastAsiaTheme="minorHAnsi"/>
          <w:sz w:val="24"/>
          <w:szCs w:val="24"/>
          <w:lang w:eastAsia="ar-SA"/>
        </w:rPr>
        <w:t>. EPCs</w:t>
      </w:r>
      <w:r w:rsidR="004738C9">
        <w:rPr>
          <w:rFonts w:eastAsiaTheme="minorHAnsi"/>
          <w:sz w:val="24"/>
          <w:szCs w:val="24"/>
          <w:lang w:eastAsia="ar-SA"/>
        </w:rPr>
        <w:t xml:space="preserve"> help determin</w:t>
      </w:r>
      <w:r w:rsidR="00AA666C">
        <w:rPr>
          <w:rFonts w:eastAsiaTheme="minorHAnsi"/>
          <w:sz w:val="24"/>
          <w:szCs w:val="24"/>
          <w:lang w:eastAsia="ar-SA"/>
        </w:rPr>
        <w:t>e</w:t>
      </w:r>
      <w:r w:rsidR="004738C9">
        <w:rPr>
          <w:rFonts w:eastAsiaTheme="minorHAnsi"/>
          <w:sz w:val="24"/>
          <w:szCs w:val="24"/>
          <w:lang w:eastAsia="ar-SA"/>
        </w:rPr>
        <w:t xml:space="preserve"> the level of preparedness to be </w:t>
      </w:r>
      <w:r w:rsidR="00AA666C">
        <w:rPr>
          <w:rFonts w:eastAsiaTheme="minorHAnsi"/>
          <w:sz w:val="24"/>
          <w:szCs w:val="24"/>
          <w:lang w:eastAsia="ar-SA"/>
        </w:rPr>
        <w:t xml:space="preserve">implemented </w:t>
      </w:r>
      <w:r w:rsidR="004738C9">
        <w:rPr>
          <w:rFonts w:eastAsiaTheme="minorHAnsi"/>
          <w:sz w:val="24"/>
          <w:szCs w:val="24"/>
          <w:lang w:eastAsia="ar-SA"/>
        </w:rPr>
        <w:t>for these facilities</w:t>
      </w:r>
      <w:r w:rsidR="004738C9" w:rsidRPr="00A24A72">
        <w:rPr>
          <w:rFonts w:eastAsiaTheme="minorHAnsi"/>
          <w:sz w:val="24"/>
          <w:szCs w:val="24"/>
          <w:lang w:eastAsia="ar-SA"/>
        </w:rPr>
        <w:t>.</w:t>
      </w:r>
      <w:r w:rsidR="004738C9">
        <w:rPr>
          <w:rFonts w:eastAsiaTheme="minorHAnsi"/>
          <w:sz w:val="24"/>
          <w:szCs w:val="24"/>
          <w:lang w:eastAsia="ar-SA"/>
        </w:rPr>
        <w:t xml:space="preserve"> GSR</w:t>
      </w:r>
      <w:r>
        <w:rPr>
          <w:rFonts w:eastAsiaTheme="minorHAnsi"/>
          <w:sz w:val="24"/>
          <w:szCs w:val="24"/>
          <w:lang w:eastAsia="ar-SA"/>
        </w:rPr>
        <w:t> </w:t>
      </w:r>
      <w:r w:rsidR="004738C9">
        <w:rPr>
          <w:rFonts w:eastAsiaTheme="minorHAnsi"/>
          <w:sz w:val="24"/>
          <w:szCs w:val="24"/>
          <w:lang w:eastAsia="ar-SA"/>
        </w:rPr>
        <w:t>Part 7 is further supported by 5 safety guides in EPR</w:t>
      </w:r>
      <w:r w:rsidR="004300FE">
        <w:rPr>
          <w:rFonts w:eastAsiaTheme="minorHAnsi"/>
          <w:sz w:val="24"/>
          <w:szCs w:val="24"/>
          <w:lang w:eastAsia="ar-SA"/>
        </w:rPr>
        <w:t xml:space="preserve"> </w:t>
      </w:r>
      <w:r>
        <w:rPr>
          <w:rFonts w:eastAsiaTheme="minorHAnsi"/>
          <w:sz w:val="24"/>
          <w:szCs w:val="24"/>
          <w:lang w:eastAsia="ar-SA"/>
        </w:rPr>
        <w:t xml:space="preserve">(IAEA Safety Standards Series </w:t>
      </w:r>
      <w:r w:rsidR="007764BD">
        <w:rPr>
          <w:rFonts w:eastAsiaTheme="minorHAnsi"/>
          <w:sz w:val="24"/>
          <w:szCs w:val="24"/>
          <w:lang w:eastAsia="ar-SA"/>
        </w:rPr>
        <w:t>No.</w:t>
      </w:r>
      <w:r w:rsidR="00361FB2">
        <w:rPr>
          <w:rFonts w:eastAsiaTheme="minorHAnsi"/>
          <w:sz w:val="24"/>
          <w:szCs w:val="24"/>
          <w:lang w:eastAsia="ar-SA"/>
        </w:rPr>
        <w:t> </w:t>
      </w:r>
      <w:r w:rsidR="007764BD">
        <w:rPr>
          <w:rFonts w:eastAsiaTheme="minorHAnsi"/>
          <w:sz w:val="24"/>
          <w:szCs w:val="24"/>
          <w:lang w:eastAsia="ar-SA"/>
        </w:rPr>
        <w:t xml:space="preserve">GSG-2 [2], IAEA Safety Standards Series No. </w:t>
      </w:r>
      <w:r w:rsidR="00361FB2">
        <w:rPr>
          <w:rFonts w:eastAsiaTheme="minorHAnsi"/>
          <w:sz w:val="24"/>
          <w:szCs w:val="24"/>
          <w:lang w:eastAsia="ar-SA"/>
        </w:rPr>
        <w:t>GS-G-2.1 [3], IAEA Safety Standards Series No. GSG-11 [4], IAEA Safety Standards Series No. SSG-65 [5])</w:t>
      </w:r>
      <w:r w:rsidR="00361FB2" w:rsidRPr="00361FB2">
        <w:rPr>
          <w:rFonts w:eastAsiaTheme="minorHAnsi"/>
          <w:sz w:val="24"/>
          <w:szCs w:val="24"/>
          <w:lang w:eastAsia="ar-SA"/>
        </w:rPr>
        <w:t xml:space="preserve"> </w:t>
      </w:r>
      <w:r w:rsidR="00AA666C">
        <w:rPr>
          <w:rFonts w:eastAsiaTheme="minorHAnsi"/>
          <w:sz w:val="24"/>
          <w:szCs w:val="24"/>
          <w:lang w:eastAsia="ar-SA"/>
        </w:rPr>
        <w:t xml:space="preserve">that </w:t>
      </w:r>
      <w:r w:rsidR="004738C9">
        <w:rPr>
          <w:rFonts w:eastAsiaTheme="minorHAnsi"/>
          <w:sz w:val="24"/>
          <w:szCs w:val="24"/>
          <w:lang w:eastAsia="ar-SA"/>
        </w:rPr>
        <w:t>provid</w:t>
      </w:r>
      <w:r w:rsidR="00AA666C">
        <w:rPr>
          <w:rFonts w:eastAsiaTheme="minorHAnsi"/>
          <w:sz w:val="24"/>
          <w:szCs w:val="24"/>
          <w:lang w:eastAsia="ar-SA"/>
        </w:rPr>
        <w:t>e</w:t>
      </w:r>
      <w:r w:rsidR="004738C9">
        <w:rPr>
          <w:rFonts w:eastAsiaTheme="minorHAnsi"/>
          <w:sz w:val="24"/>
          <w:szCs w:val="24"/>
          <w:lang w:eastAsia="ar-SA"/>
        </w:rPr>
        <w:t xml:space="preserve"> further guidance and recommendations to help Member States apply </w:t>
      </w:r>
      <w:r w:rsidR="004300FE">
        <w:rPr>
          <w:rFonts w:eastAsiaTheme="minorHAnsi"/>
          <w:sz w:val="24"/>
          <w:szCs w:val="24"/>
          <w:lang w:eastAsia="ar-SA"/>
        </w:rPr>
        <w:t xml:space="preserve">the </w:t>
      </w:r>
      <w:r w:rsidR="004738C9">
        <w:rPr>
          <w:rFonts w:eastAsiaTheme="minorHAnsi"/>
          <w:sz w:val="24"/>
          <w:szCs w:val="24"/>
          <w:lang w:eastAsia="ar-SA"/>
        </w:rPr>
        <w:t xml:space="preserve">safety requirements </w:t>
      </w:r>
      <w:r w:rsidR="004300FE">
        <w:rPr>
          <w:rFonts w:eastAsiaTheme="minorHAnsi"/>
          <w:sz w:val="24"/>
          <w:szCs w:val="24"/>
          <w:lang w:eastAsia="ar-SA"/>
        </w:rPr>
        <w:t xml:space="preserve">in EPR </w:t>
      </w:r>
      <w:r w:rsidR="004738C9">
        <w:rPr>
          <w:rFonts w:eastAsiaTheme="minorHAnsi"/>
          <w:sz w:val="24"/>
          <w:szCs w:val="24"/>
          <w:lang w:eastAsia="ar-SA"/>
        </w:rPr>
        <w:t xml:space="preserve">at </w:t>
      </w:r>
      <w:r w:rsidR="00361FB2">
        <w:rPr>
          <w:rFonts w:eastAsiaTheme="minorHAnsi"/>
          <w:sz w:val="24"/>
          <w:szCs w:val="24"/>
          <w:lang w:eastAsia="ar-SA"/>
        </w:rPr>
        <w:t xml:space="preserve">the </w:t>
      </w:r>
      <w:r w:rsidR="004738C9">
        <w:rPr>
          <w:rFonts w:eastAsiaTheme="minorHAnsi"/>
          <w:sz w:val="24"/>
          <w:szCs w:val="24"/>
          <w:lang w:eastAsia="ar-SA"/>
        </w:rPr>
        <w:t xml:space="preserve">national </w:t>
      </w:r>
      <w:r w:rsidR="004300FE">
        <w:rPr>
          <w:rFonts w:eastAsiaTheme="minorHAnsi"/>
          <w:sz w:val="24"/>
          <w:szCs w:val="24"/>
          <w:lang w:eastAsia="ar-SA"/>
        </w:rPr>
        <w:t>level.</w:t>
      </w:r>
    </w:p>
    <w:p w14:paraId="49C8EF34" w14:textId="1315AA97" w:rsidR="004300FE" w:rsidRDefault="004738C9" w:rsidP="004300FE">
      <w:pPr>
        <w:overflowPunct/>
        <w:autoSpaceDE/>
        <w:autoSpaceDN/>
        <w:adjustRightInd/>
        <w:spacing w:before="280" w:after="280"/>
        <w:ind w:firstLine="567"/>
        <w:jc w:val="both"/>
        <w:textAlignment w:val="auto"/>
        <w:rPr>
          <w:rFonts w:eastAsiaTheme="minorHAnsi"/>
          <w:sz w:val="24"/>
          <w:szCs w:val="24"/>
          <w:lang w:eastAsia="ar-SA"/>
        </w:rPr>
      </w:pPr>
      <w:r>
        <w:rPr>
          <w:rFonts w:eastAsiaTheme="minorHAnsi"/>
          <w:sz w:val="24"/>
          <w:szCs w:val="24"/>
          <w:lang w:eastAsia="ar-SA"/>
        </w:rPr>
        <w:t xml:space="preserve">In 2021, the IAEA’s Incident and Emergency Centre (IEC) reviewed IAEA Safety Standards in the area of EPR for their applicability to “next generation reactors”. The scope of this review did not include nuclear fusion </w:t>
      </w:r>
      <w:r w:rsidR="004300FE">
        <w:rPr>
          <w:rFonts w:eastAsiaTheme="minorHAnsi"/>
          <w:sz w:val="24"/>
          <w:szCs w:val="24"/>
          <w:lang w:eastAsia="ar-SA"/>
        </w:rPr>
        <w:t xml:space="preserve">reactors, but it was focused on small modular reactors and other </w:t>
      </w:r>
      <w:r w:rsidR="00AA666C">
        <w:rPr>
          <w:rFonts w:eastAsiaTheme="minorHAnsi"/>
          <w:sz w:val="24"/>
          <w:szCs w:val="24"/>
          <w:lang w:eastAsia="ar-SA"/>
        </w:rPr>
        <w:t>non-water-cooled</w:t>
      </w:r>
      <w:r w:rsidR="004300FE">
        <w:rPr>
          <w:rFonts w:eastAsiaTheme="minorHAnsi"/>
          <w:sz w:val="24"/>
          <w:szCs w:val="24"/>
          <w:lang w:eastAsia="ar-SA"/>
        </w:rPr>
        <w:t xml:space="preserve"> reactors.</w:t>
      </w:r>
      <w:r w:rsidR="004300FE" w:rsidRPr="004300FE">
        <w:rPr>
          <w:rFonts w:eastAsiaTheme="minorHAnsi"/>
          <w:sz w:val="24"/>
          <w:szCs w:val="24"/>
          <w:lang w:eastAsia="ar-SA"/>
        </w:rPr>
        <w:t xml:space="preserve"> </w:t>
      </w:r>
      <w:r w:rsidR="004300FE">
        <w:rPr>
          <w:rFonts w:eastAsiaTheme="minorHAnsi"/>
          <w:sz w:val="24"/>
          <w:szCs w:val="24"/>
          <w:lang w:eastAsia="ar-SA"/>
        </w:rPr>
        <w:t>The outcome of the review was that the IAEA safety standards in EPR are technology neutral and thus applicable for these next generation reactors. However, to support their implementation in practice</w:t>
      </w:r>
      <w:r w:rsidR="00A73EF6">
        <w:rPr>
          <w:rFonts w:eastAsiaTheme="minorHAnsi"/>
          <w:sz w:val="24"/>
          <w:szCs w:val="24"/>
          <w:lang w:eastAsia="ar-SA"/>
        </w:rPr>
        <w:t>,</w:t>
      </w:r>
      <w:r w:rsidR="004300FE">
        <w:rPr>
          <w:rFonts w:eastAsiaTheme="minorHAnsi"/>
          <w:sz w:val="24"/>
          <w:szCs w:val="24"/>
          <w:lang w:eastAsia="ar-SA"/>
        </w:rPr>
        <w:t xml:space="preserve"> further clarity </w:t>
      </w:r>
      <w:r w:rsidR="00A73EF6">
        <w:rPr>
          <w:rFonts w:eastAsiaTheme="minorHAnsi"/>
          <w:sz w:val="24"/>
          <w:szCs w:val="24"/>
          <w:lang w:eastAsia="ar-SA"/>
        </w:rPr>
        <w:t>needs</w:t>
      </w:r>
      <w:r w:rsidR="004300FE">
        <w:rPr>
          <w:rFonts w:eastAsiaTheme="minorHAnsi"/>
          <w:sz w:val="24"/>
          <w:szCs w:val="24"/>
          <w:lang w:eastAsia="ar-SA"/>
        </w:rPr>
        <w:t xml:space="preserve"> to be brought on how specific EPR concepts apply for new technologies. </w:t>
      </w:r>
    </w:p>
    <w:p w14:paraId="74516BE1" w14:textId="2080978B" w:rsidR="004300FE" w:rsidRDefault="00A73EF6" w:rsidP="004300FE">
      <w:pPr>
        <w:overflowPunct/>
        <w:autoSpaceDE/>
        <w:autoSpaceDN/>
        <w:adjustRightInd/>
        <w:spacing w:before="280" w:after="280"/>
        <w:ind w:firstLine="567"/>
        <w:jc w:val="both"/>
        <w:textAlignment w:val="auto"/>
        <w:rPr>
          <w:rFonts w:eastAsiaTheme="minorHAnsi"/>
          <w:sz w:val="24"/>
          <w:szCs w:val="24"/>
          <w:lang w:eastAsia="ar-SA"/>
        </w:rPr>
      </w:pPr>
      <w:r>
        <w:rPr>
          <w:rFonts w:eastAsiaTheme="minorHAnsi"/>
          <w:sz w:val="24"/>
          <w:szCs w:val="24"/>
          <w:lang w:eastAsia="ar-SA"/>
        </w:rPr>
        <w:t>Based on this recent review</w:t>
      </w:r>
      <w:r w:rsidR="004300FE">
        <w:rPr>
          <w:rFonts w:eastAsiaTheme="minorHAnsi"/>
          <w:sz w:val="24"/>
          <w:szCs w:val="24"/>
          <w:lang w:eastAsia="ar-SA"/>
        </w:rPr>
        <w:t xml:space="preserve">, EPR safety standards </w:t>
      </w:r>
      <w:r>
        <w:rPr>
          <w:rFonts w:eastAsiaTheme="minorHAnsi"/>
          <w:sz w:val="24"/>
          <w:szCs w:val="24"/>
          <w:lang w:eastAsia="ar-SA"/>
        </w:rPr>
        <w:t>are believed to</w:t>
      </w:r>
      <w:r w:rsidR="004300FE">
        <w:rPr>
          <w:rFonts w:eastAsiaTheme="minorHAnsi"/>
          <w:sz w:val="24"/>
          <w:szCs w:val="24"/>
          <w:lang w:eastAsia="ar-SA"/>
        </w:rPr>
        <w:t xml:space="preserve"> be applicable for fusion reactors</w:t>
      </w:r>
      <w:r>
        <w:rPr>
          <w:rFonts w:eastAsiaTheme="minorHAnsi"/>
          <w:sz w:val="24"/>
          <w:szCs w:val="24"/>
          <w:lang w:eastAsia="ar-SA"/>
        </w:rPr>
        <w:t>, but</w:t>
      </w:r>
      <w:r w:rsidR="004300FE">
        <w:rPr>
          <w:rFonts w:eastAsiaTheme="minorHAnsi"/>
          <w:sz w:val="24"/>
          <w:szCs w:val="24"/>
          <w:lang w:eastAsia="ar-SA"/>
        </w:rPr>
        <w:t xml:space="preserve"> </w:t>
      </w:r>
      <w:r>
        <w:rPr>
          <w:rFonts w:eastAsiaTheme="minorHAnsi"/>
          <w:sz w:val="24"/>
          <w:szCs w:val="24"/>
          <w:lang w:eastAsia="ar-SA"/>
        </w:rPr>
        <w:t>up</w:t>
      </w:r>
      <w:r w:rsidR="004300FE">
        <w:rPr>
          <w:rFonts w:eastAsiaTheme="minorHAnsi"/>
          <w:sz w:val="24"/>
          <w:szCs w:val="24"/>
          <w:lang w:eastAsia="ar-SA"/>
        </w:rPr>
        <w:t xml:space="preserve"> to a certain extent</w:t>
      </w:r>
      <w:r>
        <w:rPr>
          <w:rFonts w:eastAsiaTheme="minorHAnsi"/>
          <w:sz w:val="24"/>
          <w:szCs w:val="24"/>
          <w:lang w:eastAsia="ar-SA"/>
        </w:rPr>
        <w:t>.</w:t>
      </w:r>
      <w:r w:rsidR="004300FE">
        <w:rPr>
          <w:rFonts w:eastAsiaTheme="minorHAnsi"/>
          <w:sz w:val="24"/>
          <w:szCs w:val="24"/>
          <w:lang w:eastAsia="ar-SA"/>
        </w:rPr>
        <w:t xml:space="preserve"> </w:t>
      </w:r>
      <w:r>
        <w:rPr>
          <w:rFonts w:eastAsiaTheme="minorHAnsi"/>
          <w:sz w:val="24"/>
          <w:szCs w:val="24"/>
          <w:lang w:eastAsia="ar-SA"/>
        </w:rPr>
        <w:t>F</w:t>
      </w:r>
      <w:r w:rsidR="004300FE">
        <w:rPr>
          <w:rFonts w:eastAsiaTheme="minorHAnsi"/>
          <w:sz w:val="24"/>
          <w:szCs w:val="24"/>
          <w:lang w:eastAsia="ar-SA"/>
        </w:rPr>
        <w:t xml:space="preserve">urther research is needed to understand the hazards associated with such new reactors and potential consequences </w:t>
      </w:r>
      <w:r>
        <w:rPr>
          <w:rFonts w:eastAsiaTheme="minorHAnsi"/>
          <w:sz w:val="24"/>
          <w:szCs w:val="24"/>
          <w:lang w:eastAsia="ar-SA"/>
        </w:rPr>
        <w:t xml:space="preserve">in case of </w:t>
      </w:r>
      <w:r w:rsidR="004300FE">
        <w:rPr>
          <w:rFonts w:eastAsiaTheme="minorHAnsi"/>
          <w:sz w:val="24"/>
          <w:szCs w:val="24"/>
          <w:lang w:eastAsia="ar-SA"/>
        </w:rPr>
        <w:t>an emergency</w:t>
      </w:r>
      <w:r>
        <w:rPr>
          <w:rFonts w:eastAsiaTheme="minorHAnsi"/>
          <w:sz w:val="24"/>
          <w:szCs w:val="24"/>
          <w:lang w:eastAsia="ar-SA"/>
        </w:rPr>
        <w:t>,</w:t>
      </w:r>
      <w:r w:rsidR="004300FE">
        <w:rPr>
          <w:rFonts w:eastAsiaTheme="minorHAnsi"/>
          <w:sz w:val="24"/>
          <w:szCs w:val="24"/>
          <w:lang w:eastAsia="ar-SA"/>
        </w:rPr>
        <w:t xml:space="preserve"> before this can be confirmed fully. </w:t>
      </w:r>
    </w:p>
    <w:p w14:paraId="3B8914DA" w14:textId="4D3367A8" w:rsidR="004738C9" w:rsidRDefault="00A73EF6" w:rsidP="004738C9">
      <w:pPr>
        <w:overflowPunct/>
        <w:autoSpaceDE/>
        <w:autoSpaceDN/>
        <w:adjustRightInd/>
        <w:spacing w:before="280" w:after="280"/>
        <w:ind w:firstLine="360"/>
        <w:jc w:val="both"/>
        <w:textAlignment w:val="auto"/>
        <w:rPr>
          <w:rFonts w:eastAsiaTheme="minorHAnsi"/>
          <w:sz w:val="24"/>
          <w:szCs w:val="24"/>
          <w:lang w:eastAsia="ar-SA"/>
        </w:rPr>
      </w:pPr>
      <w:r>
        <w:rPr>
          <w:rFonts w:eastAsiaTheme="minorHAnsi"/>
          <w:sz w:val="24"/>
          <w:szCs w:val="24"/>
          <w:lang w:eastAsia="ar-SA"/>
        </w:rPr>
        <w:t>B</w:t>
      </w:r>
      <w:r w:rsidR="004300FE">
        <w:rPr>
          <w:rFonts w:eastAsiaTheme="minorHAnsi"/>
          <w:sz w:val="24"/>
          <w:szCs w:val="24"/>
          <w:lang w:eastAsia="ar-SA"/>
        </w:rPr>
        <w:t xml:space="preserve">ased on the existing EPR safety standards, </w:t>
      </w:r>
      <w:r w:rsidR="004738C9" w:rsidRPr="00A24A72">
        <w:rPr>
          <w:rFonts w:eastAsiaTheme="minorHAnsi"/>
          <w:sz w:val="24"/>
          <w:szCs w:val="24"/>
          <w:lang w:eastAsia="ar-SA"/>
        </w:rPr>
        <w:t xml:space="preserve">appropriate emergency arrangements for </w:t>
      </w:r>
      <w:r w:rsidR="004738C9">
        <w:rPr>
          <w:rFonts w:eastAsiaTheme="minorHAnsi"/>
          <w:sz w:val="24"/>
          <w:szCs w:val="24"/>
          <w:lang w:eastAsia="ar-SA"/>
        </w:rPr>
        <w:t>fusion reactors</w:t>
      </w:r>
      <w:r w:rsidR="004738C9" w:rsidRPr="00A24A72">
        <w:rPr>
          <w:rFonts w:eastAsiaTheme="minorHAnsi"/>
          <w:sz w:val="24"/>
          <w:szCs w:val="24"/>
          <w:lang w:eastAsia="ar-SA"/>
        </w:rPr>
        <w:t xml:space="preserve"> need to be </w:t>
      </w:r>
      <w:r w:rsidR="004738C9">
        <w:rPr>
          <w:rFonts w:eastAsiaTheme="minorHAnsi"/>
          <w:sz w:val="24"/>
          <w:szCs w:val="24"/>
          <w:lang w:eastAsia="ar-SA"/>
        </w:rPr>
        <w:t>decided based</w:t>
      </w:r>
      <w:r w:rsidR="004738C9" w:rsidRPr="00A24A72">
        <w:rPr>
          <w:rFonts w:eastAsiaTheme="minorHAnsi"/>
          <w:sz w:val="24"/>
          <w:szCs w:val="24"/>
          <w:lang w:eastAsia="ar-SA"/>
        </w:rPr>
        <w:t xml:space="preserve"> on a hazard assessment, provided that this hazard assessment considers:</w:t>
      </w:r>
    </w:p>
    <w:p w14:paraId="14F1D600" w14:textId="018E8EC7" w:rsidR="004738C9" w:rsidRPr="00A24A72" w:rsidRDefault="004738C9" w:rsidP="004738C9">
      <w:pPr>
        <w:pStyle w:val="ListEmdash"/>
        <w:ind w:left="360"/>
        <w:rPr>
          <w:sz w:val="24"/>
          <w:szCs w:val="24"/>
        </w:rPr>
      </w:pPr>
      <w:r w:rsidRPr="00A24A72">
        <w:rPr>
          <w:rFonts w:eastAsiaTheme="minorHAnsi"/>
          <w:sz w:val="24"/>
          <w:szCs w:val="24"/>
          <w:lang w:eastAsia="ar-SA"/>
        </w:rPr>
        <w:lastRenderedPageBreak/>
        <w:t>Events of very low probability and events not considered in the design</w:t>
      </w:r>
      <w:r>
        <w:rPr>
          <w:rFonts w:eastAsiaTheme="minorHAnsi"/>
          <w:sz w:val="24"/>
          <w:szCs w:val="24"/>
          <w:lang w:eastAsia="ar-SA"/>
        </w:rPr>
        <w:t>, including</w:t>
      </w:r>
      <w:r w:rsidRPr="00A24A72">
        <w:rPr>
          <w:rFonts w:eastAsiaTheme="minorHAnsi"/>
          <w:sz w:val="24"/>
          <w:szCs w:val="24"/>
          <w:lang w:eastAsia="ar-SA"/>
        </w:rPr>
        <w:t xml:space="preserve"> those triggered by a nuclear security event (</w:t>
      </w:r>
      <w:r w:rsidR="0093007E" w:rsidRPr="00A24A72">
        <w:rPr>
          <w:rFonts w:eastAsiaTheme="minorHAnsi"/>
          <w:sz w:val="24"/>
          <w:szCs w:val="24"/>
          <w:lang w:eastAsia="ar-SA"/>
        </w:rPr>
        <w:t>e.g.,</w:t>
      </w:r>
      <w:r w:rsidRPr="00A24A72">
        <w:rPr>
          <w:rFonts w:eastAsiaTheme="minorHAnsi"/>
          <w:sz w:val="24"/>
          <w:szCs w:val="24"/>
          <w:lang w:eastAsia="ar-SA"/>
        </w:rPr>
        <w:t xml:space="preserve"> sabotage);</w:t>
      </w:r>
    </w:p>
    <w:p w14:paraId="1CAB7992" w14:textId="1992FF9F" w:rsidR="004738C9" w:rsidRPr="00A24A72" w:rsidRDefault="004738C9" w:rsidP="004738C9">
      <w:pPr>
        <w:pStyle w:val="ListEmdash"/>
        <w:ind w:left="360"/>
        <w:rPr>
          <w:sz w:val="24"/>
          <w:szCs w:val="24"/>
        </w:rPr>
      </w:pPr>
      <w:r w:rsidRPr="00A24A72">
        <w:rPr>
          <w:rFonts w:eastAsiaTheme="minorHAnsi"/>
          <w:sz w:val="24"/>
          <w:szCs w:val="24"/>
          <w:lang w:eastAsia="ar-SA"/>
        </w:rPr>
        <w:t xml:space="preserve">Events involving </w:t>
      </w:r>
      <w:r>
        <w:rPr>
          <w:rFonts w:eastAsiaTheme="minorHAnsi"/>
          <w:sz w:val="24"/>
          <w:szCs w:val="24"/>
          <w:lang w:eastAsia="ar-SA"/>
        </w:rPr>
        <w:t xml:space="preserve">a </w:t>
      </w:r>
      <w:r w:rsidRPr="00A24A72">
        <w:rPr>
          <w:rFonts w:eastAsiaTheme="minorHAnsi"/>
          <w:sz w:val="24"/>
          <w:szCs w:val="24"/>
          <w:lang w:eastAsia="ar-SA"/>
        </w:rPr>
        <w:t xml:space="preserve">combination of </w:t>
      </w:r>
      <w:r w:rsidR="004300FE">
        <w:rPr>
          <w:rFonts w:eastAsiaTheme="minorHAnsi"/>
          <w:sz w:val="24"/>
          <w:szCs w:val="24"/>
          <w:lang w:eastAsia="ar-SA"/>
        </w:rPr>
        <w:t xml:space="preserve">a </w:t>
      </w:r>
      <w:r w:rsidRPr="00A24A72">
        <w:rPr>
          <w:rFonts w:eastAsiaTheme="minorHAnsi"/>
          <w:sz w:val="24"/>
          <w:szCs w:val="24"/>
          <w:lang w:eastAsia="ar-SA"/>
        </w:rPr>
        <w:t xml:space="preserve">nuclear or radiological emergency with </w:t>
      </w:r>
      <w:r>
        <w:rPr>
          <w:rFonts w:eastAsiaTheme="minorHAnsi"/>
          <w:sz w:val="24"/>
          <w:szCs w:val="24"/>
          <w:lang w:eastAsia="ar-SA"/>
        </w:rPr>
        <w:t xml:space="preserve">a </w:t>
      </w:r>
      <w:r w:rsidRPr="00A24A72">
        <w:rPr>
          <w:rFonts w:eastAsiaTheme="minorHAnsi"/>
          <w:sz w:val="24"/>
          <w:szCs w:val="24"/>
          <w:lang w:eastAsia="ar-SA"/>
        </w:rPr>
        <w:t>conventional emergency that could affect wider areas and/or could impair capabilities to provide support in the emergency response;</w:t>
      </w:r>
    </w:p>
    <w:p w14:paraId="79639906" w14:textId="024EFA4B" w:rsidR="004738C9" w:rsidRPr="00A24A72" w:rsidRDefault="004738C9" w:rsidP="004738C9">
      <w:pPr>
        <w:pStyle w:val="ListEmdash"/>
        <w:ind w:left="360"/>
        <w:rPr>
          <w:sz w:val="24"/>
          <w:szCs w:val="24"/>
        </w:rPr>
      </w:pPr>
      <w:r w:rsidRPr="00A24A72">
        <w:rPr>
          <w:rFonts w:eastAsiaTheme="minorHAnsi"/>
          <w:sz w:val="24"/>
          <w:szCs w:val="24"/>
          <w:lang w:eastAsia="ar-SA"/>
        </w:rPr>
        <w:t xml:space="preserve">Events at </w:t>
      </w:r>
      <w:r w:rsidR="004300FE">
        <w:rPr>
          <w:rFonts w:eastAsiaTheme="minorHAnsi"/>
          <w:sz w:val="24"/>
          <w:szCs w:val="24"/>
          <w:lang w:eastAsia="ar-SA"/>
        </w:rPr>
        <w:t>similar facilities</w:t>
      </w:r>
      <w:r>
        <w:rPr>
          <w:rFonts w:eastAsiaTheme="minorHAnsi"/>
          <w:sz w:val="24"/>
          <w:szCs w:val="24"/>
          <w:lang w:eastAsia="ar-SA"/>
        </w:rPr>
        <w:t xml:space="preserve"> located abroad</w:t>
      </w:r>
      <w:r w:rsidRPr="00A24A72">
        <w:rPr>
          <w:rFonts w:eastAsiaTheme="minorHAnsi"/>
          <w:sz w:val="24"/>
          <w:szCs w:val="24"/>
          <w:lang w:eastAsia="ar-SA"/>
        </w:rPr>
        <w:t>.</w:t>
      </w:r>
    </w:p>
    <w:p w14:paraId="7CF263DA" w14:textId="5EA0FFB5" w:rsidR="004738C9" w:rsidRDefault="004738C9" w:rsidP="00361FB2">
      <w:pPr>
        <w:overflowPunct/>
        <w:autoSpaceDE/>
        <w:autoSpaceDN/>
        <w:adjustRightInd/>
        <w:spacing w:before="280" w:after="280"/>
        <w:ind w:firstLine="360"/>
        <w:jc w:val="both"/>
        <w:textAlignment w:val="auto"/>
        <w:rPr>
          <w:rFonts w:eastAsiaTheme="minorHAnsi"/>
          <w:sz w:val="24"/>
          <w:szCs w:val="24"/>
          <w:lang w:eastAsia="ar-SA"/>
        </w:rPr>
      </w:pPr>
      <w:r>
        <w:rPr>
          <w:rFonts w:eastAsiaTheme="minorHAnsi"/>
          <w:sz w:val="24"/>
          <w:szCs w:val="24"/>
          <w:lang w:eastAsia="ar-SA"/>
        </w:rPr>
        <w:t>Consequently</w:t>
      </w:r>
      <w:r w:rsidRPr="00A24A72">
        <w:rPr>
          <w:rFonts w:eastAsiaTheme="minorHAnsi"/>
          <w:sz w:val="24"/>
          <w:szCs w:val="24"/>
          <w:lang w:eastAsia="ar-SA"/>
        </w:rPr>
        <w:t xml:space="preserve">, </w:t>
      </w:r>
      <w:r>
        <w:rPr>
          <w:rFonts w:eastAsiaTheme="minorHAnsi"/>
          <w:sz w:val="24"/>
          <w:szCs w:val="24"/>
          <w:lang w:eastAsia="ar-SA"/>
        </w:rPr>
        <w:t xml:space="preserve">nuclear </w:t>
      </w:r>
      <w:r w:rsidRPr="00A24A72">
        <w:rPr>
          <w:rFonts w:eastAsiaTheme="minorHAnsi"/>
          <w:sz w:val="24"/>
          <w:szCs w:val="24"/>
          <w:lang w:eastAsia="ar-SA"/>
        </w:rPr>
        <w:t xml:space="preserve">operators and </w:t>
      </w:r>
      <w:r>
        <w:rPr>
          <w:rFonts w:eastAsiaTheme="minorHAnsi"/>
          <w:sz w:val="24"/>
          <w:szCs w:val="24"/>
          <w:lang w:eastAsia="ar-SA"/>
        </w:rPr>
        <w:t xml:space="preserve">Member </w:t>
      </w:r>
      <w:r w:rsidRPr="00A24A72">
        <w:rPr>
          <w:rFonts w:eastAsiaTheme="minorHAnsi"/>
          <w:sz w:val="24"/>
          <w:szCs w:val="24"/>
          <w:lang w:eastAsia="ar-SA"/>
        </w:rPr>
        <w:t xml:space="preserve">States </w:t>
      </w:r>
      <w:r>
        <w:rPr>
          <w:rFonts w:eastAsiaTheme="minorHAnsi"/>
          <w:sz w:val="24"/>
          <w:szCs w:val="24"/>
          <w:lang w:eastAsia="ar-SA"/>
        </w:rPr>
        <w:t>will</w:t>
      </w:r>
      <w:r w:rsidRPr="00A24A72">
        <w:rPr>
          <w:rFonts w:eastAsiaTheme="minorHAnsi"/>
          <w:sz w:val="24"/>
          <w:szCs w:val="24"/>
          <w:lang w:eastAsia="ar-SA"/>
        </w:rPr>
        <w:t xml:space="preserve"> need to perform such a hazard assessment and categorize </w:t>
      </w:r>
      <w:r>
        <w:rPr>
          <w:rFonts w:eastAsiaTheme="minorHAnsi"/>
          <w:sz w:val="24"/>
          <w:szCs w:val="24"/>
          <w:lang w:eastAsia="ar-SA"/>
        </w:rPr>
        <w:t>fusion reactors</w:t>
      </w:r>
      <w:r w:rsidRPr="00A24A72">
        <w:rPr>
          <w:rFonts w:eastAsiaTheme="minorHAnsi"/>
          <w:sz w:val="24"/>
          <w:szCs w:val="24"/>
          <w:lang w:eastAsia="ar-SA"/>
        </w:rPr>
        <w:t xml:space="preserve"> to </w:t>
      </w:r>
      <w:r>
        <w:rPr>
          <w:rFonts w:eastAsiaTheme="minorHAnsi"/>
          <w:sz w:val="24"/>
          <w:szCs w:val="24"/>
          <w:lang w:eastAsia="ar-SA"/>
        </w:rPr>
        <w:t xml:space="preserve">a </w:t>
      </w:r>
      <w:r w:rsidRPr="00A24A72">
        <w:rPr>
          <w:rFonts w:eastAsiaTheme="minorHAnsi"/>
          <w:sz w:val="24"/>
          <w:szCs w:val="24"/>
          <w:lang w:eastAsia="ar-SA"/>
        </w:rPr>
        <w:t xml:space="preserve">specific EPC. Then, respective requirements </w:t>
      </w:r>
      <w:r>
        <w:rPr>
          <w:rFonts w:eastAsiaTheme="minorHAnsi"/>
          <w:sz w:val="24"/>
          <w:szCs w:val="24"/>
          <w:lang w:eastAsia="ar-SA"/>
        </w:rPr>
        <w:t>from</w:t>
      </w:r>
      <w:r w:rsidRPr="00A24A72">
        <w:rPr>
          <w:rFonts w:eastAsiaTheme="minorHAnsi"/>
          <w:sz w:val="24"/>
          <w:szCs w:val="24"/>
          <w:lang w:eastAsia="ar-SA"/>
        </w:rPr>
        <w:t xml:space="preserve"> GSR Part 7 for that </w:t>
      </w:r>
      <w:r>
        <w:rPr>
          <w:rFonts w:eastAsiaTheme="minorHAnsi"/>
          <w:sz w:val="24"/>
          <w:szCs w:val="24"/>
          <w:lang w:eastAsia="ar-SA"/>
        </w:rPr>
        <w:t>EPC</w:t>
      </w:r>
      <w:r w:rsidRPr="00A24A72">
        <w:rPr>
          <w:rFonts w:eastAsiaTheme="minorHAnsi"/>
          <w:sz w:val="24"/>
          <w:szCs w:val="24"/>
          <w:lang w:eastAsia="ar-SA"/>
        </w:rPr>
        <w:t xml:space="preserve"> w</w:t>
      </w:r>
      <w:r>
        <w:rPr>
          <w:rFonts w:eastAsiaTheme="minorHAnsi"/>
          <w:sz w:val="24"/>
          <w:szCs w:val="24"/>
          <w:lang w:eastAsia="ar-SA"/>
        </w:rPr>
        <w:t>ill</w:t>
      </w:r>
      <w:r w:rsidRPr="00A24A72">
        <w:rPr>
          <w:rFonts w:eastAsiaTheme="minorHAnsi"/>
          <w:sz w:val="24"/>
          <w:szCs w:val="24"/>
          <w:lang w:eastAsia="ar-SA"/>
        </w:rPr>
        <w:t xml:space="preserve"> </w:t>
      </w:r>
      <w:r>
        <w:rPr>
          <w:rFonts w:eastAsiaTheme="minorHAnsi"/>
          <w:sz w:val="24"/>
          <w:szCs w:val="24"/>
          <w:lang w:eastAsia="ar-SA"/>
        </w:rPr>
        <w:t>apply</w:t>
      </w:r>
      <w:r w:rsidRPr="00A24A72">
        <w:rPr>
          <w:rFonts w:eastAsiaTheme="minorHAnsi"/>
          <w:sz w:val="24"/>
          <w:szCs w:val="24"/>
          <w:lang w:eastAsia="ar-SA"/>
        </w:rPr>
        <w:t xml:space="preserve">. </w:t>
      </w:r>
      <w:r>
        <w:rPr>
          <w:rFonts w:eastAsiaTheme="minorHAnsi"/>
          <w:sz w:val="24"/>
          <w:szCs w:val="24"/>
          <w:lang w:eastAsia="ar-SA"/>
        </w:rPr>
        <w:t xml:space="preserve">They will help identify </w:t>
      </w:r>
      <w:r w:rsidRPr="00A24A72">
        <w:rPr>
          <w:rFonts w:eastAsiaTheme="minorHAnsi"/>
          <w:sz w:val="24"/>
          <w:szCs w:val="24"/>
          <w:lang w:eastAsia="ar-SA"/>
        </w:rPr>
        <w:t xml:space="preserve">operational arrangements </w:t>
      </w:r>
      <w:r>
        <w:rPr>
          <w:rFonts w:eastAsiaTheme="minorHAnsi"/>
          <w:sz w:val="24"/>
          <w:szCs w:val="24"/>
          <w:lang w:eastAsia="ar-SA"/>
        </w:rPr>
        <w:t xml:space="preserve">needed, </w:t>
      </w:r>
      <w:r w:rsidRPr="00A24A72">
        <w:rPr>
          <w:rFonts w:eastAsiaTheme="minorHAnsi"/>
          <w:sz w:val="24"/>
          <w:szCs w:val="24"/>
          <w:lang w:eastAsia="ar-SA"/>
        </w:rPr>
        <w:t xml:space="preserve">such as </w:t>
      </w:r>
      <w:r w:rsidR="00A73EF6">
        <w:rPr>
          <w:rFonts w:eastAsiaTheme="minorHAnsi"/>
          <w:sz w:val="24"/>
          <w:szCs w:val="24"/>
          <w:lang w:eastAsia="ar-SA"/>
        </w:rPr>
        <w:t xml:space="preserve">the </w:t>
      </w:r>
      <w:r w:rsidRPr="00A24A72">
        <w:rPr>
          <w:rFonts w:eastAsiaTheme="minorHAnsi"/>
          <w:sz w:val="24"/>
          <w:szCs w:val="24"/>
          <w:lang w:eastAsia="ar-SA"/>
        </w:rPr>
        <w:t xml:space="preserve">characteristics of emergency response facilities, their location, staffing, operational protocols with off-site emergency services, </w:t>
      </w:r>
      <w:r>
        <w:rPr>
          <w:rFonts w:eastAsiaTheme="minorHAnsi"/>
          <w:sz w:val="24"/>
          <w:szCs w:val="24"/>
          <w:lang w:eastAsia="ar-SA"/>
        </w:rPr>
        <w:t xml:space="preserve">whether or not </w:t>
      </w:r>
      <w:r w:rsidRPr="00A24A72">
        <w:rPr>
          <w:rFonts w:eastAsiaTheme="minorHAnsi"/>
          <w:sz w:val="24"/>
          <w:szCs w:val="24"/>
          <w:lang w:eastAsia="ar-SA"/>
        </w:rPr>
        <w:t xml:space="preserve">Emergency Planning Zones (EPZs) and Emergency Planning Distances (EPDs) </w:t>
      </w:r>
      <w:r>
        <w:rPr>
          <w:rFonts w:eastAsiaTheme="minorHAnsi"/>
          <w:sz w:val="24"/>
          <w:szCs w:val="24"/>
          <w:lang w:eastAsia="ar-SA"/>
        </w:rPr>
        <w:t xml:space="preserve">are needed, </w:t>
      </w:r>
      <w:r w:rsidRPr="00A24A72">
        <w:rPr>
          <w:rFonts w:eastAsiaTheme="minorHAnsi"/>
          <w:sz w:val="24"/>
          <w:szCs w:val="24"/>
          <w:lang w:eastAsia="ar-SA"/>
        </w:rPr>
        <w:t xml:space="preserve">and </w:t>
      </w:r>
      <w:r>
        <w:rPr>
          <w:rFonts w:eastAsiaTheme="minorHAnsi"/>
          <w:sz w:val="24"/>
          <w:szCs w:val="24"/>
          <w:lang w:eastAsia="ar-SA"/>
        </w:rPr>
        <w:t xml:space="preserve">the </w:t>
      </w:r>
      <w:r w:rsidRPr="00A24A72">
        <w:rPr>
          <w:rFonts w:eastAsiaTheme="minorHAnsi"/>
          <w:sz w:val="24"/>
          <w:szCs w:val="24"/>
          <w:lang w:eastAsia="ar-SA"/>
        </w:rPr>
        <w:t xml:space="preserve">comprehensiveness of emergency arrangements within </w:t>
      </w:r>
      <w:r w:rsidR="00A73EF6">
        <w:rPr>
          <w:rFonts w:eastAsiaTheme="minorHAnsi"/>
          <w:sz w:val="24"/>
          <w:szCs w:val="24"/>
          <w:lang w:eastAsia="ar-SA"/>
        </w:rPr>
        <w:t>those zones and distances</w:t>
      </w:r>
      <w:r w:rsidRPr="00A24A72">
        <w:rPr>
          <w:rFonts w:eastAsiaTheme="minorHAnsi"/>
          <w:sz w:val="24"/>
          <w:szCs w:val="24"/>
          <w:lang w:eastAsia="ar-SA"/>
        </w:rPr>
        <w:t>.</w:t>
      </w:r>
    </w:p>
    <w:p w14:paraId="75F616A5" w14:textId="0E88D6A7" w:rsidR="00271B06" w:rsidRDefault="00320C66" w:rsidP="00BB1E27">
      <w:pPr>
        <w:overflowPunct/>
        <w:autoSpaceDE/>
        <w:autoSpaceDN/>
        <w:adjustRightInd/>
        <w:spacing w:before="280" w:after="280"/>
        <w:ind w:firstLine="360"/>
        <w:jc w:val="both"/>
        <w:textAlignment w:val="auto"/>
        <w:rPr>
          <w:rFonts w:eastAsiaTheme="minorHAnsi"/>
          <w:sz w:val="24"/>
          <w:szCs w:val="24"/>
          <w:lang w:eastAsia="ar-SA"/>
        </w:rPr>
      </w:pPr>
      <w:r>
        <w:rPr>
          <w:rFonts w:eastAsiaTheme="minorHAnsi"/>
          <w:sz w:val="24"/>
          <w:szCs w:val="24"/>
          <w:lang w:eastAsia="ar-SA"/>
        </w:rPr>
        <w:t>Even if</w:t>
      </w:r>
      <w:r w:rsidR="00231555">
        <w:rPr>
          <w:rFonts w:eastAsiaTheme="minorHAnsi"/>
          <w:sz w:val="24"/>
          <w:szCs w:val="24"/>
          <w:lang w:eastAsia="ar-SA"/>
        </w:rPr>
        <w:t xml:space="preserve"> most of the </w:t>
      </w:r>
      <w:r>
        <w:rPr>
          <w:rFonts w:eastAsiaTheme="minorHAnsi"/>
          <w:sz w:val="24"/>
          <w:szCs w:val="24"/>
          <w:lang w:eastAsia="ar-SA"/>
        </w:rPr>
        <w:t xml:space="preserve">requirements, guidance and recommendations of the </w:t>
      </w:r>
      <w:r w:rsidR="00231555">
        <w:rPr>
          <w:rFonts w:eastAsiaTheme="minorHAnsi"/>
          <w:sz w:val="24"/>
          <w:szCs w:val="24"/>
          <w:lang w:eastAsia="ar-SA"/>
        </w:rPr>
        <w:t xml:space="preserve">IAEA </w:t>
      </w:r>
      <w:r>
        <w:rPr>
          <w:rFonts w:eastAsiaTheme="minorHAnsi"/>
          <w:sz w:val="24"/>
          <w:szCs w:val="24"/>
          <w:lang w:eastAsia="ar-SA"/>
        </w:rPr>
        <w:t xml:space="preserve">safety standards in </w:t>
      </w:r>
      <w:r w:rsidR="00231555">
        <w:rPr>
          <w:rFonts w:eastAsiaTheme="minorHAnsi"/>
          <w:sz w:val="24"/>
          <w:szCs w:val="24"/>
          <w:lang w:eastAsia="ar-SA"/>
        </w:rPr>
        <w:t xml:space="preserve">EPR </w:t>
      </w:r>
      <w:r w:rsidR="00BB41E5">
        <w:rPr>
          <w:rFonts w:eastAsiaTheme="minorHAnsi"/>
          <w:sz w:val="24"/>
          <w:szCs w:val="24"/>
          <w:lang w:eastAsia="ar-SA"/>
        </w:rPr>
        <w:t xml:space="preserve">may </w:t>
      </w:r>
      <w:r w:rsidR="00231555">
        <w:rPr>
          <w:rFonts w:eastAsiaTheme="minorHAnsi"/>
          <w:sz w:val="24"/>
          <w:szCs w:val="24"/>
          <w:lang w:eastAsia="ar-SA"/>
        </w:rPr>
        <w:t xml:space="preserve">apply to </w:t>
      </w:r>
      <w:r>
        <w:rPr>
          <w:rFonts w:eastAsiaTheme="minorHAnsi"/>
          <w:sz w:val="24"/>
          <w:szCs w:val="24"/>
          <w:lang w:eastAsia="ar-SA"/>
        </w:rPr>
        <w:t xml:space="preserve">preparedness and response </w:t>
      </w:r>
      <w:r w:rsidR="00BB41E5">
        <w:rPr>
          <w:rFonts w:eastAsiaTheme="minorHAnsi"/>
          <w:sz w:val="24"/>
          <w:szCs w:val="24"/>
          <w:lang w:eastAsia="ar-SA"/>
        </w:rPr>
        <w:t>for</w:t>
      </w:r>
      <w:r>
        <w:rPr>
          <w:rFonts w:eastAsiaTheme="minorHAnsi"/>
          <w:sz w:val="24"/>
          <w:szCs w:val="24"/>
          <w:lang w:eastAsia="ar-SA"/>
        </w:rPr>
        <w:t xml:space="preserve"> an emergency at </w:t>
      </w:r>
      <w:r w:rsidR="00231555">
        <w:rPr>
          <w:rFonts w:eastAsiaTheme="minorHAnsi"/>
          <w:sz w:val="24"/>
          <w:szCs w:val="24"/>
          <w:lang w:eastAsia="ar-SA"/>
        </w:rPr>
        <w:t xml:space="preserve">fusion reactors, its practical implementation </w:t>
      </w:r>
      <w:r>
        <w:rPr>
          <w:rFonts w:eastAsiaTheme="minorHAnsi"/>
          <w:sz w:val="24"/>
          <w:szCs w:val="24"/>
          <w:lang w:eastAsia="ar-SA"/>
        </w:rPr>
        <w:t xml:space="preserve">is expected to </w:t>
      </w:r>
      <w:r w:rsidR="00231555">
        <w:rPr>
          <w:rFonts w:eastAsiaTheme="minorHAnsi"/>
          <w:sz w:val="24"/>
          <w:szCs w:val="24"/>
          <w:lang w:eastAsia="ar-SA"/>
        </w:rPr>
        <w:t>require</w:t>
      </w:r>
      <w:r>
        <w:rPr>
          <w:rFonts w:eastAsiaTheme="minorHAnsi"/>
          <w:sz w:val="24"/>
          <w:szCs w:val="24"/>
          <w:lang w:eastAsia="ar-SA"/>
        </w:rPr>
        <w:t xml:space="preserve"> further</w:t>
      </w:r>
      <w:r w:rsidR="00231555">
        <w:rPr>
          <w:rFonts w:eastAsiaTheme="minorHAnsi"/>
          <w:sz w:val="24"/>
          <w:szCs w:val="24"/>
          <w:lang w:eastAsia="ar-SA"/>
        </w:rPr>
        <w:t xml:space="preserve"> work and specific developments. </w:t>
      </w:r>
      <w:r w:rsidR="004C13F7">
        <w:rPr>
          <w:rFonts w:eastAsiaTheme="minorHAnsi"/>
          <w:sz w:val="24"/>
          <w:szCs w:val="24"/>
          <w:lang w:eastAsia="ar-SA"/>
        </w:rPr>
        <w:t>Questions such as the following will need to be addressed:</w:t>
      </w:r>
    </w:p>
    <w:p w14:paraId="48AB917D" w14:textId="3F556034" w:rsidR="00320C66" w:rsidRPr="004C13F7" w:rsidRDefault="003467C8" w:rsidP="004C13F7">
      <w:pPr>
        <w:pStyle w:val="ListEmdash"/>
        <w:numPr>
          <w:ilvl w:val="0"/>
          <w:numId w:val="36"/>
        </w:numPr>
        <w:spacing w:after="120"/>
        <w:contextualSpacing w:val="0"/>
        <w:rPr>
          <w:rFonts w:eastAsiaTheme="minorHAnsi"/>
          <w:sz w:val="24"/>
          <w:szCs w:val="24"/>
          <w:lang w:eastAsia="ar-SA"/>
        </w:rPr>
      </w:pPr>
      <w:r w:rsidRPr="004C13F7">
        <w:rPr>
          <w:rFonts w:eastAsiaTheme="minorHAnsi"/>
          <w:sz w:val="24"/>
          <w:szCs w:val="24"/>
          <w:lang w:eastAsia="ar-SA"/>
        </w:rPr>
        <w:t>What are the hazards associated to fusion reactors</w:t>
      </w:r>
      <w:r w:rsidR="00A73EF6">
        <w:rPr>
          <w:rFonts w:eastAsiaTheme="minorHAnsi"/>
          <w:sz w:val="24"/>
          <w:szCs w:val="24"/>
          <w:lang w:eastAsia="ar-SA"/>
        </w:rPr>
        <w:t>,</w:t>
      </w:r>
      <w:r w:rsidR="00320C66" w:rsidRPr="004C13F7">
        <w:rPr>
          <w:rFonts w:eastAsiaTheme="minorHAnsi"/>
          <w:sz w:val="24"/>
          <w:szCs w:val="24"/>
          <w:lang w:eastAsia="ar-SA"/>
        </w:rPr>
        <w:t xml:space="preserve"> including </w:t>
      </w:r>
      <w:r w:rsidR="00BB41E5">
        <w:rPr>
          <w:rFonts w:eastAsiaTheme="minorHAnsi"/>
          <w:sz w:val="24"/>
          <w:szCs w:val="24"/>
          <w:lang w:eastAsia="ar-SA"/>
        </w:rPr>
        <w:t xml:space="preserve">radiation and non-radiation related </w:t>
      </w:r>
      <w:r w:rsidR="00A73EF6">
        <w:rPr>
          <w:rFonts w:eastAsiaTheme="minorHAnsi"/>
          <w:sz w:val="24"/>
          <w:szCs w:val="24"/>
          <w:lang w:eastAsia="ar-SA"/>
        </w:rPr>
        <w:t>hazards</w:t>
      </w:r>
      <w:r w:rsidRPr="004C13F7">
        <w:rPr>
          <w:rFonts w:eastAsiaTheme="minorHAnsi"/>
          <w:sz w:val="24"/>
          <w:szCs w:val="24"/>
          <w:lang w:eastAsia="ar-SA"/>
        </w:rPr>
        <w:t>?</w:t>
      </w:r>
      <w:r w:rsidR="00320C66" w:rsidRPr="004C13F7">
        <w:rPr>
          <w:rFonts w:eastAsiaTheme="minorHAnsi"/>
          <w:sz w:val="24"/>
          <w:szCs w:val="24"/>
          <w:lang w:eastAsia="ar-SA"/>
        </w:rPr>
        <w:t xml:space="preserve"> </w:t>
      </w:r>
    </w:p>
    <w:p w14:paraId="40F7FCFF" w14:textId="1B49681E" w:rsidR="003467C8" w:rsidRDefault="00320C66" w:rsidP="00BB41E5">
      <w:pPr>
        <w:pStyle w:val="ListEmdash"/>
        <w:numPr>
          <w:ilvl w:val="0"/>
          <w:numId w:val="36"/>
        </w:numPr>
        <w:spacing w:after="120"/>
        <w:contextualSpacing w:val="0"/>
        <w:rPr>
          <w:rFonts w:eastAsiaTheme="minorHAnsi"/>
          <w:sz w:val="24"/>
          <w:szCs w:val="24"/>
          <w:lang w:eastAsia="ar-SA"/>
        </w:rPr>
      </w:pPr>
      <w:r w:rsidRPr="004C13F7">
        <w:rPr>
          <w:rFonts w:eastAsiaTheme="minorHAnsi"/>
          <w:sz w:val="24"/>
          <w:szCs w:val="24"/>
          <w:lang w:eastAsia="ar-SA"/>
        </w:rPr>
        <w:t>Can radiological consequences be expected on-site and off-site that m</w:t>
      </w:r>
      <w:r w:rsidR="004C13F7">
        <w:rPr>
          <w:rFonts w:eastAsiaTheme="minorHAnsi"/>
          <w:sz w:val="24"/>
          <w:szCs w:val="24"/>
          <w:lang w:eastAsia="ar-SA"/>
        </w:rPr>
        <w:t>ight</w:t>
      </w:r>
      <w:r w:rsidRPr="004C13F7">
        <w:rPr>
          <w:rFonts w:eastAsiaTheme="minorHAnsi"/>
          <w:sz w:val="24"/>
          <w:szCs w:val="24"/>
          <w:lang w:eastAsia="ar-SA"/>
        </w:rPr>
        <w:t xml:space="preserve"> result in radiation induced health effects among affected population and </w:t>
      </w:r>
      <w:r w:rsidR="004E24B7">
        <w:rPr>
          <w:rFonts w:eastAsiaTheme="minorHAnsi"/>
          <w:sz w:val="24"/>
          <w:szCs w:val="24"/>
          <w:lang w:eastAsia="ar-SA"/>
        </w:rPr>
        <w:t>on-site</w:t>
      </w:r>
      <w:r w:rsidR="004E24B7" w:rsidRPr="004C13F7">
        <w:rPr>
          <w:rFonts w:eastAsiaTheme="minorHAnsi"/>
          <w:sz w:val="24"/>
          <w:szCs w:val="24"/>
          <w:lang w:eastAsia="ar-SA"/>
        </w:rPr>
        <w:t xml:space="preserve"> </w:t>
      </w:r>
      <w:r w:rsidRPr="004C13F7">
        <w:rPr>
          <w:rFonts w:eastAsiaTheme="minorHAnsi"/>
          <w:sz w:val="24"/>
          <w:szCs w:val="24"/>
          <w:lang w:eastAsia="ar-SA"/>
        </w:rPr>
        <w:t xml:space="preserve">staff? </w:t>
      </w:r>
      <w:r w:rsidR="00BB41E5" w:rsidRPr="004C13F7">
        <w:rPr>
          <w:rFonts w:eastAsiaTheme="minorHAnsi"/>
          <w:sz w:val="24"/>
          <w:szCs w:val="24"/>
          <w:lang w:eastAsia="ar-SA"/>
        </w:rPr>
        <w:t>What inventory of radioactive release can be expected</w:t>
      </w:r>
      <w:r w:rsidR="00BB41E5">
        <w:rPr>
          <w:rFonts w:eastAsiaTheme="minorHAnsi"/>
          <w:sz w:val="24"/>
          <w:szCs w:val="24"/>
          <w:lang w:eastAsia="ar-SA"/>
        </w:rPr>
        <w:t xml:space="preserve"> and </w:t>
      </w:r>
      <w:r w:rsidR="004C13F7">
        <w:rPr>
          <w:rFonts w:eastAsiaTheme="minorHAnsi"/>
          <w:sz w:val="24"/>
          <w:szCs w:val="24"/>
          <w:lang w:eastAsia="ar-SA"/>
        </w:rPr>
        <w:t>what can be the pathways for such a release in</w:t>
      </w:r>
      <w:r w:rsidR="00BB41E5">
        <w:rPr>
          <w:rFonts w:eastAsiaTheme="minorHAnsi"/>
          <w:sz w:val="24"/>
          <w:szCs w:val="24"/>
          <w:lang w:eastAsia="ar-SA"/>
        </w:rPr>
        <w:t xml:space="preserve"> the environment</w:t>
      </w:r>
      <w:r w:rsidR="00BB41E5" w:rsidRPr="004C13F7">
        <w:rPr>
          <w:rFonts w:eastAsiaTheme="minorHAnsi"/>
          <w:sz w:val="24"/>
          <w:szCs w:val="24"/>
          <w:lang w:eastAsia="ar-SA"/>
        </w:rPr>
        <w:t xml:space="preserve">? </w:t>
      </w:r>
    </w:p>
    <w:p w14:paraId="4D91ED98" w14:textId="32817B97" w:rsidR="00BB41E5" w:rsidRDefault="00BB41E5" w:rsidP="00BB41E5">
      <w:pPr>
        <w:pStyle w:val="ListEmdash"/>
        <w:numPr>
          <w:ilvl w:val="0"/>
          <w:numId w:val="36"/>
        </w:numPr>
        <w:spacing w:after="120"/>
        <w:contextualSpacing w:val="0"/>
        <w:rPr>
          <w:rFonts w:eastAsiaTheme="minorHAnsi"/>
          <w:sz w:val="24"/>
          <w:szCs w:val="24"/>
          <w:lang w:eastAsia="ar-SA"/>
        </w:rPr>
      </w:pPr>
      <w:r>
        <w:rPr>
          <w:rFonts w:eastAsiaTheme="minorHAnsi"/>
          <w:sz w:val="24"/>
          <w:szCs w:val="24"/>
          <w:lang w:eastAsia="ar-SA"/>
        </w:rPr>
        <w:t xml:space="preserve">What non-radiation related consequences associated </w:t>
      </w:r>
      <w:r w:rsidR="004C13F7">
        <w:rPr>
          <w:rFonts w:eastAsiaTheme="minorHAnsi"/>
          <w:sz w:val="24"/>
          <w:szCs w:val="24"/>
          <w:lang w:eastAsia="ar-SA"/>
        </w:rPr>
        <w:t>e.g.,</w:t>
      </w:r>
      <w:r>
        <w:rPr>
          <w:rFonts w:eastAsiaTheme="minorHAnsi"/>
          <w:sz w:val="24"/>
          <w:szCs w:val="24"/>
          <w:lang w:eastAsia="ar-SA"/>
        </w:rPr>
        <w:t xml:space="preserve"> with the use of novel materials and techniques, can be expected on-site and off-site? What will their impact be on EPR?</w:t>
      </w:r>
    </w:p>
    <w:p w14:paraId="6052FEE4" w14:textId="5B3CF01F" w:rsidR="00BB41E5" w:rsidRDefault="00BB41E5" w:rsidP="00BB41E5">
      <w:pPr>
        <w:pStyle w:val="ListEmdash"/>
        <w:numPr>
          <w:ilvl w:val="0"/>
          <w:numId w:val="36"/>
        </w:numPr>
        <w:spacing w:after="120"/>
        <w:contextualSpacing w:val="0"/>
        <w:rPr>
          <w:rFonts w:eastAsiaTheme="minorHAnsi"/>
          <w:sz w:val="24"/>
          <w:szCs w:val="24"/>
          <w:lang w:eastAsia="ar-SA"/>
        </w:rPr>
      </w:pPr>
      <w:r w:rsidRPr="00FB2A96">
        <w:rPr>
          <w:rFonts w:eastAsiaTheme="minorHAnsi"/>
          <w:sz w:val="24"/>
          <w:szCs w:val="24"/>
          <w:lang w:eastAsia="ar-SA"/>
        </w:rPr>
        <w:t xml:space="preserve">What is the </w:t>
      </w:r>
      <w:r w:rsidR="003D4161">
        <w:rPr>
          <w:rFonts w:eastAsiaTheme="minorHAnsi"/>
          <w:sz w:val="24"/>
          <w:szCs w:val="24"/>
          <w:lang w:eastAsia="ar-SA"/>
        </w:rPr>
        <w:t>kinetics of</w:t>
      </w:r>
      <w:r w:rsidRPr="00FB2A96">
        <w:rPr>
          <w:rFonts w:eastAsiaTheme="minorHAnsi"/>
          <w:sz w:val="24"/>
          <w:szCs w:val="24"/>
          <w:lang w:eastAsia="ar-SA"/>
        </w:rPr>
        <w:t xml:space="preserve"> potential emergency scenarios </w:t>
      </w:r>
      <w:r w:rsidR="003D4161">
        <w:rPr>
          <w:rFonts w:eastAsiaTheme="minorHAnsi"/>
          <w:sz w:val="24"/>
          <w:szCs w:val="24"/>
          <w:lang w:eastAsia="ar-SA"/>
        </w:rPr>
        <w:t>at</w:t>
      </w:r>
      <w:r w:rsidR="003D4161" w:rsidRPr="00FB2A96">
        <w:rPr>
          <w:rFonts w:eastAsiaTheme="minorHAnsi"/>
          <w:sz w:val="24"/>
          <w:szCs w:val="24"/>
          <w:lang w:eastAsia="ar-SA"/>
        </w:rPr>
        <w:t xml:space="preserve"> </w:t>
      </w:r>
      <w:r w:rsidRPr="00FB2A96">
        <w:rPr>
          <w:rFonts w:eastAsiaTheme="minorHAnsi"/>
          <w:sz w:val="24"/>
          <w:szCs w:val="24"/>
          <w:lang w:eastAsia="ar-SA"/>
        </w:rPr>
        <w:t>f</w:t>
      </w:r>
      <w:r w:rsidR="003D4161">
        <w:rPr>
          <w:rFonts w:eastAsiaTheme="minorHAnsi"/>
          <w:sz w:val="24"/>
          <w:szCs w:val="24"/>
          <w:lang w:eastAsia="ar-SA"/>
        </w:rPr>
        <w:t>u</w:t>
      </w:r>
      <w:r w:rsidRPr="00FB2A96">
        <w:rPr>
          <w:rFonts w:eastAsiaTheme="minorHAnsi"/>
          <w:sz w:val="24"/>
          <w:szCs w:val="24"/>
          <w:lang w:eastAsia="ar-SA"/>
        </w:rPr>
        <w:t>sion reactors? How does this relate to the time available for effective decision-making and timely implementation of public protective actions?</w:t>
      </w:r>
    </w:p>
    <w:p w14:paraId="0FFE6A10" w14:textId="3CDFD88D" w:rsidR="00BB41E5" w:rsidRPr="003D4161" w:rsidRDefault="00BB41E5" w:rsidP="003D4161">
      <w:pPr>
        <w:pStyle w:val="ListEmdash"/>
        <w:numPr>
          <w:ilvl w:val="0"/>
          <w:numId w:val="36"/>
        </w:numPr>
        <w:spacing w:after="120"/>
        <w:contextualSpacing w:val="0"/>
        <w:rPr>
          <w:rFonts w:eastAsiaTheme="minorHAnsi"/>
          <w:sz w:val="24"/>
          <w:szCs w:val="24"/>
          <w:lang w:eastAsia="ar-SA"/>
        </w:rPr>
      </w:pPr>
      <w:r>
        <w:rPr>
          <w:rFonts w:eastAsiaTheme="minorHAnsi"/>
          <w:sz w:val="24"/>
          <w:szCs w:val="24"/>
          <w:lang w:eastAsia="ar-SA"/>
        </w:rPr>
        <w:t>What non-radiological consequences (</w:t>
      </w:r>
      <w:r w:rsidR="003D4161">
        <w:rPr>
          <w:rFonts w:eastAsiaTheme="minorHAnsi"/>
          <w:sz w:val="24"/>
          <w:szCs w:val="24"/>
          <w:lang w:eastAsia="ar-SA"/>
        </w:rPr>
        <w:t>e.g.,</w:t>
      </w:r>
      <w:r>
        <w:rPr>
          <w:rFonts w:eastAsiaTheme="minorHAnsi"/>
          <w:sz w:val="24"/>
          <w:szCs w:val="24"/>
          <w:lang w:eastAsia="ar-SA"/>
        </w:rPr>
        <w:t xml:space="preserve"> economic) can be expected from an emergency </w:t>
      </w:r>
      <w:r w:rsidR="003D4161">
        <w:rPr>
          <w:rFonts w:eastAsiaTheme="minorHAnsi"/>
          <w:sz w:val="24"/>
          <w:szCs w:val="24"/>
          <w:lang w:eastAsia="ar-SA"/>
        </w:rPr>
        <w:t xml:space="preserve">at </w:t>
      </w:r>
      <w:r>
        <w:rPr>
          <w:rFonts w:eastAsiaTheme="minorHAnsi"/>
          <w:sz w:val="24"/>
          <w:szCs w:val="24"/>
          <w:lang w:eastAsia="ar-SA"/>
        </w:rPr>
        <w:t>fusion reactors?</w:t>
      </w:r>
    </w:p>
    <w:p w14:paraId="30D812DA" w14:textId="499F8172" w:rsidR="00BB41E5" w:rsidRPr="00FB2A96" w:rsidRDefault="00BB41E5" w:rsidP="00BB41E5">
      <w:pPr>
        <w:pStyle w:val="ListEmdash"/>
        <w:numPr>
          <w:ilvl w:val="0"/>
          <w:numId w:val="36"/>
        </w:numPr>
        <w:spacing w:after="120"/>
        <w:contextualSpacing w:val="0"/>
        <w:rPr>
          <w:rFonts w:eastAsiaTheme="minorHAnsi"/>
          <w:sz w:val="24"/>
          <w:szCs w:val="24"/>
          <w:lang w:eastAsia="ar-SA"/>
        </w:rPr>
      </w:pPr>
      <w:r>
        <w:rPr>
          <w:rFonts w:eastAsiaTheme="minorHAnsi"/>
          <w:sz w:val="24"/>
          <w:szCs w:val="24"/>
          <w:lang w:eastAsia="ar-SA"/>
        </w:rPr>
        <w:t xml:space="preserve">What mitigatory and public protective actions would be effective in mitigating the consequences of an emergency </w:t>
      </w:r>
      <w:r w:rsidR="004E24B7">
        <w:rPr>
          <w:rFonts w:eastAsiaTheme="minorHAnsi"/>
          <w:sz w:val="24"/>
          <w:szCs w:val="24"/>
          <w:lang w:eastAsia="ar-SA"/>
        </w:rPr>
        <w:t xml:space="preserve">at a </w:t>
      </w:r>
      <w:r>
        <w:rPr>
          <w:rFonts w:eastAsiaTheme="minorHAnsi"/>
          <w:sz w:val="24"/>
          <w:szCs w:val="24"/>
          <w:lang w:eastAsia="ar-SA"/>
        </w:rPr>
        <w:t>fusion reactor?</w:t>
      </w:r>
    </w:p>
    <w:p w14:paraId="478526C0" w14:textId="29389406" w:rsidR="003467C8" w:rsidRPr="003D4161" w:rsidRDefault="003467C8" w:rsidP="003D4161">
      <w:pPr>
        <w:pStyle w:val="ListEmdash"/>
        <w:numPr>
          <w:ilvl w:val="0"/>
          <w:numId w:val="36"/>
        </w:numPr>
        <w:spacing w:after="120"/>
        <w:contextualSpacing w:val="0"/>
        <w:rPr>
          <w:rFonts w:eastAsiaTheme="minorHAnsi"/>
          <w:sz w:val="24"/>
          <w:szCs w:val="24"/>
          <w:lang w:eastAsia="ar-SA"/>
        </w:rPr>
      </w:pPr>
      <w:r w:rsidRPr="003D4161">
        <w:rPr>
          <w:rFonts w:eastAsiaTheme="minorHAnsi"/>
          <w:sz w:val="24"/>
          <w:szCs w:val="24"/>
          <w:lang w:eastAsia="ar-SA"/>
        </w:rPr>
        <w:t>In which EPC(s) are fusion reactors to be categorized?</w:t>
      </w:r>
      <w:r w:rsidR="00320C66" w:rsidRPr="003D4161">
        <w:rPr>
          <w:rFonts w:eastAsiaTheme="minorHAnsi"/>
          <w:sz w:val="24"/>
          <w:szCs w:val="24"/>
          <w:lang w:eastAsia="ar-SA"/>
        </w:rPr>
        <w:t xml:space="preserve"> </w:t>
      </w:r>
      <w:r w:rsidRPr="003D4161">
        <w:rPr>
          <w:rFonts w:eastAsiaTheme="minorHAnsi"/>
          <w:sz w:val="24"/>
          <w:szCs w:val="24"/>
          <w:lang w:eastAsia="ar-SA"/>
        </w:rPr>
        <w:t>If fusion rectors are categorized under EPC I or II, what should be the size of the associated EPZ and EPD?</w:t>
      </w:r>
    </w:p>
    <w:p w14:paraId="2BEE63FA" w14:textId="683328BE" w:rsidR="003467C8" w:rsidRDefault="003467C8" w:rsidP="00BB41E5">
      <w:pPr>
        <w:pStyle w:val="ListEmdash"/>
        <w:numPr>
          <w:ilvl w:val="0"/>
          <w:numId w:val="36"/>
        </w:numPr>
        <w:spacing w:after="120"/>
        <w:contextualSpacing w:val="0"/>
        <w:rPr>
          <w:rFonts w:eastAsiaTheme="minorHAnsi"/>
          <w:sz w:val="24"/>
          <w:szCs w:val="24"/>
          <w:lang w:eastAsia="ar-SA"/>
        </w:rPr>
      </w:pPr>
      <w:r w:rsidRPr="003D4161">
        <w:rPr>
          <w:rFonts w:eastAsiaTheme="minorHAnsi"/>
          <w:sz w:val="24"/>
          <w:szCs w:val="24"/>
          <w:lang w:eastAsia="ar-SA"/>
        </w:rPr>
        <w:t>Wh</w:t>
      </w:r>
      <w:r w:rsidR="003D4161">
        <w:rPr>
          <w:rFonts w:eastAsiaTheme="minorHAnsi"/>
          <w:sz w:val="24"/>
          <w:szCs w:val="24"/>
          <w:lang w:eastAsia="ar-SA"/>
        </w:rPr>
        <w:t>ich on-site</w:t>
      </w:r>
      <w:r w:rsidRPr="003D4161">
        <w:rPr>
          <w:rFonts w:eastAsiaTheme="minorHAnsi"/>
          <w:sz w:val="24"/>
          <w:szCs w:val="24"/>
          <w:lang w:eastAsia="ar-SA"/>
        </w:rPr>
        <w:t xml:space="preserve"> </w:t>
      </w:r>
      <w:r w:rsidR="00BB41E5">
        <w:rPr>
          <w:rFonts w:eastAsiaTheme="minorHAnsi"/>
          <w:sz w:val="24"/>
          <w:szCs w:val="24"/>
          <w:lang w:eastAsia="ar-SA"/>
        </w:rPr>
        <w:t xml:space="preserve">conditions </w:t>
      </w:r>
      <w:r w:rsidR="006D6809">
        <w:rPr>
          <w:rFonts w:eastAsiaTheme="minorHAnsi"/>
          <w:sz w:val="24"/>
          <w:szCs w:val="24"/>
          <w:lang w:eastAsia="ar-SA"/>
        </w:rPr>
        <w:t xml:space="preserve">can </w:t>
      </w:r>
      <w:r w:rsidR="00BB41E5">
        <w:rPr>
          <w:rFonts w:eastAsiaTheme="minorHAnsi"/>
          <w:sz w:val="24"/>
          <w:szCs w:val="24"/>
          <w:lang w:eastAsia="ar-SA"/>
        </w:rPr>
        <w:t xml:space="preserve">be indicative of an emergency </w:t>
      </w:r>
      <w:r w:rsidR="006D6809">
        <w:rPr>
          <w:rFonts w:eastAsiaTheme="minorHAnsi"/>
          <w:sz w:val="24"/>
          <w:szCs w:val="24"/>
          <w:lang w:eastAsia="ar-SA"/>
        </w:rPr>
        <w:t>situation</w:t>
      </w:r>
      <w:r w:rsidR="00BB41E5">
        <w:rPr>
          <w:rFonts w:eastAsiaTheme="minorHAnsi"/>
          <w:sz w:val="24"/>
          <w:szCs w:val="24"/>
          <w:lang w:eastAsia="ar-SA"/>
        </w:rPr>
        <w:t xml:space="preserve"> and </w:t>
      </w:r>
      <w:r w:rsidR="003D4161">
        <w:rPr>
          <w:rFonts w:eastAsiaTheme="minorHAnsi"/>
          <w:sz w:val="24"/>
          <w:szCs w:val="24"/>
          <w:lang w:eastAsia="ar-SA"/>
        </w:rPr>
        <w:t xml:space="preserve">the </w:t>
      </w:r>
      <w:r w:rsidR="00BB41E5">
        <w:rPr>
          <w:rFonts w:eastAsiaTheme="minorHAnsi"/>
          <w:sz w:val="24"/>
          <w:szCs w:val="24"/>
          <w:lang w:eastAsia="ar-SA"/>
        </w:rPr>
        <w:t>associated level of emergency response to be activated?</w:t>
      </w:r>
      <w:r w:rsidRPr="0093007E">
        <w:rPr>
          <w:rFonts w:eastAsiaTheme="minorHAnsi"/>
          <w:sz w:val="24"/>
          <w:szCs w:val="24"/>
          <w:lang w:eastAsia="ar-SA"/>
        </w:rPr>
        <w:t xml:space="preserve"> </w:t>
      </w:r>
      <w:r w:rsidR="006D6809">
        <w:rPr>
          <w:rFonts w:eastAsiaTheme="minorHAnsi"/>
          <w:sz w:val="24"/>
          <w:szCs w:val="24"/>
          <w:lang w:eastAsia="ar-SA"/>
        </w:rPr>
        <w:t xml:space="preserve">How can </w:t>
      </w:r>
      <w:r w:rsidR="00175B15">
        <w:rPr>
          <w:rFonts w:eastAsiaTheme="minorHAnsi"/>
          <w:sz w:val="24"/>
          <w:szCs w:val="24"/>
          <w:lang w:eastAsia="ar-SA"/>
        </w:rPr>
        <w:t xml:space="preserve">these on-site observables </w:t>
      </w:r>
      <w:r w:rsidR="006D6809">
        <w:rPr>
          <w:rFonts w:eastAsiaTheme="minorHAnsi"/>
          <w:sz w:val="24"/>
          <w:szCs w:val="24"/>
          <w:lang w:eastAsia="ar-SA"/>
        </w:rPr>
        <w:t>fit into the existing emergency classification system applied for other reactors</w:t>
      </w:r>
      <w:r w:rsidR="0093007E">
        <w:rPr>
          <w:rFonts w:eastAsiaTheme="minorHAnsi"/>
          <w:sz w:val="24"/>
          <w:szCs w:val="24"/>
          <w:lang w:eastAsia="ar-SA"/>
        </w:rPr>
        <w:t>, under which emergency action levels</w:t>
      </w:r>
      <w:r w:rsidR="006D6809">
        <w:rPr>
          <w:rFonts w:eastAsiaTheme="minorHAnsi"/>
          <w:sz w:val="24"/>
          <w:szCs w:val="24"/>
          <w:lang w:eastAsia="ar-SA"/>
        </w:rPr>
        <w:t xml:space="preserve">? What associated emergency action levels will </w:t>
      </w:r>
      <w:r w:rsidR="004E24B7">
        <w:rPr>
          <w:rFonts w:eastAsiaTheme="minorHAnsi"/>
          <w:sz w:val="24"/>
          <w:szCs w:val="24"/>
          <w:lang w:eastAsia="ar-SA"/>
        </w:rPr>
        <w:t>apply</w:t>
      </w:r>
      <w:r w:rsidR="006D6809">
        <w:rPr>
          <w:rFonts w:eastAsiaTheme="minorHAnsi"/>
          <w:sz w:val="24"/>
          <w:szCs w:val="24"/>
          <w:lang w:eastAsia="ar-SA"/>
        </w:rPr>
        <w:t xml:space="preserve">? </w:t>
      </w:r>
    </w:p>
    <w:p w14:paraId="45A4CE89" w14:textId="5FA6B5E2" w:rsidR="00271B06" w:rsidRPr="00BB41E5" w:rsidRDefault="006D6809" w:rsidP="0093007E">
      <w:pPr>
        <w:pStyle w:val="ListEmdash"/>
        <w:numPr>
          <w:ilvl w:val="0"/>
          <w:numId w:val="0"/>
        </w:numPr>
        <w:spacing w:after="120"/>
        <w:ind w:firstLine="360"/>
        <w:contextualSpacing w:val="0"/>
        <w:rPr>
          <w:rFonts w:eastAsiaTheme="minorHAnsi"/>
          <w:sz w:val="24"/>
          <w:szCs w:val="24"/>
          <w:lang w:eastAsia="ar-SA"/>
        </w:rPr>
      </w:pPr>
      <w:r>
        <w:rPr>
          <w:rFonts w:eastAsiaTheme="minorHAnsi"/>
          <w:sz w:val="24"/>
          <w:szCs w:val="24"/>
          <w:lang w:eastAsia="ar-SA"/>
        </w:rPr>
        <w:t>Answers to these questions will help provid</w:t>
      </w:r>
      <w:r w:rsidR="0093007E">
        <w:rPr>
          <w:rFonts w:eastAsiaTheme="minorHAnsi"/>
          <w:sz w:val="24"/>
          <w:szCs w:val="24"/>
          <w:lang w:eastAsia="ar-SA"/>
        </w:rPr>
        <w:t>e</w:t>
      </w:r>
      <w:r>
        <w:rPr>
          <w:rFonts w:eastAsiaTheme="minorHAnsi"/>
          <w:sz w:val="24"/>
          <w:szCs w:val="24"/>
          <w:lang w:eastAsia="ar-SA"/>
        </w:rPr>
        <w:t xml:space="preserve"> more definite answers to the required level of EPR for fusion reactors in line with the IAEA safety standards in EPR. However, answering these questions requires expertise beyond the one of the EPR community. Therefore, it is essential that people involved in </w:t>
      </w:r>
      <w:r w:rsidR="0093007E">
        <w:rPr>
          <w:rFonts w:eastAsiaTheme="minorHAnsi"/>
          <w:sz w:val="24"/>
          <w:szCs w:val="24"/>
          <w:lang w:eastAsia="ar-SA"/>
        </w:rPr>
        <w:t xml:space="preserve">other areas, such as </w:t>
      </w:r>
      <w:r>
        <w:rPr>
          <w:rFonts w:eastAsiaTheme="minorHAnsi"/>
          <w:sz w:val="24"/>
          <w:szCs w:val="24"/>
          <w:lang w:eastAsia="ar-SA"/>
        </w:rPr>
        <w:t>scientific research, development of the technology, operation</w:t>
      </w:r>
      <w:r w:rsidR="0093007E">
        <w:rPr>
          <w:rFonts w:eastAsiaTheme="minorHAnsi"/>
          <w:sz w:val="24"/>
          <w:szCs w:val="24"/>
          <w:lang w:eastAsia="ar-SA"/>
        </w:rPr>
        <w:t xml:space="preserve">, </w:t>
      </w:r>
      <w:r>
        <w:rPr>
          <w:rFonts w:eastAsiaTheme="minorHAnsi"/>
          <w:sz w:val="24"/>
          <w:szCs w:val="24"/>
          <w:lang w:eastAsia="ar-SA"/>
        </w:rPr>
        <w:t xml:space="preserve">work closely with </w:t>
      </w:r>
      <w:r w:rsidR="004E24B7">
        <w:rPr>
          <w:rFonts w:eastAsiaTheme="minorHAnsi"/>
          <w:sz w:val="24"/>
          <w:szCs w:val="24"/>
          <w:lang w:eastAsia="ar-SA"/>
        </w:rPr>
        <w:t xml:space="preserve">the </w:t>
      </w:r>
      <w:r>
        <w:rPr>
          <w:rFonts w:eastAsiaTheme="minorHAnsi"/>
          <w:sz w:val="24"/>
          <w:szCs w:val="24"/>
          <w:lang w:eastAsia="ar-SA"/>
        </w:rPr>
        <w:t xml:space="preserve">EPR community as early as possible. This will </w:t>
      </w:r>
      <w:r>
        <w:rPr>
          <w:rFonts w:eastAsiaTheme="minorHAnsi"/>
          <w:sz w:val="24"/>
          <w:szCs w:val="24"/>
          <w:lang w:eastAsia="ar-SA"/>
        </w:rPr>
        <w:lastRenderedPageBreak/>
        <w:t>enable having informed decisions on EPR along with the</w:t>
      </w:r>
      <w:r w:rsidR="0093007E">
        <w:rPr>
          <w:rFonts w:eastAsiaTheme="minorHAnsi"/>
          <w:sz w:val="24"/>
          <w:szCs w:val="24"/>
          <w:lang w:eastAsia="ar-SA"/>
        </w:rPr>
        <w:t xml:space="preserve"> progress made in the</w:t>
      </w:r>
      <w:r>
        <w:rPr>
          <w:rFonts w:eastAsiaTheme="minorHAnsi"/>
          <w:sz w:val="24"/>
          <w:szCs w:val="24"/>
          <w:lang w:eastAsia="ar-SA"/>
        </w:rPr>
        <w:t xml:space="preserve"> </w:t>
      </w:r>
      <w:r w:rsidR="004E24B7">
        <w:rPr>
          <w:rFonts w:eastAsiaTheme="minorHAnsi"/>
          <w:sz w:val="24"/>
          <w:szCs w:val="24"/>
          <w:lang w:eastAsia="ar-SA"/>
        </w:rPr>
        <w:t xml:space="preserve">development </w:t>
      </w:r>
      <w:r>
        <w:rPr>
          <w:rFonts w:eastAsiaTheme="minorHAnsi"/>
          <w:sz w:val="24"/>
          <w:szCs w:val="24"/>
          <w:lang w:eastAsia="ar-SA"/>
        </w:rPr>
        <w:t xml:space="preserve">of </w:t>
      </w:r>
      <w:r w:rsidR="004E24B7">
        <w:rPr>
          <w:rFonts w:eastAsiaTheme="minorHAnsi"/>
          <w:sz w:val="24"/>
          <w:szCs w:val="24"/>
          <w:lang w:eastAsia="ar-SA"/>
        </w:rPr>
        <w:t xml:space="preserve">fusion </w:t>
      </w:r>
      <w:r>
        <w:rPr>
          <w:rFonts w:eastAsiaTheme="minorHAnsi"/>
          <w:sz w:val="24"/>
          <w:szCs w:val="24"/>
          <w:lang w:eastAsia="ar-SA"/>
        </w:rPr>
        <w:t xml:space="preserve">reactors, for the benefit of Member States wishing to embark on this new technology. </w:t>
      </w:r>
      <w:r w:rsidR="001E0C65" w:rsidRPr="00BB41E5">
        <w:rPr>
          <w:rFonts w:eastAsiaTheme="minorHAnsi"/>
          <w:sz w:val="24"/>
          <w:szCs w:val="24"/>
          <w:lang w:eastAsia="ar-SA"/>
        </w:rPr>
        <w:t>IEC</w:t>
      </w:r>
      <w:r>
        <w:rPr>
          <w:rFonts w:eastAsiaTheme="minorHAnsi"/>
          <w:sz w:val="24"/>
          <w:szCs w:val="24"/>
          <w:lang w:eastAsia="ar-SA"/>
        </w:rPr>
        <w:t xml:space="preserve"> stand</w:t>
      </w:r>
      <w:r w:rsidR="00A42F0C">
        <w:rPr>
          <w:rFonts w:eastAsiaTheme="minorHAnsi"/>
          <w:sz w:val="24"/>
          <w:szCs w:val="24"/>
          <w:lang w:eastAsia="ar-SA"/>
        </w:rPr>
        <w:t>s ready</w:t>
      </w:r>
      <w:r>
        <w:rPr>
          <w:rFonts w:eastAsiaTheme="minorHAnsi"/>
          <w:sz w:val="24"/>
          <w:szCs w:val="24"/>
          <w:lang w:eastAsia="ar-SA"/>
        </w:rPr>
        <w:t xml:space="preserve"> to contribute to this in a joint cooperation with</w:t>
      </w:r>
      <w:r w:rsidR="001E0C65" w:rsidRPr="00BB41E5">
        <w:rPr>
          <w:rFonts w:eastAsiaTheme="minorHAnsi"/>
          <w:sz w:val="24"/>
          <w:szCs w:val="24"/>
          <w:lang w:eastAsia="ar-SA"/>
        </w:rPr>
        <w:t xml:space="preserve"> experts</w:t>
      </w:r>
      <w:r>
        <w:rPr>
          <w:rFonts w:eastAsiaTheme="minorHAnsi"/>
          <w:sz w:val="24"/>
          <w:szCs w:val="24"/>
          <w:lang w:eastAsia="ar-SA"/>
        </w:rPr>
        <w:t xml:space="preserve"> from </w:t>
      </w:r>
      <w:r w:rsidR="001E0C65" w:rsidRPr="00BB41E5">
        <w:rPr>
          <w:rFonts w:eastAsiaTheme="minorHAnsi"/>
          <w:sz w:val="24"/>
          <w:szCs w:val="24"/>
          <w:lang w:eastAsia="ar-SA"/>
        </w:rPr>
        <w:t>Member States</w:t>
      </w:r>
      <w:r w:rsidR="00A42F0C">
        <w:rPr>
          <w:rFonts w:eastAsiaTheme="minorHAnsi"/>
          <w:sz w:val="24"/>
          <w:szCs w:val="24"/>
          <w:lang w:eastAsia="ar-SA"/>
        </w:rPr>
        <w:t xml:space="preserve"> and to identify analogies</w:t>
      </w:r>
      <w:r w:rsidR="009125F7">
        <w:rPr>
          <w:rFonts w:eastAsiaTheme="minorHAnsi"/>
          <w:sz w:val="24"/>
          <w:szCs w:val="24"/>
          <w:lang w:eastAsia="ar-SA"/>
        </w:rPr>
        <w:t xml:space="preserve"> and </w:t>
      </w:r>
      <w:r w:rsidR="0093007E">
        <w:rPr>
          <w:rFonts w:eastAsiaTheme="minorHAnsi"/>
          <w:sz w:val="24"/>
          <w:szCs w:val="24"/>
          <w:lang w:eastAsia="ar-SA"/>
        </w:rPr>
        <w:t xml:space="preserve">discrepancies </w:t>
      </w:r>
      <w:r w:rsidR="00A42F0C">
        <w:rPr>
          <w:rFonts w:eastAsiaTheme="minorHAnsi"/>
          <w:sz w:val="24"/>
          <w:szCs w:val="24"/>
          <w:lang w:eastAsia="ar-SA"/>
        </w:rPr>
        <w:t>in EPR</w:t>
      </w:r>
      <w:r w:rsidR="009125F7">
        <w:rPr>
          <w:rFonts w:eastAsiaTheme="minorHAnsi"/>
          <w:sz w:val="24"/>
          <w:szCs w:val="24"/>
          <w:lang w:eastAsia="ar-SA"/>
        </w:rPr>
        <w:t xml:space="preserve"> needs</w:t>
      </w:r>
      <w:r w:rsidR="00A42F0C">
        <w:rPr>
          <w:rFonts w:eastAsiaTheme="minorHAnsi"/>
          <w:sz w:val="24"/>
          <w:szCs w:val="24"/>
          <w:lang w:eastAsia="ar-SA"/>
        </w:rPr>
        <w:t xml:space="preserve"> between fission and fusion reactors</w:t>
      </w:r>
      <w:r w:rsidR="001E0C65" w:rsidRPr="00BB41E5">
        <w:rPr>
          <w:rFonts w:eastAsiaTheme="minorHAnsi"/>
          <w:sz w:val="24"/>
          <w:szCs w:val="24"/>
          <w:lang w:eastAsia="ar-SA"/>
        </w:rPr>
        <w:t>.</w:t>
      </w:r>
    </w:p>
    <w:p w14:paraId="78739E57" w14:textId="77777777" w:rsidR="00271B06" w:rsidRDefault="00271B06" w:rsidP="00046928">
      <w:pPr>
        <w:overflowPunct/>
        <w:autoSpaceDE/>
        <w:autoSpaceDN/>
        <w:adjustRightInd/>
        <w:spacing w:before="280" w:after="280"/>
        <w:jc w:val="both"/>
        <w:textAlignment w:val="auto"/>
        <w:rPr>
          <w:rFonts w:eastAsiaTheme="minorHAnsi"/>
          <w:sz w:val="24"/>
          <w:szCs w:val="24"/>
          <w:lang w:eastAsia="ar-SA"/>
        </w:rPr>
      </w:pP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24ABA2F8" w14:textId="2A4E74FE" w:rsidR="001E209A" w:rsidRPr="001E209A" w:rsidRDefault="001E209A" w:rsidP="0081263A">
      <w:pPr>
        <w:pStyle w:val="Referencelist"/>
        <w:rPr>
          <w:sz w:val="22"/>
          <w:szCs w:val="22"/>
        </w:rPr>
      </w:pPr>
      <w:r w:rsidRPr="001E209A">
        <w:rPr>
          <w:sz w:val="22"/>
          <w:szCs w:val="22"/>
        </w:rPr>
        <w:t>FOOD AND AGRICULTURE ORGANIZATION OF THE UNITED NATIONS,</w:t>
      </w:r>
      <w:r>
        <w:rPr>
          <w:sz w:val="22"/>
          <w:szCs w:val="22"/>
        </w:rPr>
        <w:t xml:space="preserve"> </w:t>
      </w:r>
      <w:r w:rsidRPr="001E209A">
        <w:rPr>
          <w:sz w:val="22"/>
          <w:szCs w:val="22"/>
        </w:rPr>
        <w:t>INTERNATIONAL ATOMIC ENERGY AGENCY, INTERNATIONAL CIVIL AVIATION</w:t>
      </w:r>
      <w:r>
        <w:rPr>
          <w:sz w:val="22"/>
          <w:szCs w:val="22"/>
        </w:rPr>
        <w:t xml:space="preserve"> </w:t>
      </w:r>
      <w:r w:rsidRPr="001E209A">
        <w:rPr>
          <w:sz w:val="22"/>
          <w:szCs w:val="22"/>
        </w:rPr>
        <w:t>ORGANIZATION, INTERNATIONAL LABOUR ORGANIZATION,</w:t>
      </w:r>
      <w:r>
        <w:rPr>
          <w:sz w:val="22"/>
          <w:szCs w:val="22"/>
        </w:rPr>
        <w:t xml:space="preserve"> </w:t>
      </w:r>
      <w:r w:rsidRPr="001E209A">
        <w:rPr>
          <w:sz w:val="22"/>
          <w:szCs w:val="22"/>
        </w:rPr>
        <w:t>INTERNATIONAL</w:t>
      </w:r>
      <w:r>
        <w:rPr>
          <w:sz w:val="22"/>
          <w:szCs w:val="22"/>
        </w:rPr>
        <w:t xml:space="preserve"> </w:t>
      </w:r>
      <w:r w:rsidRPr="001E209A">
        <w:rPr>
          <w:sz w:val="22"/>
          <w:szCs w:val="22"/>
        </w:rPr>
        <w:t>MARITIME ORGANIZATION, INTERPOL, OECD NUCLEAR</w:t>
      </w:r>
      <w:r>
        <w:rPr>
          <w:sz w:val="22"/>
          <w:szCs w:val="22"/>
        </w:rPr>
        <w:t xml:space="preserve"> </w:t>
      </w:r>
      <w:r w:rsidRPr="001E209A">
        <w:rPr>
          <w:sz w:val="22"/>
          <w:szCs w:val="22"/>
        </w:rPr>
        <w:t>ENERGY AGENCY, PAN AMERICAN HEALTH ORGANIZATION,</w:t>
      </w:r>
      <w:r>
        <w:rPr>
          <w:sz w:val="22"/>
          <w:szCs w:val="22"/>
        </w:rPr>
        <w:t xml:space="preserve"> </w:t>
      </w:r>
      <w:r w:rsidRPr="001E209A">
        <w:rPr>
          <w:sz w:val="22"/>
          <w:szCs w:val="22"/>
        </w:rPr>
        <w:t>PREPARATORY COMMISSION FOR THE COMPREHENSIVE NUCLEAR-TESTBAN</w:t>
      </w:r>
      <w:r>
        <w:rPr>
          <w:sz w:val="22"/>
          <w:szCs w:val="22"/>
        </w:rPr>
        <w:t xml:space="preserve"> </w:t>
      </w:r>
      <w:r w:rsidRPr="001E209A">
        <w:rPr>
          <w:sz w:val="22"/>
          <w:szCs w:val="22"/>
        </w:rPr>
        <w:t>TREATY ORGANIZATION, UNITED NATIONS ENVIRONMENT</w:t>
      </w:r>
      <w:r>
        <w:rPr>
          <w:sz w:val="22"/>
          <w:szCs w:val="22"/>
        </w:rPr>
        <w:t xml:space="preserve"> </w:t>
      </w:r>
      <w:r w:rsidRPr="001E209A">
        <w:rPr>
          <w:sz w:val="22"/>
          <w:szCs w:val="22"/>
        </w:rPr>
        <w:t>PROGRAMME, UNITED NATIONS OFFICE FOR THE COORDINATION OF</w:t>
      </w:r>
      <w:r>
        <w:rPr>
          <w:sz w:val="22"/>
          <w:szCs w:val="22"/>
        </w:rPr>
        <w:t xml:space="preserve"> </w:t>
      </w:r>
      <w:r w:rsidRPr="001E209A">
        <w:rPr>
          <w:sz w:val="22"/>
          <w:szCs w:val="22"/>
        </w:rPr>
        <w:t>HUMANITARIAN AFFAIRS, WORLD HEALTH ORGANIZATION, WORLD</w:t>
      </w:r>
      <w:r>
        <w:rPr>
          <w:sz w:val="22"/>
          <w:szCs w:val="22"/>
        </w:rPr>
        <w:t xml:space="preserve"> </w:t>
      </w:r>
      <w:r w:rsidRPr="001E209A">
        <w:rPr>
          <w:sz w:val="22"/>
          <w:szCs w:val="22"/>
        </w:rPr>
        <w:t>METEOROLOGICAL ORGANIZATION, Preparedness and Response for a Nuclear or</w:t>
      </w:r>
      <w:r>
        <w:rPr>
          <w:sz w:val="22"/>
          <w:szCs w:val="22"/>
        </w:rPr>
        <w:t xml:space="preserve"> </w:t>
      </w:r>
      <w:r w:rsidRPr="001E209A">
        <w:rPr>
          <w:sz w:val="22"/>
          <w:szCs w:val="22"/>
        </w:rPr>
        <w:t>Radiological Emergency, IAEA Safety Standards Series No. GSR Part 7, IAEA, Vienna (2015).</w:t>
      </w:r>
    </w:p>
    <w:p w14:paraId="1F0B92D5" w14:textId="0C0EAE85" w:rsidR="00604C59" w:rsidRDefault="001E209A" w:rsidP="0081263A">
      <w:pPr>
        <w:pStyle w:val="Referencelist"/>
        <w:rPr>
          <w:sz w:val="22"/>
          <w:szCs w:val="22"/>
        </w:rPr>
      </w:pPr>
      <w:r w:rsidRPr="001E209A">
        <w:rPr>
          <w:sz w:val="22"/>
          <w:szCs w:val="22"/>
        </w:rPr>
        <w:t>FOOD AND AGRICULTURE ORGANIZATION OF THE UNITED NATIONS,</w:t>
      </w:r>
      <w:r>
        <w:rPr>
          <w:sz w:val="22"/>
          <w:szCs w:val="22"/>
        </w:rPr>
        <w:t xml:space="preserve"> </w:t>
      </w:r>
      <w:r w:rsidRPr="001E209A">
        <w:rPr>
          <w:sz w:val="22"/>
          <w:szCs w:val="22"/>
        </w:rPr>
        <w:t>INTERNATIONAL ATOMIC ENERGY AGENCY, INTERNATIONAL LABOUR</w:t>
      </w:r>
      <w:r>
        <w:rPr>
          <w:sz w:val="22"/>
          <w:szCs w:val="22"/>
        </w:rPr>
        <w:t xml:space="preserve"> </w:t>
      </w:r>
      <w:r w:rsidRPr="001E209A">
        <w:rPr>
          <w:sz w:val="22"/>
          <w:szCs w:val="22"/>
        </w:rPr>
        <w:t>OFFICE, PAN AMERICAN HEALTH ORGANIZATION, WORLD HEALTH</w:t>
      </w:r>
      <w:r>
        <w:rPr>
          <w:sz w:val="22"/>
          <w:szCs w:val="22"/>
        </w:rPr>
        <w:t xml:space="preserve"> </w:t>
      </w:r>
      <w:r w:rsidRPr="001E209A">
        <w:rPr>
          <w:sz w:val="22"/>
          <w:szCs w:val="22"/>
        </w:rPr>
        <w:t>ORGANIZATION,</w:t>
      </w:r>
      <w:r>
        <w:rPr>
          <w:sz w:val="22"/>
          <w:szCs w:val="22"/>
        </w:rPr>
        <w:t xml:space="preserve"> </w:t>
      </w:r>
      <w:r w:rsidRPr="001E209A">
        <w:rPr>
          <w:sz w:val="22"/>
          <w:szCs w:val="22"/>
        </w:rPr>
        <w:t>Criteria for Use in Preparedness and Response for a Nuclear or</w:t>
      </w:r>
      <w:r>
        <w:rPr>
          <w:sz w:val="22"/>
          <w:szCs w:val="22"/>
        </w:rPr>
        <w:t xml:space="preserve"> </w:t>
      </w:r>
      <w:r w:rsidRPr="001E209A">
        <w:rPr>
          <w:sz w:val="22"/>
          <w:szCs w:val="22"/>
        </w:rPr>
        <w:t>Radiological Emergency, IAEA Safety Standards Series No. GSG-2, IAEA, Vienna (2011).</w:t>
      </w:r>
    </w:p>
    <w:p w14:paraId="6F6C66F5" w14:textId="77777777" w:rsidR="0093007E" w:rsidRPr="001E209A" w:rsidRDefault="0093007E" w:rsidP="0081263A">
      <w:pPr>
        <w:pStyle w:val="Referencelist"/>
        <w:rPr>
          <w:sz w:val="22"/>
          <w:szCs w:val="22"/>
        </w:rPr>
      </w:pPr>
      <w:r w:rsidRPr="001E209A">
        <w:rPr>
          <w:sz w:val="22"/>
          <w:szCs w:val="22"/>
        </w:rPr>
        <w:t>FOOD AND AGRICULTURE ORGANIZATION OF THE UNITED NATIONS,</w:t>
      </w:r>
      <w:r>
        <w:rPr>
          <w:sz w:val="22"/>
          <w:szCs w:val="22"/>
        </w:rPr>
        <w:t xml:space="preserve"> </w:t>
      </w:r>
      <w:r w:rsidRPr="001E209A">
        <w:rPr>
          <w:sz w:val="22"/>
          <w:szCs w:val="22"/>
        </w:rPr>
        <w:t>INTERNATIONAL ATOMIC ENERGY AGENCY, INTERNATIONAL LABOUR</w:t>
      </w:r>
      <w:r>
        <w:rPr>
          <w:sz w:val="22"/>
          <w:szCs w:val="22"/>
        </w:rPr>
        <w:t xml:space="preserve"> </w:t>
      </w:r>
      <w:r w:rsidRPr="001E209A">
        <w:rPr>
          <w:sz w:val="22"/>
          <w:szCs w:val="22"/>
        </w:rPr>
        <w:t>OFFICE</w:t>
      </w:r>
      <w:r>
        <w:rPr>
          <w:sz w:val="22"/>
          <w:szCs w:val="22"/>
        </w:rPr>
        <w:t xml:space="preserve"> </w:t>
      </w:r>
      <w:r w:rsidRPr="001E209A">
        <w:rPr>
          <w:sz w:val="22"/>
          <w:szCs w:val="22"/>
        </w:rPr>
        <w:t>PAN AMERICAN HEALTH ORGANIZATION, UNITED NATIONS</w:t>
      </w:r>
      <w:r>
        <w:rPr>
          <w:sz w:val="22"/>
          <w:szCs w:val="22"/>
        </w:rPr>
        <w:t xml:space="preserve"> </w:t>
      </w:r>
      <w:r w:rsidRPr="001E209A">
        <w:rPr>
          <w:sz w:val="22"/>
          <w:szCs w:val="22"/>
        </w:rPr>
        <w:t>OFFICE FOR THE CO-ORDINATION OF HUMANITARIAN AFFAIRS, WORLD</w:t>
      </w:r>
      <w:r>
        <w:rPr>
          <w:sz w:val="22"/>
          <w:szCs w:val="22"/>
        </w:rPr>
        <w:t xml:space="preserve"> </w:t>
      </w:r>
      <w:r w:rsidRPr="001E209A">
        <w:rPr>
          <w:sz w:val="22"/>
          <w:szCs w:val="22"/>
        </w:rPr>
        <w:t>HEALTH ORGANIZATION,</w:t>
      </w:r>
      <w:r>
        <w:rPr>
          <w:sz w:val="22"/>
          <w:szCs w:val="22"/>
        </w:rPr>
        <w:t xml:space="preserve"> </w:t>
      </w:r>
      <w:r w:rsidRPr="001E209A">
        <w:rPr>
          <w:sz w:val="22"/>
          <w:szCs w:val="22"/>
        </w:rPr>
        <w:t>Arrangements for Preparedness for a Nuclear or</w:t>
      </w:r>
      <w:r>
        <w:rPr>
          <w:sz w:val="22"/>
          <w:szCs w:val="22"/>
        </w:rPr>
        <w:t xml:space="preserve"> </w:t>
      </w:r>
      <w:r w:rsidRPr="001E209A">
        <w:rPr>
          <w:sz w:val="22"/>
          <w:szCs w:val="22"/>
        </w:rPr>
        <w:t>Radiological Emergency, IAEA Safety Standards Series No. GS-G-2.1, IAEA, Vienna</w:t>
      </w:r>
      <w:r>
        <w:rPr>
          <w:sz w:val="22"/>
          <w:szCs w:val="22"/>
        </w:rPr>
        <w:t xml:space="preserve"> </w:t>
      </w:r>
      <w:r w:rsidRPr="001E209A">
        <w:rPr>
          <w:sz w:val="22"/>
          <w:szCs w:val="22"/>
        </w:rPr>
        <w:t>(2007).</w:t>
      </w:r>
    </w:p>
    <w:p w14:paraId="2A49E1E9" w14:textId="03D39DDA" w:rsidR="0093007E" w:rsidRDefault="0093007E" w:rsidP="0081263A">
      <w:pPr>
        <w:pStyle w:val="Referencelist"/>
        <w:rPr>
          <w:sz w:val="22"/>
          <w:szCs w:val="22"/>
        </w:rPr>
      </w:pPr>
      <w:r w:rsidRPr="001E209A">
        <w:rPr>
          <w:sz w:val="22"/>
          <w:szCs w:val="22"/>
        </w:rPr>
        <w:t>FOOD AND AGRICULTURE ORGANIZATION OF THE UNITED NATIONS,</w:t>
      </w:r>
      <w:r>
        <w:rPr>
          <w:sz w:val="22"/>
          <w:szCs w:val="22"/>
        </w:rPr>
        <w:t xml:space="preserve"> </w:t>
      </w:r>
      <w:r w:rsidRPr="001E209A">
        <w:rPr>
          <w:sz w:val="22"/>
          <w:szCs w:val="22"/>
        </w:rPr>
        <w:t>INTERNATIONAL ATOMIC ENERGY AGENCY, INTERNATIONAL LABOUR ORGANIZATION,</w:t>
      </w:r>
      <w:r>
        <w:rPr>
          <w:sz w:val="22"/>
          <w:szCs w:val="22"/>
        </w:rPr>
        <w:t xml:space="preserve"> </w:t>
      </w:r>
      <w:r w:rsidRPr="001E209A">
        <w:rPr>
          <w:sz w:val="22"/>
          <w:szCs w:val="22"/>
        </w:rPr>
        <w:t>INTERNATIONAL</w:t>
      </w:r>
      <w:r>
        <w:rPr>
          <w:sz w:val="22"/>
          <w:szCs w:val="22"/>
        </w:rPr>
        <w:t xml:space="preserve"> </w:t>
      </w:r>
      <w:r w:rsidRPr="001E209A">
        <w:rPr>
          <w:sz w:val="22"/>
          <w:szCs w:val="22"/>
        </w:rPr>
        <w:t>MARITIME ORGANIZATION, INTERPOL, OECD NUCLEAR</w:t>
      </w:r>
      <w:r>
        <w:rPr>
          <w:sz w:val="22"/>
          <w:szCs w:val="22"/>
        </w:rPr>
        <w:t xml:space="preserve"> </w:t>
      </w:r>
      <w:r w:rsidRPr="001E209A">
        <w:rPr>
          <w:sz w:val="22"/>
          <w:szCs w:val="22"/>
        </w:rPr>
        <w:t>ENERGY AGENCY, UNITED NATIONS OFFICE FOR THE COORDINATION OF</w:t>
      </w:r>
      <w:r>
        <w:rPr>
          <w:sz w:val="22"/>
          <w:szCs w:val="22"/>
        </w:rPr>
        <w:t xml:space="preserve"> </w:t>
      </w:r>
      <w:r w:rsidRPr="001E209A">
        <w:rPr>
          <w:sz w:val="22"/>
          <w:szCs w:val="22"/>
        </w:rPr>
        <w:t>HUMANITARIAN AFFAIRS, WORLD HEALTH ORGANIZATION, WORLD</w:t>
      </w:r>
      <w:r>
        <w:rPr>
          <w:sz w:val="22"/>
          <w:szCs w:val="22"/>
        </w:rPr>
        <w:t xml:space="preserve"> </w:t>
      </w:r>
      <w:r w:rsidRPr="001E209A">
        <w:rPr>
          <w:sz w:val="22"/>
          <w:szCs w:val="22"/>
        </w:rPr>
        <w:t>METEOROLOGICAL ORGANIZATION</w:t>
      </w:r>
      <w:r w:rsidR="0081263A">
        <w:rPr>
          <w:sz w:val="22"/>
          <w:szCs w:val="22"/>
        </w:rPr>
        <w:t xml:space="preserve">, </w:t>
      </w:r>
      <w:r w:rsidR="0081263A" w:rsidRPr="0081263A">
        <w:rPr>
          <w:sz w:val="22"/>
          <w:szCs w:val="22"/>
        </w:rPr>
        <w:t>Arrangements for the Termination of a Nuclear or Radiological Emergency</w:t>
      </w:r>
      <w:r w:rsidR="0081263A">
        <w:rPr>
          <w:sz w:val="22"/>
          <w:szCs w:val="22"/>
        </w:rPr>
        <w:t>, IAEA Safety Standards No. GSG-11, IAEA, Vienna (2018).</w:t>
      </w:r>
    </w:p>
    <w:p w14:paraId="685B7215" w14:textId="2020AA4D" w:rsidR="0081263A" w:rsidRDefault="0081263A" w:rsidP="0081263A">
      <w:pPr>
        <w:pStyle w:val="Referencelist"/>
        <w:rPr>
          <w:sz w:val="22"/>
          <w:szCs w:val="22"/>
        </w:rPr>
      </w:pPr>
      <w:r w:rsidRPr="001E209A">
        <w:rPr>
          <w:sz w:val="22"/>
          <w:szCs w:val="22"/>
        </w:rPr>
        <w:t>INTERNATIONAL ATOMIC ENERGY AGENCY, INTERNATIONAL CIVIL AVIATION</w:t>
      </w:r>
      <w:r>
        <w:rPr>
          <w:sz w:val="22"/>
          <w:szCs w:val="22"/>
        </w:rPr>
        <w:t xml:space="preserve"> </w:t>
      </w:r>
      <w:r w:rsidRPr="001E209A">
        <w:rPr>
          <w:sz w:val="22"/>
          <w:szCs w:val="22"/>
        </w:rPr>
        <w:t>ORGANIZATION, INTERNATIONAL</w:t>
      </w:r>
      <w:r>
        <w:rPr>
          <w:sz w:val="22"/>
          <w:szCs w:val="22"/>
        </w:rPr>
        <w:t xml:space="preserve"> </w:t>
      </w:r>
      <w:r w:rsidRPr="001E209A">
        <w:rPr>
          <w:sz w:val="22"/>
          <w:szCs w:val="22"/>
        </w:rPr>
        <w:t xml:space="preserve">MARITIME ORGANIZATION, </w:t>
      </w:r>
      <w:r w:rsidRPr="0081263A">
        <w:rPr>
          <w:sz w:val="22"/>
          <w:szCs w:val="22"/>
        </w:rPr>
        <w:t>Preparedness and Response for a Nuclear or Radiological Emergency Involving the Transport of Radioactive Material</w:t>
      </w:r>
      <w:r>
        <w:rPr>
          <w:sz w:val="22"/>
          <w:szCs w:val="22"/>
        </w:rPr>
        <w:t>, IAEA Safety Standards No. SSG-65, IAEA, Vienna (2022).</w:t>
      </w:r>
    </w:p>
    <w:p w14:paraId="01D677EE" w14:textId="77777777" w:rsidR="00A42F0C" w:rsidRPr="001E209A" w:rsidRDefault="00A42F0C" w:rsidP="0093007E">
      <w:pPr>
        <w:pStyle w:val="Referencelist"/>
        <w:numPr>
          <w:ilvl w:val="0"/>
          <w:numId w:val="0"/>
        </w:numPr>
        <w:ind w:left="360"/>
        <w:jc w:val="left"/>
        <w:rPr>
          <w:sz w:val="22"/>
          <w:szCs w:val="22"/>
        </w:rPr>
      </w:pPr>
    </w:p>
    <w:p w14:paraId="254B4264" w14:textId="77777777" w:rsidR="00434009" w:rsidRPr="00DF3A79" w:rsidRDefault="00434009" w:rsidP="00434009">
      <w:pPr>
        <w:pStyle w:val="Referencelist"/>
        <w:numPr>
          <w:ilvl w:val="0"/>
          <w:numId w:val="0"/>
        </w:numPr>
        <w:ind w:left="720" w:hanging="360"/>
        <w:rPr>
          <w:rFonts w:eastAsiaTheme="minorHAnsi"/>
          <w:sz w:val="22"/>
          <w:szCs w:val="20"/>
          <w:lang w:eastAsia="ar-SA"/>
        </w:rPr>
      </w:pPr>
    </w:p>
    <w:sectPr w:rsidR="00434009" w:rsidRPr="00DF3A79"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DAB0" w14:textId="77777777" w:rsidR="00C7772D" w:rsidRDefault="00C7772D">
      <w:r>
        <w:separator/>
      </w:r>
    </w:p>
  </w:endnote>
  <w:endnote w:type="continuationSeparator" w:id="0">
    <w:p w14:paraId="6F4B0781" w14:textId="77777777" w:rsidR="00C7772D" w:rsidRDefault="00C7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DC72" w14:textId="77777777" w:rsidR="00C7772D" w:rsidRDefault="00C7772D">
      <w:r>
        <w:t>___________________________________________________________________________</w:t>
      </w:r>
    </w:p>
  </w:footnote>
  <w:footnote w:type="continuationSeparator" w:id="0">
    <w:p w14:paraId="2D031C38" w14:textId="77777777" w:rsidR="00C7772D" w:rsidRDefault="00C7772D">
      <w:r>
        <w:t>___________________________________________________________________________</w:t>
      </w:r>
    </w:p>
  </w:footnote>
  <w:footnote w:type="continuationNotice" w:id="1">
    <w:p w14:paraId="1BE94F1E" w14:textId="77777777" w:rsidR="00C7772D" w:rsidRDefault="00C77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6A1C" w14:textId="77777777" w:rsidR="00624B9B" w:rsidRDefault="00624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5CB" w14:textId="375B5019" w:rsidR="00624B9B" w:rsidRDefault="00624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CA70D52"/>
    <w:multiLevelType w:val="hybridMultilevel"/>
    <w:tmpl w:val="D3FCFED0"/>
    <w:lvl w:ilvl="0" w:tplc="A218DF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B081D"/>
    <w:multiLevelType w:val="hybridMultilevel"/>
    <w:tmpl w:val="D4F2DC4C"/>
    <w:lvl w:ilvl="0" w:tplc="A218DF5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0"/>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8"/>
  </w:num>
  <w:num w:numId="31">
    <w:abstractNumId w:val="8"/>
  </w:num>
  <w:num w:numId="32">
    <w:abstractNumId w:val="13"/>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75B15"/>
    <w:rsid w:val="0019014D"/>
    <w:rsid w:val="00196A0D"/>
    <w:rsid w:val="001C58F5"/>
    <w:rsid w:val="001D5CEE"/>
    <w:rsid w:val="001E0C65"/>
    <w:rsid w:val="001E209A"/>
    <w:rsid w:val="001F49FB"/>
    <w:rsid w:val="002071D9"/>
    <w:rsid w:val="00231555"/>
    <w:rsid w:val="00235900"/>
    <w:rsid w:val="00256822"/>
    <w:rsid w:val="0026525A"/>
    <w:rsid w:val="00265CBF"/>
    <w:rsid w:val="00270F63"/>
    <w:rsid w:val="00271B06"/>
    <w:rsid w:val="00274790"/>
    <w:rsid w:val="00285755"/>
    <w:rsid w:val="002A1F9C"/>
    <w:rsid w:val="002B29C2"/>
    <w:rsid w:val="002C4208"/>
    <w:rsid w:val="002F0523"/>
    <w:rsid w:val="00306628"/>
    <w:rsid w:val="00320C66"/>
    <w:rsid w:val="003467C8"/>
    <w:rsid w:val="00352DE1"/>
    <w:rsid w:val="00360E65"/>
    <w:rsid w:val="00361FB2"/>
    <w:rsid w:val="003728E6"/>
    <w:rsid w:val="003760DD"/>
    <w:rsid w:val="003B5E0E"/>
    <w:rsid w:val="003D255A"/>
    <w:rsid w:val="003D4161"/>
    <w:rsid w:val="00416949"/>
    <w:rsid w:val="00417F4D"/>
    <w:rsid w:val="004300FE"/>
    <w:rsid w:val="00434009"/>
    <w:rsid w:val="004370D8"/>
    <w:rsid w:val="00446113"/>
    <w:rsid w:val="0045621C"/>
    <w:rsid w:val="00472C43"/>
    <w:rsid w:val="004738C9"/>
    <w:rsid w:val="00477B19"/>
    <w:rsid w:val="004910D8"/>
    <w:rsid w:val="00494088"/>
    <w:rsid w:val="004A5539"/>
    <w:rsid w:val="004C13F7"/>
    <w:rsid w:val="004E24B7"/>
    <w:rsid w:val="00537496"/>
    <w:rsid w:val="00544ED3"/>
    <w:rsid w:val="00547F26"/>
    <w:rsid w:val="0057131A"/>
    <w:rsid w:val="0058477B"/>
    <w:rsid w:val="0058654F"/>
    <w:rsid w:val="00596ACA"/>
    <w:rsid w:val="005B16F8"/>
    <w:rsid w:val="005B7E6B"/>
    <w:rsid w:val="005C5D2D"/>
    <w:rsid w:val="005E39BC"/>
    <w:rsid w:val="005F00A0"/>
    <w:rsid w:val="005F4AF8"/>
    <w:rsid w:val="006000B2"/>
    <w:rsid w:val="00604C59"/>
    <w:rsid w:val="00612CB0"/>
    <w:rsid w:val="00624B9B"/>
    <w:rsid w:val="00647F33"/>
    <w:rsid w:val="006518D8"/>
    <w:rsid w:val="00654B09"/>
    <w:rsid w:val="0065545E"/>
    <w:rsid w:val="00662532"/>
    <w:rsid w:val="00675240"/>
    <w:rsid w:val="00684298"/>
    <w:rsid w:val="006B2274"/>
    <w:rsid w:val="006D6809"/>
    <w:rsid w:val="007113E8"/>
    <w:rsid w:val="00717C6F"/>
    <w:rsid w:val="00725D0D"/>
    <w:rsid w:val="007445DA"/>
    <w:rsid w:val="00765630"/>
    <w:rsid w:val="007764BD"/>
    <w:rsid w:val="00790E9A"/>
    <w:rsid w:val="007A7294"/>
    <w:rsid w:val="007B4FD1"/>
    <w:rsid w:val="007B57CF"/>
    <w:rsid w:val="007D0519"/>
    <w:rsid w:val="007D4039"/>
    <w:rsid w:val="00800B84"/>
    <w:rsid w:val="00802381"/>
    <w:rsid w:val="0081263A"/>
    <w:rsid w:val="00815F3A"/>
    <w:rsid w:val="008270D0"/>
    <w:rsid w:val="00827B38"/>
    <w:rsid w:val="0085046A"/>
    <w:rsid w:val="008601BE"/>
    <w:rsid w:val="00883848"/>
    <w:rsid w:val="00897ED5"/>
    <w:rsid w:val="008B6BB9"/>
    <w:rsid w:val="008C3C89"/>
    <w:rsid w:val="008F4C98"/>
    <w:rsid w:val="00911543"/>
    <w:rsid w:val="009125F7"/>
    <w:rsid w:val="0093007E"/>
    <w:rsid w:val="009519C9"/>
    <w:rsid w:val="009D0B86"/>
    <w:rsid w:val="009D21F0"/>
    <w:rsid w:val="009E0D5B"/>
    <w:rsid w:val="009E1558"/>
    <w:rsid w:val="00A14F08"/>
    <w:rsid w:val="00A24A72"/>
    <w:rsid w:val="00A37CE7"/>
    <w:rsid w:val="00A42898"/>
    <w:rsid w:val="00A42F0C"/>
    <w:rsid w:val="00A73EF6"/>
    <w:rsid w:val="00A964E3"/>
    <w:rsid w:val="00AA666C"/>
    <w:rsid w:val="00AB6ACE"/>
    <w:rsid w:val="00AC5A3A"/>
    <w:rsid w:val="00AD4BE6"/>
    <w:rsid w:val="00AD6BB4"/>
    <w:rsid w:val="00AE0AE2"/>
    <w:rsid w:val="00AE2B7A"/>
    <w:rsid w:val="00AE6705"/>
    <w:rsid w:val="00AF7E6C"/>
    <w:rsid w:val="00B0347B"/>
    <w:rsid w:val="00B1443F"/>
    <w:rsid w:val="00B54CDF"/>
    <w:rsid w:val="00B808D8"/>
    <w:rsid w:val="00B82FA5"/>
    <w:rsid w:val="00B90025"/>
    <w:rsid w:val="00BB1E27"/>
    <w:rsid w:val="00BB41E5"/>
    <w:rsid w:val="00BC0D33"/>
    <w:rsid w:val="00BD1400"/>
    <w:rsid w:val="00BD196C"/>
    <w:rsid w:val="00BD605C"/>
    <w:rsid w:val="00BE2A76"/>
    <w:rsid w:val="00BF2A06"/>
    <w:rsid w:val="00C520EE"/>
    <w:rsid w:val="00C65E60"/>
    <w:rsid w:val="00C7772D"/>
    <w:rsid w:val="00C814F1"/>
    <w:rsid w:val="00C95D35"/>
    <w:rsid w:val="00CB0288"/>
    <w:rsid w:val="00CD7ABF"/>
    <w:rsid w:val="00CE5A52"/>
    <w:rsid w:val="00CF7AF3"/>
    <w:rsid w:val="00D16F40"/>
    <w:rsid w:val="00D26ADA"/>
    <w:rsid w:val="00D35A78"/>
    <w:rsid w:val="00D555A1"/>
    <w:rsid w:val="00D6426C"/>
    <w:rsid w:val="00D64DC2"/>
    <w:rsid w:val="00DA46CA"/>
    <w:rsid w:val="00DE5C99"/>
    <w:rsid w:val="00DE7061"/>
    <w:rsid w:val="00DF21EB"/>
    <w:rsid w:val="00DF3A79"/>
    <w:rsid w:val="00E20E70"/>
    <w:rsid w:val="00E25B68"/>
    <w:rsid w:val="00E84003"/>
    <w:rsid w:val="00EA356A"/>
    <w:rsid w:val="00EC10FC"/>
    <w:rsid w:val="00EE0041"/>
    <w:rsid w:val="00EE29B9"/>
    <w:rsid w:val="00EE30B2"/>
    <w:rsid w:val="00EF5DCA"/>
    <w:rsid w:val="00F004EE"/>
    <w:rsid w:val="00F041CD"/>
    <w:rsid w:val="00F15490"/>
    <w:rsid w:val="00F344EF"/>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49"/>
    <w:unhideWhenUsed/>
    <w:locked/>
    <w:rsid w:val="00BF2A06"/>
    <w:rPr>
      <w:color w:val="0000FF" w:themeColor="hyperlink"/>
      <w:u w:val="single"/>
    </w:rPr>
  </w:style>
  <w:style w:type="character" w:styleId="UnresolvedMention">
    <w:name w:val="Unresolved Mention"/>
    <w:basedOn w:val="DefaultParagraphFont"/>
    <w:uiPriority w:val="99"/>
    <w:semiHidden/>
    <w:unhideWhenUsed/>
    <w:rsid w:val="00BF2A06"/>
    <w:rPr>
      <w:color w:val="605E5C"/>
      <w:shd w:val="clear" w:color="auto" w:fill="E1DFDD"/>
    </w:rPr>
  </w:style>
  <w:style w:type="paragraph" w:styleId="ListParagraph">
    <w:name w:val="List Paragraph"/>
    <w:basedOn w:val="Normal"/>
    <w:uiPriority w:val="49"/>
    <w:locked/>
    <w:rsid w:val="0032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tephani@iae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3.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86</TotalTime>
  <Pages>3</Pages>
  <Words>1283</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STEPHANI, Frederic</cp:lastModifiedBy>
  <cp:revision>13</cp:revision>
  <cp:lastPrinted>2015-12-01T10:27:00Z</cp:lastPrinted>
  <dcterms:created xsi:type="dcterms:W3CDTF">2022-02-28T08:42:00Z</dcterms:created>
  <dcterms:modified xsi:type="dcterms:W3CDTF">2022-03-01T16:37:00Z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