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935C" w14:textId="4FD2CB68" w:rsidR="00604C59" w:rsidRPr="000E5DDD" w:rsidRDefault="008E71CC" w:rsidP="00073700">
      <w:pPr>
        <w:pStyle w:val="Authornameandaffiliation"/>
        <w:ind w:left="0"/>
        <w:jc w:val="both"/>
        <w:rPr>
          <w:sz w:val="24"/>
          <w:szCs w:val="24"/>
          <w:lang w:val="en-GB"/>
        </w:rPr>
      </w:pPr>
      <w:r w:rsidRPr="000E5DDD">
        <w:rPr>
          <w:b/>
          <w:bCs/>
          <w:caps/>
          <w:noProof/>
          <w:sz w:val="24"/>
          <w:szCs w:val="24"/>
          <w:lang w:val="en-GB"/>
        </w:rPr>
        <w:t>Joint European Torus D-T Safety C</w:t>
      </w:r>
      <w:r w:rsidR="00026DA5">
        <w:rPr>
          <w:b/>
          <w:bCs/>
          <w:caps/>
          <w:noProof/>
          <w:sz w:val="24"/>
          <w:szCs w:val="24"/>
          <w:lang w:val="en-GB"/>
        </w:rPr>
        <w:t>ase</w:t>
      </w:r>
    </w:p>
    <w:p w14:paraId="77677FB9" w14:textId="77777777" w:rsidR="008E71CC" w:rsidRPr="000E5DDD" w:rsidRDefault="008E71CC" w:rsidP="00073700">
      <w:pPr>
        <w:pStyle w:val="Authornameandaffiliation"/>
        <w:ind w:left="0"/>
        <w:jc w:val="both"/>
        <w:rPr>
          <w:sz w:val="24"/>
          <w:szCs w:val="24"/>
          <w:lang w:val="en-GB"/>
        </w:rPr>
      </w:pPr>
    </w:p>
    <w:p w14:paraId="7B44FDE5" w14:textId="0EC62091" w:rsidR="00604C59" w:rsidRPr="000E5DDD" w:rsidRDefault="008E71CC" w:rsidP="00073700">
      <w:pPr>
        <w:pStyle w:val="Authornameandaffiliation"/>
        <w:ind w:left="0"/>
        <w:jc w:val="both"/>
        <w:rPr>
          <w:sz w:val="24"/>
          <w:szCs w:val="24"/>
          <w:lang w:val="en-GB"/>
        </w:rPr>
      </w:pPr>
      <w:r w:rsidRPr="000E5DDD">
        <w:rPr>
          <w:sz w:val="24"/>
          <w:szCs w:val="24"/>
          <w:lang w:val="en-GB"/>
        </w:rPr>
        <w:t>Lois Roberts</w:t>
      </w:r>
    </w:p>
    <w:p w14:paraId="20CD335A" w14:textId="3B98E78B" w:rsidR="00604C59" w:rsidRPr="000E5DDD" w:rsidRDefault="008E71CC" w:rsidP="00073700">
      <w:pPr>
        <w:pStyle w:val="Authornameandaffiliation"/>
        <w:ind w:left="0"/>
        <w:jc w:val="both"/>
        <w:rPr>
          <w:sz w:val="24"/>
          <w:szCs w:val="24"/>
          <w:lang w:val="en-GB"/>
        </w:rPr>
      </w:pPr>
      <w:r w:rsidRPr="000E5DDD">
        <w:rPr>
          <w:sz w:val="24"/>
          <w:szCs w:val="24"/>
          <w:lang w:val="en-GB"/>
        </w:rPr>
        <w:t>UKAEA</w:t>
      </w:r>
    </w:p>
    <w:p w14:paraId="7B37D297" w14:textId="5C5A9E50" w:rsidR="00604C59" w:rsidRPr="000E5DDD" w:rsidRDefault="008B57CB" w:rsidP="00073700">
      <w:pPr>
        <w:pStyle w:val="Authornameandaffiliation"/>
        <w:ind w:left="0"/>
        <w:jc w:val="both"/>
        <w:rPr>
          <w:sz w:val="24"/>
          <w:szCs w:val="24"/>
          <w:lang w:val="en-GB"/>
        </w:rPr>
      </w:pPr>
      <w:r w:rsidRPr="000E5DDD">
        <w:rPr>
          <w:sz w:val="24"/>
          <w:szCs w:val="24"/>
          <w:lang w:val="en-GB"/>
        </w:rPr>
        <w:t>Culham</w:t>
      </w:r>
      <w:r w:rsidR="00604C59" w:rsidRPr="000E5DDD">
        <w:rPr>
          <w:sz w:val="24"/>
          <w:szCs w:val="24"/>
          <w:lang w:val="en-GB"/>
        </w:rPr>
        <w:t xml:space="preserve">, </w:t>
      </w:r>
      <w:r w:rsidR="008E71CC" w:rsidRPr="000E5DDD">
        <w:rPr>
          <w:sz w:val="24"/>
          <w:szCs w:val="24"/>
          <w:lang w:val="en-GB"/>
        </w:rPr>
        <w:t>UK</w:t>
      </w:r>
    </w:p>
    <w:p w14:paraId="2796F553" w14:textId="0E657FF1" w:rsidR="00604C59" w:rsidRPr="000E5DDD" w:rsidRDefault="00604C59" w:rsidP="00073700">
      <w:pPr>
        <w:pStyle w:val="Authornameandaffiliation"/>
        <w:ind w:left="0"/>
        <w:jc w:val="both"/>
        <w:rPr>
          <w:sz w:val="24"/>
          <w:szCs w:val="24"/>
          <w:lang w:val="en-GB"/>
        </w:rPr>
      </w:pPr>
      <w:r w:rsidRPr="000E5DDD">
        <w:rPr>
          <w:sz w:val="24"/>
          <w:szCs w:val="24"/>
          <w:lang w:val="en-GB"/>
        </w:rPr>
        <w:t xml:space="preserve">Email: </w:t>
      </w:r>
      <w:r w:rsidR="008E71CC" w:rsidRPr="000E5DDD">
        <w:rPr>
          <w:sz w:val="24"/>
          <w:szCs w:val="24"/>
          <w:lang w:val="en-GB"/>
        </w:rPr>
        <w:t>Lois.Roberts@UKAEA.uk</w:t>
      </w:r>
    </w:p>
    <w:p w14:paraId="654E3E67" w14:textId="77777777" w:rsidR="00604C59" w:rsidRPr="000E5DDD" w:rsidRDefault="00604C59" w:rsidP="00073700">
      <w:pPr>
        <w:pStyle w:val="Authornameandaffiliation"/>
        <w:ind w:left="0"/>
        <w:jc w:val="both"/>
        <w:rPr>
          <w:sz w:val="24"/>
          <w:szCs w:val="24"/>
          <w:lang w:val="en-GB"/>
        </w:rPr>
      </w:pPr>
    </w:p>
    <w:p w14:paraId="05BCD9AD" w14:textId="6B7BBDFE" w:rsidR="00604C59" w:rsidRPr="000E5DDD" w:rsidRDefault="008E71CC" w:rsidP="00073700">
      <w:pPr>
        <w:pStyle w:val="Authornameandaffiliation"/>
        <w:ind w:left="0"/>
        <w:jc w:val="both"/>
        <w:rPr>
          <w:sz w:val="24"/>
          <w:szCs w:val="24"/>
          <w:lang w:val="en-GB"/>
        </w:rPr>
      </w:pPr>
      <w:r w:rsidRPr="000E5DDD">
        <w:rPr>
          <w:sz w:val="24"/>
          <w:szCs w:val="24"/>
          <w:lang w:val="en-GB"/>
        </w:rPr>
        <w:t>Omar Afify</w:t>
      </w:r>
    </w:p>
    <w:p w14:paraId="38F776AC" w14:textId="07485D1B" w:rsidR="00604C59" w:rsidRPr="000E5DDD" w:rsidRDefault="008E71CC" w:rsidP="008E71CC">
      <w:pPr>
        <w:pStyle w:val="Authornameandaffiliation"/>
        <w:ind w:left="0"/>
        <w:jc w:val="both"/>
        <w:rPr>
          <w:sz w:val="24"/>
          <w:szCs w:val="24"/>
          <w:lang w:val="en-GB"/>
        </w:rPr>
      </w:pPr>
      <w:r w:rsidRPr="000E5DDD">
        <w:rPr>
          <w:sz w:val="24"/>
          <w:szCs w:val="24"/>
          <w:lang w:val="en-GB"/>
        </w:rPr>
        <w:t>UKAEA</w:t>
      </w:r>
    </w:p>
    <w:p w14:paraId="14815A7B" w14:textId="5B047233" w:rsidR="00CD7ABF" w:rsidRPr="000E5DDD" w:rsidRDefault="008B57CB" w:rsidP="00073700">
      <w:pPr>
        <w:pStyle w:val="Authornameandaffiliation"/>
        <w:ind w:left="0"/>
        <w:jc w:val="both"/>
        <w:rPr>
          <w:sz w:val="24"/>
          <w:szCs w:val="24"/>
          <w:lang w:val="en-GB"/>
        </w:rPr>
      </w:pPr>
      <w:r w:rsidRPr="000E5DDD">
        <w:rPr>
          <w:sz w:val="24"/>
          <w:szCs w:val="24"/>
          <w:lang w:val="en-GB"/>
        </w:rPr>
        <w:t>Culham, UK</w:t>
      </w:r>
    </w:p>
    <w:p w14:paraId="338D162C" w14:textId="08634606" w:rsidR="00CD7ABF" w:rsidRPr="000E5DDD" w:rsidRDefault="008B57CB" w:rsidP="00073700">
      <w:pPr>
        <w:pStyle w:val="Authornameandaffiliation"/>
        <w:ind w:left="0"/>
        <w:jc w:val="both"/>
        <w:rPr>
          <w:sz w:val="24"/>
          <w:szCs w:val="24"/>
          <w:lang w:val="en-GB"/>
        </w:rPr>
      </w:pPr>
      <w:r w:rsidRPr="000E5DDD">
        <w:rPr>
          <w:sz w:val="24"/>
          <w:szCs w:val="24"/>
          <w:lang w:val="en-GB"/>
        </w:rPr>
        <w:t>Email: Omar.Afify@UKAEA.uk</w:t>
      </w:r>
    </w:p>
    <w:p w14:paraId="0C02B0FB" w14:textId="25440BE2" w:rsidR="00B51443" w:rsidRPr="000E5DDD" w:rsidRDefault="00B51443" w:rsidP="4A16B094">
      <w:pPr>
        <w:overflowPunct/>
        <w:autoSpaceDE/>
        <w:autoSpaceDN/>
        <w:adjustRightInd/>
        <w:spacing w:before="280" w:after="280"/>
        <w:jc w:val="both"/>
        <w:textAlignment w:val="auto"/>
        <w:rPr>
          <w:rFonts w:eastAsiaTheme="minorEastAsia"/>
          <w:sz w:val="24"/>
          <w:szCs w:val="24"/>
          <w:lang w:eastAsia="ar-SA"/>
        </w:rPr>
      </w:pPr>
      <w:r w:rsidRPr="000E5DDD">
        <w:rPr>
          <w:rFonts w:eastAsiaTheme="minorEastAsia"/>
          <w:sz w:val="24"/>
          <w:szCs w:val="24"/>
          <w:lang w:eastAsia="ar-SA"/>
        </w:rPr>
        <w:t xml:space="preserve">The Joint European Torus (JET) is currently the largest magnetic fusion experiment in the world. As a fusion research facility, it is used to investigate the potential of fusion power as a safe, clean, and virtually limitless energy source for future generations. The JET facilities are collectively used by all European fusion laboratories under the EUROfusion consortium. Scientists from predominantly European countries, and more from around the globe, participate in JET experiments each year, within the integrated European research programme coordinated by EUROfusion. The Culham Centre for Fusion Energy (CCFE) is responsible for operating the facility for fusion researchers and for maintaining and upgrading it. This work is carried out under a contract between the European Commission and the </w:t>
      </w:r>
      <w:r w:rsidR="0092594D">
        <w:rPr>
          <w:rFonts w:eastAsiaTheme="minorEastAsia"/>
          <w:sz w:val="24"/>
          <w:szCs w:val="24"/>
          <w:lang w:eastAsia="ar-SA"/>
        </w:rPr>
        <w:t>United Kingdom Atomic Energy Authority (</w:t>
      </w:r>
      <w:r w:rsidRPr="000E5DDD">
        <w:rPr>
          <w:rFonts w:eastAsiaTheme="minorEastAsia"/>
          <w:sz w:val="24"/>
          <w:szCs w:val="24"/>
          <w:lang w:eastAsia="ar-SA"/>
        </w:rPr>
        <w:t>UKAEA</w:t>
      </w:r>
      <w:r w:rsidR="0092594D">
        <w:rPr>
          <w:rFonts w:eastAsiaTheme="minorEastAsia"/>
          <w:sz w:val="24"/>
          <w:szCs w:val="24"/>
          <w:lang w:eastAsia="ar-SA"/>
        </w:rPr>
        <w:t>)</w:t>
      </w:r>
      <w:r w:rsidRPr="000E5DDD">
        <w:rPr>
          <w:rFonts w:eastAsiaTheme="minorEastAsia"/>
          <w:sz w:val="24"/>
          <w:szCs w:val="24"/>
          <w:lang w:eastAsia="ar-SA"/>
        </w:rPr>
        <w:t xml:space="preserve"> (CCFE's operator). This funds the scientists, </w:t>
      </w:r>
      <w:proofErr w:type="gramStart"/>
      <w:r w:rsidRPr="000E5DDD">
        <w:rPr>
          <w:rFonts w:eastAsiaTheme="minorEastAsia"/>
          <w:sz w:val="24"/>
          <w:szCs w:val="24"/>
          <w:lang w:eastAsia="ar-SA"/>
        </w:rPr>
        <w:t>engineers</w:t>
      </w:r>
      <w:proofErr w:type="gramEnd"/>
      <w:r w:rsidRPr="000E5DDD">
        <w:rPr>
          <w:rFonts w:eastAsiaTheme="minorEastAsia"/>
          <w:sz w:val="24"/>
          <w:szCs w:val="24"/>
          <w:lang w:eastAsia="ar-SA"/>
        </w:rPr>
        <w:t xml:space="preserve"> and other technical staff essential for operating and maintaining the device.</w:t>
      </w:r>
    </w:p>
    <w:p w14:paraId="5E4C4A79" w14:textId="49D2EADF" w:rsidR="00B51443" w:rsidRPr="000E5DDD" w:rsidRDefault="00B51443" w:rsidP="4A16B094">
      <w:pPr>
        <w:overflowPunct/>
        <w:autoSpaceDE/>
        <w:autoSpaceDN/>
        <w:adjustRightInd/>
        <w:spacing w:before="280" w:after="280"/>
        <w:jc w:val="both"/>
        <w:textAlignment w:val="auto"/>
        <w:rPr>
          <w:rFonts w:eastAsiaTheme="minorEastAsia"/>
          <w:sz w:val="24"/>
          <w:szCs w:val="24"/>
          <w:lang w:eastAsia="ar-SA"/>
        </w:rPr>
      </w:pPr>
      <w:r w:rsidRPr="000E5DDD">
        <w:rPr>
          <w:rFonts w:eastAsiaTheme="minorEastAsia"/>
          <w:sz w:val="24"/>
          <w:szCs w:val="24"/>
          <w:lang w:eastAsia="ar-SA"/>
        </w:rPr>
        <w:t xml:space="preserve">JET was established with a long-term objective to create safe and environmentally sound prototype fusion reactors. To meet this objective, JET operated for </w:t>
      </w:r>
      <w:r w:rsidR="00394339" w:rsidRPr="000E5DDD">
        <w:rPr>
          <w:rFonts w:eastAsiaTheme="minorEastAsia"/>
          <w:sz w:val="24"/>
          <w:szCs w:val="24"/>
          <w:lang w:eastAsia="ar-SA"/>
        </w:rPr>
        <w:t>several</w:t>
      </w:r>
      <w:r w:rsidRPr="000E5DDD">
        <w:rPr>
          <w:rFonts w:eastAsiaTheme="minorEastAsia"/>
          <w:sz w:val="24"/>
          <w:szCs w:val="24"/>
          <w:lang w:eastAsia="ar-SA"/>
        </w:rPr>
        <w:t xml:space="preserve"> years in Deuterium-Deuterium</w:t>
      </w:r>
      <w:r w:rsidR="4A16B094" w:rsidRPr="000E5DDD">
        <w:rPr>
          <w:rFonts w:eastAsiaTheme="minorEastAsia"/>
          <w:sz w:val="24"/>
          <w:szCs w:val="24"/>
          <w:lang w:eastAsia="ar-SA"/>
        </w:rPr>
        <w:t xml:space="preserve"> (</w:t>
      </w:r>
      <w:r w:rsidRPr="000E5DDD">
        <w:rPr>
          <w:rFonts w:eastAsiaTheme="minorEastAsia"/>
          <w:sz w:val="24"/>
          <w:szCs w:val="24"/>
          <w:lang w:eastAsia="ar-SA"/>
        </w:rPr>
        <w:t xml:space="preserve">D-D) mode using deuterium (an isotope of hydrogen) as a fuel, which is not radioactive and produces a relatively low level of induced activation and associated radiation from fusion reactions. The JET Facility was also designed to operate in Deuterium-Tritium (D-T) mode where the fusion reaction is fuelled by deuterium and tritium. D-T operation produces higher energy neutrons which have a greater potential to activate the structural components of the machine, and tritium itself is a radioactive isotope. JET has previously operated with </w:t>
      </w:r>
      <w:r w:rsidR="00D0621B">
        <w:rPr>
          <w:rFonts w:eastAsiaTheme="minorEastAsia"/>
          <w:sz w:val="24"/>
          <w:szCs w:val="24"/>
          <w:lang w:eastAsia="ar-SA"/>
        </w:rPr>
        <w:t>t</w:t>
      </w:r>
      <w:r w:rsidRPr="000E5DDD">
        <w:rPr>
          <w:rFonts w:eastAsiaTheme="minorEastAsia"/>
          <w:sz w:val="24"/>
          <w:szCs w:val="24"/>
          <w:lang w:eastAsia="ar-SA"/>
        </w:rPr>
        <w:t xml:space="preserve">ritium in 1991 (the Preliminary Tritium Experiment), DTE1 in 1997 and in the </w:t>
      </w:r>
      <w:proofErr w:type="gramStart"/>
      <w:r w:rsidRPr="000E5DDD">
        <w:rPr>
          <w:rFonts w:eastAsiaTheme="minorEastAsia"/>
          <w:sz w:val="24"/>
          <w:szCs w:val="24"/>
          <w:lang w:eastAsia="ar-SA"/>
        </w:rPr>
        <w:t>Trace</w:t>
      </w:r>
      <w:proofErr w:type="gramEnd"/>
      <w:r w:rsidRPr="000E5DDD">
        <w:rPr>
          <w:rFonts w:eastAsiaTheme="minorEastAsia"/>
          <w:sz w:val="24"/>
          <w:szCs w:val="24"/>
          <w:lang w:eastAsia="ar-SA"/>
        </w:rPr>
        <w:t xml:space="preserve"> Tritium Experiment</w:t>
      </w:r>
      <w:r w:rsidR="00436ABC" w:rsidRPr="000E5DDD">
        <w:rPr>
          <w:rFonts w:eastAsiaTheme="minorEastAsia"/>
          <w:sz w:val="24"/>
          <w:szCs w:val="24"/>
          <w:lang w:eastAsia="ar-SA"/>
        </w:rPr>
        <w:t>s</w:t>
      </w:r>
      <w:r w:rsidRPr="000E5DDD">
        <w:rPr>
          <w:rFonts w:eastAsiaTheme="minorEastAsia"/>
          <w:sz w:val="24"/>
          <w:szCs w:val="24"/>
          <w:lang w:eastAsia="ar-SA"/>
        </w:rPr>
        <w:t xml:space="preserve"> in 2003 (TTE). JET has not carried out any D-T Experiments since the TTE. </w:t>
      </w:r>
    </w:p>
    <w:p w14:paraId="6A1F081D" w14:textId="11BD90D6" w:rsidR="00B51443" w:rsidRPr="000E5DDD" w:rsidRDefault="00B51443" w:rsidP="0076058D">
      <w:pPr>
        <w:overflowPunct/>
        <w:autoSpaceDE/>
        <w:autoSpaceDN/>
        <w:adjustRightInd/>
        <w:spacing w:before="280" w:after="280"/>
        <w:jc w:val="both"/>
        <w:textAlignment w:val="auto"/>
        <w:rPr>
          <w:rFonts w:eastAsiaTheme="minorHAnsi"/>
          <w:sz w:val="24"/>
          <w:szCs w:val="24"/>
          <w:lang w:eastAsia="ar-SA"/>
        </w:rPr>
      </w:pPr>
      <w:r w:rsidRPr="000E5DDD">
        <w:rPr>
          <w:rFonts w:eastAsiaTheme="minorHAnsi"/>
          <w:sz w:val="24"/>
          <w:szCs w:val="24"/>
          <w:lang w:eastAsia="ar-SA"/>
        </w:rPr>
        <w:t xml:space="preserve">As an operational experimental facility </w:t>
      </w:r>
      <w:r w:rsidRPr="00772E9A">
        <w:rPr>
          <w:rFonts w:eastAsiaTheme="minorHAnsi"/>
          <w:sz w:val="24"/>
          <w:szCs w:val="24"/>
          <w:lang w:eastAsia="ar-SA"/>
        </w:rPr>
        <w:t>designed to investigate tokamak physics in sustained high current divertor plasmas with strong auxiliary heating, JET is particularly suitable for investigating configurations and conditions relevant to ITER and is unique in having tritium injection capability. D-T operation of JET is part of the European Research Roadmap to the Realisation of Fusion Energy [1].</w:t>
      </w:r>
      <w:r w:rsidR="007E053C" w:rsidRPr="00772E9A">
        <w:rPr>
          <w:rFonts w:eastAsiaTheme="minorHAnsi"/>
          <w:sz w:val="24"/>
          <w:szCs w:val="24"/>
          <w:lang w:eastAsia="ar-SA"/>
        </w:rPr>
        <w:t xml:space="preserve"> </w:t>
      </w:r>
      <w:r w:rsidRPr="00772E9A">
        <w:rPr>
          <w:rFonts w:eastAsiaTheme="minorHAnsi"/>
          <w:sz w:val="24"/>
          <w:szCs w:val="24"/>
          <w:lang w:eastAsia="ar-SA"/>
        </w:rPr>
        <w:t xml:space="preserve">Without further D-T experiments in JET, </w:t>
      </w:r>
      <w:r w:rsidR="00ED5EB6" w:rsidRPr="00772E9A">
        <w:rPr>
          <w:rFonts w:eastAsiaTheme="minorHAnsi"/>
          <w:sz w:val="24"/>
          <w:szCs w:val="24"/>
          <w:lang w:eastAsia="ar-SA"/>
        </w:rPr>
        <w:t>it</w:t>
      </w:r>
      <w:r w:rsidR="0091186D" w:rsidRPr="00772E9A">
        <w:rPr>
          <w:rFonts w:eastAsiaTheme="minorHAnsi"/>
          <w:sz w:val="24"/>
          <w:szCs w:val="24"/>
          <w:lang w:eastAsia="ar-SA"/>
        </w:rPr>
        <w:t xml:space="preserve"> could mean</w:t>
      </w:r>
      <w:r w:rsidR="00D71688" w:rsidRPr="00772E9A">
        <w:rPr>
          <w:rFonts w:eastAsiaTheme="minorHAnsi"/>
          <w:sz w:val="24"/>
          <w:szCs w:val="24"/>
          <w:lang w:eastAsia="ar-SA"/>
        </w:rPr>
        <w:t xml:space="preserve"> a gap of</w:t>
      </w:r>
      <w:r w:rsidRPr="00772E9A">
        <w:rPr>
          <w:rFonts w:eastAsiaTheme="minorHAnsi"/>
          <w:sz w:val="24"/>
          <w:szCs w:val="24"/>
          <w:lang w:eastAsia="ar-SA"/>
        </w:rPr>
        <w:t xml:space="preserve"> 30 years between JET's previous D-T experiments</w:t>
      </w:r>
      <w:r w:rsidRPr="000E5DDD">
        <w:rPr>
          <w:rFonts w:eastAsiaTheme="minorHAnsi"/>
          <w:sz w:val="24"/>
          <w:szCs w:val="24"/>
          <w:lang w:eastAsia="ar-SA"/>
        </w:rPr>
        <w:t xml:space="preserve"> in 2003 and the start of D-T operation in ITER. </w:t>
      </w:r>
      <w:r w:rsidR="00523CF0">
        <w:rPr>
          <w:rFonts w:eastAsiaTheme="minorHAnsi"/>
          <w:sz w:val="24"/>
          <w:szCs w:val="24"/>
          <w:lang w:eastAsia="ar-SA"/>
        </w:rPr>
        <w:t>As a result</w:t>
      </w:r>
      <w:r w:rsidRPr="000E5DDD">
        <w:rPr>
          <w:rFonts w:eastAsiaTheme="minorHAnsi"/>
          <w:sz w:val="24"/>
          <w:szCs w:val="24"/>
          <w:lang w:eastAsia="ar-SA"/>
        </w:rPr>
        <w:t>, a further JET D-T Experimental Campaign was developed (DTE2), with the scientific principle being accepted in 2013.</w:t>
      </w:r>
    </w:p>
    <w:p w14:paraId="348C7E33" w14:textId="2CB4BBD0" w:rsidR="00B51443" w:rsidRPr="000E5DDD" w:rsidRDefault="00B51443" w:rsidP="00B51443">
      <w:pPr>
        <w:overflowPunct/>
        <w:autoSpaceDE/>
        <w:autoSpaceDN/>
        <w:adjustRightInd/>
        <w:spacing w:before="280" w:after="280"/>
        <w:jc w:val="both"/>
        <w:textAlignment w:val="auto"/>
        <w:rPr>
          <w:rFonts w:eastAsiaTheme="minorHAnsi"/>
          <w:sz w:val="24"/>
          <w:szCs w:val="24"/>
          <w:lang w:eastAsia="ar-SA"/>
        </w:rPr>
      </w:pPr>
      <w:r w:rsidRPr="000E5DDD">
        <w:rPr>
          <w:rFonts w:eastAsiaTheme="minorHAnsi"/>
          <w:sz w:val="24"/>
          <w:szCs w:val="24"/>
          <w:lang w:eastAsia="ar-SA"/>
        </w:rPr>
        <w:t xml:space="preserve">Characteristics of the </w:t>
      </w:r>
      <w:r w:rsidR="000E5DDD" w:rsidRPr="000E5DDD">
        <w:rPr>
          <w:rFonts w:eastAsiaTheme="minorHAnsi"/>
          <w:sz w:val="24"/>
          <w:szCs w:val="24"/>
          <w:lang w:eastAsia="ar-SA"/>
        </w:rPr>
        <w:t>c</w:t>
      </w:r>
      <w:r w:rsidRPr="000E5DDD">
        <w:rPr>
          <w:rFonts w:eastAsiaTheme="minorHAnsi"/>
          <w:sz w:val="24"/>
          <w:szCs w:val="24"/>
          <w:lang w:eastAsia="ar-SA"/>
        </w:rPr>
        <w:t>ampaign were as follows:</w:t>
      </w:r>
    </w:p>
    <w:p w14:paraId="0CD23024" w14:textId="021EABFA" w:rsidR="00B51443" w:rsidRPr="000E5DDD" w:rsidRDefault="00B51443" w:rsidP="4A16B094">
      <w:pPr>
        <w:pStyle w:val="ListParagraph"/>
        <w:numPr>
          <w:ilvl w:val="0"/>
          <w:numId w:val="36"/>
        </w:numPr>
        <w:overflowPunct/>
        <w:autoSpaceDE/>
        <w:autoSpaceDN/>
        <w:adjustRightInd/>
        <w:spacing w:before="120" w:after="120"/>
        <w:jc w:val="both"/>
        <w:textAlignment w:val="auto"/>
        <w:rPr>
          <w:rFonts w:eastAsiaTheme="minorEastAsia"/>
          <w:sz w:val="24"/>
          <w:szCs w:val="24"/>
          <w:lang w:eastAsia="ar-SA"/>
        </w:rPr>
      </w:pPr>
      <w:r w:rsidRPr="000E5DDD">
        <w:rPr>
          <w:rFonts w:eastAsiaTheme="minorEastAsia"/>
          <w:sz w:val="24"/>
          <w:szCs w:val="24"/>
          <w:lang w:eastAsia="ar-SA"/>
        </w:rPr>
        <w:t>14 MeV Neutron Budget - 1.7 × 1021 neutrons.</w:t>
      </w:r>
    </w:p>
    <w:p w14:paraId="768D7EBC" w14:textId="1DCBBB39" w:rsidR="00B51443" w:rsidRPr="000E5DDD" w:rsidRDefault="00B51443" w:rsidP="00B51443">
      <w:pPr>
        <w:pStyle w:val="ListParagraph"/>
        <w:numPr>
          <w:ilvl w:val="0"/>
          <w:numId w:val="36"/>
        </w:numPr>
        <w:overflowPunct/>
        <w:autoSpaceDE/>
        <w:autoSpaceDN/>
        <w:adjustRightInd/>
        <w:spacing w:before="120" w:after="120"/>
        <w:jc w:val="both"/>
        <w:textAlignment w:val="auto"/>
        <w:rPr>
          <w:rFonts w:eastAsiaTheme="minorHAnsi"/>
          <w:sz w:val="24"/>
          <w:szCs w:val="24"/>
          <w:lang w:eastAsia="ar-SA"/>
        </w:rPr>
      </w:pPr>
      <w:r w:rsidRPr="000E5DDD">
        <w:rPr>
          <w:rFonts w:eastAsiaTheme="minorHAnsi"/>
          <w:sz w:val="24"/>
          <w:szCs w:val="24"/>
          <w:lang w:eastAsia="ar-SA"/>
        </w:rPr>
        <w:t xml:space="preserve">Pulse length - Limitation of 10 seconds for </w:t>
      </w:r>
      <w:r w:rsidR="00D0621B">
        <w:rPr>
          <w:rFonts w:eastAsiaTheme="minorHAnsi"/>
          <w:sz w:val="24"/>
          <w:szCs w:val="24"/>
          <w:lang w:eastAsia="ar-SA"/>
        </w:rPr>
        <w:t>t</w:t>
      </w:r>
      <w:r w:rsidRPr="000E5DDD">
        <w:rPr>
          <w:rFonts w:eastAsiaTheme="minorHAnsi"/>
          <w:sz w:val="24"/>
          <w:szCs w:val="24"/>
          <w:lang w:eastAsia="ar-SA"/>
        </w:rPr>
        <w:t>ritium beams</w:t>
      </w:r>
    </w:p>
    <w:p w14:paraId="2D43F233" w14:textId="6F9D41CC" w:rsidR="00B51443" w:rsidRPr="000E5DDD" w:rsidRDefault="00B51443" w:rsidP="00B51443">
      <w:pPr>
        <w:pStyle w:val="ListParagraph"/>
        <w:numPr>
          <w:ilvl w:val="0"/>
          <w:numId w:val="36"/>
        </w:numPr>
        <w:overflowPunct/>
        <w:autoSpaceDE/>
        <w:autoSpaceDN/>
        <w:adjustRightInd/>
        <w:spacing w:before="120" w:after="120"/>
        <w:jc w:val="both"/>
        <w:textAlignment w:val="auto"/>
        <w:rPr>
          <w:rFonts w:eastAsiaTheme="minorHAnsi"/>
          <w:sz w:val="24"/>
          <w:szCs w:val="24"/>
          <w:lang w:eastAsia="ar-SA"/>
        </w:rPr>
      </w:pPr>
      <w:r w:rsidRPr="000E5DDD">
        <w:rPr>
          <w:rFonts w:eastAsiaTheme="minorHAnsi"/>
          <w:sz w:val="24"/>
          <w:szCs w:val="24"/>
          <w:lang w:eastAsia="ar-SA"/>
        </w:rPr>
        <w:t xml:space="preserve">Tritium fuelling - This will be predominantly through five new </w:t>
      </w:r>
      <w:r w:rsidR="00F81F30" w:rsidRPr="000E5DDD">
        <w:rPr>
          <w:rFonts w:eastAsiaTheme="minorHAnsi"/>
          <w:sz w:val="24"/>
          <w:szCs w:val="24"/>
          <w:lang w:eastAsia="ar-SA"/>
        </w:rPr>
        <w:t>t</w:t>
      </w:r>
      <w:r w:rsidRPr="000E5DDD">
        <w:rPr>
          <w:rFonts w:eastAsiaTheme="minorHAnsi"/>
          <w:sz w:val="24"/>
          <w:szCs w:val="24"/>
          <w:lang w:eastAsia="ar-SA"/>
        </w:rPr>
        <w:t xml:space="preserve">ritium </w:t>
      </w:r>
      <w:r w:rsidR="00F81F30" w:rsidRPr="000E5DDD">
        <w:rPr>
          <w:rFonts w:eastAsiaTheme="minorHAnsi"/>
          <w:sz w:val="24"/>
          <w:szCs w:val="24"/>
          <w:lang w:eastAsia="ar-SA"/>
        </w:rPr>
        <w:t>i</w:t>
      </w:r>
      <w:r w:rsidRPr="000E5DDD">
        <w:rPr>
          <w:rFonts w:eastAsiaTheme="minorHAnsi"/>
          <w:sz w:val="24"/>
          <w:szCs w:val="24"/>
          <w:lang w:eastAsia="ar-SA"/>
        </w:rPr>
        <w:t xml:space="preserve">ntroduction </w:t>
      </w:r>
      <w:r w:rsidR="00F81F30" w:rsidRPr="000E5DDD">
        <w:rPr>
          <w:rFonts w:eastAsiaTheme="minorHAnsi"/>
          <w:sz w:val="24"/>
          <w:szCs w:val="24"/>
          <w:lang w:eastAsia="ar-SA"/>
        </w:rPr>
        <w:t>m</w:t>
      </w:r>
      <w:r w:rsidRPr="000E5DDD">
        <w:rPr>
          <w:rFonts w:eastAsiaTheme="minorHAnsi"/>
          <w:sz w:val="24"/>
          <w:szCs w:val="24"/>
          <w:lang w:eastAsia="ar-SA"/>
        </w:rPr>
        <w:t xml:space="preserve">odules at the </w:t>
      </w:r>
      <w:r w:rsidR="00F81F30" w:rsidRPr="000E5DDD">
        <w:rPr>
          <w:rFonts w:eastAsiaTheme="minorHAnsi"/>
          <w:sz w:val="24"/>
          <w:szCs w:val="24"/>
          <w:lang w:eastAsia="ar-SA"/>
        </w:rPr>
        <w:t>d</w:t>
      </w:r>
      <w:r w:rsidRPr="000E5DDD">
        <w:rPr>
          <w:rFonts w:eastAsiaTheme="minorHAnsi"/>
          <w:sz w:val="24"/>
          <w:szCs w:val="24"/>
          <w:lang w:eastAsia="ar-SA"/>
        </w:rPr>
        <w:t xml:space="preserve">ivertor. Additional fuelling will be through the relevant beams using </w:t>
      </w:r>
      <w:r w:rsidR="00D0621B">
        <w:rPr>
          <w:rFonts w:eastAsiaTheme="minorHAnsi"/>
          <w:sz w:val="24"/>
          <w:szCs w:val="24"/>
          <w:lang w:eastAsia="ar-SA"/>
        </w:rPr>
        <w:lastRenderedPageBreak/>
        <w:t>t</w:t>
      </w:r>
      <w:r w:rsidRPr="000E5DDD">
        <w:rPr>
          <w:rFonts w:eastAsiaTheme="minorHAnsi"/>
          <w:sz w:val="24"/>
          <w:szCs w:val="24"/>
          <w:lang w:eastAsia="ar-SA"/>
        </w:rPr>
        <w:t xml:space="preserve">ritium. Note there will be no </w:t>
      </w:r>
      <w:r w:rsidR="00D0621B">
        <w:rPr>
          <w:rFonts w:eastAsiaTheme="minorHAnsi"/>
          <w:sz w:val="24"/>
          <w:szCs w:val="24"/>
          <w:lang w:eastAsia="ar-SA"/>
        </w:rPr>
        <w:t>t</w:t>
      </w:r>
      <w:r w:rsidRPr="000E5DDD">
        <w:rPr>
          <w:rFonts w:eastAsiaTheme="minorHAnsi"/>
          <w:sz w:val="24"/>
          <w:szCs w:val="24"/>
          <w:lang w:eastAsia="ar-SA"/>
        </w:rPr>
        <w:t xml:space="preserve">ritium pellet fuelling; pellets will only be used to supply </w:t>
      </w:r>
      <w:r w:rsidR="00817C1D">
        <w:rPr>
          <w:rFonts w:eastAsiaTheme="minorHAnsi"/>
          <w:sz w:val="24"/>
          <w:szCs w:val="24"/>
          <w:lang w:eastAsia="ar-SA"/>
        </w:rPr>
        <w:t>d</w:t>
      </w:r>
      <w:r w:rsidRPr="000E5DDD">
        <w:rPr>
          <w:rFonts w:eastAsiaTheme="minorHAnsi"/>
          <w:sz w:val="24"/>
          <w:szCs w:val="24"/>
          <w:lang w:eastAsia="ar-SA"/>
        </w:rPr>
        <w:t>euterium in the D-T stages.</w:t>
      </w:r>
    </w:p>
    <w:p w14:paraId="22AF6AC4" w14:textId="6A78FEFB" w:rsidR="00B51443" w:rsidRPr="000E5DDD" w:rsidRDefault="00B51443" w:rsidP="00B51443">
      <w:pPr>
        <w:pStyle w:val="ListParagraph"/>
        <w:numPr>
          <w:ilvl w:val="0"/>
          <w:numId w:val="36"/>
        </w:numPr>
        <w:overflowPunct/>
        <w:autoSpaceDE/>
        <w:autoSpaceDN/>
        <w:adjustRightInd/>
        <w:spacing w:before="120" w:after="120"/>
        <w:jc w:val="both"/>
        <w:textAlignment w:val="auto"/>
        <w:rPr>
          <w:rFonts w:eastAsiaTheme="minorHAnsi"/>
          <w:sz w:val="24"/>
          <w:szCs w:val="24"/>
          <w:lang w:eastAsia="ar-SA"/>
        </w:rPr>
      </w:pPr>
      <w:r w:rsidRPr="000E5DDD">
        <w:rPr>
          <w:rFonts w:eastAsiaTheme="minorHAnsi"/>
          <w:sz w:val="24"/>
          <w:szCs w:val="24"/>
          <w:lang w:eastAsia="ar-SA"/>
        </w:rPr>
        <w:t xml:space="preserve">Tritium Inventory and Regeneration - </w:t>
      </w:r>
      <w:proofErr w:type="gramStart"/>
      <w:r w:rsidRPr="000E5DDD">
        <w:rPr>
          <w:rFonts w:eastAsiaTheme="minorHAnsi"/>
          <w:sz w:val="24"/>
          <w:szCs w:val="24"/>
          <w:lang w:eastAsia="ar-SA"/>
        </w:rPr>
        <w:t>15 gram</w:t>
      </w:r>
      <w:proofErr w:type="gramEnd"/>
      <w:r w:rsidRPr="000E5DDD">
        <w:rPr>
          <w:rFonts w:eastAsiaTheme="minorHAnsi"/>
          <w:sz w:val="24"/>
          <w:szCs w:val="24"/>
          <w:lang w:eastAsia="ar-SA"/>
        </w:rPr>
        <w:t xml:space="preserve"> limitation in the </w:t>
      </w:r>
      <w:r w:rsidR="00442BC1" w:rsidRPr="000E5DDD">
        <w:rPr>
          <w:rFonts w:eastAsiaTheme="minorHAnsi"/>
          <w:sz w:val="24"/>
          <w:szCs w:val="24"/>
          <w:lang w:eastAsia="ar-SA"/>
        </w:rPr>
        <w:t>t</w:t>
      </w:r>
      <w:r w:rsidRPr="000E5DDD">
        <w:rPr>
          <w:rFonts w:eastAsiaTheme="minorHAnsi"/>
          <w:sz w:val="24"/>
          <w:szCs w:val="24"/>
          <w:lang w:eastAsia="ar-SA"/>
        </w:rPr>
        <w:t xml:space="preserve">orus at any one time. The frequency of pulses will mean that there will be simultaneous </w:t>
      </w:r>
      <w:r w:rsidR="00D0621B">
        <w:rPr>
          <w:rFonts w:eastAsiaTheme="minorHAnsi"/>
          <w:sz w:val="24"/>
          <w:szCs w:val="24"/>
          <w:lang w:eastAsia="ar-SA"/>
        </w:rPr>
        <w:t>t</w:t>
      </w:r>
      <w:r w:rsidRPr="000E5DDD">
        <w:rPr>
          <w:rFonts w:eastAsiaTheme="minorHAnsi"/>
          <w:sz w:val="24"/>
          <w:szCs w:val="24"/>
          <w:lang w:eastAsia="ar-SA"/>
        </w:rPr>
        <w:t>ritium feed and recovery in the A</w:t>
      </w:r>
      <w:r w:rsidR="00EF178C">
        <w:rPr>
          <w:rFonts w:eastAsiaTheme="minorHAnsi"/>
          <w:sz w:val="24"/>
          <w:szCs w:val="24"/>
          <w:lang w:eastAsia="ar-SA"/>
        </w:rPr>
        <w:t xml:space="preserve">ctive </w:t>
      </w:r>
      <w:r w:rsidRPr="000E5DDD">
        <w:rPr>
          <w:rFonts w:eastAsiaTheme="minorHAnsi"/>
          <w:sz w:val="24"/>
          <w:szCs w:val="24"/>
          <w:lang w:eastAsia="ar-SA"/>
        </w:rPr>
        <w:t>G</w:t>
      </w:r>
      <w:r w:rsidR="00EF178C">
        <w:rPr>
          <w:rFonts w:eastAsiaTheme="minorHAnsi"/>
          <w:sz w:val="24"/>
          <w:szCs w:val="24"/>
          <w:lang w:eastAsia="ar-SA"/>
        </w:rPr>
        <w:t xml:space="preserve">as </w:t>
      </w:r>
      <w:r w:rsidRPr="000E5DDD">
        <w:rPr>
          <w:rFonts w:eastAsiaTheme="minorHAnsi"/>
          <w:sz w:val="24"/>
          <w:szCs w:val="24"/>
          <w:lang w:eastAsia="ar-SA"/>
        </w:rPr>
        <w:t>H</w:t>
      </w:r>
      <w:r w:rsidR="00EF178C">
        <w:rPr>
          <w:rFonts w:eastAsiaTheme="minorHAnsi"/>
          <w:sz w:val="24"/>
          <w:szCs w:val="24"/>
          <w:lang w:eastAsia="ar-SA"/>
        </w:rPr>
        <w:t xml:space="preserve">andling </w:t>
      </w:r>
      <w:r w:rsidRPr="000E5DDD">
        <w:rPr>
          <w:rFonts w:eastAsiaTheme="minorHAnsi"/>
          <w:sz w:val="24"/>
          <w:szCs w:val="24"/>
          <w:lang w:eastAsia="ar-SA"/>
        </w:rPr>
        <w:t>S</w:t>
      </w:r>
      <w:r w:rsidR="00EF178C">
        <w:rPr>
          <w:rFonts w:eastAsiaTheme="minorHAnsi"/>
          <w:sz w:val="24"/>
          <w:szCs w:val="24"/>
          <w:lang w:eastAsia="ar-SA"/>
        </w:rPr>
        <w:t>ystem</w:t>
      </w:r>
      <w:r w:rsidRPr="000E5DDD">
        <w:rPr>
          <w:rFonts w:eastAsiaTheme="minorHAnsi"/>
          <w:sz w:val="24"/>
          <w:szCs w:val="24"/>
          <w:lang w:eastAsia="ar-SA"/>
        </w:rPr>
        <w:t>.</w:t>
      </w:r>
    </w:p>
    <w:p w14:paraId="3E9FABAF" w14:textId="10EC1FA7" w:rsidR="00B51443" w:rsidRPr="000E5DDD" w:rsidRDefault="00B51443" w:rsidP="00B51443">
      <w:pPr>
        <w:pStyle w:val="ListParagraph"/>
        <w:numPr>
          <w:ilvl w:val="0"/>
          <w:numId w:val="36"/>
        </w:numPr>
        <w:overflowPunct/>
        <w:autoSpaceDE/>
        <w:autoSpaceDN/>
        <w:adjustRightInd/>
        <w:spacing w:before="120" w:after="120"/>
        <w:jc w:val="both"/>
        <w:textAlignment w:val="auto"/>
        <w:rPr>
          <w:rFonts w:eastAsiaTheme="minorHAnsi"/>
          <w:sz w:val="24"/>
          <w:szCs w:val="24"/>
          <w:lang w:eastAsia="ar-SA"/>
        </w:rPr>
      </w:pPr>
      <w:r w:rsidRPr="000E5DDD">
        <w:rPr>
          <w:rFonts w:eastAsiaTheme="minorHAnsi"/>
          <w:sz w:val="24"/>
          <w:szCs w:val="24"/>
          <w:lang w:eastAsia="ar-SA"/>
        </w:rPr>
        <w:t xml:space="preserve">Neutral Beams - The </w:t>
      </w:r>
      <w:r w:rsidR="00442BC1" w:rsidRPr="000E5DDD">
        <w:rPr>
          <w:rFonts w:eastAsiaTheme="minorHAnsi"/>
          <w:sz w:val="24"/>
          <w:szCs w:val="24"/>
          <w:lang w:eastAsia="ar-SA"/>
        </w:rPr>
        <w:t>high-power</w:t>
      </w:r>
      <w:r w:rsidRPr="000E5DDD">
        <w:rPr>
          <w:rFonts w:eastAsiaTheme="minorHAnsi"/>
          <w:sz w:val="24"/>
          <w:szCs w:val="24"/>
          <w:lang w:eastAsia="ar-SA"/>
        </w:rPr>
        <w:t xml:space="preserve"> operation is reliant upon maximum use of the </w:t>
      </w:r>
      <w:r w:rsidR="00442BC1" w:rsidRPr="000E5DDD">
        <w:rPr>
          <w:rFonts w:eastAsiaTheme="minorHAnsi"/>
          <w:sz w:val="24"/>
          <w:szCs w:val="24"/>
          <w:lang w:eastAsia="ar-SA"/>
        </w:rPr>
        <w:t>n</w:t>
      </w:r>
      <w:r w:rsidRPr="000E5DDD">
        <w:rPr>
          <w:rFonts w:eastAsiaTheme="minorHAnsi"/>
          <w:sz w:val="24"/>
          <w:szCs w:val="24"/>
          <w:lang w:eastAsia="ar-SA"/>
        </w:rPr>
        <w:t xml:space="preserve">eutral </w:t>
      </w:r>
      <w:r w:rsidR="00442BC1" w:rsidRPr="000E5DDD">
        <w:rPr>
          <w:rFonts w:eastAsiaTheme="minorHAnsi"/>
          <w:sz w:val="24"/>
          <w:szCs w:val="24"/>
          <w:lang w:eastAsia="ar-SA"/>
        </w:rPr>
        <w:t>b</w:t>
      </w:r>
      <w:r w:rsidRPr="000E5DDD">
        <w:rPr>
          <w:rFonts w:eastAsiaTheme="minorHAnsi"/>
          <w:sz w:val="24"/>
          <w:szCs w:val="24"/>
          <w:lang w:eastAsia="ar-SA"/>
        </w:rPr>
        <w:t xml:space="preserve">eams. Both </w:t>
      </w:r>
      <w:r w:rsidR="004F3AB8" w:rsidRPr="000E5DDD">
        <w:rPr>
          <w:rFonts w:eastAsiaTheme="minorHAnsi"/>
          <w:sz w:val="24"/>
          <w:szCs w:val="24"/>
          <w:lang w:eastAsia="ar-SA"/>
        </w:rPr>
        <w:t>N</w:t>
      </w:r>
      <w:r w:rsidRPr="000E5DDD">
        <w:rPr>
          <w:rFonts w:eastAsiaTheme="minorHAnsi"/>
          <w:sz w:val="24"/>
          <w:szCs w:val="24"/>
          <w:lang w:eastAsia="ar-SA"/>
        </w:rPr>
        <w:t xml:space="preserve">eutron </w:t>
      </w:r>
      <w:r w:rsidR="004F3AB8" w:rsidRPr="000E5DDD">
        <w:rPr>
          <w:rFonts w:eastAsiaTheme="minorHAnsi"/>
          <w:sz w:val="24"/>
          <w:szCs w:val="24"/>
          <w:lang w:eastAsia="ar-SA"/>
        </w:rPr>
        <w:t>I</w:t>
      </w:r>
      <w:r w:rsidRPr="000E5DDD">
        <w:rPr>
          <w:rFonts w:eastAsiaTheme="minorHAnsi"/>
          <w:sz w:val="24"/>
          <w:szCs w:val="24"/>
          <w:lang w:eastAsia="ar-SA"/>
        </w:rPr>
        <w:t xml:space="preserve">njection </w:t>
      </w:r>
      <w:r w:rsidR="004F3AB8" w:rsidRPr="000E5DDD">
        <w:rPr>
          <w:rFonts w:eastAsiaTheme="minorHAnsi"/>
          <w:sz w:val="24"/>
          <w:szCs w:val="24"/>
          <w:lang w:eastAsia="ar-SA"/>
        </w:rPr>
        <w:t>B</w:t>
      </w:r>
      <w:r w:rsidRPr="000E5DDD">
        <w:rPr>
          <w:rFonts w:eastAsiaTheme="minorHAnsi"/>
          <w:sz w:val="24"/>
          <w:szCs w:val="24"/>
          <w:lang w:eastAsia="ar-SA"/>
        </w:rPr>
        <w:t xml:space="preserve">eams </w:t>
      </w:r>
      <w:r w:rsidR="004F3AB8" w:rsidRPr="000E5DDD">
        <w:rPr>
          <w:rFonts w:eastAsiaTheme="minorHAnsi"/>
          <w:sz w:val="24"/>
          <w:szCs w:val="24"/>
          <w:lang w:eastAsia="ar-SA"/>
        </w:rPr>
        <w:t xml:space="preserve">(NIB) </w:t>
      </w:r>
      <w:r w:rsidRPr="000E5DDD">
        <w:rPr>
          <w:rFonts w:eastAsiaTheme="minorHAnsi"/>
          <w:sz w:val="24"/>
          <w:szCs w:val="24"/>
          <w:lang w:eastAsia="ar-SA"/>
        </w:rPr>
        <w:t xml:space="preserve">will be used with </w:t>
      </w:r>
      <w:r w:rsidR="00D0621B">
        <w:rPr>
          <w:rFonts w:eastAsiaTheme="minorHAnsi"/>
          <w:sz w:val="24"/>
          <w:szCs w:val="24"/>
          <w:lang w:eastAsia="ar-SA"/>
        </w:rPr>
        <w:t>t</w:t>
      </w:r>
      <w:r w:rsidRPr="000E5DDD">
        <w:rPr>
          <w:rFonts w:eastAsiaTheme="minorHAnsi"/>
          <w:sz w:val="24"/>
          <w:szCs w:val="24"/>
          <w:lang w:eastAsia="ar-SA"/>
        </w:rPr>
        <w:t xml:space="preserve">ritium in the T-T phase, with up to all 16 beamlines. D-T phases will require only one </w:t>
      </w:r>
      <w:r w:rsidR="004F3AB8" w:rsidRPr="000E5DDD">
        <w:rPr>
          <w:rFonts w:eastAsiaTheme="minorHAnsi"/>
          <w:sz w:val="24"/>
          <w:szCs w:val="24"/>
          <w:lang w:eastAsia="ar-SA"/>
        </w:rPr>
        <w:t>NIB</w:t>
      </w:r>
      <w:r w:rsidR="00442BC1" w:rsidRPr="000E5DDD">
        <w:rPr>
          <w:rFonts w:eastAsiaTheme="minorHAnsi"/>
          <w:sz w:val="24"/>
          <w:szCs w:val="24"/>
          <w:lang w:eastAsia="ar-SA"/>
        </w:rPr>
        <w:t xml:space="preserve"> </w:t>
      </w:r>
      <w:r w:rsidRPr="000E5DDD">
        <w:rPr>
          <w:rFonts w:eastAsiaTheme="minorHAnsi"/>
          <w:sz w:val="24"/>
          <w:szCs w:val="24"/>
          <w:lang w:eastAsia="ar-SA"/>
        </w:rPr>
        <w:t xml:space="preserve">to be operating with </w:t>
      </w:r>
      <w:r w:rsidR="00D0621B">
        <w:rPr>
          <w:rFonts w:eastAsiaTheme="minorHAnsi"/>
          <w:sz w:val="24"/>
          <w:szCs w:val="24"/>
          <w:lang w:eastAsia="ar-SA"/>
        </w:rPr>
        <w:t>t</w:t>
      </w:r>
      <w:r w:rsidRPr="000E5DDD">
        <w:rPr>
          <w:rFonts w:eastAsiaTheme="minorHAnsi"/>
          <w:sz w:val="24"/>
          <w:szCs w:val="24"/>
          <w:lang w:eastAsia="ar-SA"/>
        </w:rPr>
        <w:t xml:space="preserve">ritium, and the other with </w:t>
      </w:r>
      <w:r w:rsidR="00D0621B">
        <w:rPr>
          <w:rFonts w:eastAsiaTheme="minorHAnsi"/>
          <w:sz w:val="24"/>
          <w:szCs w:val="24"/>
          <w:lang w:eastAsia="ar-SA"/>
        </w:rPr>
        <w:t>d</w:t>
      </w:r>
      <w:r w:rsidRPr="000E5DDD">
        <w:rPr>
          <w:rFonts w:eastAsiaTheme="minorHAnsi"/>
          <w:sz w:val="24"/>
          <w:szCs w:val="24"/>
          <w:lang w:eastAsia="ar-SA"/>
        </w:rPr>
        <w:t xml:space="preserve">euterium. It is anticipated that each </w:t>
      </w:r>
      <w:r w:rsidR="00D0621B">
        <w:rPr>
          <w:rFonts w:eastAsiaTheme="minorHAnsi"/>
          <w:sz w:val="24"/>
          <w:szCs w:val="24"/>
          <w:lang w:eastAsia="ar-SA"/>
        </w:rPr>
        <w:t>t</w:t>
      </w:r>
      <w:r w:rsidRPr="000E5DDD">
        <w:rPr>
          <w:rFonts w:eastAsiaTheme="minorHAnsi"/>
          <w:sz w:val="24"/>
          <w:szCs w:val="24"/>
          <w:lang w:eastAsia="ar-SA"/>
        </w:rPr>
        <w:t>ritium beam will deliver 2.2 MW to the plasma.</w:t>
      </w:r>
    </w:p>
    <w:p w14:paraId="0E8A212F" w14:textId="4E56976A" w:rsidR="00B51443" w:rsidRPr="000E5DDD" w:rsidRDefault="00B51443" w:rsidP="4A16B094">
      <w:pPr>
        <w:pStyle w:val="ListParagraph"/>
        <w:numPr>
          <w:ilvl w:val="0"/>
          <w:numId w:val="36"/>
        </w:numPr>
        <w:overflowPunct/>
        <w:autoSpaceDE/>
        <w:autoSpaceDN/>
        <w:adjustRightInd/>
        <w:spacing w:before="120" w:after="120"/>
        <w:jc w:val="both"/>
        <w:textAlignment w:val="auto"/>
        <w:rPr>
          <w:rFonts w:eastAsiaTheme="minorEastAsia"/>
          <w:sz w:val="24"/>
          <w:szCs w:val="24"/>
          <w:lang w:eastAsia="ar-SA"/>
        </w:rPr>
      </w:pPr>
      <w:r w:rsidRPr="000E5DDD">
        <w:rPr>
          <w:rFonts w:eastAsiaTheme="minorEastAsia"/>
          <w:sz w:val="24"/>
          <w:szCs w:val="24"/>
          <w:lang w:eastAsia="ar-SA"/>
        </w:rPr>
        <w:t>R</w:t>
      </w:r>
      <w:r w:rsidR="00754276">
        <w:rPr>
          <w:rFonts w:eastAsiaTheme="minorEastAsia"/>
          <w:sz w:val="24"/>
          <w:szCs w:val="24"/>
          <w:lang w:eastAsia="ar-SA"/>
        </w:rPr>
        <w:t xml:space="preserve">adio </w:t>
      </w:r>
      <w:r w:rsidRPr="000E5DDD">
        <w:rPr>
          <w:rFonts w:eastAsiaTheme="minorEastAsia"/>
          <w:sz w:val="24"/>
          <w:szCs w:val="24"/>
          <w:lang w:eastAsia="ar-SA"/>
        </w:rPr>
        <w:t>F</w:t>
      </w:r>
      <w:r w:rsidR="00754276">
        <w:rPr>
          <w:rFonts w:eastAsiaTheme="minorEastAsia"/>
          <w:sz w:val="24"/>
          <w:szCs w:val="24"/>
          <w:lang w:eastAsia="ar-SA"/>
        </w:rPr>
        <w:t>requency</w:t>
      </w:r>
      <w:r w:rsidRPr="000E5DDD">
        <w:rPr>
          <w:rFonts w:eastAsiaTheme="minorEastAsia"/>
          <w:sz w:val="24"/>
          <w:szCs w:val="24"/>
          <w:lang w:eastAsia="ar-SA"/>
        </w:rPr>
        <w:t xml:space="preserve"> Systems - All Ion Cyclotron Resonance Heating </w:t>
      </w:r>
      <w:r w:rsidR="004F3AB8" w:rsidRPr="000E5DDD">
        <w:rPr>
          <w:rFonts w:eastAsiaTheme="minorEastAsia"/>
          <w:sz w:val="24"/>
          <w:szCs w:val="24"/>
          <w:lang w:eastAsia="ar-SA"/>
        </w:rPr>
        <w:t xml:space="preserve">(ICRH) </w:t>
      </w:r>
      <w:r w:rsidRPr="000E5DDD">
        <w:rPr>
          <w:rFonts w:eastAsiaTheme="minorEastAsia"/>
          <w:sz w:val="24"/>
          <w:szCs w:val="24"/>
          <w:lang w:eastAsia="ar-SA"/>
        </w:rPr>
        <w:t xml:space="preserve">systems are to be available. The Lower Hybrid Current Drive </w:t>
      </w:r>
      <w:r w:rsidR="00911442" w:rsidRPr="000E5DDD">
        <w:rPr>
          <w:rFonts w:eastAsiaTheme="minorEastAsia"/>
          <w:sz w:val="24"/>
          <w:szCs w:val="24"/>
          <w:lang w:eastAsia="ar-SA"/>
        </w:rPr>
        <w:t xml:space="preserve">(LHCD) </w:t>
      </w:r>
      <w:r w:rsidRPr="000E5DDD">
        <w:rPr>
          <w:rFonts w:eastAsiaTheme="minorEastAsia"/>
          <w:sz w:val="24"/>
          <w:szCs w:val="24"/>
          <w:lang w:eastAsia="ar-SA"/>
        </w:rPr>
        <w:t xml:space="preserve">is not currently planned to be used in the DTE2 campaigns although it has still been included in this safety case. </w:t>
      </w:r>
    </w:p>
    <w:p w14:paraId="6427BBEC" w14:textId="1C4E355F" w:rsidR="00B51443" w:rsidRPr="00772E9A" w:rsidRDefault="00B51443" w:rsidP="4A16B094">
      <w:pPr>
        <w:overflowPunct/>
        <w:autoSpaceDE/>
        <w:autoSpaceDN/>
        <w:adjustRightInd/>
        <w:spacing w:before="280" w:after="280"/>
        <w:jc w:val="both"/>
        <w:textAlignment w:val="auto"/>
        <w:rPr>
          <w:rFonts w:eastAsiaTheme="minorEastAsia"/>
          <w:sz w:val="24"/>
          <w:szCs w:val="24"/>
          <w:lang w:eastAsia="ar-SA"/>
        </w:rPr>
      </w:pPr>
      <w:r w:rsidRPr="000E5DDD">
        <w:rPr>
          <w:rFonts w:eastAsiaTheme="minorEastAsia"/>
          <w:sz w:val="24"/>
          <w:szCs w:val="24"/>
          <w:lang w:eastAsia="ar-SA"/>
        </w:rPr>
        <w:t>Specialist assessments were needed to enable justification of continued Torus D-T operations following the introduction of the ITER</w:t>
      </w:r>
      <w:r w:rsidR="009D12B0">
        <w:rPr>
          <w:rFonts w:eastAsiaTheme="minorEastAsia"/>
          <w:sz w:val="24"/>
          <w:szCs w:val="24"/>
          <w:lang w:eastAsia="ar-SA"/>
        </w:rPr>
        <w:t>-</w:t>
      </w:r>
      <w:r w:rsidRPr="000E5DDD">
        <w:rPr>
          <w:rFonts w:eastAsiaTheme="minorEastAsia"/>
          <w:sz w:val="24"/>
          <w:szCs w:val="24"/>
          <w:lang w:eastAsia="ar-SA"/>
        </w:rPr>
        <w:t xml:space="preserve">like beryllium wall. The preparation of a JET Torus DTE2 Safety Case required incorporation of an updated and standalone hazard assessment, </w:t>
      </w:r>
      <w:proofErr w:type="gramStart"/>
      <w:r w:rsidRPr="000E5DDD">
        <w:rPr>
          <w:rFonts w:eastAsiaTheme="minorEastAsia"/>
          <w:sz w:val="24"/>
          <w:szCs w:val="24"/>
          <w:lang w:eastAsia="ar-SA"/>
        </w:rPr>
        <w:t>taking into account</w:t>
      </w:r>
      <w:proofErr w:type="gramEnd"/>
      <w:r w:rsidRPr="000E5DDD">
        <w:rPr>
          <w:rFonts w:eastAsiaTheme="minorEastAsia"/>
          <w:sz w:val="24"/>
          <w:szCs w:val="24"/>
          <w:lang w:eastAsia="ar-SA"/>
        </w:rPr>
        <w:t xml:space="preserve"> the impact of the beryllium wall, and incorporating an assessment of hazards appropriate to both </w:t>
      </w:r>
      <w:r w:rsidR="00E4000A" w:rsidRPr="000E5DDD">
        <w:rPr>
          <w:rFonts w:eastAsiaTheme="minorEastAsia"/>
          <w:sz w:val="24"/>
          <w:szCs w:val="24"/>
          <w:lang w:eastAsia="ar-SA"/>
        </w:rPr>
        <w:t>o</w:t>
      </w:r>
      <w:r w:rsidRPr="000E5DDD">
        <w:rPr>
          <w:rFonts w:eastAsiaTheme="minorEastAsia"/>
          <w:sz w:val="24"/>
          <w:szCs w:val="24"/>
          <w:lang w:eastAsia="ar-SA"/>
        </w:rPr>
        <w:t xml:space="preserve">perations and </w:t>
      </w:r>
      <w:r w:rsidR="00E4000A" w:rsidRPr="000E5DDD">
        <w:rPr>
          <w:rFonts w:eastAsiaTheme="minorEastAsia"/>
          <w:sz w:val="24"/>
          <w:szCs w:val="24"/>
          <w:lang w:eastAsia="ar-SA"/>
        </w:rPr>
        <w:t>s</w:t>
      </w:r>
      <w:r w:rsidRPr="000E5DDD">
        <w:rPr>
          <w:rFonts w:eastAsiaTheme="minorEastAsia"/>
          <w:sz w:val="24"/>
          <w:szCs w:val="24"/>
          <w:lang w:eastAsia="ar-SA"/>
        </w:rPr>
        <w:t xml:space="preserve">hutdown </w:t>
      </w:r>
      <w:r w:rsidR="00E4000A" w:rsidRPr="000E5DDD">
        <w:rPr>
          <w:rFonts w:eastAsiaTheme="minorEastAsia"/>
          <w:sz w:val="24"/>
          <w:szCs w:val="24"/>
          <w:lang w:eastAsia="ar-SA"/>
        </w:rPr>
        <w:t>r</w:t>
      </w:r>
      <w:r w:rsidRPr="000E5DDD">
        <w:rPr>
          <w:rFonts w:eastAsiaTheme="minorEastAsia"/>
          <w:sz w:val="24"/>
          <w:szCs w:val="24"/>
          <w:lang w:eastAsia="ar-SA"/>
        </w:rPr>
        <w:t>egimes. In addition, the Key Safety Related Equipment (KSRE)</w:t>
      </w:r>
      <w:r w:rsidR="00B16BD8" w:rsidRPr="000E5DDD">
        <w:rPr>
          <w:rFonts w:eastAsiaTheme="minorEastAsia"/>
          <w:sz w:val="24"/>
          <w:szCs w:val="24"/>
          <w:lang w:eastAsia="ar-SA"/>
        </w:rPr>
        <w:t xml:space="preserve"> a</w:t>
      </w:r>
      <w:r w:rsidR="00092CA4" w:rsidRPr="000E5DDD">
        <w:rPr>
          <w:rFonts w:eastAsiaTheme="minorEastAsia"/>
          <w:sz w:val="24"/>
          <w:szCs w:val="24"/>
          <w:lang w:eastAsia="ar-SA"/>
        </w:rPr>
        <w:t xml:space="preserve">nd </w:t>
      </w:r>
      <w:r w:rsidR="00C635B2" w:rsidRPr="000E5DDD">
        <w:rPr>
          <w:rFonts w:eastAsiaTheme="minorEastAsia"/>
          <w:sz w:val="24"/>
          <w:szCs w:val="24"/>
          <w:lang w:eastAsia="ar-SA"/>
        </w:rPr>
        <w:t xml:space="preserve">Key Safety Management Requirement </w:t>
      </w:r>
      <w:r w:rsidR="00F03478" w:rsidRPr="000E5DDD">
        <w:rPr>
          <w:rFonts w:eastAsiaTheme="minorEastAsia"/>
          <w:sz w:val="24"/>
          <w:szCs w:val="24"/>
          <w:lang w:eastAsia="ar-SA"/>
        </w:rPr>
        <w:t>(</w:t>
      </w:r>
      <w:r w:rsidRPr="000E5DDD">
        <w:rPr>
          <w:rFonts w:eastAsiaTheme="minorEastAsia"/>
          <w:sz w:val="24"/>
          <w:szCs w:val="24"/>
          <w:lang w:eastAsia="ar-SA"/>
        </w:rPr>
        <w:t>KSMR</w:t>
      </w:r>
      <w:r w:rsidR="00F03478" w:rsidRPr="000E5DDD">
        <w:rPr>
          <w:rFonts w:eastAsiaTheme="minorEastAsia"/>
          <w:sz w:val="24"/>
          <w:szCs w:val="24"/>
          <w:lang w:eastAsia="ar-SA"/>
        </w:rPr>
        <w:t>)</w:t>
      </w:r>
      <w:r w:rsidR="00E47E07">
        <w:rPr>
          <w:rFonts w:eastAsiaTheme="minorEastAsia"/>
          <w:sz w:val="24"/>
          <w:szCs w:val="24"/>
          <w:lang w:eastAsia="ar-SA"/>
        </w:rPr>
        <w:t>,</w:t>
      </w:r>
      <w:r w:rsidRPr="000E5DDD">
        <w:rPr>
          <w:rFonts w:eastAsiaTheme="minorEastAsia"/>
          <w:sz w:val="24"/>
          <w:szCs w:val="24"/>
          <w:lang w:eastAsia="ar-SA"/>
        </w:rPr>
        <w:t xml:space="preserve"> </w:t>
      </w:r>
      <w:r w:rsidR="00320D9B" w:rsidRPr="000E5DDD">
        <w:rPr>
          <w:rFonts w:eastAsiaTheme="minorEastAsia"/>
          <w:sz w:val="24"/>
          <w:szCs w:val="24"/>
          <w:lang w:eastAsia="ar-SA"/>
        </w:rPr>
        <w:t xml:space="preserve">identified </w:t>
      </w:r>
      <w:r w:rsidR="00EC4E14" w:rsidRPr="000E5DDD">
        <w:rPr>
          <w:rFonts w:eastAsiaTheme="minorEastAsia"/>
          <w:sz w:val="24"/>
          <w:szCs w:val="24"/>
          <w:lang w:eastAsia="ar-SA"/>
        </w:rPr>
        <w:t>in</w:t>
      </w:r>
      <w:r w:rsidR="00320D9B" w:rsidRPr="000E5DDD">
        <w:rPr>
          <w:rFonts w:eastAsiaTheme="minorEastAsia"/>
          <w:sz w:val="24"/>
          <w:szCs w:val="24"/>
          <w:lang w:eastAsia="ar-SA"/>
        </w:rPr>
        <w:t xml:space="preserve"> the </w:t>
      </w:r>
      <w:r w:rsidR="00EC4E14" w:rsidRPr="000E5DDD">
        <w:rPr>
          <w:rFonts w:eastAsiaTheme="minorEastAsia"/>
          <w:sz w:val="24"/>
          <w:szCs w:val="24"/>
          <w:lang w:eastAsia="ar-SA"/>
        </w:rPr>
        <w:t>2003</w:t>
      </w:r>
      <w:r w:rsidR="00320D9B" w:rsidRPr="000E5DDD">
        <w:rPr>
          <w:rFonts w:eastAsiaTheme="minorEastAsia"/>
          <w:sz w:val="24"/>
          <w:szCs w:val="24"/>
          <w:lang w:eastAsia="ar-SA"/>
        </w:rPr>
        <w:t xml:space="preserve"> TT</w:t>
      </w:r>
      <w:r w:rsidR="00044E73" w:rsidRPr="000E5DDD">
        <w:rPr>
          <w:rFonts w:eastAsiaTheme="minorEastAsia"/>
          <w:sz w:val="24"/>
          <w:szCs w:val="24"/>
          <w:lang w:eastAsia="ar-SA"/>
        </w:rPr>
        <w:t xml:space="preserve">E </w:t>
      </w:r>
      <w:r w:rsidR="00B30B3F" w:rsidRPr="000E5DDD">
        <w:rPr>
          <w:rFonts w:eastAsiaTheme="minorEastAsia"/>
          <w:sz w:val="24"/>
          <w:szCs w:val="24"/>
          <w:lang w:eastAsia="ar-SA"/>
        </w:rPr>
        <w:t>assessment</w:t>
      </w:r>
      <w:r w:rsidR="00E47E07">
        <w:rPr>
          <w:rFonts w:eastAsiaTheme="minorEastAsia"/>
          <w:sz w:val="24"/>
          <w:szCs w:val="24"/>
          <w:lang w:eastAsia="ar-SA"/>
        </w:rPr>
        <w:t>,</w:t>
      </w:r>
      <w:r w:rsidR="00B30B3F" w:rsidRPr="000E5DDD">
        <w:rPr>
          <w:rFonts w:eastAsiaTheme="minorEastAsia"/>
          <w:sz w:val="24"/>
          <w:szCs w:val="24"/>
          <w:lang w:eastAsia="ar-SA"/>
        </w:rPr>
        <w:t xml:space="preserve"> </w:t>
      </w:r>
      <w:r w:rsidR="00092CA4" w:rsidRPr="000E5DDD">
        <w:rPr>
          <w:rFonts w:eastAsiaTheme="minorEastAsia"/>
          <w:sz w:val="24"/>
          <w:szCs w:val="24"/>
          <w:lang w:eastAsia="ar-SA"/>
        </w:rPr>
        <w:t xml:space="preserve">would need to be reviewed, </w:t>
      </w:r>
      <w:r w:rsidR="00E4000A" w:rsidRPr="000E5DDD">
        <w:rPr>
          <w:rFonts w:eastAsiaTheme="minorEastAsia"/>
          <w:sz w:val="24"/>
          <w:szCs w:val="24"/>
          <w:lang w:eastAsia="ar-SA"/>
        </w:rPr>
        <w:t>updated,</w:t>
      </w:r>
      <w:r w:rsidR="00092CA4" w:rsidRPr="000E5DDD">
        <w:rPr>
          <w:rFonts w:eastAsiaTheme="minorEastAsia"/>
          <w:sz w:val="24"/>
          <w:szCs w:val="24"/>
          <w:lang w:eastAsia="ar-SA"/>
        </w:rPr>
        <w:t xml:space="preserve"> and extended</w:t>
      </w:r>
      <w:r w:rsidR="00E4000A" w:rsidRPr="000E5DDD">
        <w:rPr>
          <w:rFonts w:eastAsiaTheme="minorEastAsia"/>
          <w:sz w:val="24"/>
          <w:szCs w:val="24"/>
          <w:lang w:eastAsia="ar-SA"/>
        </w:rPr>
        <w:t xml:space="preserve"> to include the key controls</w:t>
      </w:r>
      <w:r w:rsidR="00092CA4" w:rsidRPr="000E5DDD">
        <w:rPr>
          <w:rFonts w:eastAsiaTheme="minorEastAsia"/>
          <w:sz w:val="24"/>
          <w:szCs w:val="24"/>
          <w:lang w:eastAsia="ar-SA"/>
        </w:rPr>
        <w:t xml:space="preserve"> </w:t>
      </w:r>
      <w:r w:rsidRPr="000E5DDD">
        <w:rPr>
          <w:rFonts w:eastAsiaTheme="minorEastAsia"/>
          <w:sz w:val="24"/>
          <w:szCs w:val="24"/>
          <w:lang w:eastAsia="ar-SA"/>
        </w:rPr>
        <w:t xml:space="preserve">identified in the new assessments. It was therefore agreed that a staged Periodic Safety </w:t>
      </w:r>
      <w:r w:rsidRPr="00772E9A">
        <w:rPr>
          <w:rFonts w:eastAsiaTheme="minorEastAsia"/>
          <w:sz w:val="24"/>
          <w:szCs w:val="24"/>
          <w:lang w:eastAsia="ar-SA"/>
        </w:rPr>
        <w:t xml:space="preserve">Review (PSR) would be carried out. </w:t>
      </w:r>
    </w:p>
    <w:p w14:paraId="6361413F" w14:textId="3C80FAEC" w:rsidR="00B51443" w:rsidRPr="000E5DDD" w:rsidRDefault="00B51443" w:rsidP="00DB3B57">
      <w:pPr>
        <w:overflowPunct/>
        <w:autoSpaceDE/>
        <w:autoSpaceDN/>
        <w:adjustRightInd/>
        <w:spacing w:before="280" w:after="280"/>
        <w:jc w:val="both"/>
        <w:textAlignment w:val="auto"/>
        <w:rPr>
          <w:rFonts w:eastAsiaTheme="minorHAnsi"/>
          <w:sz w:val="24"/>
          <w:szCs w:val="24"/>
          <w:lang w:eastAsia="ar-SA"/>
        </w:rPr>
      </w:pPr>
      <w:r w:rsidRPr="00772E9A">
        <w:rPr>
          <w:rFonts w:eastAsiaTheme="minorHAnsi"/>
          <w:sz w:val="24"/>
          <w:szCs w:val="24"/>
          <w:lang w:eastAsia="ar-SA"/>
        </w:rPr>
        <w:t xml:space="preserve">The first stage of the PSR was conducted </w:t>
      </w:r>
      <w:r w:rsidR="00930937" w:rsidRPr="00772E9A">
        <w:rPr>
          <w:rFonts w:eastAsiaTheme="minorHAnsi"/>
          <w:sz w:val="24"/>
          <w:szCs w:val="24"/>
          <w:lang w:eastAsia="ar-SA"/>
        </w:rPr>
        <w:t xml:space="preserve">in 2011 </w:t>
      </w:r>
      <w:r w:rsidRPr="00772E9A">
        <w:rPr>
          <w:rFonts w:eastAsiaTheme="minorHAnsi"/>
          <w:sz w:val="24"/>
          <w:szCs w:val="24"/>
          <w:lang w:eastAsia="ar-SA"/>
        </w:rPr>
        <w:t xml:space="preserve">to ensure that the JET Torus D-D Safety Case </w:t>
      </w:r>
      <w:r w:rsidR="00907759" w:rsidRPr="00772E9A">
        <w:rPr>
          <w:rFonts w:eastAsiaTheme="minorHAnsi"/>
          <w:sz w:val="24"/>
          <w:szCs w:val="24"/>
          <w:lang w:eastAsia="ar-SA"/>
        </w:rPr>
        <w:t xml:space="preserve">[2] </w:t>
      </w:r>
      <w:r w:rsidRPr="00772E9A">
        <w:rPr>
          <w:rFonts w:eastAsiaTheme="minorHAnsi"/>
          <w:sz w:val="24"/>
          <w:szCs w:val="24"/>
          <w:lang w:eastAsia="ar-SA"/>
        </w:rPr>
        <w:t>reflect</w:t>
      </w:r>
      <w:r w:rsidR="00791508" w:rsidRPr="00772E9A">
        <w:rPr>
          <w:rFonts w:eastAsiaTheme="minorHAnsi"/>
          <w:sz w:val="24"/>
          <w:szCs w:val="24"/>
          <w:lang w:eastAsia="ar-SA"/>
        </w:rPr>
        <w:t>ed</w:t>
      </w:r>
      <w:r w:rsidRPr="00772E9A">
        <w:rPr>
          <w:rFonts w:eastAsiaTheme="minorHAnsi"/>
          <w:sz w:val="24"/>
          <w:szCs w:val="24"/>
          <w:lang w:eastAsia="ar-SA"/>
        </w:rPr>
        <w:t xml:space="preserve"> the current state of the </w:t>
      </w:r>
      <w:r w:rsidR="00930937" w:rsidRPr="00772E9A">
        <w:rPr>
          <w:rFonts w:eastAsiaTheme="minorHAnsi"/>
          <w:sz w:val="24"/>
          <w:szCs w:val="24"/>
          <w:lang w:eastAsia="ar-SA"/>
        </w:rPr>
        <w:t>f</w:t>
      </w:r>
      <w:r w:rsidRPr="00772E9A">
        <w:rPr>
          <w:rFonts w:eastAsiaTheme="minorHAnsi"/>
          <w:sz w:val="24"/>
          <w:szCs w:val="24"/>
          <w:lang w:eastAsia="ar-SA"/>
        </w:rPr>
        <w:t>acility</w:t>
      </w:r>
      <w:r w:rsidR="00EE2471" w:rsidRPr="00772E9A">
        <w:rPr>
          <w:rFonts w:eastAsiaTheme="minorHAnsi"/>
          <w:sz w:val="24"/>
          <w:szCs w:val="24"/>
          <w:lang w:eastAsia="ar-SA"/>
        </w:rPr>
        <w:t>,</w:t>
      </w:r>
      <w:r w:rsidRPr="00772E9A">
        <w:rPr>
          <w:rFonts w:eastAsiaTheme="minorHAnsi"/>
          <w:sz w:val="24"/>
          <w:szCs w:val="24"/>
          <w:lang w:eastAsia="ar-SA"/>
        </w:rPr>
        <w:t xml:space="preserve"> and </w:t>
      </w:r>
      <w:r w:rsidR="00791508" w:rsidRPr="00772E9A">
        <w:rPr>
          <w:rFonts w:eastAsiaTheme="minorHAnsi"/>
          <w:sz w:val="24"/>
          <w:szCs w:val="24"/>
          <w:lang w:eastAsia="ar-SA"/>
        </w:rPr>
        <w:t xml:space="preserve">to </w:t>
      </w:r>
      <w:r w:rsidRPr="00772E9A">
        <w:rPr>
          <w:rFonts w:eastAsiaTheme="minorHAnsi"/>
          <w:sz w:val="24"/>
          <w:szCs w:val="24"/>
          <w:lang w:eastAsia="ar-SA"/>
        </w:rPr>
        <w:t>demonstrate that D-D operations can continue in compliance with modern standards of safety</w:t>
      </w:r>
      <w:r w:rsidR="00DB3B57" w:rsidRPr="00772E9A">
        <w:rPr>
          <w:rFonts w:eastAsiaTheme="minorHAnsi"/>
          <w:sz w:val="24"/>
          <w:szCs w:val="24"/>
          <w:lang w:eastAsia="ar-SA"/>
        </w:rPr>
        <w:t xml:space="preserve"> following the </w:t>
      </w:r>
      <w:r w:rsidR="00B958D4" w:rsidRPr="00772E9A">
        <w:rPr>
          <w:rFonts w:eastAsiaTheme="minorHAnsi"/>
          <w:sz w:val="24"/>
          <w:szCs w:val="24"/>
          <w:lang w:eastAsia="ar-SA"/>
        </w:rPr>
        <w:t xml:space="preserve">2009 </w:t>
      </w:r>
      <w:r w:rsidR="009644FF" w:rsidRPr="00772E9A">
        <w:rPr>
          <w:rFonts w:eastAsiaTheme="minorHAnsi"/>
          <w:sz w:val="24"/>
          <w:szCs w:val="24"/>
          <w:lang w:eastAsia="ar-SA"/>
        </w:rPr>
        <w:t>s</w:t>
      </w:r>
      <w:r w:rsidR="00DB3B57" w:rsidRPr="00772E9A">
        <w:rPr>
          <w:rFonts w:eastAsiaTheme="minorHAnsi"/>
          <w:sz w:val="24"/>
          <w:szCs w:val="24"/>
          <w:lang w:eastAsia="ar-SA"/>
        </w:rPr>
        <w:t>hutdown</w:t>
      </w:r>
      <w:r w:rsidR="00E36942" w:rsidRPr="00772E9A">
        <w:rPr>
          <w:rFonts w:eastAsiaTheme="minorHAnsi"/>
          <w:sz w:val="24"/>
          <w:szCs w:val="24"/>
          <w:lang w:eastAsia="ar-SA"/>
        </w:rPr>
        <w:t>,</w:t>
      </w:r>
      <w:r w:rsidR="00DB3B57" w:rsidRPr="00772E9A">
        <w:rPr>
          <w:rFonts w:eastAsiaTheme="minorHAnsi"/>
          <w:sz w:val="24"/>
          <w:szCs w:val="24"/>
          <w:lang w:eastAsia="ar-SA"/>
        </w:rPr>
        <w:t xml:space="preserve"> </w:t>
      </w:r>
      <w:r w:rsidR="009644FF" w:rsidRPr="00772E9A">
        <w:rPr>
          <w:rFonts w:eastAsiaTheme="minorHAnsi"/>
          <w:sz w:val="24"/>
          <w:szCs w:val="24"/>
          <w:lang w:eastAsia="ar-SA"/>
        </w:rPr>
        <w:t xml:space="preserve">due to the </w:t>
      </w:r>
      <w:r w:rsidR="00894DB3" w:rsidRPr="00772E9A">
        <w:rPr>
          <w:rFonts w:eastAsiaTheme="minorHAnsi"/>
          <w:sz w:val="24"/>
          <w:szCs w:val="24"/>
          <w:lang w:eastAsia="ar-SA"/>
        </w:rPr>
        <w:t>s</w:t>
      </w:r>
      <w:r w:rsidR="009644FF" w:rsidRPr="00772E9A">
        <w:rPr>
          <w:rFonts w:eastAsiaTheme="minorHAnsi"/>
          <w:sz w:val="24"/>
          <w:szCs w:val="24"/>
          <w:lang w:eastAsia="ar-SA"/>
        </w:rPr>
        <w:t xml:space="preserve">econd </w:t>
      </w:r>
      <w:r w:rsidR="00894DB3" w:rsidRPr="00772E9A">
        <w:rPr>
          <w:rFonts w:eastAsiaTheme="minorHAnsi"/>
          <w:sz w:val="24"/>
          <w:szCs w:val="24"/>
          <w:lang w:eastAsia="ar-SA"/>
        </w:rPr>
        <w:t>e</w:t>
      </w:r>
      <w:r w:rsidR="009644FF" w:rsidRPr="00772E9A">
        <w:rPr>
          <w:rFonts w:eastAsiaTheme="minorHAnsi"/>
          <w:sz w:val="24"/>
          <w:szCs w:val="24"/>
          <w:lang w:eastAsia="ar-SA"/>
        </w:rPr>
        <w:t>nhanced</w:t>
      </w:r>
      <w:r w:rsidR="009644FF" w:rsidRPr="000E5DDD">
        <w:rPr>
          <w:rFonts w:eastAsiaTheme="minorHAnsi"/>
          <w:sz w:val="24"/>
          <w:szCs w:val="24"/>
          <w:lang w:eastAsia="ar-SA"/>
        </w:rPr>
        <w:t xml:space="preserve"> </w:t>
      </w:r>
      <w:r w:rsidR="00894DB3" w:rsidRPr="000E5DDD">
        <w:rPr>
          <w:rFonts w:eastAsiaTheme="minorHAnsi"/>
          <w:sz w:val="24"/>
          <w:szCs w:val="24"/>
          <w:lang w:eastAsia="ar-SA"/>
        </w:rPr>
        <w:t>p</w:t>
      </w:r>
      <w:r w:rsidR="009644FF" w:rsidRPr="000E5DDD">
        <w:rPr>
          <w:rFonts w:eastAsiaTheme="minorHAnsi"/>
          <w:sz w:val="24"/>
          <w:szCs w:val="24"/>
          <w:lang w:eastAsia="ar-SA"/>
        </w:rPr>
        <w:t xml:space="preserve">erformance </w:t>
      </w:r>
      <w:r w:rsidR="00894DB3" w:rsidRPr="000E5DDD">
        <w:rPr>
          <w:rFonts w:eastAsiaTheme="minorHAnsi"/>
          <w:sz w:val="24"/>
          <w:szCs w:val="24"/>
          <w:lang w:eastAsia="ar-SA"/>
        </w:rPr>
        <w:t>p</w:t>
      </w:r>
      <w:r w:rsidR="009644FF" w:rsidRPr="000E5DDD">
        <w:rPr>
          <w:rFonts w:eastAsiaTheme="minorHAnsi"/>
          <w:sz w:val="24"/>
          <w:szCs w:val="24"/>
          <w:lang w:eastAsia="ar-SA"/>
        </w:rPr>
        <w:t>rogramme</w:t>
      </w:r>
      <w:r w:rsidRPr="000E5DDD">
        <w:rPr>
          <w:rFonts w:eastAsiaTheme="minorHAnsi"/>
          <w:sz w:val="24"/>
          <w:szCs w:val="24"/>
          <w:lang w:eastAsia="ar-SA"/>
        </w:rPr>
        <w:t xml:space="preserve">. </w:t>
      </w:r>
      <w:r w:rsidR="002C3367" w:rsidRPr="000E5DDD">
        <w:rPr>
          <w:rFonts w:eastAsiaTheme="minorHAnsi"/>
          <w:sz w:val="24"/>
          <w:szCs w:val="24"/>
          <w:lang w:eastAsia="ar-SA"/>
        </w:rPr>
        <w:tab/>
      </w:r>
    </w:p>
    <w:p w14:paraId="2510F909" w14:textId="1F06DCB6" w:rsidR="00B51443" w:rsidRPr="000E5DDD" w:rsidRDefault="00B51443" w:rsidP="00B51443">
      <w:pPr>
        <w:overflowPunct/>
        <w:autoSpaceDE/>
        <w:autoSpaceDN/>
        <w:adjustRightInd/>
        <w:spacing w:before="280" w:after="280"/>
        <w:jc w:val="both"/>
        <w:textAlignment w:val="auto"/>
        <w:rPr>
          <w:rFonts w:eastAsiaTheme="minorHAnsi"/>
          <w:sz w:val="24"/>
          <w:szCs w:val="24"/>
          <w:lang w:eastAsia="ar-SA"/>
        </w:rPr>
      </w:pPr>
      <w:r w:rsidRPr="000E5DDD">
        <w:rPr>
          <w:rFonts w:eastAsiaTheme="minorHAnsi"/>
          <w:sz w:val="24"/>
          <w:szCs w:val="24"/>
          <w:lang w:eastAsia="ar-SA"/>
        </w:rPr>
        <w:t xml:space="preserve">A provisional JET Torus D-T </w:t>
      </w:r>
      <w:r w:rsidRPr="00772E9A">
        <w:rPr>
          <w:rFonts w:eastAsiaTheme="minorHAnsi"/>
          <w:sz w:val="24"/>
          <w:szCs w:val="24"/>
          <w:lang w:eastAsia="ar-SA"/>
        </w:rPr>
        <w:t xml:space="preserve">Safety Case </w:t>
      </w:r>
      <w:r w:rsidR="00907759" w:rsidRPr="00772E9A">
        <w:rPr>
          <w:rFonts w:eastAsiaTheme="minorHAnsi"/>
          <w:sz w:val="24"/>
          <w:szCs w:val="24"/>
          <w:lang w:eastAsia="ar-SA"/>
        </w:rPr>
        <w:t xml:space="preserve">[3] </w:t>
      </w:r>
      <w:r w:rsidRPr="00772E9A">
        <w:rPr>
          <w:rFonts w:eastAsiaTheme="minorHAnsi"/>
          <w:sz w:val="24"/>
          <w:szCs w:val="24"/>
          <w:lang w:eastAsia="ar-SA"/>
        </w:rPr>
        <w:t xml:space="preserve">was produced in 2014 to identify work required in preparation for D-T operations and to provide assurance that a robust safety case for D-T operations could be made. The primary function of this case was to demonstrate that </w:t>
      </w:r>
      <w:r w:rsidR="006970C9" w:rsidRPr="00772E9A">
        <w:rPr>
          <w:rFonts w:eastAsiaTheme="minorHAnsi"/>
          <w:sz w:val="24"/>
          <w:szCs w:val="24"/>
          <w:lang w:eastAsia="ar-SA"/>
        </w:rPr>
        <w:t>the</w:t>
      </w:r>
      <w:r w:rsidRPr="00772E9A">
        <w:rPr>
          <w:rFonts w:eastAsiaTheme="minorHAnsi"/>
          <w:sz w:val="24"/>
          <w:szCs w:val="24"/>
          <w:lang w:eastAsia="ar-SA"/>
        </w:rPr>
        <w:t xml:space="preserve"> future tritium campaign c</w:t>
      </w:r>
      <w:r w:rsidR="00F54B2D" w:rsidRPr="00772E9A">
        <w:rPr>
          <w:rFonts w:eastAsiaTheme="minorHAnsi"/>
          <w:sz w:val="24"/>
          <w:szCs w:val="24"/>
          <w:lang w:eastAsia="ar-SA"/>
        </w:rPr>
        <w:t>ould</w:t>
      </w:r>
      <w:r w:rsidRPr="00772E9A">
        <w:rPr>
          <w:rFonts w:eastAsiaTheme="minorHAnsi"/>
          <w:sz w:val="24"/>
          <w:szCs w:val="24"/>
          <w:lang w:eastAsia="ar-SA"/>
        </w:rPr>
        <w:t xml:space="preserve"> be carried out safely</w:t>
      </w:r>
      <w:r w:rsidRPr="00CF199B">
        <w:rPr>
          <w:rFonts w:eastAsiaTheme="minorHAnsi"/>
          <w:sz w:val="24"/>
          <w:szCs w:val="24"/>
          <w:lang w:eastAsia="ar-SA"/>
        </w:rPr>
        <w:t xml:space="preserve"> at JET. It enabled identification of most of the (K)SRE and (K)SMRs, so that their fitness for purpose and human factors assessments could be prepared in advance</w:t>
      </w:r>
      <w:r w:rsidRPr="000E5DDD">
        <w:rPr>
          <w:rFonts w:eastAsiaTheme="minorHAnsi"/>
          <w:sz w:val="24"/>
          <w:szCs w:val="24"/>
          <w:lang w:eastAsia="ar-SA"/>
        </w:rPr>
        <w:t xml:space="preserve"> of producing the JET Torus DTE2 Safety Case, and any </w:t>
      </w:r>
      <w:r w:rsidR="008F4FB6" w:rsidRPr="000E5DDD">
        <w:rPr>
          <w:rFonts w:eastAsiaTheme="minorHAnsi"/>
          <w:sz w:val="24"/>
          <w:szCs w:val="24"/>
          <w:lang w:eastAsia="ar-SA"/>
        </w:rPr>
        <w:t>i</w:t>
      </w:r>
      <w:r w:rsidRPr="000E5DDD">
        <w:rPr>
          <w:rFonts w:eastAsiaTheme="minorHAnsi"/>
          <w:sz w:val="24"/>
          <w:szCs w:val="24"/>
          <w:lang w:eastAsia="ar-SA"/>
        </w:rPr>
        <w:t xml:space="preserve">mplementation </w:t>
      </w:r>
      <w:r w:rsidR="008F4FB6" w:rsidRPr="000E5DDD">
        <w:rPr>
          <w:rFonts w:eastAsiaTheme="minorHAnsi"/>
          <w:sz w:val="24"/>
          <w:szCs w:val="24"/>
          <w:lang w:eastAsia="ar-SA"/>
        </w:rPr>
        <w:t>a</w:t>
      </w:r>
      <w:r w:rsidRPr="000E5DDD">
        <w:rPr>
          <w:rFonts w:eastAsiaTheme="minorHAnsi"/>
          <w:sz w:val="24"/>
          <w:szCs w:val="24"/>
          <w:lang w:eastAsia="ar-SA"/>
        </w:rPr>
        <w:t xml:space="preserve">ctions requiring completion to ensure the facility can be operated safely during the DTE2 campaign. </w:t>
      </w:r>
    </w:p>
    <w:p w14:paraId="172E9E5F" w14:textId="0203F4E3" w:rsidR="00B51443" w:rsidRPr="000E5DDD" w:rsidRDefault="00B51443" w:rsidP="4A16B094">
      <w:pPr>
        <w:overflowPunct/>
        <w:autoSpaceDE/>
        <w:autoSpaceDN/>
        <w:adjustRightInd/>
        <w:spacing w:before="280" w:after="280"/>
        <w:jc w:val="both"/>
        <w:textAlignment w:val="auto"/>
        <w:rPr>
          <w:rFonts w:eastAsiaTheme="minorEastAsia"/>
          <w:sz w:val="24"/>
          <w:szCs w:val="24"/>
          <w:lang w:eastAsia="ar-SA"/>
        </w:rPr>
      </w:pPr>
      <w:r w:rsidRPr="000E5DDD">
        <w:rPr>
          <w:rFonts w:eastAsiaTheme="minorEastAsia"/>
          <w:sz w:val="24"/>
          <w:szCs w:val="24"/>
          <w:lang w:eastAsia="ar-SA"/>
        </w:rPr>
        <w:t xml:space="preserve">Issue 1 of the JET Torus DTE2 Safety </w:t>
      </w:r>
      <w:r w:rsidRPr="009D402B">
        <w:rPr>
          <w:rFonts w:eastAsiaTheme="minorEastAsia"/>
          <w:sz w:val="24"/>
          <w:szCs w:val="24"/>
          <w:lang w:eastAsia="ar-SA"/>
        </w:rPr>
        <w:t xml:space="preserve">Case </w:t>
      </w:r>
      <w:r w:rsidR="00907759" w:rsidRPr="009D402B">
        <w:rPr>
          <w:rFonts w:eastAsiaTheme="minorEastAsia"/>
          <w:sz w:val="24"/>
          <w:szCs w:val="24"/>
          <w:lang w:eastAsia="ar-SA"/>
        </w:rPr>
        <w:t xml:space="preserve">[4] </w:t>
      </w:r>
      <w:r w:rsidRPr="009D402B">
        <w:rPr>
          <w:rFonts w:eastAsiaTheme="minorEastAsia"/>
          <w:sz w:val="24"/>
          <w:szCs w:val="24"/>
          <w:lang w:eastAsia="ar-SA"/>
        </w:rPr>
        <w:t xml:space="preserve">updated the provisional JET Torus D-T Safety Case to reflect plans developed for the DTE2 campaigns and to review the interim period since 2014. </w:t>
      </w:r>
      <w:r w:rsidR="000C2242" w:rsidRPr="009D402B">
        <w:rPr>
          <w:rFonts w:eastAsiaTheme="minorEastAsia"/>
          <w:sz w:val="24"/>
          <w:szCs w:val="24"/>
          <w:lang w:eastAsia="ar-SA"/>
        </w:rPr>
        <w:t>This case</w:t>
      </w:r>
      <w:r w:rsidRPr="009D402B">
        <w:rPr>
          <w:rFonts w:eastAsiaTheme="minorEastAsia"/>
          <w:sz w:val="24"/>
          <w:szCs w:val="24"/>
          <w:lang w:eastAsia="ar-SA"/>
        </w:rPr>
        <w:t xml:space="preserve"> includes computational m</w:t>
      </w:r>
      <w:r w:rsidRPr="000E5DDD">
        <w:rPr>
          <w:rFonts w:eastAsiaTheme="minorEastAsia"/>
          <w:sz w:val="24"/>
          <w:szCs w:val="24"/>
          <w:lang w:eastAsia="ar-SA"/>
        </w:rPr>
        <w:t xml:space="preserve">odelling of key JET fault sequences including Loss of Vacuum Accident (LOVA), Loss of Cooling Accident (LOCA), and </w:t>
      </w:r>
      <w:r w:rsidR="00FB74D8" w:rsidRPr="000E5DDD">
        <w:rPr>
          <w:rFonts w:eastAsiaTheme="minorEastAsia"/>
          <w:sz w:val="24"/>
          <w:szCs w:val="24"/>
          <w:lang w:eastAsia="ar-SA"/>
        </w:rPr>
        <w:t>s</w:t>
      </w:r>
      <w:r w:rsidRPr="000E5DDD">
        <w:rPr>
          <w:rFonts w:eastAsiaTheme="minorEastAsia"/>
          <w:sz w:val="24"/>
          <w:szCs w:val="24"/>
          <w:lang w:eastAsia="ar-SA"/>
        </w:rPr>
        <w:t xml:space="preserve">hielding </w:t>
      </w:r>
      <w:r w:rsidR="00FB74D8" w:rsidRPr="000E5DDD">
        <w:rPr>
          <w:rFonts w:eastAsiaTheme="minorEastAsia"/>
          <w:sz w:val="24"/>
          <w:szCs w:val="24"/>
          <w:lang w:eastAsia="ar-SA"/>
        </w:rPr>
        <w:t>e</w:t>
      </w:r>
      <w:r w:rsidRPr="000E5DDD">
        <w:rPr>
          <w:rFonts w:eastAsiaTheme="minorEastAsia"/>
          <w:sz w:val="24"/>
          <w:szCs w:val="24"/>
          <w:lang w:eastAsia="ar-SA"/>
        </w:rPr>
        <w:t xml:space="preserve">vents. Some </w:t>
      </w:r>
      <w:r w:rsidR="00FB74D8" w:rsidRPr="000E5DDD">
        <w:rPr>
          <w:rFonts w:eastAsiaTheme="minorEastAsia"/>
          <w:sz w:val="24"/>
          <w:szCs w:val="24"/>
          <w:lang w:eastAsia="ar-SA"/>
        </w:rPr>
        <w:t>i</w:t>
      </w:r>
      <w:r w:rsidRPr="000E5DDD">
        <w:rPr>
          <w:rFonts w:eastAsiaTheme="minorEastAsia"/>
          <w:sz w:val="24"/>
          <w:szCs w:val="24"/>
          <w:lang w:eastAsia="ar-SA"/>
        </w:rPr>
        <w:t xml:space="preserve">mplementation </w:t>
      </w:r>
      <w:r w:rsidR="00FB74D8" w:rsidRPr="000E5DDD">
        <w:rPr>
          <w:rFonts w:eastAsiaTheme="minorEastAsia"/>
          <w:sz w:val="24"/>
          <w:szCs w:val="24"/>
          <w:lang w:eastAsia="ar-SA"/>
        </w:rPr>
        <w:t>a</w:t>
      </w:r>
      <w:r w:rsidRPr="000E5DDD">
        <w:rPr>
          <w:rFonts w:eastAsiaTheme="minorEastAsia"/>
          <w:sz w:val="24"/>
          <w:szCs w:val="24"/>
          <w:lang w:eastAsia="ar-SA"/>
        </w:rPr>
        <w:t xml:space="preserve">ctions from the provisional JET Torus D-T Safety Case had been progressed to ensure the facility </w:t>
      </w:r>
      <w:r w:rsidR="00BF7586" w:rsidRPr="000E5DDD">
        <w:rPr>
          <w:rFonts w:eastAsiaTheme="minorEastAsia"/>
          <w:sz w:val="24"/>
          <w:szCs w:val="24"/>
          <w:lang w:eastAsia="ar-SA"/>
        </w:rPr>
        <w:t>could</w:t>
      </w:r>
      <w:r w:rsidRPr="000E5DDD">
        <w:rPr>
          <w:rFonts w:eastAsiaTheme="minorEastAsia"/>
          <w:sz w:val="24"/>
          <w:szCs w:val="24"/>
          <w:lang w:eastAsia="ar-SA"/>
        </w:rPr>
        <w:t xml:space="preserve"> return to full tritium compatibility and </w:t>
      </w:r>
      <w:proofErr w:type="gramStart"/>
      <w:r w:rsidRPr="000E5DDD">
        <w:rPr>
          <w:rFonts w:eastAsiaTheme="minorEastAsia"/>
          <w:sz w:val="24"/>
          <w:szCs w:val="24"/>
          <w:lang w:eastAsia="ar-SA"/>
        </w:rPr>
        <w:t>a number of</w:t>
      </w:r>
      <w:proofErr w:type="gramEnd"/>
      <w:r w:rsidRPr="000E5DDD">
        <w:rPr>
          <w:rFonts w:eastAsiaTheme="minorEastAsia"/>
          <w:sz w:val="24"/>
          <w:szCs w:val="24"/>
          <w:lang w:eastAsia="ar-SA"/>
        </w:rPr>
        <w:t xml:space="preserve"> new implementation actions were identified at this stage. </w:t>
      </w:r>
    </w:p>
    <w:p w14:paraId="727E5CA7" w14:textId="58370061" w:rsidR="00B51443" w:rsidRPr="000E5DDD" w:rsidRDefault="00B51443" w:rsidP="4A16B094">
      <w:pPr>
        <w:overflowPunct/>
        <w:autoSpaceDE/>
        <w:autoSpaceDN/>
        <w:adjustRightInd/>
        <w:spacing w:before="280" w:after="280"/>
        <w:jc w:val="both"/>
        <w:textAlignment w:val="auto"/>
        <w:rPr>
          <w:rFonts w:eastAsiaTheme="minorEastAsia"/>
          <w:sz w:val="24"/>
          <w:szCs w:val="24"/>
          <w:lang w:eastAsia="ar-SA"/>
        </w:rPr>
      </w:pPr>
      <w:r w:rsidRPr="00DB2BF6">
        <w:rPr>
          <w:rFonts w:eastAsiaTheme="minorEastAsia"/>
          <w:sz w:val="24"/>
          <w:szCs w:val="24"/>
          <w:lang w:eastAsia="ar-SA"/>
        </w:rPr>
        <w:t>The JET Torus DTE2 Safety Case has since been updated to Issue 2</w:t>
      </w:r>
      <w:r w:rsidR="00907759" w:rsidRPr="00DB2BF6">
        <w:rPr>
          <w:rFonts w:eastAsiaTheme="minorEastAsia"/>
          <w:sz w:val="24"/>
          <w:szCs w:val="24"/>
          <w:lang w:eastAsia="ar-SA"/>
        </w:rPr>
        <w:t xml:space="preserve"> [5]</w:t>
      </w:r>
      <w:r w:rsidRPr="00DB2BF6">
        <w:rPr>
          <w:rFonts w:eastAsiaTheme="minorEastAsia"/>
          <w:sz w:val="24"/>
          <w:szCs w:val="24"/>
          <w:lang w:eastAsia="ar-SA"/>
        </w:rPr>
        <w:t xml:space="preserve">, reporting changes up to the end of 2019. This includes work to close the </w:t>
      </w:r>
      <w:r w:rsidR="00BF7586" w:rsidRPr="00DB2BF6">
        <w:rPr>
          <w:rFonts w:eastAsiaTheme="minorEastAsia"/>
          <w:sz w:val="24"/>
          <w:szCs w:val="24"/>
          <w:lang w:eastAsia="ar-SA"/>
        </w:rPr>
        <w:t>i</w:t>
      </w:r>
      <w:r w:rsidRPr="00DB2BF6">
        <w:rPr>
          <w:rFonts w:eastAsiaTheme="minorEastAsia"/>
          <w:sz w:val="24"/>
          <w:szCs w:val="24"/>
          <w:lang w:eastAsia="ar-SA"/>
        </w:rPr>
        <w:t xml:space="preserve">mplementation </w:t>
      </w:r>
      <w:r w:rsidR="00BF7586" w:rsidRPr="00DB2BF6">
        <w:rPr>
          <w:rFonts w:eastAsiaTheme="minorEastAsia"/>
          <w:sz w:val="24"/>
          <w:szCs w:val="24"/>
          <w:lang w:eastAsia="ar-SA"/>
        </w:rPr>
        <w:t>actions</w:t>
      </w:r>
      <w:r w:rsidR="00BF7586" w:rsidRPr="000E5DDD">
        <w:rPr>
          <w:rFonts w:eastAsiaTheme="minorEastAsia"/>
          <w:sz w:val="24"/>
          <w:szCs w:val="24"/>
          <w:lang w:eastAsia="ar-SA"/>
        </w:rPr>
        <w:t>,</w:t>
      </w:r>
      <w:r w:rsidRPr="000E5DDD">
        <w:rPr>
          <w:rFonts w:eastAsiaTheme="minorEastAsia"/>
          <w:sz w:val="24"/>
          <w:szCs w:val="24"/>
          <w:lang w:eastAsia="ar-SA"/>
        </w:rPr>
        <w:t xml:space="preserve"> modifications to plant in preparation for tritium operations and further human factors reviews. This case provides an overall justification of the safety of the </w:t>
      </w:r>
      <w:r w:rsidR="00BF7586" w:rsidRPr="000E5DDD">
        <w:rPr>
          <w:rFonts w:eastAsiaTheme="minorEastAsia"/>
          <w:sz w:val="24"/>
          <w:szCs w:val="24"/>
          <w:lang w:eastAsia="ar-SA"/>
        </w:rPr>
        <w:t>f</w:t>
      </w:r>
      <w:r w:rsidRPr="000E5DDD">
        <w:rPr>
          <w:rFonts w:eastAsiaTheme="minorEastAsia"/>
          <w:sz w:val="24"/>
          <w:szCs w:val="24"/>
          <w:lang w:eastAsia="ar-SA"/>
        </w:rPr>
        <w:t xml:space="preserve">acility and demonstrates that risks from </w:t>
      </w:r>
      <w:r w:rsidRPr="000E5DDD">
        <w:rPr>
          <w:rFonts w:eastAsiaTheme="minorEastAsia"/>
          <w:sz w:val="24"/>
          <w:szCs w:val="24"/>
          <w:lang w:eastAsia="ar-SA"/>
        </w:rPr>
        <w:lastRenderedPageBreak/>
        <w:t xml:space="preserve">D-T operations and subsequent shutdowns are acceptable, can be adequately controlled and reduced to as low as reasonably practicable. With the identified key controls and </w:t>
      </w:r>
      <w:r w:rsidR="00BF7586" w:rsidRPr="000E5DDD">
        <w:rPr>
          <w:rFonts w:eastAsiaTheme="minorEastAsia"/>
          <w:sz w:val="24"/>
          <w:szCs w:val="24"/>
          <w:lang w:eastAsia="ar-SA"/>
        </w:rPr>
        <w:t>i</w:t>
      </w:r>
      <w:r w:rsidRPr="000E5DDD">
        <w:rPr>
          <w:rFonts w:eastAsiaTheme="minorEastAsia"/>
          <w:sz w:val="24"/>
          <w:szCs w:val="24"/>
          <w:lang w:eastAsia="ar-SA"/>
        </w:rPr>
        <w:t xml:space="preserve">mplementation </w:t>
      </w:r>
      <w:r w:rsidR="00BF7586" w:rsidRPr="000E5DDD">
        <w:rPr>
          <w:rFonts w:eastAsiaTheme="minorEastAsia"/>
          <w:sz w:val="24"/>
          <w:szCs w:val="24"/>
          <w:lang w:eastAsia="ar-SA"/>
        </w:rPr>
        <w:t>a</w:t>
      </w:r>
      <w:r w:rsidRPr="000E5DDD">
        <w:rPr>
          <w:rFonts w:eastAsiaTheme="minorEastAsia"/>
          <w:sz w:val="24"/>
          <w:szCs w:val="24"/>
          <w:lang w:eastAsia="ar-SA"/>
        </w:rPr>
        <w:t xml:space="preserve">ctions in place, it is anticipated that in the event of a single failure event, on-site doses will not exceed 20mSv and off-site doses will not exceed 1mSv. </w:t>
      </w:r>
      <w:proofErr w:type="gramStart"/>
      <w:r w:rsidRPr="000E5DDD">
        <w:rPr>
          <w:rFonts w:eastAsiaTheme="minorEastAsia"/>
          <w:sz w:val="24"/>
          <w:szCs w:val="24"/>
          <w:lang w:eastAsia="ar-SA"/>
        </w:rPr>
        <w:t>A number of</w:t>
      </w:r>
      <w:proofErr w:type="gramEnd"/>
      <w:r w:rsidRPr="000E5DDD">
        <w:rPr>
          <w:rFonts w:eastAsiaTheme="minorEastAsia"/>
          <w:sz w:val="24"/>
          <w:szCs w:val="24"/>
          <w:lang w:eastAsia="ar-SA"/>
        </w:rPr>
        <w:t xml:space="preserve"> dual and multiple failure events result in on-site doses in excess of 20mSv and off-site doses in excess of 1mSv. It is also anticipated that DBA frequency targets will be met for on-site doses and off-site doses will not exceed 10mSv for any event sequence. The analysis confirms that off-site countermeasures are not required for plant-initiated events.</w:t>
      </w:r>
    </w:p>
    <w:p w14:paraId="74B57112" w14:textId="0992A816" w:rsidR="00B51443" w:rsidRPr="000E5DDD" w:rsidRDefault="00B51443" w:rsidP="00B51443">
      <w:pPr>
        <w:overflowPunct/>
        <w:autoSpaceDE/>
        <w:autoSpaceDN/>
        <w:adjustRightInd/>
        <w:spacing w:before="280" w:after="280"/>
        <w:jc w:val="both"/>
        <w:textAlignment w:val="auto"/>
        <w:rPr>
          <w:rFonts w:eastAsiaTheme="minorHAnsi"/>
          <w:sz w:val="24"/>
          <w:szCs w:val="24"/>
          <w:lang w:eastAsia="ar-SA"/>
        </w:rPr>
      </w:pPr>
      <w:r w:rsidRPr="000E5DDD">
        <w:rPr>
          <w:rFonts w:eastAsiaTheme="minorHAnsi"/>
          <w:sz w:val="24"/>
          <w:szCs w:val="24"/>
          <w:lang w:eastAsia="ar-SA"/>
        </w:rPr>
        <w:t xml:space="preserve">Following DTE2, a period of non-tritium operations </w:t>
      </w:r>
      <w:r w:rsidR="00A742D0">
        <w:rPr>
          <w:rFonts w:eastAsiaTheme="minorHAnsi"/>
          <w:sz w:val="24"/>
          <w:szCs w:val="24"/>
          <w:lang w:eastAsia="ar-SA"/>
        </w:rPr>
        <w:t>is</w:t>
      </w:r>
      <w:r w:rsidRPr="000E5DDD">
        <w:rPr>
          <w:rFonts w:eastAsiaTheme="minorHAnsi"/>
          <w:sz w:val="24"/>
          <w:szCs w:val="24"/>
          <w:lang w:eastAsia="ar-SA"/>
        </w:rPr>
        <w:t xml:space="preserve"> planned. Before the non-tritium operations commence there will be machine clean-up operations aimed at reducing retained tritium levels within the vessel as much as possible, this will include deuterium and hydrogen fuelled pulses. While activation levels of machine components will remain elevated, there will be a step reduction in the neutron yield during subsequent non-tritium pulsing operations. Therefore, a less onerous subset of safety requirements, commensurate with the diminished radiological hazards associated </w:t>
      </w:r>
      <w:r w:rsidRPr="00546F47">
        <w:rPr>
          <w:rFonts w:eastAsiaTheme="minorHAnsi"/>
          <w:sz w:val="24"/>
          <w:szCs w:val="24"/>
          <w:lang w:eastAsia="ar-SA"/>
        </w:rPr>
        <w:t xml:space="preserve">with D-D operations, </w:t>
      </w:r>
      <w:r w:rsidR="00C531B8" w:rsidRPr="00546F47">
        <w:rPr>
          <w:rFonts w:eastAsiaTheme="minorHAnsi"/>
          <w:sz w:val="24"/>
          <w:szCs w:val="24"/>
          <w:lang w:eastAsia="ar-SA"/>
        </w:rPr>
        <w:t>will</w:t>
      </w:r>
      <w:r w:rsidRPr="00546F47">
        <w:rPr>
          <w:rFonts w:eastAsiaTheme="minorHAnsi"/>
          <w:sz w:val="24"/>
          <w:szCs w:val="24"/>
          <w:lang w:eastAsia="ar-SA"/>
        </w:rPr>
        <w:t xml:space="preserve"> be applied for ongoing operation under the DTE2 Safety Case.</w:t>
      </w:r>
      <w:r w:rsidR="00907759" w:rsidRPr="00546F47">
        <w:rPr>
          <w:rFonts w:eastAsiaTheme="minorHAnsi"/>
          <w:sz w:val="24"/>
          <w:szCs w:val="24"/>
          <w:lang w:eastAsia="ar-SA"/>
        </w:rPr>
        <w:t xml:space="preserve"> [6]</w:t>
      </w:r>
    </w:p>
    <w:p w14:paraId="293FC488" w14:textId="320E9BA5" w:rsidR="00CF2128" w:rsidRPr="000E5DDD" w:rsidRDefault="00B51443" w:rsidP="4A16B094">
      <w:pPr>
        <w:overflowPunct/>
        <w:autoSpaceDE/>
        <w:autoSpaceDN/>
        <w:adjustRightInd/>
        <w:spacing w:before="280" w:after="280"/>
        <w:jc w:val="both"/>
        <w:textAlignment w:val="auto"/>
        <w:rPr>
          <w:rFonts w:eastAsiaTheme="minorEastAsia"/>
          <w:sz w:val="24"/>
          <w:szCs w:val="24"/>
          <w:lang w:eastAsia="ar-SA"/>
        </w:rPr>
      </w:pPr>
      <w:r w:rsidRPr="000E5DDD">
        <w:rPr>
          <w:rFonts w:eastAsiaTheme="minorEastAsia"/>
          <w:sz w:val="24"/>
          <w:szCs w:val="24"/>
          <w:lang w:eastAsia="ar-SA"/>
        </w:rPr>
        <w:t>This paper present</w:t>
      </w:r>
      <w:r w:rsidR="00376B5C">
        <w:rPr>
          <w:rFonts w:eastAsiaTheme="minorEastAsia"/>
          <w:sz w:val="24"/>
          <w:szCs w:val="24"/>
          <w:lang w:eastAsia="ar-SA"/>
        </w:rPr>
        <w:t>s</w:t>
      </w:r>
      <w:r w:rsidRPr="000E5DDD">
        <w:rPr>
          <w:rFonts w:eastAsiaTheme="minorEastAsia"/>
          <w:sz w:val="24"/>
          <w:szCs w:val="24"/>
          <w:lang w:eastAsia="ar-SA"/>
        </w:rPr>
        <w:t xml:space="preserve"> the approach and methodology </w:t>
      </w:r>
      <w:r w:rsidR="0021316B">
        <w:rPr>
          <w:rFonts w:eastAsiaTheme="minorEastAsia"/>
          <w:sz w:val="24"/>
          <w:szCs w:val="24"/>
          <w:lang w:eastAsia="ar-SA"/>
        </w:rPr>
        <w:t>exercised</w:t>
      </w:r>
      <w:r w:rsidRPr="000E5DDD">
        <w:rPr>
          <w:rFonts w:eastAsiaTheme="minorEastAsia"/>
          <w:sz w:val="24"/>
          <w:szCs w:val="24"/>
          <w:lang w:eastAsia="ar-SA"/>
        </w:rPr>
        <w:t xml:space="preserve"> for the JET safety case</w:t>
      </w:r>
      <w:r w:rsidR="00AB51A0">
        <w:rPr>
          <w:rFonts w:eastAsiaTheme="minorEastAsia"/>
          <w:sz w:val="24"/>
          <w:szCs w:val="24"/>
          <w:lang w:eastAsia="ar-SA"/>
        </w:rPr>
        <w:t>,</w:t>
      </w:r>
      <w:r w:rsidRPr="000E5DDD">
        <w:rPr>
          <w:rFonts w:eastAsiaTheme="minorEastAsia"/>
          <w:sz w:val="24"/>
          <w:szCs w:val="24"/>
          <w:lang w:eastAsia="ar-SA"/>
        </w:rPr>
        <w:t xml:space="preserve"> and highlight</w:t>
      </w:r>
      <w:r w:rsidR="00376B5C">
        <w:rPr>
          <w:rFonts w:eastAsiaTheme="minorEastAsia"/>
          <w:sz w:val="24"/>
          <w:szCs w:val="24"/>
          <w:lang w:eastAsia="ar-SA"/>
        </w:rPr>
        <w:t>s</w:t>
      </w:r>
      <w:r w:rsidRPr="000E5DDD">
        <w:rPr>
          <w:rFonts w:eastAsiaTheme="minorEastAsia"/>
          <w:sz w:val="24"/>
          <w:szCs w:val="24"/>
          <w:lang w:eastAsia="ar-SA"/>
        </w:rPr>
        <w:t xml:space="preserve"> the lessons learned from </w:t>
      </w:r>
      <w:r w:rsidR="00631A57">
        <w:rPr>
          <w:rFonts w:eastAsiaTheme="minorEastAsia"/>
          <w:sz w:val="24"/>
          <w:szCs w:val="24"/>
          <w:lang w:eastAsia="ar-SA"/>
        </w:rPr>
        <w:t xml:space="preserve">fission industry derived </w:t>
      </w:r>
      <w:r w:rsidRPr="000E5DDD">
        <w:rPr>
          <w:rFonts w:eastAsiaTheme="minorEastAsia"/>
          <w:sz w:val="24"/>
          <w:szCs w:val="24"/>
          <w:lang w:eastAsia="ar-SA"/>
        </w:rPr>
        <w:t>safety cases. This includes updated radiological hazard assessments</w:t>
      </w:r>
      <w:r w:rsidR="00B53AAA">
        <w:rPr>
          <w:rFonts w:eastAsiaTheme="minorEastAsia"/>
          <w:sz w:val="24"/>
          <w:szCs w:val="24"/>
          <w:lang w:eastAsia="ar-SA"/>
        </w:rPr>
        <w:t>,</w:t>
      </w:r>
      <w:r w:rsidRPr="000E5DDD">
        <w:rPr>
          <w:rFonts w:eastAsiaTheme="minorEastAsia"/>
          <w:sz w:val="24"/>
          <w:szCs w:val="24"/>
          <w:lang w:eastAsia="ar-SA"/>
        </w:rPr>
        <w:t xml:space="preserve"> including the use of deterministic and probabilistic techniques, and how the risk criteria applied in the assessments are aligned to industry and fission regulator targets. The paper will also present the key hazards associated with the JET facility, including direct and indirect radiation both during and after pulsing, internal radiation hazards, hazardous/toxic </w:t>
      </w:r>
      <w:proofErr w:type="gramStart"/>
      <w:r w:rsidRPr="000E5DDD">
        <w:rPr>
          <w:rFonts w:eastAsiaTheme="minorEastAsia"/>
          <w:sz w:val="24"/>
          <w:szCs w:val="24"/>
          <w:lang w:eastAsia="ar-SA"/>
        </w:rPr>
        <w:t>substances</w:t>
      </w:r>
      <w:proofErr w:type="gramEnd"/>
      <w:r w:rsidRPr="000E5DDD">
        <w:rPr>
          <w:rFonts w:eastAsiaTheme="minorEastAsia"/>
          <w:sz w:val="24"/>
          <w:szCs w:val="24"/>
          <w:lang w:eastAsia="ar-SA"/>
        </w:rPr>
        <w:t xml:space="preserve"> and cryogenic fluids.</w:t>
      </w:r>
    </w:p>
    <w:p w14:paraId="197201E0" w14:textId="5315762C" w:rsidR="00604C59" w:rsidRPr="000E5DDD" w:rsidRDefault="00604C59" w:rsidP="00046928">
      <w:pPr>
        <w:pStyle w:val="Otherunnumberedheadings"/>
        <w:spacing w:before="280" w:beforeAutospacing="0" w:after="280" w:afterAutospacing="0"/>
        <w:rPr>
          <w:rFonts w:ascii="Times New Roman" w:hAnsi="Times New Roman"/>
          <w:sz w:val="24"/>
          <w:szCs w:val="24"/>
        </w:rPr>
      </w:pPr>
      <w:r w:rsidRPr="000E5DDD">
        <w:rPr>
          <w:rFonts w:ascii="Times New Roman" w:hAnsi="Times New Roman"/>
          <w:sz w:val="24"/>
          <w:szCs w:val="24"/>
        </w:rPr>
        <w:t>References</w:t>
      </w:r>
    </w:p>
    <w:p w14:paraId="13C0369B" w14:textId="00B0F29C" w:rsidR="00D62FCC" w:rsidRPr="000E5DDD" w:rsidRDefault="00947539" w:rsidP="00823049">
      <w:pPr>
        <w:pStyle w:val="Referencelist"/>
        <w:ind w:left="567" w:hanging="567"/>
        <w:jc w:val="left"/>
        <w:rPr>
          <w:sz w:val="22"/>
          <w:szCs w:val="22"/>
        </w:rPr>
      </w:pPr>
      <w:r w:rsidRPr="000E5DDD">
        <w:rPr>
          <w:sz w:val="22"/>
          <w:szCs w:val="22"/>
        </w:rPr>
        <w:t>“European Research Roadmap to the Realisation of Fusion Energy", Long version,</w:t>
      </w:r>
      <w:r w:rsidR="00823049">
        <w:rPr>
          <w:sz w:val="22"/>
          <w:szCs w:val="22"/>
        </w:rPr>
        <w:t xml:space="preserve"> </w:t>
      </w:r>
      <w:r w:rsidRPr="000E5DDD">
        <w:rPr>
          <w:sz w:val="22"/>
          <w:szCs w:val="22"/>
        </w:rPr>
        <w:t>EUROfusion, EUROfusion, 978-3-00-061152-0, November 2018, https://www.euro-fusion.org/eurofusion/roadmap/</w:t>
      </w:r>
    </w:p>
    <w:p w14:paraId="3BDF01F6" w14:textId="66DFACC8" w:rsidR="00907759" w:rsidRDefault="007C40B0" w:rsidP="00823049">
      <w:pPr>
        <w:pStyle w:val="Referencelist"/>
        <w:ind w:left="567" w:hanging="567"/>
        <w:jc w:val="left"/>
        <w:rPr>
          <w:sz w:val="22"/>
          <w:szCs w:val="22"/>
        </w:rPr>
      </w:pPr>
      <w:r w:rsidRPr="007C40B0">
        <w:rPr>
          <w:sz w:val="22"/>
          <w:szCs w:val="22"/>
        </w:rPr>
        <w:t>UKAEA, “JET Torus D-D Safety Case”, CCFE/PSR(D-D)/07, Revision 1, January 2011</w:t>
      </w:r>
      <w:r w:rsidR="00F94A54">
        <w:rPr>
          <w:sz w:val="22"/>
          <w:szCs w:val="22"/>
        </w:rPr>
        <w:t xml:space="preserve"> </w:t>
      </w:r>
    </w:p>
    <w:p w14:paraId="1DA1C5D1" w14:textId="01803333" w:rsidR="00C12DCD" w:rsidRDefault="00C12DCD" w:rsidP="00823049">
      <w:pPr>
        <w:pStyle w:val="Referencelist"/>
        <w:ind w:left="567" w:hanging="567"/>
        <w:jc w:val="left"/>
        <w:rPr>
          <w:sz w:val="22"/>
          <w:szCs w:val="22"/>
        </w:rPr>
      </w:pPr>
      <w:r>
        <w:rPr>
          <w:sz w:val="22"/>
          <w:szCs w:val="22"/>
        </w:rPr>
        <w:t>UKAEA, “</w:t>
      </w:r>
      <w:r w:rsidRPr="00C12DCD">
        <w:rPr>
          <w:sz w:val="22"/>
          <w:szCs w:val="22"/>
        </w:rPr>
        <w:t>Provisional JET Torus D-T Safety Case (FSC)</w:t>
      </w:r>
      <w:r>
        <w:rPr>
          <w:sz w:val="22"/>
          <w:szCs w:val="22"/>
        </w:rPr>
        <w:t xml:space="preserve">”, </w:t>
      </w:r>
      <w:r w:rsidR="001B06B1">
        <w:rPr>
          <w:sz w:val="22"/>
          <w:szCs w:val="22"/>
        </w:rPr>
        <w:t xml:space="preserve">Frozen version, </w:t>
      </w:r>
      <w:r w:rsidR="00335621" w:rsidRPr="00335621">
        <w:rPr>
          <w:sz w:val="22"/>
          <w:szCs w:val="22"/>
        </w:rPr>
        <w:t>July 2014</w:t>
      </w:r>
    </w:p>
    <w:p w14:paraId="61BF1599" w14:textId="6F4A9A4B" w:rsidR="00F94A54" w:rsidRDefault="0066131F" w:rsidP="00823049">
      <w:pPr>
        <w:pStyle w:val="Referencelist"/>
        <w:ind w:left="567" w:hanging="567"/>
        <w:jc w:val="left"/>
        <w:rPr>
          <w:sz w:val="22"/>
          <w:szCs w:val="22"/>
        </w:rPr>
      </w:pPr>
      <w:r w:rsidRPr="0066131F">
        <w:rPr>
          <w:sz w:val="22"/>
          <w:szCs w:val="22"/>
        </w:rPr>
        <w:t>UKAEA, “JET Torus DTE2 Safety Case”, CCFE/DTE2/</w:t>
      </w:r>
      <w:r w:rsidRPr="00BF17E0">
        <w:rPr>
          <w:sz w:val="22"/>
          <w:szCs w:val="22"/>
        </w:rPr>
        <w:t xml:space="preserve">007, Issue 1, </w:t>
      </w:r>
      <w:r w:rsidR="00C71CA4">
        <w:rPr>
          <w:sz w:val="22"/>
          <w:szCs w:val="22"/>
        </w:rPr>
        <w:t>February 2018</w:t>
      </w:r>
    </w:p>
    <w:p w14:paraId="740479FF" w14:textId="08C026C4" w:rsidR="00F94A54" w:rsidRDefault="004B1586" w:rsidP="00823049">
      <w:pPr>
        <w:pStyle w:val="Referencelist"/>
        <w:ind w:left="567" w:hanging="567"/>
        <w:jc w:val="left"/>
        <w:rPr>
          <w:sz w:val="22"/>
          <w:szCs w:val="22"/>
        </w:rPr>
      </w:pPr>
      <w:r w:rsidRPr="004B1586">
        <w:rPr>
          <w:sz w:val="22"/>
          <w:szCs w:val="22"/>
        </w:rPr>
        <w:t xml:space="preserve">UKAEA, “JET Torus DTE2 Safety Case”, CCFE/DTE2/007, Issue </w:t>
      </w:r>
      <w:r w:rsidR="00E578C5">
        <w:rPr>
          <w:sz w:val="22"/>
          <w:szCs w:val="22"/>
        </w:rPr>
        <w:t>2</w:t>
      </w:r>
      <w:r w:rsidRPr="004B1586">
        <w:rPr>
          <w:sz w:val="22"/>
          <w:szCs w:val="22"/>
        </w:rPr>
        <w:t>, August 2020</w:t>
      </w:r>
    </w:p>
    <w:p w14:paraId="221D2BB3" w14:textId="79729650" w:rsidR="00F94A54" w:rsidRPr="000E5DDD" w:rsidRDefault="004B1586" w:rsidP="00823049">
      <w:pPr>
        <w:pStyle w:val="Referencelist"/>
        <w:ind w:left="567" w:hanging="567"/>
        <w:jc w:val="left"/>
        <w:rPr>
          <w:sz w:val="22"/>
          <w:szCs w:val="22"/>
        </w:rPr>
      </w:pPr>
      <w:r>
        <w:rPr>
          <w:sz w:val="22"/>
          <w:szCs w:val="22"/>
        </w:rPr>
        <w:t>UKAEA, “</w:t>
      </w:r>
      <w:r w:rsidR="00F94A54" w:rsidRPr="00F94A54">
        <w:rPr>
          <w:sz w:val="22"/>
          <w:szCs w:val="22"/>
        </w:rPr>
        <w:t>Post-DTE2 JET operations</w:t>
      </w:r>
      <w:r>
        <w:rPr>
          <w:sz w:val="22"/>
          <w:szCs w:val="22"/>
        </w:rPr>
        <w:t>”</w:t>
      </w:r>
      <w:r w:rsidR="00F94A54">
        <w:rPr>
          <w:sz w:val="22"/>
          <w:szCs w:val="22"/>
        </w:rPr>
        <w:t xml:space="preserve">, </w:t>
      </w:r>
      <w:r w:rsidR="00075D17" w:rsidRPr="00075D17">
        <w:rPr>
          <w:sz w:val="22"/>
          <w:szCs w:val="22"/>
        </w:rPr>
        <w:t xml:space="preserve">SCEG-ATO-07-0023-CAT Issue </w:t>
      </w:r>
      <w:r w:rsidR="00E578C5">
        <w:rPr>
          <w:sz w:val="22"/>
          <w:szCs w:val="22"/>
        </w:rPr>
        <w:t>1.1</w:t>
      </w:r>
      <w:r>
        <w:rPr>
          <w:sz w:val="22"/>
          <w:szCs w:val="22"/>
        </w:rPr>
        <w:t xml:space="preserve">, </w:t>
      </w:r>
      <w:r w:rsidR="006814B4">
        <w:rPr>
          <w:sz w:val="22"/>
          <w:szCs w:val="22"/>
        </w:rPr>
        <w:t>December 2021</w:t>
      </w:r>
    </w:p>
    <w:sectPr w:rsidR="00F94A54" w:rsidRPr="000E5DDD" w:rsidSect="0026525A">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578D" w14:textId="77777777" w:rsidR="005E0EAA" w:rsidRDefault="005E0EAA">
      <w:r>
        <w:separator/>
      </w:r>
    </w:p>
  </w:endnote>
  <w:endnote w:type="continuationSeparator" w:id="0">
    <w:p w14:paraId="5AE131DD" w14:textId="77777777" w:rsidR="005E0EAA" w:rsidRDefault="005E0EAA">
      <w:r>
        <w:continuationSeparator/>
      </w:r>
    </w:p>
  </w:endnote>
  <w:endnote w:type="continuationNotice" w:id="1">
    <w:p w14:paraId="78746F96" w14:textId="77777777" w:rsidR="005E0EAA" w:rsidRDefault="005E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38B1FC7B" w:rsidR="00E20E70" w:rsidRDefault="00E20E70">
    <w:pPr>
      <w:pStyle w:val="zyxClassification1"/>
    </w:pPr>
    <w:r>
      <w:fldChar w:fldCharType="begin"/>
    </w:r>
    <w:r>
      <w:instrText xml:space="preserve"> DOCPROPERTY "IaeaClassification"  \* MERGEFORMAT </w:instrText>
    </w:r>
    <w:r>
      <w:fldChar w:fldCharType="end"/>
    </w:r>
  </w:p>
  <w:p w14:paraId="200521DA" w14:textId="0AA816F5"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314E10A2"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1BD5A2C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3B07165C"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646B688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3D5DEA9A"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649D3DF1" w:rsidR="00E20E70" w:rsidRDefault="00E20E70">
    <w:r>
      <w:rPr>
        <w:sz w:val="16"/>
      </w:rPr>
      <w:fldChar w:fldCharType="begin"/>
    </w:r>
    <w:r>
      <w:rPr>
        <w:sz w:val="16"/>
      </w:rPr>
      <w:instrText xml:space="preserve"> FILENAME \* MERGEFORMAT </w:instrText>
    </w:r>
    <w:r>
      <w:rPr>
        <w:sz w:val="16"/>
      </w:rPr>
      <w:fldChar w:fldCharType="separate"/>
    </w:r>
    <w:r w:rsidR="003E0175">
      <w:rPr>
        <w:noProof/>
        <w:sz w:val="16"/>
      </w:rPr>
      <w:t>Abstract_JET Safety Case.docx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E80B" w14:textId="77777777" w:rsidR="005E0EAA" w:rsidRDefault="005E0EAA">
      <w:r>
        <w:t>___________________________________________________________________________</w:t>
      </w:r>
    </w:p>
  </w:footnote>
  <w:footnote w:type="continuationSeparator" w:id="0">
    <w:p w14:paraId="18DB89B0" w14:textId="77777777" w:rsidR="005E0EAA" w:rsidRDefault="005E0EAA">
      <w:r>
        <w:t>___________________________________________________________________________</w:t>
      </w:r>
    </w:p>
  </w:footnote>
  <w:footnote w:type="continuationNotice" w:id="1">
    <w:p w14:paraId="17674C5E" w14:textId="77777777" w:rsidR="005E0EAA" w:rsidRDefault="005E0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41BB10C4"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3A009C28"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42065"/>
    <w:multiLevelType w:val="hybridMultilevel"/>
    <w:tmpl w:val="DF1E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26B11B6"/>
    <w:multiLevelType w:val="hybridMultilevel"/>
    <w:tmpl w:val="9E9AFEA6"/>
    <w:lvl w:ilvl="0" w:tplc="5C4E89EC">
      <w:start w:val="20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F6632"/>
    <w:multiLevelType w:val="hybridMultilevel"/>
    <w:tmpl w:val="BB785ED2"/>
    <w:lvl w:ilvl="0" w:tplc="5C4E89EC">
      <w:start w:val="20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4"/>
  </w:num>
  <w:num w:numId="4">
    <w:abstractNumId w:val="14"/>
  </w:num>
  <w:num w:numId="5">
    <w:abstractNumId w:val="14"/>
  </w:num>
  <w:num w:numId="6">
    <w:abstractNumId w:val="7"/>
  </w:num>
  <w:num w:numId="7">
    <w:abstractNumId w:val="12"/>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1"/>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6"/>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26DA5"/>
    <w:rsid w:val="000300A7"/>
    <w:rsid w:val="00037321"/>
    <w:rsid w:val="00044E73"/>
    <w:rsid w:val="00046928"/>
    <w:rsid w:val="000552F9"/>
    <w:rsid w:val="00073700"/>
    <w:rsid w:val="00075D17"/>
    <w:rsid w:val="00092CA4"/>
    <w:rsid w:val="000A0299"/>
    <w:rsid w:val="000A073C"/>
    <w:rsid w:val="000C2242"/>
    <w:rsid w:val="000C6874"/>
    <w:rsid w:val="000E5DDD"/>
    <w:rsid w:val="000F7E94"/>
    <w:rsid w:val="00107F61"/>
    <w:rsid w:val="001119D6"/>
    <w:rsid w:val="0012117D"/>
    <w:rsid w:val="00126389"/>
    <w:rsid w:val="001308F2"/>
    <w:rsid w:val="001313E8"/>
    <w:rsid w:val="00137010"/>
    <w:rsid w:val="0019014D"/>
    <w:rsid w:val="001B06B1"/>
    <w:rsid w:val="001B7DA4"/>
    <w:rsid w:val="001C58F5"/>
    <w:rsid w:val="001D5CEE"/>
    <w:rsid w:val="001F49FB"/>
    <w:rsid w:val="001F7DDB"/>
    <w:rsid w:val="002071D9"/>
    <w:rsid w:val="0021316B"/>
    <w:rsid w:val="00235900"/>
    <w:rsid w:val="00245980"/>
    <w:rsid w:val="00256822"/>
    <w:rsid w:val="0026525A"/>
    <w:rsid w:val="00265CBF"/>
    <w:rsid w:val="00274790"/>
    <w:rsid w:val="00285755"/>
    <w:rsid w:val="002A1F9C"/>
    <w:rsid w:val="002A5B4D"/>
    <w:rsid w:val="002B29C2"/>
    <w:rsid w:val="002C3367"/>
    <w:rsid w:val="002C4208"/>
    <w:rsid w:val="002D2566"/>
    <w:rsid w:val="00306628"/>
    <w:rsid w:val="00320D9B"/>
    <w:rsid w:val="00335621"/>
    <w:rsid w:val="00352DE1"/>
    <w:rsid w:val="00355A36"/>
    <w:rsid w:val="003728E6"/>
    <w:rsid w:val="003760DD"/>
    <w:rsid w:val="00376B5C"/>
    <w:rsid w:val="00382606"/>
    <w:rsid w:val="00394339"/>
    <w:rsid w:val="00394B89"/>
    <w:rsid w:val="003B3B55"/>
    <w:rsid w:val="003B5E0E"/>
    <w:rsid w:val="003D255A"/>
    <w:rsid w:val="003E0175"/>
    <w:rsid w:val="0040699B"/>
    <w:rsid w:val="004076D4"/>
    <w:rsid w:val="00416949"/>
    <w:rsid w:val="004248FF"/>
    <w:rsid w:val="004257D5"/>
    <w:rsid w:val="00434009"/>
    <w:rsid w:val="00436ABC"/>
    <w:rsid w:val="004370D8"/>
    <w:rsid w:val="00442BC1"/>
    <w:rsid w:val="00446113"/>
    <w:rsid w:val="00464C88"/>
    <w:rsid w:val="00472C43"/>
    <w:rsid w:val="00477B19"/>
    <w:rsid w:val="004836D7"/>
    <w:rsid w:val="004910D8"/>
    <w:rsid w:val="00491194"/>
    <w:rsid w:val="004B1586"/>
    <w:rsid w:val="004B3257"/>
    <w:rsid w:val="004D4C84"/>
    <w:rsid w:val="004F3AB8"/>
    <w:rsid w:val="00523415"/>
    <w:rsid w:val="00523CF0"/>
    <w:rsid w:val="00534A4A"/>
    <w:rsid w:val="00537496"/>
    <w:rsid w:val="00544ED3"/>
    <w:rsid w:val="00546F47"/>
    <w:rsid w:val="00547F26"/>
    <w:rsid w:val="0057131A"/>
    <w:rsid w:val="005841A9"/>
    <w:rsid w:val="0058477B"/>
    <w:rsid w:val="0058654F"/>
    <w:rsid w:val="00596ACA"/>
    <w:rsid w:val="005B7E6B"/>
    <w:rsid w:val="005C5D2D"/>
    <w:rsid w:val="005E0EAA"/>
    <w:rsid w:val="005E39BC"/>
    <w:rsid w:val="005E6C95"/>
    <w:rsid w:val="005F00A0"/>
    <w:rsid w:val="005F4AF8"/>
    <w:rsid w:val="006000B2"/>
    <w:rsid w:val="00604C59"/>
    <w:rsid w:val="00612CB0"/>
    <w:rsid w:val="00631A57"/>
    <w:rsid w:val="0063680B"/>
    <w:rsid w:val="00647F33"/>
    <w:rsid w:val="00654B09"/>
    <w:rsid w:val="0066131F"/>
    <w:rsid w:val="00662532"/>
    <w:rsid w:val="00675240"/>
    <w:rsid w:val="006814B4"/>
    <w:rsid w:val="00684298"/>
    <w:rsid w:val="006970C9"/>
    <w:rsid w:val="006B2274"/>
    <w:rsid w:val="006D61A0"/>
    <w:rsid w:val="006E73A1"/>
    <w:rsid w:val="00706E1C"/>
    <w:rsid w:val="007113E8"/>
    <w:rsid w:val="00717C6F"/>
    <w:rsid w:val="007445DA"/>
    <w:rsid w:val="00754276"/>
    <w:rsid w:val="0076058D"/>
    <w:rsid w:val="00765630"/>
    <w:rsid w:val="00772E9A"/>
    <w:rsid w:val="00790E9A"/>
    <w:rsid w:val="00791508"/>
    <w:rsid w:val="007B4FD1"/>
    <w:rsid w:val="007B57CF"/>
    <w:rsid w:val="007C40B0"/>
    <w:rsid w:val="007D0519"/>
    <w:rsid w:val="007E053C"/>
    <w:rsid w:val="007F74CC"/>
    <w:rsid w:val="00800B84"/>
    <w:rsid w:val="00802381"/>
    <w:rsid w:val="008064FD"/>
    <w:rsid w:val="00815F3A"/>
    <w:rsid w:val="00817C1D"/>
    <w:rsid w:val="00823049"/>
    <w:rsid w:val="008270D0"/>
    <w:rsid w:val="00827B38"/>
    <w:rsid w:val="0085046A"/>
    <w:rsid w:val="00856DA4"/>
    <w:rsid w:val="008601BE"/>
    <w:rsid w:val="00860273"/>
    <w:rsid w:val="00883848"/>
    <w:rsid w:val="00894DB3"/>
    <w:rsid w:val="00897ED5"/>
    <w:rsid w:val="008B034A"/>
    <w:rsid w:val="008B51A7"/>
    <w:rsid w:val="008B57CB"/>
    <w:rsid w:val="008B6BB9"/>
    <w:rsid w:val="008C2211"/>
    <w:rsid w:val="008C3C89"/>
    <w:rsid w:val="008E71CC"/>
    <w:rsid w:val="008F4C98"/>
    <w:rsid w:val="008F4FB6"/>
    <w:rsid w:val="00907759"/>
    <w:rsid w:val="00911442"/>
    <w:rsid w:val="00911543"/>
    <w:rsid w:val="0091186D"/>
    <w:rsid w:val="0092594D"/>
    <w:rsid w:val="00930937"/>
    <w:rsid w:val="00934E64"/>
    <w:rsid w:val="00947539"/>
    <w:rsid w:val="009519C9"/>
    <w:rsid w:val="009644FF"/>
    <w:rsid w:val="00964FC2"/>
    <w:rsid w:val="00996707"/>
    <w:rsid w:val="0099745B"/>
    <w:rsid w:val="009D0B86"/>
    <w:rsid w:val="009D12B0"/>
    <w:rsid w:val="009D21F0"/>
    <w:rsid w:val="009D402B"/>
    <w:rsid w:val="009E0A69"/>
    <w:rsid w:val="009E0D5B"/>
    <w:rsid w:val="009E1558"/>
    <w:rsid w:val="00A03C07"/>
    <w:rsid w:val="00A10D25"/>
    <w:rsid w:val="00A14796"/>
    <w:rsid w:val="00A42898"/>
    <w:rsid w:val="00A742D0"/>
    <w:rsid w:val="00A94D21"/>
    <w:rsid w:val="00A964E3"/>
    <w:rsid w:val="00AA5FE3"/>
    <w:rsid w:val="00AB51A0"/>
    <w:rsid w:val="00AB6A85"/>
    <w:rsid w:val="00AB6ACE"/>
    <w:rsid w:val="00AC5A3A"/>
    <w:rsid w:val="00AD6BB4"/>
    <w:rsid w:val="00AE0AE2"/>
    <w:rsid w:val="00AE6705"/>
    <w:rsid w:val="00B1443F"/>
    <w:rsid w:val="00B16BD8"/>
    <w:rsid w:val="00B30B3F"/>
    <w:rsid w:val="00B51443"/>
    <w:rsid w:val="00B51FAC"/>
    <w:rsid w:val="00B53AAA"/>
    <w:rsid w:val="00B54CDF"/>
    <w:rsid w:val="00B64E6B"/>
    <w:rsid w:val="00B7755F"/>
    <w:rsid w:val="00B808D8"/>
    <w:rsid w:val="00B82FA5"/>
    <w:rsid w:val="00B90025"/>
    <w:rsid w:val="00B958D4"/>
    <w:rsid w:val="00BA3934"/>
    <w:rsid w:val="00BC0D33"/>
    <w:rsid w:val="00BD1400"/>
    <w:rsid w:val="00BD196C"/>
    <w:rsid w:val="00BD605C"/>
    <w:rsid w:val="00BE2A76"/>
    <w:rsid w:val="00BF17E0"/>
    <w:rsid w:val="00BF7586"/>
    <w:rsid w:val="00C12DCD"/>
    <w:rsid w:val="00C4440B"/>
    <w:rsid w:val="00C520EE"/>
    <w:rsid w:val="00C531B8"/>
    <w:rsid w:val="00C635B2"/>
    <w:rsid w:val="00C65E60"/>
    <w:rsid w:val="00C71CA4"/>
    <w:rsid w:val="00C76F62"/>
    <w:rsid w:val="00C95D35"/>
    <w:rsid w:val="00CB0288"/>
    <w:rsid w:val="00CB028E"/>
    <w:rsid w:val="00CC4AC1"/>
    <w:rsid w:val="00CD7ABF"/>
    <w:rsid w:val="00CE5A52"/>
    <w:rsid w:val="00CF199B"/>
    <w:rsid w:val="00CF2128"/>
    <w:rsid w:val="00CF7AF3"/>
    <w:rsid w:val="00D02B34"/>
    <w:rsid w:val="00D0621B"/>
    <w:rsid w:val="00D25E1C"/>
    <w:rsid w:val="00D26ADA"/>
    <w:rsid w:val="00D35A78"/>
    <w:rsid w:val="00D52CA2"/>
    <w:rsid w:val="00D555A1"/>
    <w:rsid w:val="00D609F5"/>
    <w:rsid w:val="00D62FCC"/>
    <w:rsid w:val="00D64DC2"/>
    <w:rsid w:val="00D7113E"/>
    <w:rsid w:val="00D71688"/>
    <w:rsid w:val="00DA46CA"/>
    <w:rsid w:val="00DB2BF6"/>
    <w:rsid w:val="00DB3B57"/>
    <w:rsid w:val="00DE5C99"/>
    <w:rsid w:val="00DE7061"/>
    <w:rsid w:val="00DF21EB"/>
    <w:rsid w:val="00DF3A79"/>
    <w:rsid w:val="00E05AD5"/>
    <w:rsid w:val="00E1139E"/>
    <w:rsid w:val="00E20E70"/>
    <w:rsid w:val="00E25B68"/>
    <w:rsid w:val="00E36942"/>
    <w:rsid w:val="00E4000A"/>
    <w:rsid w:val="00E47E07"/>
    <w:rsid w:val="00E578C5"/>
    <w:rsid w:val="00E57CF9"/>
    <w:rsid w:val="00E73EB5"/>
    <w:rsid w:val="00E84003"/>
    <w:rsid w:val="00E92E77"/>
    <w:rsid w:val="00EC10FC"/>
    <w:rsid w:val="00EC4E14"/>
    <w:rsid w:val="00ED5E47"/>
    <w:rsid w:val="00ED5EB6"/>
    <w:rsid w:val="00EE0041"/>
    <w:rsid w:val="00EE2471"/>
    <w:rsid w:val="00EE29B9"/>
    <w:rsid w:val="00EE30B2"/>
    <w:rsid w:val="00EF178C"/>
    <w:rsid w:val="00EF5DCA"/>
    <w:rsid w:val="00F004EE"/>
    <w:rsid w:val="00F03478"/>
    <w:rsid w:val="00F041CD"/>
    <w:rsid w:val="00F42E23"/>
    <w:rsid w:val="00F45EEE"/>
    <w:rsid w:val="00F51E9C"/>
    <w:rsid w:val="00F523CA"/>
    <w:rsid w:val="00F54B2D"/>
    <w:rsid w:val="00F6003B"/>
    <w:rsid w:val="00F70F80"/>
    <w:rsid w:val="00F74A9D"/>
    <w:rsid w:val="00F81411"/>
    <w:rsid w:val="00F81F30"/>
    <w:rsid w:val="00F94A54"/>
    <w:rsid w:val="00F9590C"/>
    <w:rsid w:val="00FA4EC0"/>
    <w:rsid w:val="00FB74D8"/>
    <w:rsid w:val="00FF386F"/>
    <w:rsid w:val="0F7D7F22"/>
    <w:rsid w:val="16833FA9"/>
    <w:rsid w:val="1777235F"/>
    <w:rsid w:val="1F2A8732"/>
    <w:rsid w:val="22F30006"/>
    <w:rsid w:val="26A7CAB0"/>
    <w:rsid w:val="2952BB0D"/>
    <w:rsid w:val="2F66B1DA"/>
    <w:rsid w:val="3102823B"/>
    <w:rsid w:val="317DC4F8"/>
    <w:rsid w:val="3615E10C"/>
    <w:rsid w:val="3FE00DE1"/>
    <w:rsid w:val="46362708"/>
    <w:rsid w:val="46DF0FD2"/>
    <w:rsid w:val="48DDC4DC"/>
    <w:rsid w:val="4A16B094"/>
    <w:rsid w:val="4D8D2222"/>
    <w:rsid w:val="55A43D64"/>
    <w:rsid w:val="5C3376EE"/>
    <w:rsid w:val="651135E3"/>
    <w:rsid w:val="66A46BD3"/>
    <w:rsid w:val="72972FDC"/>
    <w:rsid w:val="77B05029"/>
    <w:rsid w:val="7CDF82B8"/>
    <w:rsid w:val="7F5C8A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A9FC1"/>
  <w15:docId w15:val="{5667D218-2DAA-40CB-A931-D8A3551B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styleId="ListParagraph">
    <w:name w:val="List Paragraph"/>
    <w:basedOn w:val="Normal"/>
    <w:uiPriority w:val="49"/>
    <w:locked/>
    <w:rsid w:val="00B51443"/>
    <w:pPr>
      <w:ind w:left="720"/>
      <w:contextualSpacing/>
    </w:pPr>
  </w:style>
  <w:style w:type="character" w:styleId="CommentReference">
    <w:name w:val="annotation reference"/>
    <w:basedOn w:val="DefaultParagraphFont"/>
    <w:uiPriority w:val="49"/>
    <w:semiHidden/>
    <w:unhideWhenUsed/>
    <w:locked/>
    <w:rsid w:val="00D52CA2"/>
    <w:rPr>
      <w:sz w:val="16"/>
      <w:szCs w:val="16"/>
    </w:rPr>
  </w:style>
  <w:style w:type="paragraph" w:styleId="CommentText">
    <w:name w:val="annotation text"/>
    <w:basedOn w:val="Normal"/>
    <w:link w:val="CommentTextChar"/>
    <w:uiPriority w:val="49"/>
    <w:semiHidden/>
    <w:unhideWhenUsed/>
    <w:locked/>
    <w:rsid w:val="00D52CA2"/>
    <w:rPr>
      <w:sz w:val="20"/>
    </w:rPr>
  </w:style>
  <w:style w:type="character" w:customStyle="1" w:styleId="CommentTextChar">
    <w:name w:val="Comment Text Char"/>
    <w:basedOn w:val="DefaultParagraphFont"/>
    <w:link w:val="CommentText"/>
    <w:uiPriority w:val="49"/>
    <w:semiHidden/>
    <w:rsid w:val="00D52CA2"/>
    <w:rPr>
      <w:lang w:eastAsia="en-US"/>
    </w:rPr>
  </w:style>
  <w:style w:type="paragraph" w:styleId="CommentSubject">
    <w:name w:val="annotation subject"/>
    <w:basedOn w:val="CommentText"/>
    <w:next w:val="CommentText"/>
    <w:link w:val="CommentSubjectChar"/>
    <w:uiPriority w:val="49"/>
    <w:semiHidden/>
    <w:unhideWhenUsed/>
    <w:locked/>
    <w:rsid w:val="00D52CA2"/>
    <w:rPr>
      <w:b/>
      <w:bCs/>
    </w:rPr>
  </w:style>
  <w:style w:type="character" w:customStyle="1" w:styleId="CommentSubjectChar">
    <w:name w:val="Comment Subject Char"/>
    <w:basedOn w:val="CommentTextChar"/>
    <w:link w:val="CommentSubject"/>
    <w:uiPriority w:val="49"/>
    <w:semiHidden/>
    <w:rsid w:val="00D52C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2.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3.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268</TotalTime>
  <Pages>3</Pages>
  <Words>1427</Words>
  <Characters>7886</Characters>
  <Application>Microsoft Office Word</Application>
  <DocSecurity>0</DocSecurity>
  <Lines>65</Lines>
  <Paragraphs>18</Paragraphs>
  <ScaleCrop>false</ScaleCrop>
  <Company>IAEA</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subject/>
  <dc:creator>Chirayu.Batra@iaea.org</dc:creator>
  <cp:keywords/>
  <cp:lastModifiedBy>Roberts, Lois</cp:lastModifiedBy>
  <cp:revision>136</cp:revision>
  <cp:lastPrinted>2022-02-24T12:28:00Z</cp:lastPrinted>
  <dcterms:created xsi:type="dcterms:W3CDTF">2022-02-22T15:15:00Z</dcterms:created>
  <dcterms:modified xsi:type="dcterms:W3CDTF">2022-02-24T12:38:00Z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y fmtid="{D5CDD505-2E9C-101B-9397-08002B2CF9AE}" pid="12" name="MSIP_Label_22759de7-3255-46b5-8dfe-736652f9c6c1_Enabled">
    <vt:lpwstr>true</vt:lpwstr>
  </property>
  <property fmtid="{D5CDD505-2E9C-101B-9397-08002B2CF9AE}" pid="13" name="MSIP_Label_22759de7-3255-46b5-8dfe-736652f9c6c1_SetDate">
    <vt:lpwstr>2022-02-22T15:15:20Z</vt:lpwstr>
  </property>
  <property fmtid="{D5CDD505-2E9C-101B-9397-08002B2CF9AE}" pid="14" name="MSIP_Label_22759de7-3255-46b5-8dfe-736652f9c6c1_Method">
    <vt:lpwstr>Privileged</vt:lpwstr>
  </property>
  <property fmtid="{D5CDD505-2E9C-101B-9397-08002B2CF9AE}" pid="15" name="MSIP_Label_22759de7-3255-46b5-8dfe-736652f9c6c1_Name">
    <vt:lpwstr>22759de7-3255-46b5-8dfe-736652f9c6c1</vt:lpwstr>
  </property>
  <property fmtid="{D5CDD505-2E9C-101B-9397-08002B2CF9AE}" pid="16" name="MSIP_Label_22759de7-3255-46b5-8dfe-736652f9c6c1_SiteId">
    <vt:lpwstr>c6ac664b-ae27-4d5d-b4e6-bb5717196fc7</vt:lpwstr>
  </property>
  <property fmtid="{D5CDD505-2E9C-101B-9397-08002B2CF9AE}" pid="17" name="MSIP_Label_22759de7-3255-46b5-8dfe-736652f9c6c1_ActionId">
    <vt:lpwstr>26c17026-9948-48be-9ede-43ace9586939</vt:lpwstr>
  </property>
  <property fmtid="{D5CDD505-2E9C-101B-9397-08002B2CF9AE}" pid="18" name="MSIP_Label_22759de7-3255-46b5-8dfe-736652f9c6c1_ContentBits">
    <vt:lpwstr>0</vt:lpwstr>
  </property>
</Properties>
</file>