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A902" w14:textId="3FE4A677" w:rsidR="00604C59" w:rsidRPr="00073700" w:rsidRDefault="00AF03B7" w:rsidP="00073700">
      <w:pPr>
        <w:pStyle w:val="Heading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rPr>
          <w:rFonts w:ascii="Times New Roman" w:hAnsi="Times New Roman"/>
          <w:bCs/>
          <w:noProof/>
          <w:szCs w:val="24"/>
          <w:lang w:val="en-GB"/>
        </w:rPr>
      </w:pPr>
      <w:r>
        <w:rPr>
          <w:rFonts w:ascii="Times New Roman" w:hAnsi="Times New Roman"/>
          <w:bCs/>
          <w:noProof/>
          <w:szCs w:val="24"/>
          <w:lang w:val="en-GB"/>
        </w:rPr>
        <w:t>development of a fusion power plant safety framework</w:t>
      </w:r>
    </w:p>
    <w:p w14:paraId="2A7F935C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5036190F" w:rsidR="00604C59" w:rsidRPr="00073700" w:rsidRDefault="00C44A9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R.E. JENNINGS</w:t>
      </w:r>
    </w:p>
    <w:p w14:paraId="20CD335A" w14:textId="17C2CAE3" w:rsidR="00604C59" w:rsidRPr="00073700" w:rsidRDefault="001131DA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UKAEA</w:t>
      </w:r>
    </w:p>
    <w:p w14:paraId="7B37D297" w14:textId="5DC34B81" w:rsidR="00604C59" w:rsidRPr="00073700" w:rsidRDefault="001131DA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Culham</w:t>
      </w:r>
      <w:r w:rsidR="00604C59"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UK</w:t>
      </w:r>
    </w:p>
    <w:p w14:paraId="2796F553" w14:textId="7ADA169C" w:rsidR="00604C59" w:rsidRPr="002B37B3" w:rsidRDefault="00604C59" w:rsidP="00073700">
      <w:pPr>
        <w:pStyle w:val="Authornameandaffiliation"/>
        <w:ind w:left="0"/>
        <w:jc w:val="both"/>
        <w:rPr>
          <w:sz w:val="24"/>
          <w:szCs w:val="24"/>
          <w:lang w:val="es-ES"/>
        </w:rPr>
      </w:pPr>
      <w:r w:rsidRPr="002B37B3">
        <w:rPr>
          <w:sz w:val="24"/>
          <w:szCs w:val="24"/>
          <w:lang w:val="es-ES"/>
        </w:rPr>
        <w:t xml:space="preserve">Email: </w:t>
      </w:r>
      <w:r w:rsidR="0056654A" w:rsidRPr="002B37B3">
        <w:rPr>
          <w:sz w:val="24"/>
          <w:szCs w:val="24"/>
          <w:lang w:val="es-ES"/>
        </w:rPr>
        <w:t>robert.jennings</w:t>
      </w:r>
      <w:r w:rsidR="001131DA" w:rsidRPr="002B37B3">
        <w:rPr>
          <w:sz w:val="24"/>
          <w:szCs w:val="24"/>
          <w:lang w:val="es-ES"/>
        </w:rPr>
        <w:t>@ukaea.uk</w:t>
      </w:r>
    </w:p>
    <w:p w14:paraId="654E3E67" w14:textId="77777777" w:rsidR="00604C59" w:rsidRPr="002B37B3" w:rsidRDefault="00604C59" w:rsidP="00073700">
      <w:pPr>
        <w:pStyle w:val="Authornameandaffiliation"/>
        <w:ind w:left="0"/>
        <w:jc w:val="both"/>
        <w:rPr>
          <w:sz w:val="24"/>
          <w:szCs w:val="24"/>
          <w:lang w:val="es-ES"/>
        </w:rPr>
      </w:pPr>
    </w:p>
    <w:p w14:paraId="2FD06590" w14:textId="1A900318" w:rsidR="00CD7ABF" w:rsidRPr="000A1505" w:rsidRDefault="00E21CDE" w:rsidP="00306628">
      <w:pPr>
        <w:pStyle w:val="Authornameandaffiliation"/>
        <w:ind w:left="0"/>
        <w:rPr>
          <w:sz w:val="24"/>
          <w:szCs w:val="24"/>
          <w:lang w:val="es-ES"/>
        </w:rPr>
      </w:pPr>
      <w:r w:rsidRPr="00B66909">
        <w:rPr>
          <w:sz w:val="24"/>
          <w:szCs w:val="24"/>
          <w:lang w:val="es-ES"/>
        </w:rPr>
        <w:t>R.</w:t>
      </w:r>
      <w:r w:rsidR="00C01847" w:rsidRPr="00B66909">
        <w:rPr>
          <w:sz w:val="24"/>
          <w:szCs w:val="24"/>
          <w:lang w:val="es-ES"/>
        </w:rPr>
        <w:t>E.</w:t>
      </w:r>
      <w:r w:rsidRPr="00B66909">
        <w:rPr>
          <w:sz w:val="24"/>
          <w:szCs w:val="24"/>
          <w:lang w:val="es-ES"/>
        </w:rPr>
        <w:t xml:space="preserve"> JENNINGS</w:t>
      </w:r>
      <w:r w:rsidR="00CD7ABF" w:rsidRPr="00B66909">
        <w:rPr>
          <w:sz w:val="24"/>
          <w:szCs w:val="24"/>
          <w:vertAlign w:val="superscript"/>
          <w:lang w:val="es-ES"/>
        </w:rPr>
        <w:t>1</w:t>
      </w:r>
      <w:r w:rsidR="00CD7ABF" w:rsidRPr="00B66909">
        <w:rPr>
          <w:sz w:val="24"/>
          <w:szCs w:val="24"/>
          <w:lang w:val="es-ES"/>
        </w:rPr>
        <w:t>,</w:t>
      </w:r>
      <w:r w:rsidR="000032DD" w:rsidRPr="00B66909">
        <w:rPr>
          <w:sz w:val="24"/>
          <w:szCs w:val="24"/>
          <w:lang w:val="es-ES"/>
        </w:rPr>
        <w:t xml:space="preserve"> S.A. FORBES</w:t>
      </w:r>
      <w:r w:rsidR="000032DD" w:rsidRPr="00B66909">
        <w:rPr>
          <w:sz w:val="24"/>
          <w:szCs w:val="24"/>
          <w:vertAlign w:val="superscript"/>
          <w:lang w:val="es-ES"/>
        </w:rPr>
        <w:t>1</w:t>
      </w:r>
      <w:r w:rsidR="000032DD" w:rsidRPr="00B66909">
        <w:rPr>
          <w:sz w:val="24"/>
          <w:szCs w:val="24"/>
          <w:lang w:val="es-ES"/>
        </w:rPr>
        <w:t>,</w:t>
      </w:r>
      <w:r w:rsidR="00CD7ABF" w:rsidRPr="00B66909">
        <w:rPr>
          <w:sz w:val="24"/>
          <w:szCs w:val="24"/>
          <w:lang w:val="es-ES"/>
        </w:rPr>
        <w:t xml:space="preserve"> </w:t>
      </w:r>
      <w:r w:rsidR="000B1ABE">
        <w:rPr>
          <w:sz w:val="24"/>
          <w:szCs w:val="24"/>
          <w:lang w:val="es-ES"/>
        </w:rPr>
        <w:t>B.</w:t>
      </w:r>
      <w:r w:rsidR="003D51F2">
        <w:rPr>
          <w:sz w:val="24"/>
          <w:szCs w:val="24"/>
          <w:lang w:val="es-ES"/>
        </w:rPr>
        <w:t>R</w:t>
      </w:r>
      <w:r w:rsidR="000B1ABE">
        <w:rPr>
          <w:sz w:val="24"/>
          <w:szCs w:val="24"/>
          <w:lang w:val="es-ES"/>
        </w:rPr>
        <w:t>. COLLING</w:t>
      </w:r>
      <w:r w:rsidR="000B1ABE" w:rsidRPr="000B1ABE">
        <w:rPr>
          <w:sz w:val="24"/>
          <w:szCs w:val="24"/>
          <w:vertAlign w:val="superscript"/>
          <w:lang w:val="es-ES"/>
        </w:rPr>
        <w:t>1</w:t>
      </w:r>
      <w:r w:rsidR="000B1ABE">
        <w:rPr>
          <w:sz w:val="24"/>
          <w:szCs w:val="24"/>
          <w:lang w:val="es-ES"/>
        </w:rPr>
        <w:t xml:space="preserve">, </w:t>
      </w:r>
      <w:r w:rsidRPr="00B66909">
        <w:rPr>
          <w:sz w:val="24"/>
          <w:szCs w:val="24"/>
          <w:lang w:val="es-ES"/>
        </w:rPr>
        <w:t>S</w:t>
      </w:r>
      <w:r w:rsidR="00CD22A0" w:rsidRPr="00B66909">
        <w:rPr>
          <w:sz w:val="24"/>
          <w:szCs w:val="24"/>
          <w:lang w:val="es-ES"/>
        </w:rPr>
        <w:t>. GONZALEZ DE VICENTE</w:t>
      </w:r>
      <w:r w:rsidR="00CD22A0" w:rsidRPr="00B66909">
        <w:rPr>
          <w:sz w:val="24"/>
          <w:szCs w:val="24"/>
          <w:vertAlign w:val="superscript"/>
          <w:lang w:val="es-ES"/>
        </w:rPr>
        <w:t>2</w:t>
      </w:r>
      <w:r w:rsidR="000B1ABE">
        <w:rPr>
          <w:sz w:val="24"/>
          <w:szCs w:val="24"/>
          <w:lang w:val="es-ES"/>
        </w:rPr>
        <w:br/>
      </w:r>
      <w:r w:rsidR="00CD22A0" w:rsidRPr="00B66909">
        <w:rPr>
          <w:sz w:val="24"/>
          <w:szCs w:val="24"/>
          <w:lang w:val="es-ES"/>
        </w:rPr>
        <w:t>P. CALLE-VIVE</w:t>
      </w:r>
      <w:r w:rsidR="00E97419" w:rsidRPr="00B66909">
        <w:rPr>
          <w:sz w:val="24"/>
          <w:szCs w:val="24"/>
          <w:lang w:val="es-ES"/>
        </w:rPr>
        <w:t>S</w:t>
      </w:r>
      <w:r w:rsidR="00E97419" w:rsidRPr="00B66909">
        <w:rPr>
          <w:sz w:val="24"/>
          <w:szCs w:val="24"/>
          <w:vertAlign w:val="superscript"/>
          <w:lang w:val="es-ES"/>
        </w:rPr>
        <w:t>2</w:t>
      </w:r>
      <w:r w:rsidR="00D56A0C" w:rsidRPr="00B66909">
        <w:rPr>
          <w:sz w:val="24"/>
          <w:szCs w:val="24"/>
          <w:lang w:val="es-ES"/>
        </w:rPr>
        <w:t>, M</w:t>
      </w:r>
      <w:r w:rsidR="00E97419" w:rsidRPr="00B66909">
        <w:rPr>
          <w:sz w:val="24"/>
          <w:szCs w:val="24"/>
          <w:lang w:val="es-ES"/>
        </w:rPr>
        <w:t>. AOKI</w:t>
      </w:r>
      <w:r w:rsidR="00CD22A0" w:rsidRPr="00B66909">
        <w:rPr>
          <w:sz w:val="24"/>
          <w:szCs w:val="24"/>
          <w:vertAlign w:val="superscript"/>
          <w:lang w:val="es-ES"/>
        </w:rPr>
        <w:t>2</w:t>
      </w:r>
      <w:r w:rsidR="000A1505">
        <w:rPr>
          <w:sz w:val="24"/>
          <w:szCs w:val="24"/>
        </w:rPr>
        <w:t>,</w:t>
      </w:r>
      <w:r w:rsidR="009D431D">
        <w:rPr>
          <w:sz w:val="24"/>
          <w:szCs w:val="24"/>
        </w:rPr>
        <w:t xml:space="preserve"> </w:t>
      </w:r>
      <w:r w:rsidR="000A1505">
        <w:rPr>
          <w:sz w:val="24"/>
          <w:szCs w:val="24"/>
        </w:rPr>
        <w:t>S. CALPENA</w:t>
      </w:r>
      <w:r w:rsidR="009D431D">
        <w:rPr>
          <w:sz w:val="24"/>
          <w:szCs w:val="24"/>
          <w:vertAlign w:val="superscript"/>
        </w:rPr>
        <w:t>3</w:t>
      </w:r>
    </w:p>
    <w:p w14:paraId="50B1C884" w14:textId="3A48B228" w:rsidR="00CD7ABF" w:rsidRPr="00CD7ABF" w:rsidRDefault="00CD7ABF" w:rsidP="00CD7ABF">
      <w:pPr>
        <w:pStyle w:val="Authornameandaffiliation"/>
        <w:ind w:left="0"/>
        <w:jc w:val="both"/>
        <w:rPr>
          <w:sz w:val="24"/>
          <w:szCs w:val="24"/>
        </w:rPr>
      </w:pPr>
      <w:r w:rsidRPr="00CD7ABF">
        <w:rPr>
          <w:sz w:val="24"/>
          <w:szCs w:val="24"/>
          <w:vertAlign w:val="superscript"/>
        </w:rPr>
        <w:t>1</w:t>
      </w:r>
      <w:r w:rsidR="00CD22A0">
        <w:rPr>
          <w:sz w:val="24"/>
          <w:szCs w:val="24"/>
        </w:rPr>
        <w:t>UKAEA</w:t>
      </w:r>
      <w:r w:rsidRPr="00CD7ABF">
        <w:rPr>
          <w:sz w:val="24"/>
          <w:szCs w:val="24"/>
        </w:rPr>
        <w:t xml:space="preserve">, </w:t>
      </w:r>
      <w:r w:rsidR="00CD22A0">
        <w:rPr>
          <w:sz w:val="24"/>
          <w:szCs w:val="24"/>
        </w:rPr>
        <w:t>Culham</w:t>
      </w:r>
      <w:r w:rsidRPr="00CD7ABF">
        <w:rPr>
          <w:sz w:val="24"/>
          <w:szCs w:val="24"/>
        </w:rPr>
        <w:t xml:space="preserve">, </w:t>
      </w:r>
      <w:r w:rsidR="00CD22A0">
        <w:rPr>
          <w:sz w:val="24"/>
          <w:szCs w:val="24"/>
        </w:rPr>
        <w:t>UK</w:t>
      </w:r>
    </w:p>
    <w:p w14:paraId="4F6648E4" w14:textId="1D7B99F7" w:rsidR="00CD7ABF" w:rsidRDefault="00CD7ABF" w:rsidP="00CD7ABF">
      <w:pPr>
        <w:pStyle w:val="Authornameandaffiliation"/>
        <w:ind w:left="0"/>
        <w:jc w:val="both"/>
        <w:rPr>
          <w:sz w:val="24"/>
          <w:szCs w:val="24"/>
        </w:rPr>
      </w:pPr>
      <w:r w:rsidRPr="00CD7ABF">
        <w:rPr>
          <w:sz w:val="24"/>
          <w:szCs w:val="24"/>
          <w:vertAlign w:val="superscript"/>
        </w:rPr>
        <w:t>2</w:t>
      </w:r>
      <w:r w:rsidR="00CD22A0">
        <w:rPr>
          <w:sz w:val="24"/>
          <w:szCs w:val="24"/>
        </w:rPr>
        <w:t>IAEA</w:t>
      </w:r>
      <w:r w:rsidRPr="00CD7ABF">
        <w:rPr>
          <w:sz w:val="24"/>
          <w:szCs w:val="24"/>
        </w:rPr>
        <w:t xml:space="preserve">, </w:t>
      </w:r>
      <w:r w:rsidR="00CD22A0">
        <w:rPr>
          <w:sz w:val="24"/>
          <w:szCs w:val="24"/>
        </w:rPr>
        <w:t>Vienna, Austria</w:t>
      </w:r>
    </w:p>
    <w:p w14:paraId="755D1798" w14:textId="07241946" w:rsidR="009D431D" w:rsidRPr="00CD7ABF" w:rsidRDefault="009D431D" w:rsidP="00CD7ABF">
      <w:pPr>
        <w:pStyle w:val="Authornameandaffiliation"/>
        <w:ind w:left="0"/>
        <w:jc w:val="both"/>
        <w:rPr>
          <w:sz w:val="24"/>
          <w:szCs w:val="24"/>
        </w:rPr>
      </w:pPr>
      <w:r w:rsidRPr="009D431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ITER, Cadarache, France</w:t>
      </w:r>
    </w:p>
    <w:p w14:paraId="5D9EC7B1" w14:textId="4EF54CB8" w:rsidR="00CD7ABF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CC649E0" w14:textId="480B697B" w:rsidR="00CD7ABF" w:rsidRPr="00CD7ABF" w:rsidRDefault="00CD7ABF" w:rsidP="00CD7ABF">
      <w:pPr>
        <w:pStyle w:val="Authornameandaffiliation"/>
        <w:ind w:left="0"/>
        <w:jc w:val="both"/>
        <w:rPr>
          <w:sz w:val="24"/>
          <w:szCs w:val="24"/>
        </w:rPr>
      </w:pPr>
      <w:r w:rsidRPr="00CD7ABF">
        <w:rPr>
          <w:sz w:val="24"/>
          <w:szCs w:val="24"/>
        </w:rPr>
        <w:t xml:space="preserve">Email contact of corresponding author: </w:t>
      </w:r>
      <w:r w:rsidR="0056654A">
        <w:rPr>
          <w:sz w:val="24"/>
          <w:szCs w:val="24"/>
        </w:rPr>
        <w:t>robert.jennings</w:t>
      </w:r>
      <w:r w:rsidR="00CD22A0">
        <w:rPr>
          <w:sz w:val="24"/>
          <w:szCs w:val="24"/>
        </w:rPr>
        <w:t>@ukaea.uk</w:t>
      </w:r>
    </w:p>
    <w:p w14:paraId="063A0365" w14:textId="77777777" w:rsidR="00B1080B" w:rsidRDefault="00B1080B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45E7813" w14:textId="77777777" w:rsidR="006E7F6B" w:rsidRDefault="006E7F6B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1191506F" w14:textId="71DE921F" w:rsidR="007B57CF" w:rsidRDefault="00B1080B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val="en-US"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The IAEA </w:t>
      </w:r>
      <w:r w:rsidR="00820A49">
        <w:rPr>
          <w:rFonts w:eastAsiaTheme="minorHAnsi"/>
          <w:sz w:val="24"/>
          <w:szCs w:val="24"/>
          <w:lang w:eastAsia="ar-SA"/>
        </w:rPr>
        <w:t xml:space="preserve">is undertaking </w:t>
      </w:r>
      <w:r w:rsidR="00B06C6A">
        <w:rPr>
          <w:rFonts w:eastAsiaTheme="minorHAnsi"/>
          <w:sz w:val="24"/>
          <w:szCs w:val="24"/>
          <w:lang w:eastAsia="ar-SA"/>
        </w:rPr>
        <w:t>the development of a</w:t>
      </w:r>
      <w:r w:rsidR="00D04267">
        <w:rPr>
          <w:rFonts w:eastAsiaTheme="minorHAnsi"/>
          <w:sz w:val="24"/>
          <w:szCs w:val="24"/>
          <w:lang w:eastAsia="ar-SA"/>
        </w:rPr>
        <w:t xml:space="preserve"> fusion power plant safety framework.  The objective is to</w:t>
      </w:r>
      <w:r w:rsidR="004C3C32" w:rsidRPr="004C3C32">
        <w:rPr>
          <w:rFonts w:eastAsiaTheme="minorHAnsi"/>
          <w:sz w:val="24"/>
          <w:szCs w:val="24"/>
          <w:lang w:val="en-US" w:eastAsia="ar-SA"/>
        </w:rPr>
        <w:t xml:space="preserve"> </w:t>
      </w:r>
      <w:r w:rsidR="00B66909">
        <w:rPr>
          <w:rFonts w:eastAsiaTheme="minorHAnsi"/>
          <w:sz w:val="24"/>
          <w:szCs w:val="24"/>
          <w:lang w:val="en-US" w:eastAsia="ar-SA"/>
        </w:rPr>
        <w:t xml:space="preserve">first gather member states experience on regulation and design safety. This will help the IAEA to consider in the future the need to </w:t>
      </w:r>
      <w:r w:rsidR="004C3C32" w:rsidRPr="004C3C32">
        <w:rPr>
          <w:rFonts w:eastAsiaTheme="minorHAnsi"/>
          <w:sz w:val="24"/>
          <w:szCs w:val="24"/>
          <w:lang w:val="en-US" w:eastAsia="ar-SA"/>
        </w:rPr>
        <w:t xml:space="preserve">develop safety guidelines and associated high level design principles (including </w:t>
      </w:r>
      <w:r w:rsidR="000F39FB">
        <w:rPr>
          <w:rFonts w:eastAsiaTheme="minorHAnsi"/>
          <w:sz w:val="24"/>
          <w:szCs w:val="24"/>
          <w:lang w:val="en-US" w:eastAsia="ar-SA"/>
        </w:rPr>
        <w:t xml:space="preserve">the </w:t>
      </w:r>
      <w:r w:rsidR="004C3C32" w:rsidRPr="004C3C32">
        <w:rPr>
          <w:rFonts w:eastAsiaTheme="minorHAnsi"/>
          <w:sz w:val="24"/>
          <w:szCs w:val="24"/>
          <w:lang w:val="en-US" w:eastAsia="ar-SA"/>
        </w:rPr>
        <w:t>interface between safety, security and safeguards) for demonstration and commercial fusion power plants (FPP).</w:t>
      </w:r>
    </w:p>
    <w:p w14:paraId="6F781379" w14:textId="4DE3A3EE" w:rsidR="007D3CF2" w:rsidRDefault="00A817DA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val="en-US" w:eastAsia="ar-SA"/>
        </w:rPr>
      </w:pPr>
      <w:r>
        <w:rPr>
          <w:rFonts w:eastAsiaTheme="minorHAnsi"/>
          <w:sz w:val="24"/>
          <w:szCs w:val="24"/>
          <w:lang w:val="en-US" w:eastAsia="ar-SA"/>
        </w:rPr>
        <w:t>In the area of Design Safety</w:t>
      </w:r>
      <w:r w:rsidR="007D3CF2">
        <w:rPr>
          <w:rFonts w:eastAsiaTheme="minorHAnsi"/>
          <w:sz w:val="24"/>
          <w:szCs w:val="24"/>
          <w:lang w:val="en-US" w:eastAsia="ar-SA"/>
        </w:rPr>
        <w:t xml:space="preserve">, the work </w:t>
      </w:r>
      <w:r w:rsidR="00940A0D">
        <w:rPr>
          <w:rFonts w:eastAsiaTheme="minorHAnsi"/>
          <w:sz w:val="24"/>
          <w:szCs w:val="24"/>
          <w:lang w:val="en-US" w:eastAsia="ar-SA"/>
        </w:rPr>
        <w:t>is</w:t>
      </w:r>
      <w:r w:rsidR="008D5C4E">
        <w:rPr>
          <w:rFonts w:eastAsiaTheme="minorHAnsi"/>
          <w:sz w:val="24"/>
          <w:szCs w:val="24"/>
          <w:lang w:val="en-US" w:eastAsia="ar-SA"/>
        </w:rPr>
        <w:t xml:space="preserve"> being</w:t>
      </w:r>
      <w:r w:rsidR="002B0BBA">
        <w:rPr>
          <w:rFonts w:eastAsiaTheme="minorHAnsi"/>
          <w:sz w:val="24"/>
          <w:szCs w:val="24"/>
          <w:lang w:val="en-US" w:eastAsia="ar-SA"/>
        </w:rPr>
        <w:t xml:space="preserve"> developed</w:t>
      </w:r>
      <w:r w:rsidR="007D3CF2">
        <w:rPr>
          <w:rFonts w:eastAsiaTheme="minorHAnsi"/>
          <w:sz w:val="24"/>
          <w:szCs w:val="24"/>
          <w:lang w:val="en-US" w:eastAsia="ar-SA"/>
        </w:rPr>
        <w:t xml:space="preserve"> based on the following steps</w:t>
      </w:r>
      <w:r w:rsidR="00D716B8">
        <w:rPr>
          <w:rFonts w:eastAsiaTheme="minorHAnsi"/>
          <w:sz w:val="24"/>
          <w:szCs w:val="24"/>
          <w:lang w:val="en-US" w:eastAsia="ar-SA"/>
        </w:rPr>
        <w:t xml:space="preserve">, </w:t>
      </w:r>
      <w:r w:rsidR="002B0BBA">
        <w:rPr>
          <w:rFonts w:eastAsiaTheme="minorHAnsi"/>
          <w:sz w:val="24"/>
          <w:szCs w:val="24"/>
          <w:lang w:val="en-US" w:eastAsia="ar-SA"/>
        </w:rPr>
        <w:t xml:space="preserve">in addition to the </w:t>
      </w:r>
      <w:r w:rsidR="00D716B8">
        <w:rPr>
          <w:rFonts w:eastAsiaTheme="minorHAnsi"/>
          <w:sz w:val="24"/>
          <w:szCs w:val="24"/>
          <w:lang w:val="en-US" w:eastAsia="ar-SA"/>
        </w:rPr>
        <w:t>information already provided by</w:t>
      </w:r>
      <w:r w:rsidR="007D3CF2">
        <w:rPr>
          <w:rFonts w:eastAsiaTheme="minorHAnsi"/>
          <w:sz w:val="24"/>
          <w:szCs w:val="24"/>
          <w:lang w:val="en-US" w:eastAsia="ar-SA"/>
        </w:rPr>
        <w:t>:</w:t>
      </w:r>
    </w:p>
    <w:p w14:paraId="64604BCB" w14:textId="51BD0E59" w:rsidR="009D53D5" w:rsidRPr="00D716B8" w:rsidRDefault="007D3CF2" w:rsidP="00D716B8">
      <w:pPr>
        <w:pStyle w:val="ListEmdash"/>
        <w:spacing w:after="120"/>
        <w:ind w:left="357" w:hanging="357"/>
        <w:contextualSpacing w:val="0"/>
        <w:rPr>
          <w:rFonts w:eastAsiaTheme="minorHAnsi"/>
          <w:sz w:val="24"/>
          <w:szCs w:val="24"/>
          <w:lang w:val="en-US" w:eastAsia="ar-SA"/>
        </w:rPr>
      </w:pPr>
      <w:r w:rsidRPr="00D716B8">
        <w:rPr>
          <w:rFonts w:eastAsiaTheme="minorHAnsi"/>
          <w:sz w:val="24"/>
          <w:szCs w:val="24"/>
          <w:lang w:val="en-US" w:eastAsia="ar-SA"/>
        </w:rPr>
        <w:t xml:space="preserve">Collection of technical information and relevant experience from different fusion projects, including </w:t>
      </w:r>
      <w:r w:rsidR="00AB569F" w:rsidRPr="00654001">
        <w:rPr>
          <w:rFonts w:eastAsiaTheme="minorHAnsi"/>
          <w:sz w:val="24"/>
          <w:szCs w:val="24"/>
          <w:lang w:val="en-US" w:eastAsia="ar-SA"/>
        </w:rPr>
        <w:t>radioactive inventories</w:t>
      </w:r>
      <w:r w:rsidR="00BF78CB" w:rsidRPr="00D716B8">
        <w:rPr>
          <w:rFonts w:eastAsiaTheme="minorHAnsi"/>
          <w:sz w:val="24"/>
          <w:szCs w:val="24"/>
          <w:lang w:val="en-US" w:eastAsia="ar-SA"/>
        </w:rPr>
        <w:t>,</w:t>
      </w:r>
      <w:r w:rsidR="00BF78CB" w:rsidRPr="00D716B8">
        <w:rPr>
          <w:sz w:val="24"/>
          <w:szCs w:val="24"/>
        </w:rPr>
        <w:t xml:space="preserve"> </w:t>
      </w:r>
      <w:r w:rsidR="008A277C" w:rsidRPr="00654001">
        <w:rPr>
          <w:rFonts w:eastAsiaTheme="minorHAnsi"/>
          <w:sz w:val="24"/>
          <w:szCs w:val="24"/>
          <w:lang w:val="en-US" w:eastAsia="ar-SA"/>
        </w:rPr>
        <w:t>initiating faults and fault sequences that can lead to offsite releases</w:t>
      </w:r>
      <w:r w:rsidR="00BF78CB" w:rsidRPr="00D716B8">
        <w:rPr>
          <w:rFonts w:eastAsiaTheme="minorHAnsi"/>
          <w:sz w:val="24"/>
          <w:szCs w:val="24"/>
          <w:lang w:val="en-US" w:eastAsia="ar-SA"/>
        </w:rPr>
        <w:t xml:space="preserve">, </w:t>
      </w:r>
      <w:r w:rsidR="0087320C" w:rsidRPr="00654001">
        <w:rPr>
          <w:rFonts w:eastAsiaTheme="minorHAnsi"/>
          <w:sz w:val="24"/>
          <w:szCs w:val="24"/>
          <w:lang w:val="en-US" w:eastAsia="ar-SA"/>
        </w:rPr>
        <w:t>safety functions, requirements for the functions and associated SSCs</w:t>
      </w:r>
      <w:r w:rsidR="00D716B8" w:rsidRPr="00D716B8">
        <w:rPr>
          <w:rFonts w:eastAsiaTheme="minorHAnsi"/>
          <w:sz w:val="24"/>
          <w:szCs w:val="24"/>
          <w:lang w:val="en-US" w:eastAsia="ar-SA"/>
        </w:rPr>
        <w:t xml:space="preserve"> and </w:t>
      </w:r>
      <w:r w:rsidR="009D53D5" w:rsidRPr="00654001">
        <w:rPr>
          <w:rFonts w:eastAsiaTheme="minorHAnsi"/>
          <w:sz w:val="24"/>
          <w:szCs w:val="24"/>
          <w:lang w:val="en-US" w:eastAsia="ar-SA"/>
        </w:rPr>
        <w:t xml:space="preserve">interface </w:t>
      </w:r>
      <w:r w:rsidR="00D716B8">
        <w:rPr>
          <w:rFonts w:eastAsiaTheme="minorHAnsi"/>
          <w:sz w:val="24"/>
          <w:szCs w:val="24"/>
          <w:lang w:val="en-US" w:eastAsia="ar-SA"/>
        </w:rPr>
        <w:t xml:space="preserve">between </w:t>
      </w:r>
      <w:r w:rsidR="009D53D5" w:rsidRPr="00654001">
        <w:rPr>
          <w:rFonts w:eastAsiaTheme="minorHAnsi"/>
          <w:sz w:val="24"/>
          <w:szCs w:val="24"/>
          <w:lang w:val="en-US" w:eastAsia="ar-SA"/>
        </w:rPr>
        <w:t>safety, security, safeguards</w:t>
      </w:r>
      <w:r w:rsidR="00D716B8">
        <w:rPr>
          <w:rFonts w:eastAsiaTheme="minorHAnsi"/>
          <w:sz w:val="24"/>
          <w:szCs w:val="24"/>
          <w:lang w:val="en-US" w:eastAsia="ar-SA"/>
        </w:rPr>
        <w:t>.</w:t>
      </w:r>
    </w:p>
    <w:p w14:paraId="0B42F183" w14:textId="2D4A7F6D" w:rsidR="009D53D5" w:rsidRDefault="00D716B8" w:rsidP="00D716B8">
      <w:pPr>
        <w:pStyle w:val="ListEmdash"/>
        <w:spacing w:after="120"/>
        <w:ind w:left="357" w:hanging="357"/>
        <w:contextualSpacing w:val="0"/>
        <w:rPr>
          <w:rFonts w:eastAsiaTheme="minorHAnsi"/>
          <w:sz w:val="24"/>
          <w:szCs w:val="24"/>
          <w:lang w:val="en-US" w:eastAsia="ar-SA"/>
        </w:rPr>
      </w:pPr>
      <w:r>
        <w:rPr>
          <w:rFonts w:eastAsiaTheme="minorHAnsi"/>
          <w:sz w:val="24"/>
          <w:szCs w:val="24"/>
          <w:lang w:val="en-US" w:eastAsia="ar-SA"/>
        </w:rPr>
        <w:t>A</w:t>
      </w:r>
      <w:r w:rsidRPr="00654001">
        <w:rPr>
          <w:rFonts w:eastAsiaTheme="minorHAnsi"/>
          <w:sz w:val="24"/>
          <w:szCs w:val="24"/>
          <w:lang w:val="en-US" w:eastAsia="ar-SA"/>
        </w:rPr>
        <w:t>nalysis of the information collected to identify general characteristics of FPP safety and design principles</w:t>
      </w:r>
      <w:r w:rsidR="00D165BE">
        <w:rPr>
          <w:rFonts w:eastAsiaTheme="minorHAnsi"/>
          <w:sz w:val="24"/>
          <w:szCs w:val="24"/>
          <w:lang w:val="en-US" w:eastAsia="ar-SA"/>
        </w:rPr>
        <w:t>.</w:t>
      </w:r>
    </w:p>
    <w:p w14:paraId="327F6579" w14:textId="1E075549" w:rsidR="00D716B8" w:rsidRDefault="00D716B8" w:rsidP="00D716B8">
      <w:pPr>
        <w:pStyle w:val="ListEmdash"/>
        <w:spacing w:after="120"/>
        <w:ind w:left="357" w:hanging="357"/>
        <w:contextualSpacing w:val="0"/>
        <w:rPr>
          <w:rFonts w:eastAsiaTheme="minorHAnsi"/>
          <w:sz w:val="24"/>
          <w:szCs w:val="24"/>
          <w:lang w:val="en-US" w:eastAsia="ar-SA"/>
        </w:rPr>
      </w:pPr>
      <w:r w:rsidRPr="00654001">
        <w:rPr>
          <w:rFonts w:eastAsiaTheme="minorHAnsi"/>
          <w:sz w:val="24"/>
          <w:szCs w:val="24"/>
          <w:lang w:val="en-US" w:eastAsia="ar-SA"/>
        </w:rPr>
        <w:t>Identification of knowledge gaps</w:t>
      </w:r>
      <w:r w:rsidR="00D165BE">
        <w:rPr>
          <w:rFonts w:eastAsiaTheme="minorHAnsi"/>
          <w:sz w:val="24"/>
          <w:szCs w:val="24"/>
          <w:lang w:val="en-US" w:eastAsia="ar-SA"/>
        </w:rPr>
        <w:t>.</w:t>
      </w:r>
    </w:p>
    <w:p w14:paraId="5818DB4D" w14:textId="0E3B2FF0" w:rsidR="00D716B8" w:rsidRDefault="00D716B8" w:rsidP="00D716B8">
      <w:pPr>
        <w:pStyle w:val="ListEmdash"/>
        <w:spacing w:after="120"/>
        <w:ind w:left="357" w:hanging="357"/>
        <w:contextualSpacing w:val="0"/>
        <w:rPr>
          <w:rFonts w:eastAsiaTheme="minorHAnsi"/>
          <w:sz w:val="24"/>
          <w:szCs w:val="24"/>
          <w:lang w:val="en-US" w:eastAsia="ar-SA"/>
        </w:rPr>
      </w:pPr>
      <w:r w:rsidRPr="00654001">
        <w:rPr>
          <w:rFonts w:eastAsiaTheme="minorHAnsi"/>
          <w:sz w:val="24"/>
          <w:szCs w:val="24"/>
          <w:lang w:val="en-US" w:eastAsia="ar-SA"/>
        </w:rPr>
        <w:t>Review of the relevant safety standards to identify requirements that are applicable based on the characteristics of FPP identified in the design analysis (GSR-Part 3, GSR-Part 4, SSR 2/1, etc.)</w:t>
      </w:r>
      <w:r w:rsidR="00750184">
        <w:rPr>
          <w:rFonts w:eastAsiaTheme="minorHAnsi"/>
          <w:sz w:val="24"/>
          <w:szCs w:val="24"/>
          <w:lang w:val="en-US" w:eastAsia="ar-SA"/>
        </w:rPr>
        <w:t>.</w:t>
      </w:r>
    </w:p>
    <w:p w14:paraId="2D06A784" w14:textId="56F871DB" w:rsidR="00D716B8" w:rsidRPr="0087320C" w:rsidRDefault="00D716B8" w:rsidP="00D30338">
      <w:pPr>
        <w:pStyle w:val="ListEmdash"/>
        <w:spacing w:before="280" w:after="280"/>
        <w:ind w:left="360"/>
        <w:rPr>
          <w:rFonts w:eastAsiaTheme="minorHAnsi"/>
          <w:sz w:val="24"/>
          <w:szCs w:val="24"/>
          <w:lang w:val="en-US" w:eastAsia="ar-SA"/>
        </w:rPr>
      </w:pPr>
      <w:r w:rsidRPr="00654001">
        <w:rPr>
          <w:rFonts w:eastAsiaTheme="minorHAnsi"/>
          <w:sz w:val="24"/>
          <w:szCs w:val="24"/>
          <w:lang w:val="en-US" w:eastAsia="ar-SA"/>
        </w:rPr>
        <w:t>List of general principles based on the design principles identified in the design analysis, completed by relevant applicable safety standards requirements and with account of knowledge gaps</w:t>
      </w:r>
      <w:r>
        <w:rPr>
          <w:rFonts w:eastAsiaTheme="minorHAnsi"/>
          <w:sz w:val="24"/>
          <w:szCs w:val="24"/>
          <w:lang w:val="en-US" w:eastAsia="ar-SA"/>
        </w:rPr>
        <w:t>.</w:t>
      </w:r>
    </w:p>
    <w:p w14:paraId="3926FEDA" w14:textId="206DD2E3" w:rsidR="00654001" w:rsidRPr="00654001" w:rsidRDefault="00D716B8" w:rsidP="00654001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val="en-US" w:eastAsia="ar-SA"/>
        </w:rPr>
      </w:pPr>
      <w:r>
        <w:rPr>
          <w:rFonts w:eastAsiaTheme="minorHAnsi"/>
          <w:sz w:val="24"/>
          <w:szCs w:val="24"/>
          <w:lang w:val="en-US" w:eastAsia="ar-SA"/>
        </w:rPr>
        <w:t xml:space="preserve">In the area of Regulation, the work </w:t>
      </w:r>
      <w:r w:rsidR="0088200B">
        <w:rPr>
          <w:rFonts w:eastAsiaTheme="minorHAnsi"/>
          <w:sz w:val="24"/>
          <w:szCs w:val="24"/>
          <w:lang w:val="en-US" w:eastAsia="ar-SA"/>
        </w:rPr>
        <w:t>is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="00FD0560">
        <w:rPr>
          <w:rFonts w:eastAsiaTheme="minorHAnsi"/>
          <w:sz w:val="24"/>
          <w:szCs w:val="24"/>
          <w:lang w:val="en-US" w:eastAsia="ar-SA"/>
        </w:rPr>
        <w:t xml:space="preserve">being developed </w:t>
      </w:r>
      <w:r>
        <w:rPr>
          <w:rFonts w:eastAsiaTheme="minorHAnsi"/>
          <w:sz w:val="24"/>
          <w:szCs w:val="24"/>
          <w:lang w:val="en-US" w:eastAsia="ar-SA"/>
        </w:rPr>
        <w:t>based on the following steps:</w:t>
      </w:r>
    </w:p>
    <w:p w14:paraId="1D9F56DE" w14:textId="3251AADD" w:rsidR="004F6B80" w:rsidRPr="00D716B8" w:rsidRDefault="004F6B80" w:rsidP="004F6B80">
      <w:pPr>
        <w:pStyle w:val="ListEmdash"/>
        <w:spacing w:after="120"/>
        <w:ind w:left="357" w:hanging="357"/>
        <w:contextualSpacing w:val="0"/>
        <w:rPr>
          <w:rFonts w:eastAsiaTheme="minorHAnsi"/>
          <w:sz w:val="24"/>
          <w:szCs w:val="24"/>
          <w:lang w:val="en-US" w:eastAsia="ar-SA"/>
        </w:rPr>
      </w:pPr>
      <w:r w:rsidRPr="00654001">
        <w:rPr>
          <w:rFonts w:eastAsiaTheme="minorHAnsi"/>
          <w:sz w:val="24"/>
          <w:szCs w:val="24"/>
          <w:lang w:val="en-US" w:eastAsia="ar-SA"/>
        </w:rPr>
        <w:t>Complete collection of information</w:t>
      </w:r>
      <w:r w:rsidR="003E0EB7">
        <w:rPr>
          <w:rFonts w:eastAsiaTheme="minorHAnsi"/>
          <w:sz w:val="24"/>
          <w:szCs w:val="24"/>
          <w:lang w:val="en-US" w:eastAsia="ar-SA"/>
        </w:rPr>
        <w:t xml:space="preserve">, including </w:t>
      </w:r>
      <w:r w:rsidRPr="00654001">
        <w:rPr>
          <w:rFonts w:eastAsiaTheme="minorHAnsi"/>
          <w:sz w:val="24"/>
          <w:szCs w:val="24"/>
          <w:lang w:val="en-US" w:eastAsia="ar-SA"/>
        </w:rPr>
        <w:t>organiz</w:t>
      </w:r>
      <w:r w:rsidR="003E0EB7">
        <w:rPr>
          <w:rFonts w:eastAsiaTheme="minorHAnsi"/>
          <w:sz w:val="24"/>
          <w:szCs w:val="24"/>
          <w:lang w:val="en-US" w:eastAsia="ar-SA"/>
        </w:rPr>
        <w:t>ation of a</w:t>
      </w:r>
      <w:r w:rsidRPr="00654001">
        <w:rPr>
          <w:rFonts w:eastAsiaTheme="minorHAnsi"/>
          <w:sz w:val="24"/>
          <w:szCs w:val="24"/>
          <w:lang w:val="en-US" w:eastAsia="ar-SA"/>
        </w:rPr>
        <w:t xml:space="preserve"> workshop to finalize and update collection of information</w:t>
      </w:r>
      <w:r>
        <w:rPr>
          <w:rFonts w:eastAsiaTheme="minorHAnsi"/>
          <w:sz w:val="24"/>
          <w:szCs w:val="24"/>
          <w:lang w:val="en-US" w:eastAsia="ar-SA"/>
        </w:rPr>
        <w:t>.</w:t>
      </w:r>
    </w:p>
    <w:p w14:paraId="04D4330E" w14:textId="05DFAB35" w:rsidR="004F6B80" w:rsidRDefault="00CA55D3" w:rsidP="004F6B80">
      <w:pPr>
        <w:pStyle w:val="ListEmdash"/>
        <w:spacing w:after="120"/>
        <w:ind w:left="357" w:hanging="357"/>
        <w:contextualSpacing w:val="0"/>
        <w:rPr>
          <w:rFonts w:eastAsiaTheme="minorHAnsi"/>
          <w:sz w:val="24"/>
          <w:szCs w:val="24"/>
          <w:lang w:val="en-US" w:eastAsia="ar-SA"/>
        </w:rPr>
      </w:pPr>
      <w:r>
        <w:rPr>
          <w:rFonts w:eastAsiaTheme="minorHAnsi"/>
          <w:sz w:val="24"/>
          <w:szCs w:val="24"/>
          <w:lang w:val="en-US" w:eastAsia="ar-SA"/>
        </w:rPr>
        <w:t>I</w:t>
      </w:r>
      <w:r w:rsidR="004F6B80" w:rsidRPr="00654001">
        <w:rPr>
          <w:rFonts w:eastAsiaTheme="minorHAnsi"/>
          <w:sz w:val="24"/>
          <w:szCs w:val="24"/>
          <w:lang w:val="en-US" w:eastAsia="ar-SA"/>
        </w:rPr>
        <w:t>dentif</w:t>
      </w:r>
      <w:r>
        <w:rPr>
          <w:rFonts w:eastAsiaTheme="minorHAnsi"/>
          <w:sz w:val="24"/>
          <w:szCs w:val="24"/>
          <w:lang w:val="en-US" w:eastAsia="ar-SA"/>
        </w:rPr>
        <w:t>ication of</w:t>
      </w:r>
      <w:r w:rsidR="004F6B80" w:rsidRPr="00654001">
        <w:rPr>
          <w:rFonts w:eastAsiaTheme="minorHAnsi"/>
          <w:sz w:val="24"/>
          <w:szCs w:val="24"/>
          <w:lang w:val="en-US" w:eastAsia="ar-SA"/>
        </w:rPr>
        <w:t xml:space="preserve"> areas of commonality and options</w:t>
      </w:r>
    </w:p>
    <w:p w14:paraId="6774216E" w14:textId="525C0F1A" w:rsidR="004F6B80" w:rsidRDefault="004F6B80" w:rsidP="004F6B80">
      <w:pPr>
        <w:pStyle w:val="ListEmdash"/>
        <w:spacing w:after="120"/>
        <w:ind w:left="357" w:hanging="357"/>
        <w:contextualSpacing w:val="0"/>
        <w:rPr>
          <w:rFonts w:eastAsiaTheme="minorHAnsi"/>
          <w:sz w:val="24"/>
          <w:szCs w:val="24"/>
          <w:lang w:val="en-US" w:eastAsia="ar-SA"/>
        </w:rPr>
      </w:pPr>
      <w:r w:rsidRPr="00654001">
        <w:rPr>
          <w:rFonts w:eastAsiaTheme="minorHAnsi"/>
          <w:sz w:val="24"/>
          <w:szCs w:val="24"/>
          <w:lang w:val="en-US" w:eastAsia="ar-SA"/>
        </w:rPr>
        <w:t xml:space="preserve">Launch a regulatory forum to discuss </w:t>
      </w:r>
      <w:r w:rsidR="0020780D">
        <w:rPr>
          <w:rFonts w:eastAsiaTheme="minorHAnsi"/>
          <w:sz w:val="24"/>
          <w:szCs w:val="24"/>
          <w:lang w:val="en-US" w:eastAsia="ar-SA"/>
        </w:rPr>
        <w:t xml:space="preserve">the </w:t>
      </w:r>
      <w:r w:rsidRPr="00654001">
        <w:rPr>
          <w:rFonts w:eastAsiaTheme="minorHAnsi"/>
          <w:sz w:val="24"/>
          <w:szCs w:val="24"/>
          <w:lang w:val="en-US" w:eastAsia="ar-SA"/>
        </w:rPr>
        <w:t>TECDOC information and way forward</w:t>
      </w:r>
      <w:r w:rsidR="00CA55D3">
        <w:rPr>
          <w:rFonts w:eastAsiaTheme="minorHAnsi"/>
          <w:sz w:val="24"/>
          <w:szCs w:val="24"/>
          <w:lang w:val="en-US" w:eastAsia="ar-SA"/>
        </w:rPr>
        <w:t>.</w:t>
      </w:r>
    </w:p>
    <w:p w14:paraId="34A0F0AE" w14:textId="77777777" w:rsidR="004F6B80" w:rsidRDefault="004F6B80" w:rsidP="004F6B80">
      <w:pPr>
        <w:pStyle w:val="ListEmdash"/>
        <w:numPr>
          <w:ilvl w:val="0"/>
          <w:numId w:val="0"/>
        </w:numPr>
        <w:spacing w:after="120"/>
        <w:contextualSpacing w:val="0"/>
        <w:rPr>
          <w:rFonts w:eastAsiaTheme="minorHAnsi"/>
          <w:sz w:val="24"/>
          <w:szCs w:val="24"/>
          <w:lang w:val="en-US" w:eastAsia="ar-SA"/>
        </w:rPr>
      </w:pPr>
    </w:p>
    <w:p w14:paraId="1C1F7E8D" w14:textId="30402515" w:rsidR="004F6B80" w:rsidRDefault="00841110" w:rsidP="004F6B80">
      <w:pPr>
        <w:pStyle w:val="ListEmdash"/>
        <w:numPr>
          <w:ilvl w:val="0"/>
          <w:numId w:val="0"/>
        </w:numPr>
        <w:spacing w:after="120"/>
        <w:contextualSpacing w:val="0"/>
        <w:rPr>
          <w:rFonts w:eastAsiaTheme="minorHAnsi"/>
          <w:sz w:val="24"/>
          <w:szCs w:val="24"/>
          <w:lang w:val="en-US" w:eastAsia="ar-SA"/>
        </w:rPr>
      </w:pPr>
      <w:r>
        <w:rPr>
          <w:rFonts w:eastAsiaTheme="minorHAnsi"/>
          <w:sz w:val="24"/>
          <w:szCs w:val="24"/>
          <w:lang w:val="en-US" w:eastAsia="ar-SA"/>
        </w:rPr>
        <w:lastRenderedPageBreak/>
        <w:t xml:space="preserve">The work is progressing </w:t>
      </w:r>
      <w:r w:rsidR="00E25B75">
        <w:rPr>
          <w:rFonts w:eastAsiaTheme="minorHAnsi"/>
          <w:sz w:val="24"/>
          <w:szCs w:val="24"/>
          <w:lang w:val="en-US" w:eastAsia="ar-SA"/>
        </w:rPr>
        <w:t>through a series o</w:t>
      </w:r>
      <w:r w:rsidR="00A903EE">
        <w:rPr>
          <w:rFonts w:eastAsiaTheme="minorHAnsi"/>
          <w:sz w:val="24"/>
          <w:szCs w:val="24"/>
          <w:lang w:val="en-US" w:eastAsia="ar-SA"/>
        </w:rPr>
        <w:t>f</w:t>
      </w:r>
      <w:r w:rsidR="00E25B75">
        <w:rPr>
          <w:rFonts w:eastAsiaTheme="minorHAnsi"/>
          <w:sz w:val="24"/>
          <w:szCs w:val="24"/>
          <w:lang w:val="en-US" w:eastAsia="ar-SA"/>
        </w:rPr>
        <w:t xml:space="preserve"> Technical and Consultancy Meetings</w:t>
      </w:r>
      <w:r w:rsidR="00FE2CA5">
        <w:rPr>
          <w:rFonts w:eastAsiaTheme="minorHAnsi"/>
          <w:sz w:val="24"/>
          <w:szCs w:val="24"/>
          <w:lang w:val="en-US" w:eastAsia="ar-SA"/>
        </w:rPr>
        <w:t>, with participation from a number of member states</w:t>
      </w:r>
      <w:r w:rsidR="00036AB6">
        <w:rPr>
          <w:rFonts w:eastAsiaTheme="minorHAnsi"/>
          <w:sz w:val="24"/>
          <w:szCs w:val="24"/>
          <w:lang w:val="en-US" w:eastAsia="ar-SA"/>
        </w:rPr>
        <w:t xml:space="preserve">.  </w:t>
      </w:r>
      <w:r w:rsidR="00324331">
        <w:rPr>
          <w:rFonts w:eastAsiaTheme="minorHAnsi"/>
          <w:sz w:val="24"/>
          <w:szCs w:val="24"/>
          <w:lang w:val="en-US" w:eastAsia="ar-SA"/>
        </w:rPr>
        <w:t>Final output will consist</w:t>
      </w:r>
      <w:r w:rsidR="006B0B60">
        <w:rPr>
          <w:rFonts w:eastAsiaTheme="minorHAnsi"/>
          <w:sz w:val="24"/>
          <w:szCs w:val="24"/>
          <w:lang w:val="en-US" w:eastAsia="ar-SA"/>
        </w:rPr>
        <w:t xml:space="preserve"> in the production of two IAEA TECDOCs:</w:t>
      </w:r>
      <w:r w:rsidR="00324331">
        <w:rPr>
          <w:rFonts w:eastAsiaTheme="minorHAnsi"/>
          <w:sz w:val="24"/>
          <w:szCs w:val="24"/>
          <w:lang w:val="en-US" w:eastAsia="ar-SA"/>
        </w:rPr>
        <w:t xml:space="preserve"> </w:t>
      </w:r>
      <w:r w:rsidR="00036AB6">
        <w:rPr>
          <w:rFonts w:eastAsiaTheme="minorHAnsi"/>
          <w:sz w:val="24"/>
          <w:szCs w:val="24"/>
          <w:lang w:val="en-US" w:eastAsia="ar-SA"/>
        </w:rPr>
        <w:t xml:space="preserve">TECDOC 1 – </w:t>
      </w:r>
      <w:r w:rsidR="005B73A3">
        <w:rPr>
          <w:rFonts w:eastAsiaTheme="minorHAnsi"/>
          <w:sz w:val="24"/>
          <w:szCs w:val="24"/>
          <w:lang w:val="en-US" w:eastAsia="ar-SA"/>
        </w:rPr>
        <w:t>Regulatory Framework for Fusion Power Plants</w:t>
      </w:r>
      <w:r w:rsidR="006B0B60">
        <w:rPr>
          <w:rFonts w:eastAsiaTheme="minorHAnsi"/>
          <w:sz w:val="24"/>
          <w:szCs w:val="24"/>
          <w:lang w:val="en-US" w:eastAsia="ar-SA"/>
        </w:rPr>
        <w:t>,</w:t>
      </w:r>
      <w:r w:rsidR="00036AB6">
        <w:rPr>
          <w:rFonts w:eastAsiaTheme="minorHAnsi"/>
          <w:sz w:val="24"/>
          <w:szCs w:val="24"/>
          <w:lang w:val="en-US" w:eastAsia="ar-SA"/>
        </w:rPr>
        <w:t xml:space="preserve"> and TECDOC 2 – </w:t>
      </w:r>
      <w:r w:rsidR="00507E0D">
        <w:rPr>
          <w:rFonts w:eastAsiaTheme="minorHAnsi"/>
          <w:sz w:val="24"/>
          <w:szCs w:val="24"/>
          <w:lang w:val="en-US" w:eastAsia="ar-SA"/>
        </w:rPr>
        <w:t>Safety Assessment and Design Experience for Fusion Power Plants.</w:t>
      </w:r>
    </w:p>
    <w:p w14:paraId="5FB78D71" w14:textId="77777777" w:rsidR="00507E0D" w:rsidRDefault="00507E0D" w:rsidP="004F6B80">
      <w:pPr>
        <w:pStyle w:val="ListEmdash"/>
        <w:numPr>
          <w:ilvl w:val="0"/>
          <w:numId w:val="0"/>
        </w:numPr>
        <w:spacing w:after="120"/>
        <w:contextualSpacing w:val="0"/>
        <w:rPr>
          <w:rFonts w:eastAsiaTheme="minorHAnsi"/>
          <w:sz w:val="24"/>
          <w:szCs w:val="24"/>
          <w:lang w:val="en-US" w:eastAsia="ar-SA"/>
        </w:rPr>
      </w:pPr>
    </w:p>
    <w:sectPr w:rsidR="00507E0D" w:rsidSect="002652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ED4F" w14:textId="77777777" w:rsidR="00AE72C4" w:rsidRDefault="00AE72C4">
      <w:r>
        <w:separator/>
      </w:r>
    </w:p>
  </w:endnote>
  <w:endnote w:type="continuationSeparator" w:id="0">
    <w:p w14:paraId="6A679DBF" w14:textId="77777777" w:rsidR="00AE72C4" w:rsidRDefault="00AE72C4">
      <w:r>
        <w:continuationSeparator/>
      </w:r>
    </w:p>
  </w:endnote>
  <w:endnote w:type="continuationNotice" w:id="1">
    <w:p w14:paraId="51849888" w14:textId="77777777" w:rsidR="00AE72C4" w:rsidRDefault="00AE7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F06" w14:textId="339199C5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629F70F5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193" w14:textId="0D3C66D5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2812CA61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0C3EF3FD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5BEF3012" w14:textId="66DC5664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02140AC5" w14:textId="669D7476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F07BD0C" w14:textId="5B069E2A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73742">
      <w:rPr>
        <w:noProof/>
        <w:sz w:val="16"/>
      </w:rPr>
      <w:t>Abstract - UKAEA - IAEA TECDOCS - Issue 1.docx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2FAD" w14:textId="77777777" w:rsidR="00AE72C4" w:rsidRDefault="00AE72C4">
      <w:r>
        <w:t>___________________________________________________________________________</w:t>
      </w:r>
    </w:p>
  </w:footnote>
  <w:footnote w:type="continuationSeparator" w:id="0">
    <w:p w14:paraId="45335F96" w14:textId="77777777" w:rsidR="00AE72C4" w:rsidRDefault="00AE72C4">
      <w:r>
        <w:t>___________________________________________________________________________</w:t>
      </w:r>
    </w:p>
  </w:footnote>
  <w:footnote w:type="continuationNotice" w:id="1">
    <w:p w14:paraId="58447088" w14:textId="77777777" w:rsidR="00AE72C4" w:rsidRDefault="00AE7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206D" w14:textId="77777777" w:rsidR="00EF53F9" w:rsidRDefault="00EF5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461E" w14:textId="1C8A7946" w:rsidR="00733241" w:rsidRPr="00733241" w:rsidRDefault="00086699">
    <w:pPr>
      <w:pStyle w:val="Header"/>
      <w:rPr>
        <w:sz w:val="24"/>
        <w:szCs w:val="24"/>
      </w:rPr>
    </w:pPr>
    <w:r>
      <w:rPr>
        <w:sz w:val="24"/>
        <w:szCs w:val="24"/>
      </w:rPr>
      <w:t>Issue 1</w:t>
    </w:r>
  </w:p>
  <w:p w14:paraId="5696F595" w14:textId="77777777" w:rsidR="00733241" w:rsidRPr="00733241" w:rsidRDefault="00733241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3106CE6B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618A6006" w14:textId="2BFFCAD2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6AD5A36"/>
    <w:multiLevelType w:val="hybridMultilevel"/>
    <w:tmpl w:val="2BF25B54"/>
    <w:lvl w:ilvl="0" w:tplc="DA1267B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4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5649"/>
    <w:multiLevelType w:val="hybridMultilevel"/>
    <w:tmpl w:val="CB18033E"/>
    <w:lvl w:ilvl="0" w:tplc="3DB0E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4653E4F"/>
    <w:multiLevelType w:val="hybridMultilevel"/>
    <w:tmpl w:val="B872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D587B"/>
    <w:multiLevelType w:val="hybridMultilevel"/>
    <w:tmpl w:val="5DA0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6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5"/>
  </w:num>
  <w:num w:numId="5">
    <w:abstractNumId w:val="15"/>
  </w:num>
  <w:num w:numId="6">
    <w:abstractNumId w:val="8"/>
  </w:num>
  <w:num w:numId="7">
    <w:abstractNumId w:val="13"/>
  </w:num>
  <w:num w:numId="8">
    <w:abstractNumId w:val="16"/>
  </w:num>
  <w:num w:numId="9">
    <w:abstractNumId w:val="3"/>
  </w:num>
  <w:num w:numId="10">
    <w:abstractNumId w:val="15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5"/>
  </w:num>
  <w:num w:numId="12">
    <w:abstractNumId w:val="15"/>
  </w:num>
  <w:num w:numId="13">
    <w:abstractNumId w:val="15"/>
  </w:num>
  <w:num w:numId="14">
    <w:abstractNumId w:val="15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5"/>
  </w:num>
  <w:num w:numId="16">
    <w:abstractNumId w:val="15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15"/>
  </w:num>
  <w:num w:numId="22">
    <w:abstractNumId w:val="5"/>
  </w:num>
  <w:num w:numId="23">
    <w:abstractNumId w:val="2"/>
  </w:num>
  <w:num w:numId="24">
    <w:abstractNumId w:val="14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5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"/>
  </w:num>
  <w:num w:numId="35">
    <w:abstractNumId w:val="1"/>
  </w:num>
  <w:num w:numId="36">
    <w:abstractNumId w:val="11"/>
  </w:num>
  <w:num w:numId="37">
    <w:abstractNumId w:val="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32DD"/>
    <w:rsid w:val="00011C41"/>
    <w:rsid w:val="000229AB"/>
    <w:rsid w:val="0002569A"/>
    <w:rsid w:val="000300A7"/>
    <w:rsid w:val="00036AB6"/>
    <w:rsid w:val="00037321"/>
    <w:rsid w:val="00046928"/>
    <w:rsid w:val="000552F9"/>
    <w:rsid w:val="00073700"/>
    <w:rsid w:val="00086699"/>
    <w:rsid w:val="000A0299"/>
    <w:rsid w:val="000A1505"/>
    <w:rsid w:val="000B1ABE"/>
    <w:rsid w:val="000C6874"/>
    <w:rsid w:val="000F39FB"/>
    <w:rsid w:val="000F7E94"/>
    <w:rsid w:val="001068A9"/>
    <w:rsid w:val="00107F61"/>
    <w:rsid w:val="001119D6"/>
    <w:rsid w:val="001131DA"/>
    <w:rsid w:val="0012117D"/>
    <w:rsid w:val="00126389"/>
    <w:rsid w:val="001308F2"/>
    <w:rsid w:val="001313E8"/>
    <w:rsid w:val="0019014D"/>
    <w:rsid w:val="001C58F5"/>
    <w:rsid w:val="001D5CEE"/>
    <w:rsid w:val="001F49FB"/>
    <w:rsid w:val="002071D9"/>
    <w:rsid w:val="0020780D"/>
    <w:rsid w:val="00235900"/>
    <w:rsid w:val="00236A06"/>
    <w:rsid w:val="00256822"/>
    <w:rsid w:val="0026525A"/>
    <w:rsid w:val="00265CBF"/>
    <w:rsid w:val="00274790"/>
    <w:rsid w:val="00285755"/>
    <w:rsid w:val="002A1F9C"/>
    <w:rsid w:val="002B0BBA"/>
    <w:rsid w:val="002B29C2"/>
    <w:rsid w:val="002B37B3"/>
    <w:rsid w:val="002C4208"/>
    <w:rsid w:val="002D6016"/>
    <w:rsid w:val="002D7FBF"/>
    <w:rsid w:val="00306628"/>
    <w:rsid w:val="00312740"/>
    <w:rsid w:val="003209C7"/>
    <w:rsid w:val="00324331"/>
    <w:rsid w:val="00352DE1"/>
    <w:rsid w:val="003728E6"/>
    <w:rsid w:val="003760DD"/>
    <w:rsid w:val="003B5E0E"/>
    <w:rsid w:val="003D255A"/>
    <w:rsid w:val="003D51F2"/>
    <w:rsid w:val="003E0EB7"/>
    <w:rsid w:val="00416949"/>
    <w:rsid w:val="00434009"/>
    <w:rsid w:val="004370D8"/>
    <w:rsid w:val="00437CA5"/>
    <w:rsid w:val="00446113"/>
    <w:rsid w:val="00450C88"/>
    <w:rsid w:val="00472C43"/>
    <w:rsid w:val="00477B19"/>
    <w:rsid w:val="004910D8"/>
    <w:rsid w:val="004C3C32"/>
    <w:rsid w:val="004F6B80"/>
    <w:rsid w:val="00507E0D"/>
    <w:rsid w:val="005252C3"/>
    <w:rsid w:val="00537496"/>
    <w:rsid w:val="00544ED3"/>
    <w:rsid w:val="00547F26"/>
    <w:rsid w:val="0055779A"/>
    <w:rsid w:val="0056654A"/>
    <w:rsid w:val="0057131A"/>
    <w:rsid w:val="0058477B"/>
    <w:rsid w:val="00585735"/>
    <w:rsid w:val="0058654F"/>
    <w:rsid w:val="00596ACA"/>
    <w:rsid w:val="005B73A3"/>
    <w:rsid w:val="005B7E6B"/>
    <w:rsid w:val="005C5D2D"/>
    <w:rsid w:val="005E39BC"/>
    <w:rsid w:val="005F00A0"/>
    <w:rsid w:val="005F4AF8"/>
    <w:rsid w:val="006000B2"/>
    <w:rsid w:val="00604C59"/>
    <w:rsid w:val="00612CB0"/>
    <w:rsid w:val="0063325F"/>
    <w:rsid w:val="00647F33"/>
    <w:rsid w:val="00652B47"/>
    <w:rsid w:val="00654001"/>
    <w:rsid w:val="00654B09"/>
    <w:rsid w:val="00662532"/>
    <w:rsid w:val="00675240"/>
    <w:rsid w:val="00684298"/>
    <w:rsid w:val="006B0B60"/>
    <w:rsid w:val="006B2274"/>
    <w:rsid w:val="006E7F6B"/>
    <w:rsid w:val="007113E8"/>
    <w:rsid w:val="00717C6F"/>
    <w:rsid w:val="00733241"/>
    <w:rsid w:val="007445DA"/>
    <w:rsid w:val="00750184"/>
    <w:rsid w:val="00765630"/>
    <w:rsid w:val="00790E9A"/>
    <w:rsid w:val="007B4FD1"/>
    <w:rsid w:val="007B57CF"/>
    <w:rsid w:val="007D0519"/>
    <w:rsid w:val="007D3CF2"/>
    <w:rsid w:val="00800B84"/>
    <w:rsid w:val="00802381"/>
    <w:rsid w:val="00815F3A"/>
    <w:rsid w:val="00820A49"/>
    <w:rsid w:val="008270D0"/>
    <w:rsid w:val="00827B38"/>
    <w:rsid w:val="00841110"/>
    <w:rsid w:val="0085046A"/>
    <w:rsid w:val="008601BE"/>
    <w:rsid w:val="0087320C"/>
    <w:rsid w:val="00877D1A"/>
    <w:rsid w:val="0088200B"/>
    <w:rsid w:val="00883848"/>
    <w:rsid w:val="00897ED5"/>
    <w:rsid w:val="008A277C"/>
    <w:rsid w:val="008B6BB9"/>
    <w:rsid w:val="008C3C89"/>
    <w:rsid w:val="008D5C4E"/>
    <w:rsid w:val="008E0BCC"/>
    <w:rsid w:val="008F02BF"/>
    <w:rsid w:val="008F4C98"/>
    <w:rsid w:val="00911543"/>
    <w:rsid w:val="00914D19"/>
    <w:rsid w:val="0093360F"/>
    <w:rsid w:val="00940A0D"/>
    <w:rsid w:val="009519C9"/>
    <w:rsid w:val="009A0AAF"/>
    <w:rsid w:val="009A4F2F"/>
    <w:rsid w:val="009D0B86"/>
    <w:rsid w:val="009D21F0"/>
    <w:rsid w:val="009D431D"/>
    <w:rsid w:val="009D53D5"/>
    <w:rsid w:val="009E0D5B"/>
    <w:rsid w:val="009E1558"/>
    <w:rsid w:val="00A42898"/>
    <w:rsid w:val="00A817DA"/>
    <w:rsid w:val="00A903EE"/>
    <w:rsid w:val="00A964E3"/>
    <w:rsid w:val="00AB569F"/>
    <w:rsid w:val="00AB6ACE"/>
    <w:rsid w:val="00AC5A3A"/>
    <w:rsid w:val="00AD6BB4"/>
    <w:rsid w:val="00AE0AE2"/>
    <w:rsid w:val="00AE6705"/>
    <w:rsid w:val="00AE72C4"/>
    <w:rsid w:val="00AF03B7"/>
    <w:rsid w:val="00B06C6A"/>
    <w:rsid w:val="00B1080B"/>
    <w:rsid w:val="00B1443F"/>
    <w:rsid w:val="00B54CDF"/>
    <w:rsid w:val="00B66909"/>
    <w:rsid w:val="00B808D8"/>
    <w:rsid w:val="00B82FA5"/>
    <w:rsid w:val="00B90025"/>
    <w:rsid w:val="00BA7A5C"/>
    <w:rsid w:val="00BC0D33"/>
    <w:rsid w:val="00BD1400"/>
    <w:rsid w:val="00BD196C"/>
    <w:rsid w:val="00BD605C"/>
    <w:rsid w:val="00BE2A76"/>
    <w:rsid w:val="00BF78CB"/>
    <w:rsid w:val="00C01847"/>
    <w:rsid w:val="00C4075D"/>
    <w:rsid w:val="00C44A99"/>
    <w:rsid w:val="00C520EE"/>
    <w:rsid w:val="00C65E60"/>
    <w:rsid w:val="00C95D35"/>
    <w:rsid w:val="00CA55D3"/>
    <w:rsid w:val="00CB0288"/>
    <w:rsid w:val="00CD22A0"/>
    <w:rsid w:val="00CD7ABF"/>
    <w:rsid w:val="00CE5A52"/>
    <w:rsid w:val="00CF7AF3"/>
    <w:rsid w:val="00D04267"/>
    <w:rsid w:val="00D165BE"/>
    <w:rsid w:val="00D26ADA"/>
    <w:rsid w:val="00D30338"/>
    <w:rsid w:val="00D35A78"/>
    <w:rsid w:val="00D555A1"/>
    <w:rsid w:val="00D56A0C"/>
    <w:rsid w:val="00D62FE9"/>
    <w:rsid w:val="00D64DC2"/>
    <w:rsid w:val="00D716B8"/>
    <w:rsid w:val="00D86684"/>
    <w:rsid w:val="00DA46CA"/>
    <w:rsid w:val="00DB2044"/>
    <w:rsid w:val="00DE5C99"/>
    <w:rsid w:val="00DE7061"/>
    <w:rsid w:val="00DF21EB"/>
    <w:rsid w:val="00DF3A79"/>
    <w:rsid w:val="00E20E70"/>
    <w:rsid w:val="00E21CDE"/>
    <w:rsid w:val="00E25B68"/>
    <w:rsid w:val="00E25B75"/>
    <w:rsid w:val="00E45258"/>
    <w:rsid w:val="00E53A3A"/>
    <w:rsid w:val="00E73742"/>
    <w:rsid w:val="00E84003"/>
    <w:rsid w:val="00E97419"/>
    <w:rsid w:val="00EC10FC"/>
    <w:rsid w:val="00EE0041"/>
    <w:rsid w:val="00EE29B9"/>
    <w:rsid w:val="00EE30B2"/>
    <w:rsid w:val="00EF53F9"/>
    <w:rsid w:val="00EF5DCA"/>
    <w:rsid w:val="00F004EE"/>
    <w:rsid w:val="00F041CD"/>
    <w:rsid w:val="00F248D6"/>
    <w:rsid w:val="00F30CC9"/>
    <w:rsid w:val="00F42E23"/>
    <w:rsid w:val="00F45EEE"/>
    <w:rsid w:val="00F51E9C"/>
    <w:rsid w:val="00F523CA"/>
    <w:rsid w:val="00F54AEF"/>
    <w:rsid w:val="00F70F80"/>
    <w:rsid w:val="00F74A9D"/>
    <w:rsid w:val="00F74EBB"/>
    <w:rsid w:val="00F81411"/>
    <w:rsid w:val="00F9590C"/>
    <w:rsid w:val="00FD0560"/>
    <w:rsid w:val="00FE2CA5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0A9FC1"/>
  <w15:docId w15:val="{29FE562A-7D37-473A-AB90-CAC21014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uiPriority w:val="99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  <w:style w:type="paragraph" w:styleId="ListParagraph">
    <w:name w:val="List Paragraph"/>
    <w:basedOn w:val="Normal"/>
    <w:uiPriority w:val="34"/>
    <w:qFormat/>
    <w:locked/>
    <w:rsid w:val="00914D19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3241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4A50AE245164AAE5A70A38B8557DF" ma:contentTypeVersion="10" ma:contentTypeDescription="Create a new document." ma:contentTypeScope="" ma:versionID="2e6806aaf6bcdb42dfb911254bee7830">
  <xsd:schema xmlns:xsd="http://www.w3.org/2001/XMLSchema" xmlns:xs="http://www.w3.org/2001/XMLSchema" xmlns:p="http://schemas.microsoft.com/office/2006/metadata/properties" xmlns:ns2="bb91ce97-9a7d-41c7-8ed5-01e73c17f8f9" xmlns:ns3="c9db905c-f7b6-4d26-992e-a3e7cd5e96f4" targetNamespace="http://schemas.microsoft.com/office/2006/metadata/properties" ma:root="true" ma:fieldsID="bed0b2203e01451acbccaa3711846a73" ns2:_="" ns3:_="">
    <xsd:import namespace="bb91ce97-9a7d-41c7-8ed5-01e73c17f8f9"/>
    <xsd:import namespace="c9db905c-f7b6-4d26-992e-a3e7cd5e96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ce97-9a7d-41c7-8ed5-01e73c17f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905c-f7b6-4d26-992e-a3e7cd5e9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ize" ma:index="19" nillable="true" ma:displayName="Size" ma:description="File size" ma:internalName="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c9db905c-f7b6-4d26-992e-a3e7cd5e96f4" xsi:nil="true"/>
    <_dlc_DocId xmlns="bb91ce97-9a7d-41c7-8ed5-01e73c17f8f9">ECMQEHE7JT22-1005058399-1563</_dlc_DocId>
    <_dlc_DocIdUrl xmlns="bb91ce97-9a7d-41c7-8ed5-01e73c17f8f9">
      <Url>https://ukaeauk.sharepoint.com/sites/FusionSafetyAuthority/_layouts/15/DocIdRedir.aspx?ID=ECMQEHE7JT22-1005058399-1563</Url>
      <Description>ECMQEHE7JT22-1005058399-1563</Description>
    </_dlc_DocIdUrl>
  </documentManagement>
</p:properties>
</file>

<file path=customXml/itemProps1.xml><?xml version="1.0" encoding="utf-8"?>
<ds:datastoreItem xmlns:ds="http://schemas.openxmlformats.org/officeDocument/2006/customXml" ds:itemID="{734DD947-9099-4118-A1A3-13C07B4A4E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A5369-259A-44EE-AAB6-17D3B9CA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1ce97-9a7d-41c7-8ed5-01e73c17f8f9"/>
    <ds:schemaRef ds:uri="c9db905c-f7b6-4d26-992e-a3e7cd5e9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AADFD-9F90-45A7-8D8C-F0FF3C47E4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472CCC-200B-45DB-BAFA-1F39767D8D67}">
  <ds:schemaRefs>
    <ds:schemaRef ds:uri="http://purl.org/dc/elements/1.1/"/>
    <ds:schemaRef ds:uri="http://schemas.microsoft.com/office/2006/metadata/properties"/>
    <ds:schemaRef ds:uri="c9db905c-f7b6-4d26-992e-a3e7cd5e96f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b91ce97-9a7d-41c7-8ed5-01e73c17f8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Abtract</vt:lpstr>
    </vt:vector>
  </TitlesOfParts>
  <Company>IAEA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subject/>
  <dc:creator>Chirayu.Batra@iaea.org</dc:creator>
  <cp:keywords/>
  <cp:lastModifiedBy>Jennings, Robert</cp:lastModifiedBy>
  <cp:revision>2</cp:revision>
  <cp:lastPrinted>2022-02-21T14:21:00Z</cp:lastPrinted>
  <dcterms:created xsi:type="dcterms:W3CDTF">2022-02-22T15:37:00Z</dcterms:created>
  <dcterms:modified xsi:type="dcterms:W3CDTF">2022-02-22T15:37:00Z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0x0101004B84A50AE245164AAE5A70A38B8557DF</vt:lpwstr>
  </property>
  <property fmtid="{D5CDD505-2E9C-101B-9397-08002B2CF9AE}" pid="12" name="_dlc_DocIdItemGuid">
    <vt:lpwstr>041ecbfa-9afd-4754-a995-51a93331740d</vt:lpwstr>
  </property>
  <property fmtid="{D5CDD505-2E9C-101B-9397-08002B2CF9AE}" pid="13" name="MSIP_Label_22759de7-3255-46b5-8dfe-736652f9c6c1_Enabled">
    <vt:lpwstr>true</vt:lpwstr>
  </property>
  <property fmtid="{D5CDD505-2E9C-101B-9397-08002B2CF9AE}" pid="14" name="MSIP_Label_22759de7-3255-46b5-8dfe-736652f9c6c1_SetDate">
    <vt:lpwstr>2022-02-10T10:31:38Z</vt:lpwstr>
  </property>
  <property fmtid="{D5CDD505-2E9C-101B-9397-08002B2CF9AE}" pid="15" name="MSIP_Label_22759de7-3255-46b5-8dfe-736652f9c6c1_Method">
    <vt:lpwstr>Privileged</vt:lpwstr>
  </property>
  <property fmtid="{D5CDD505-2E9C-101B-9397-08002B2CF9AE}" pid="16" name="MSIP_Label_22759de7-3255-46b5-8dfe-736652f9c6c1_Name">
    <vt:lpwstr>22759de7-3255-46b5-8dfe-736652f9c6c1</vt:lpwstr>
  </property>
  <property fmtid="{D5CDD505-2E9C-101B-9397-08002B2CF9AE}" pid="17" name="MSIP_Label_22759de7-3255-46b5-8dfe-736652f9c6c1_SiteId">
    <vt:lpwstr>c6ac664b-ae27-4d5d-b4e6-bb5717196fc7</vt:lpwstr>
  </property>
  <property fmtid="{D5CDD505-2E9C-101B-9397-08002B2CF9AE}" pid="18" name="MSIP_Label_22759de7-3255-46b5-8dfe-736652f9c6c1_ActionId">
    <vt:lpwstr>75cd396c-a98a-40d3-91a4-2f0ad428a6f1</vt:lpwstr>
  </property>
  <property fmtid="{D5CDD505-2E9C-101B-9397-08002B2CF9AE}" pid="19" name="MSIP_Label_22759de7-3255-46b5-8dfe-736652f9c6c1_ContentBits">
    <vt:lpwstr>0</vt:lpwstr>
  </property>
</Properties>
</file>