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A902" w14:textId="0418ADFE" w:rsidR="00604C59" w:rsidRPr="00073700" w:rsidRDefault="00344CB6" w:rsidP="00073700">
      <w:pPr>
        <w:pStyle w:val="Heading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24"/>
          <w:lang w:val="en-GB"/>
        </w:rPr>
      </w:pPr>
      <w:r>
        <w:rPr>
          <w:rFonts w:ascii="Times New Roman" w:hAnsi="Times New Roman"/>
          <w:bCs/>
          <w:noProof/>
          <w:szCs w:val="24"/>
          <w:lang w:val="en-GB"/>
        </w:rPr>
        <w:t xml:space="preserve">ESTABLISHMENT OF A NEW </w:t>
      </w:r>
      <w:r w:rsidR="002870BA">
        <w:rPr>
          <w:rFonts w:ascii="Times New Roman" w:hAnsi="Times New Roman"/>
          <w:bCs/>
          <w:noProof/>
          <w:szCs w:val="24"/>
          <w:lang w:val="en-GB"/>
        </w:rPr>
        <w:t xml:space="preserve">ACCELERATOR </w:t>
      </w:r>
      <w:r>
        <w:rPr>
          <w:rFonts w:ascii="Times New Roman" w:hAnsi="Times New Roman"/>
          <w:bCs/>
          <w:noProof/>
          <w:szCs w:val="24"/>
          <w:lang w:val="en-GB"/>
        </w:rPr>
        <w:t xml:space="preserve">FACILITY </w:t>
      </w:r>
      <w:r w:rsidR="002870BA">
        <w:rPr>
          <w:rFonts w:ascii="Times New Roman" w:hAnsi="Times New Roman"/>
          <w:bCs/>
          <w:noProof/>
          <w:szCs w:val="24"/>
          <w:lang w:val="en-GB"/>
        </w:rPr>
        <w:t xml:space="preserve">FOR MEDICAL APPLICATIONS: NIGERIA AS A CASE STUDY </w:t>
      </w:r>
    </w:p>
    <w:p w14:paraId="2A7F935C" w14:textId="77777777" w:rsidR="00604C59" w:rsidRPr="00073700" w:rsidRDefault="00604C59" w:rsidP="00073700">
      <w:pPr>
        <w:pStyle w:val="Authornameandaffiliation"/>
        <w:ind w:left="0"/>
        <w:jc w:val="both"/>
        <w:rPr>
          <w:sz w:val="24"/>
          <w:szCs w:val="24"/>
          <w:lang w:val="en-GB"/>
        </w:rPr>
      </w:pPr>
    </w:p>
    <w:p w14:paraId="7B44FDE5" w14:textId="26F08EF6" w:rsidR="00604C59" w:rsidRPr="003427A4" w:rsidRDefault="002870BA" w:rsidP="00073700">
      <w:pPr>
        <w:pStyle w:val="Authornameandaffiliation"/>
        <w:ind w:left="0"/>
        <w:jc w:val="both"/>
        <w:rPr>
          <w:sz w:val="24"/>
          <w:szCs w:val="24"/>
          <w:lang w:val="en-GB"/>
        </w:rPr>
      </w:pPr>
      <w:r w:rsidRPr="003427A4">
        <w:rPr>
          <w:sz w:val="24"/>
          <w:szCs w:val="24"/>
          <w:lang w:val="en-GB"/>
        </w:rPr>
        <w:t>U.F. Ahmad</w:t>
      </w:r>
    </w:p>
    <w:p w14:paraId="20CD335A" w14:textId="16DCED6C" w:rsidR="00604C59" w:rsidRPr="003427A4" w:rsidRDefault="002870BA" w:rsidP="00073700">
      <w:pPr>
        <w:pStyle w:val="Authornameandaffiliation"/>
        <w:ind w:left="0"/>
        <w:jc w:val="both"/>
        <w:rPr>
          <w:sz w:val="24"/>
          <w:szCs w:val="24"/>
          <w:lang w:val="en-GB"/>
        </w:rPr>
      </w:pPr>
      <w:r w:rsidRPr="003427A4">
        <w:rPr>
          <w:sz w:val="24"/>
          <w:szCs w:val="24"/>
          <w:lang w:val="en-GB"/>
        </w:rPr>
        <w:t>Centre for Renewable Energy Studies and Training, Bayero University, Kano.</w:t>
      </w:r>
    </w:p>
    <w:p w14:paraId="7B37D297" w14:textId="5EFEA3D1" w:rsidR="00604C59" w:rsidRPr="003427A4" w:rsidRDefault="002870BA" w:rsidP="00073700">
      <w:pPr>
        <w:pStyle w:val="Authornameandaffiliation"/>
        <w:ind w:left="0"/>
        <w:jc w:val="both"/>
        <w:rPr>
          <w:sz w:val="24"/>
          <w:szCs w:val="24"/>
          <w:lang w:val="en-GB"/>
        </w:rPr>
      </w:pPr>
      <w:r w:rsidRPr="003427A4">
        <w:rPr>
          <w:sz w:val="24"/>
          <w:szCs w:val="24"/>
          <w:lang w:val="en-GB"/>
        </w:rPr>
        <w:t>Kano</w:t>
      </w:r>
      <w:r w:rsidR="00604C59" w:rsidRPr="003427A4">
        <w:rPr>
          <w:sz w:val="24"/>
          <w:szCs w:val="24"/>
          <w:lang w:val="en-GB"/>
        </w:rPr>
        <w:t xml:space="preserve">, </w:t>
      </w:r>
      <w:r w:rsidRPr="003427A4">
        <w:rPr>
          <w:sz w:val="24"/>
          <w:szCs w:val="24"/>
          <w:lang w:val="en-GB"/>
        </w:rPr>
        <w:t>Nigeria</w:t>
      </w:r>
    </w:p>
    <w:p w14:paraId="2796F553" w14:textId="1A830DA5" w:rsidR="00604C59" w:rsidRPr="003427A4" w:rsidRDefault="00604C59" w:rsidP="00073700">
      <w:pPr>
        <w:pStyle w:val="Authornameandaffiliation"/>
        <w:ind w:left="0"/>
        <w:jc w:val="both"/>
        <w:rPr>
          <w:sz w:val="24"/>
          <w:szCs w:val="24"/>
          <w:lang w:val="en-GB"/>
        </w:rPr>
      </w:pPr>
      <w:r w:rsidRPr="003427A4">
        <w:rPr>
          <w:sz w:val="24"/>
          <w:szCs w:val="24"/>
          <w:lang w:val="en-GB"/>
        </w:rPr>
        <w:t xml:space="preserve">Email: </w:t>
      </w:r>
      <w:r w:rsidR="002870BA" w:rsidRPr="003427A4">
        <w:rPr>
          <w:sz w:val="24"/>
          <w:szCs w:val="24"/>
          <w:lang w:val="en-GB"/>
        </w:rPr>
        <w:t>ufahmad.crer@buk.edu.ng</w:t>
      </w:r>
    </w:p>
    <w:p w14:paraId="654E3E67" w14:textId="77777777" w:rsidR="00604C59" w:rsidRPr="003427A4" w:rsidRDefault="00604C59" w:rsidP="00073700">
      <w:pPr>
        <w:pStyle w:val="Authornameandaffiliation"/>
        <w:ind w:left="0"/>
        <w:jc w:val="both"/>
        <w:rPr>
          <w:sz w:val="24"/>
          <w:szCs w:val="24"/>
          <w:lang w:val="en-GB"/>
        </w:rPr>
      </w:pPr>
    </w:p>
    <w:p w14:paraId="05BCD9AD" w14:textId="1881BAE4" w:rsidR="00604C59" w:rsidRPr="003427A4" w:rsidRDefault="002870BA" w:rsidP="00073700">
      <w:pPr>
        <w:pStyle w:val="Authornameandaffiliation"/>
        <w:ind w:left="0"/>
        <w:jc w:val="both"/>
        <w:rPr>
          <w:sz w:val="24"/>
          <w:szCs w:val="24"/>
          <w:lang w:val="en-GB"/>
        </w:rPr>
      </w:pPr>
      <w:r w:rsidRPr="003427A4">
        <w:rPr>
          <w:sz w:val="24"/>
          <w:szCs w:val="24"/>
          <w:lang w:val="en-GB"/>
        </w:rPr>
        <w:t xml:space="preserve">M.Y. </w:t>
      </w:r>
      <w:proofErr w:type="spellStart"/>
      <w:r w:rsidRPr="003427A4">
        <w:rPr>
          <w:sz w:val="24"/>
          <w:szCs w:val="24"/>
          <w:lang w:val="en-GB"/>
        </w:rPr>
        <w:t>Dambele</w:t>
      </w:r>
      <w:proofErr w:type="spellEnd"/>
    </w:p>
    <w:p w14:paraId="38F776AC" w14:textId="7042F780" w:rsidR="00604C59" w:rsidRPr="003427A4" w:rsidRDefault="002870BA" w:rsidP="00073700">
      <w:pPr>
        <w:pStyle w:val="Authornameandaffiliation"/>
        <w:ind w:left="0"/>
        <w:jc w:val="both"/>
        <w:rPr>
          <w:sz w:val="24"/>
          <w:szCs w:val="24"/>
          <w:lang w:val="en-GB"/>
        </w:rPr>
      </w:pPr>
      <w:r w:rsidRPr="003427A4">
        <w:rPr>
          <w:sz w:val="24"/>
          <w:szCs w:val="24"/>
          <w:lang w:val="en-GB"/>
        </w:rPr>
        <w:t>Department of Medical Radiography, Bayero University, Kano.</w:t>
      </w:r>
    </w:p>
    <w:p w14:paraId="08908080" w14:textId="28717F85" w:rsidR="00604C59" w:rsidRPr="003427A4" w:rsidRDefault="002870BA" w:rsidP="00073700">
      <w:pPr>
        <w:pStyle w:val="Authornameandaffiliation"/>
        <w:ind w:left="0"/>
        <w:jc w:val="both"/>
        <w:rPr>
          <w:sz w:val="24"/>
          <w:szCs w:val="24"/>
          <w:lang w:val="en-GB"/>
        </w:rPr>
      </w:pPr>
      <w:r w:rsidRPr="003427A4">
        <w:rPr>
          <w:sz w:val="24"/>
          <w:szCs w:val="24"/>
          <w:lang w:val="en-GB"/>
        </w:rPr>
        <w:t>Kano</w:t>
      </w:r>
      <w:r w:rsidR="00604C59" w:rsidRPr="003427A4">
        <w:rPr>
          <w:sz w:val="24"/>
          <w:szCs w:val="24"/>
          <w:lang w:val="en-GB"/>
        </w:rPr>
        <w:t xml:space="preserve">, </w:t>
      </w:r>
      <w:r w:rsidRPr="003427A4">
        <w:rPr>
          <w:sz w:val="24"/>
          <w:szCs w:val="24"/>
          <w:lang w:val="en-GB"/>
        </w:rPr>
        <w:t>Nigeria</w:t>
      </w:r>
    </w:p>
    <w:p w14:paraId="2535D667" w14:textId="1D6EF307" w:rsidR="002870BA" w:rsidRPr="003427A4" w:rsidRDefault="002870BA" w:rsidP="00073700">
      <w:pPr>
        <w:pStyle w:val="Authornameandaffiliation"/>
        <w:ind w:left="0"/>
        <w:jc w:val="both"/>
        <w:rPr>
          <w:sz w:val="24"/>
          <w:szCs w:val="24"/>
          <w:lang w:val="en-GB"/>
        </w:rPr>
      </w:pPr>
    </w:p>
    <w:p w14:paraId="446E2391" w14:textId="77777777" w:rsidR="002870BA" w:rsidRPr="003427A4" w:rsidRDefault="002870BA" w:rsidP="00073700">
      <w:pPr>
        <w:pStyle w:val="Authornameandaffiliation"/>
        <w:ind w:left="0"/>
        <w:jc w:val="both"/>
        <w:rPr>
          <w:sz w:val="24"/>
          <w:szCs w:val="24"/>
          <w:lang w:val="en-GB"/>
        </w:rPr>
      </w:pPr>
    </w:p>
    <w:p w14:paraId="3050319B" w14:textId="6137E077" w:rsidR="002870BA" w:rsidRPr="003427A4" w:rsidRDefault="002870BA" w:rsidP="002870BA">
      <w:pPr>
        <w:pStyle w:val="ListEmdash"/>
        <w:ind w:left="360"/>
        <w:rPr>
          <w:sz w:val="24"/>
          <w:szCs w:val="24"/>
        </w:rPr>
      </w:pPr>
      <w:r w:rsidRPr="003427A4">
        <w:rPr>
          <w:b/>
          <w:bCs/>
          <w:sz w:val="24"/>
          <w:szCs w:val="24"/>
        </w:rPr>
        <w:t>Background</w:t>
      </w:r>
    </w:p>
    <w:p w14:paraId="14948D5D" w14:textId="77777777" w:rsidR="006F70F6" w:rsidRPr="003427A4" w:rsidRDefault="002870BA" w:rsidP="003427A4">
      <w:pPr>
        <w:pStyle w:val="ListEmdash"/>
        <w:numPr>
          <w:ilvl w:val="0"/>
          <w:numId w:val="0"/>
        </w:numPr>
        <w:ind w:left="927"/>
        <w:rPr>
          <w:sz w:val="24"/>
          <w:szCs w:val="24"/>
        </w:rPr>
      </w:pPr>
      <w:r w:rsidRPr="003427A4">
        <w:rPr>
          <w:sz w:val="24"/>
          <w:szCs w:val="24"/>
        </w:rPr>
        <w:t xml:space="preserve">Nigeria is Africa's most populous country, as well as the continent's second-largest economy, third-largest military power, and top oil producer (10th oil producer in the world). Nigeria is home to more than one million people in each of its seven largest cities, and the country accounts for roughly one out of every two West Africans </w:t>
      </w:r>
      <w:r w:rsidRPr="003427A4">
        <w:rPr>
          <w:sz w:val="24"/>
          <w:szCs w:val="24"/>
        </w:rPr>
        <w:fldChar w:fldCharType="begin" w:fldLock="1"/>
      </w:r>
      <w:r w:rsidRPr="003427A4">
        <w:rPr>
          <w:sz w:val="24"/>
          <w:szCs w:val="24"/>
        </w:rPr>
        <w:instrText>ADDIN CSL_CITATION {"citationItems":[{"id":"ITEM-1","itemData":{"DOI":"10.1016/j.heliyon.2021.e06410","ISSN":"24058440","abstract":"AfCFTA; AGOA; Diversification; Trade openness; Trade performance; Trade policy","author":[{"dropping-particle":"","family":"Osabohien","given":"Romanus","non-dropping-particle":"","parse-names":false,"suffix":""},{"dropping-particle":"","family":"Adeleye","given":"Ngozi","non-dropping-particle":"","parse-names":false,"suffix":""},{"dropping-particle":"","family":"Osabuohien","given":"Evans","non-dropping-particle":"","parse-names":false,"suffix":""}],"container-title":"Heliyon","id":"ITEM-1","issue":"3","issued":{"date-parts":[["2021"]]},"page":"e06410","publisher":"Elsevier Ltd","title":"African Growth and Opportunity Act and trade performance in Nigeria","type":"article-journal","volume":"7"},"uris":["http://www.mendeley.com/documents/?uuid=2096e6cc-ffa9-4d1f-9d4f-cceb85d9e92a"]}],"mendeley":{"formattedCitation":"[1]","plainTextFormattedCitation":"[1]","previouslyFormattedCitation":"[1]"},"properties":{"noteIndex":0},"schema":"https://github.com/citation-style-language/schema/raw/master/csl-citation.json"}</w:instrText>
      </w:r>
      <w:r w:rsidRPr="003427A4">
        <w:rPr>
          <w:sz w:val="24"/>
          <w:szCs w:val="24"/>
        </w:rPr>
        <w:fldChar w:fldCharType="separate"/>
      </w:r>
      <w:r w:rsidRPr="003427A4">
        <w:rPr>
          <w:noProof/>
          <w:sz w:val="24"/>
          <w:szCs w:val="24"/>
        </w:rPr>
        <w:t>[1]</w:t>
      </w:r>
      <w:r w:rsidRPr="003427A4">
        <w:rPr>
          <w:sz w:val="24"/>
          <w:szCs w:val="24"/>
        </w:rPr>
        <w:fldChar w:fldCharType="end"/>
      </w:r>
      <w:r w:rsidRPr="003427A4">
        <w:rPr>
          <w:sz w:val="24"/>
          <w:szCs w:val="24"/>
        </w:rPr>
        <w:t xml:space="preserve">. Nigerian Nuclear Medicine (NM) planners estimated that the country would need a minimum of 10 NM </w:t>
      </w:r>
      <w:proofErr w:type="spellStart"/>
      <w:r w:rsidRPr="003427A4">
        <w:rPr>
          <w:sz w:val="24"/>
          <w:szCs w:val="24"/>
        </w:rPr>
        <w:t>centers</w:t>
      </w:r>
      <w:proofErr w:type="spellEnd"/>
      <w:r w:rsidRPr="003427A4">
        <w:rPr>
          <w:sz w:val="24"/>
          <w:szCs w:val="24"/>
        </w:rPr>
        <w:t xml:space="preserve"> to offer equitable access to NM services as part of the country's national strategic health plans. The 10 NM </w:t>
      </w:r>
      <w:proofErr w:type="spellStart"/>
      <w:r w:rsidRPr="003427A4">
        <w:rPr>
          <w:sz w:val="24"/>
          <w:szCs w:val="24"/>
        </w:rPr>
        <w:t>centers</w:t>
      </w:r>
      <w:proofErr w:type="spellEnd"/>
      <w:r w:rsidRPr="003427A4">
        <w:rPr>
          <w:sz w:val="24"/>
          <w:szCs w:val="24"/>
        </w:rPr>
        <w:t xml:space="preserve"> were located in tertiary hospitals that will deliver radiation oncology services, based on their intuition. However great this country is, it depends on other nations such as South Africa for its radioisotope production for medical applications. With more than 6,000 patients in the last 11 years who needed bone scans to rule out bone metastases, routine PET/CT imaging is not yet accessible.</w:t>
      </w:r>
    </w:p>
    <w:p w14:paraId="532E39DA" w14:textId="43441CF4" w:rsidR="00570061" w:rsidRPr="003427A4" w:rsidRDefault="006F70F6" w:rsidP="002870BA">
      <w:pPr>
        <w:pStyle w:val="ListEmdash"/>
        <w:numPr>
          <w:ilvl w:val="0"/>
          <w:numId w:val="0"/>
        </w:numPr>
        <w:ind w:left="927"/>
        <w:rPr>
          <w:sz w:val="24"/>
          <w:szCs w:val="24"/>
        </w:rPr>
      </w:pPr>
      <w:r w:rsidRPr="003427A4">
        <w:rPr>
          <w:sz w:val="24"/>
          <w:szCs w:val="24"/>
        </w:rPr>
        <w:t>Recent activities of Boko Haram, a Nigerian extremist group, raise fears of a nuclear terrorist attack. Nuclear medicine (NM) relies on the timely delivery of radioactive sources, but its beneficial use is supported by a strong security structure that ensures public safety. Because NM radionuclides have short half-lives, they pose a negligible risk of terrorism. However, in order to implement a strict nuclear security regime, their importation and delivery in Nigeria are subjected to undue scrutiny. These actions obstruct the timely delivery of radionuclides, which has a direct impact on the quality and economic viability of nuclear medicine</w:t>
      </w:r>
      <w:r w:rsidR="00DA2422" w:rsidRPr="003427A4">
        <w:rPr>
          <w:sz w:val="24"/>
          <w:szCs w:val="24"/>
        </w:rPr>
        <w:t xml:space="preserve"> </w:t>
      </w:r>
      <w:r w:rsidR="00DA2422" w:rsidRPr="003427A4">
        <w:rPr>
          <w:sz w:val="24"/>
          <w:szCs w:val="24"/>
        </w:rPr>
        <w:fldChar w:fldCharType="begin" w:fldLock="1"/>
      </w:r>
      <w:r w:rsidR="00DA2422" w:rsidRPr="003427A4">
        <w:rPr>
          <w:sz w:val="24"/>
          <w:szCs w:val="24"/>
        </w:rPr>
        <w:instrText>ADDIN CSL_CITATION {"citationItems":[{"id":"ITEM-1","itemData":{"DOI":"10.4103/wjnm.WJNM_71_18","ISSN":"1450-1147 (Print)","PMID":"30774538","abstract":"Recent activities of Boko Haram, a local extremist group in Nigeria, raise concerns  about a nuclear terrorist attack. Whereas nuclear medicine (NM) relies on the timely delivery of radioactive sources, a robust security structure that assures public safety is the backbone for its beneficial use. NM radionuclides have short half-lives and carry an insignificant risk for acts of terrorism. Yet, their importation and delivery in Nigeria receive undue scrutiny in a bid to implement a strict nuclear security regime. These actions prevent timely delivery of radionuclides with direct consequences on quality and economic viability of nuclear medicine. There have been no accounts of terrorist acts accomplished with NM radionuclides. Thus, it is important the NM community question the current approach that has contributed to the loss of NM services in Nigeria and proposes a more logical strategy for securing their supply. We also highlight the need for developing local pragmatic solutions when implementing global recommendations in developing countries.","author":[{"dropping-particle":"","family":"Orunmuyi","given":"T Akintunde","non-dropping-particle":"","parse-names":false,"suffix":""},{"dropping-particle":"","family":"Sathekge","given":"M Mike","non-dropping-particle":"","parse-names":false,"suffix":""},{"dropping-particle":"","family":"Buscombe","given":"R John","non-dropping-particle":"","parse-names":false,"suffix":""}],"container-title":"World journal of nuclear medicine","id":"ITEM-1","issue":"1","issued":{"date-parts":[["2019"]]},"language":"eng","page":"2-7","title":"Ensuring effective and sustainable radionuclide delivery and its impact on the  development of nuclear medicine in the developing world with special reference to Nigeria.","type":"article-journal","volume":"18"},"uris":["http://www.mendeley.com/documents/?uuid=fed0e9c5-9117-433b-90be-25a0f3c1b746"]}],"mendeley":{"formattedCitation":"[2]","plainTextFormattedCitation":"[2]"},"properties":{"noteIndex":0},"schema":"https://github.com/citation-style-language/schema/raw/master/csl-citation.json"}</w:instrText>
      </w:r>
      <w:r w:rsidR="00DA2422" w:rsidRPr="003427A4">
        <w:rPr>
          <w:sz w:val="24"/>
          <w:szCs w:val="24"/>
        </w:rPr>
        <w:fldChar w:fldCharType="separate"/>
      </w:r>
      <w:r w:rsidR="00DA2422" w:rsidRPr="003427A4">
        <w:rPr>
          <w:noProof/>
          <w:sz w:val="24"/>
          <w:szCs w:val="24"/>
        </w:rPr>
        <w:t>[2]</w:t>
      </w:r>
      <w:r w:rsidR="00DA2422" w:rsidRPr="003427A4">
        <w:rPr>
          <w:sz w:val="24"/>
          <w:szCs w:val="24"/>
        </w:rPr>
        <w:fldChar w:fldCharType="end"/>
      </w:r>
      <w:r w:rsidRPr="003427A4">
        <w:rPr>
          <w:sz w:val="24"/>
          <w:szCs w:val="24"/>
        </w:rPr>
        <w:t>.</w:t>
      </w:r>
      <w:r w:rsidR="002870BA" w:rsidRPr="003427A4">
        <w:rPr>
          <w:sz w:val="24"/>
          <w:szCs w:val="24"/>
        </w:rPr>
        <w:t xml:space="preserve"> Against this backdrop this paper explores the possible economic benefits of an accelerator facility for radioisotope production in the country. </w:t>
      </w:r>
    </w:p>
    <w:p w14:paraId="30881667" w14:textId="77777777" w:rsidR="00570061" w:rsidRPr="003427A4" w:rsidRDefault="00570061" w:rsidP="002870BA">
      <w:pPr>
        <w:pStyle w:val="ListEmdash"/>
        <w:numPr>
          <w:ilvl w:val="0"/>
          <w:numId w:val="0"/>
        </w:numPr>
        <w:ind w:left="927"/>
        <w:rPr>
          <w:sz w:val="24"/>
          <w:szCs w:val="24"/>
        </w:rPr>
      </w:pPr>
    </w:p>
    <w:p w14:paraId="37AB13A4" w14:textId="6032BD5A" w:rsidR="002870BA" w:rsidRPr="003427A4" w:rsidRDefault="00570061" w:rsidP="00570061">
      <w:pPr>
        <w:pStyle w:val="ListEmdash"/>
        <w:numPr>
          <w:ilvl w:val="0"/>
          <w:numId w:val="0"/>
        </w:numPr>
        <w:ind w:left="540"/>
        <w:rPr>
          <w:sz w:val="24"/>
          <w:szCs w:val="24"/>
        </w:rPr>
      </w:pPr>
      <w:r w:rsidRPr="003427A4">
        <w:rPr>
          <w:sz w:val="24"/>
          <w:szCs w:val="24"/>
        </w:rPr>
        <w:t xml:space="preserve">There are many factors that will ensure socioeconomic benefits from the application of accelerator </w:t>
      </w:r>
      <w:r w:rsidR="006903BE" w:rsidRPr="003427A4">
        <w:rPr>
          <w:sz w:val="24"/>
          <w:szCs w:val="24"/>
        </w:rPr>
        <w:t xml:space="preserve">for sustainable development. Some of which: </w:t>
      </w:r>
      <w:r w:rsidR="002870BA" w:rsidRPr="003427A4">
        <w:rPr>
          <w:sz w:val="24"/>
          <w:szCs w:val="24"/>
        </w:rPr>
        <w:t xml:space="preserve"> </w:t>
      </w:r>
    </w:p>
    <w:p w14:paraId="6F6F4B7A" w14:textId="4103CAFD" w:rsidR="002870BA" w:rsidRPr="003427A4" w:rsidRDefault="002870BA" w:rsidP="002870BA">
      <w:pPr>
        <w:pStyle w:val="BodyText"/>
        <w:numPr>
          <w:ilvl w:val="3"/>
          <w:numId w:val="20"/>
        </w:numPr>
        <w:ind w:left="340" w:firstLine="0"/>
        <w:rPr>
          <w:sz w:val="24"/>
          <w:szCs w:val="24"/>
        </w:rPr>
      </w:pPr>
      <w:r w:rsidRPr="003427A4">
        <w:rPr>
          <w:sz w:val="24"/>
          <w:szCs w:val="24"/>
        </w:rPr>
        <w:t>Clinical effectiveness</w:t>
      </w:r>
    </w:p>
    <w:p w14:paraId="498F1929" w14:textId="77777777" w:rsidR="002870BA" w:rsidRPr="003427A4" w:rsidRDefault="002870BA" w:rsidP="002870BA">
      <w:pPr>
        <w:pStyle w:val="ListEmdash"/>
        <w:numPr>
          <w:ilvl w:val="0"/>
          <w:numId w:val="0"/>
        </w:numPr>
        <w:ind w:left="1287" w:hanging="360"/>
        <w:rPr>
          <w:sz w:val="24"/>
          <w:szCs w:val="24"/>
        </w:rPr>
      </w:pPr>
    </w:p>
    <w:p w14:paraId="449CC8D8" w14:textId="5901FF23" w:rsidR="002870BA" w:rsidRPr="003427A4" w:rsidRDefault="002870BA" w:rsidP="002870BA">
      <w:pPr>
        <w:pStyle w:val="BodyText"/>
        <w:numPr>
          <w:ilvl w:val="3"/>
          <w:numId w:val="20"/>
        </w:numPr>
        <w:ind w:left="340" w:firstLine="0"/>
        <w:rPr>
          <w:sz w:val="24"/>
          <w:szCs w:val="24"/>
        </w:rPr>
      </w:pPr>
      <w:r w:rsidRPr="003427A4">
        <w:rPr>
          <w:sz w:val="24"/>
          <w:szCs w:val="24"/>
        </w:rPr>
        <w:t>Job Opportunities</w:t>
      </w:r>
    </w:p>
    <w:p w14:paraId="21688625" w14:textId="7731A61D" w:rsidR="002870BA" w:rsidRPr="003427A4" w:rsidRDefault="002870BA" w:rsidP="002870BA">
      <w:pPr>
        <w:pStyle w:val="ListEmdash"/>
        <w:numPr>
          <w:ilvl w:val="0"/>
          <w:numId w:val="0"/>
        </w:numPr>
        <w:ind w:left="927"/>
        <w:rPr>
          <w:sz w:val="24"/>
          <w:szCs w:val="24"/>
        </w:rPr>
      </w:pPr>
      <w:r w:rsidRPr="003427A4">
        <w:rPr>
          <w:sz w:val="24"/>
          <w:szCs w:val="24"/>
        </w:rPr>
        <w:t xml:space="preserve">In 2006, Nigeria set up its first NM </w:t>
      </w:r>
      <w:proofErr w:type="spellStart"/>
      <w:r w:rsidRPr="003427A4">
        <w:rPr>
          <w:sz w:val="24"/>
          <w:szCs w:val="24"/>
        </w:rPr>
        <w:t>center</w:t>
      </w:r>
      <w:proofErr w:type="spellEnd"/>
      <w:r w:rsidRPr="003427A4">
        <w:rPr>
          <w:sz w:val="24"/>
          <w:szCs w:val="24"/>
        </w:rPr>
        <w:t xml:space="preserve"> after receiving a funding from the IAEA. It is situated in Nigeria's earliest tertiary hospital and oldest medical school, in the country's southwest region. The second </w:t>
      </w:r>
      <w:proofErr w:type="spellStart"/>
      <w:r w:rsidRPr="003427A4">
        <w:rPr>
          <w:sz w:val="24"/>
          <w:szCs w:val="24"/>
        </w:rPr>
        <w:t>center</w:t>
      </w:r>
      <w:proofErr w:type="spellEnd"/>
      <w:r w:rsidRPr="003427A4">
        <w:rPr>
          <w:sz w:val="24"/>
          <w:szCs w:val="24"/>
        </w:rPr>
        <w:t xml:space="preserve"> opened in 2007 in the nation's capital city, which is located in the country's northern central region </w:t>
      </w:r>
      <w:r w:rsidRPr="003427A4">
        <w:rPr>
          <w:sz w:val="24"/>
          <w:szCs w:val="24"/>
        </w:rPr>
        <w:fldChar w:fldCharType="begin" w:fldLock="1"/>
      </w:r>
      <w:r w:rsidR="00DA2422" w:rsidRPr="003427A4">
        <w:rPr>
          <w:sz w:val="24"/>
          <w:szCs w:val="24"/>
        </w:rPr>
        <w:instrText>ADDIN CSL_CITATION {"citationItems":[{"id":"ITEM-1","itemData":{"DOI":"10.1016/j.jtho.2018.08.671","ISSN":"15560864","abstract":"Background: Lung cancer is the most common cause of cancer mortality worldwide. Majority of lung cancer cases occur in less-developed regions. In cancer medicine; bone scintigraphy, a highly sensitive nuclear medicine technique, is often used as a simple whole-body imaging method for metastatic survey. However most recent clinical guidelines on lung cancer management do not recommend the routine use of bone scans to exclude bone metastases, PET/CT (Positron Emission Tomography/Computed Tomography) imaging being the method of choice. In a country where routine PET/CT imaging is not yet available, we investigated bone scan requests in lung cancer patients at our institution since inception of Nuclear Medicine services. Method(s): Bone scan requests over an eleven-year period (2006-2017) at the Nuclear Medicine Centre of the University College Hospital, Ibadan, Nigeria were reviewed. Indications involving lung cancer patients were noted and images as well as reports were reviewed. Standard procedure of planar bone scintigraphy with a gamma camera was employed in all patients following intravenous injection of 15-25mCi 99m Tc- Methylene Diphosphonate (MDP). Result(s): Of over 6,000 patients who had bone scintigraphy during the period under review, only 12 scans (in eleven patients) were done for detection of bone metastases in known lung cancer patients. The mean age was 50.3 years (range 33 - 68) with male to female ratio of 1.2: 1. Histologic sub-type of all but one was non-small cell lung cancer (NSCLC). All of these patients had skeletal related events, primarily severe bone pains requiring radiation therapy/analgesia, while two had known metastases prior to imaging. Bone scan revealed multiple foci of bone metastases in the vast majority (75%) of the cases. Two cases were negative and one equivocal. Only one required additional tomographic (SPECT) imaging to arrive at a conclusive report. Conclusion(s): With an average of one bone scan per year and &lt;0.2% of total bone scans in an eleven-year period, bone scintigraphy appears to be underutilized in the setting of lung cancer in our environment. In the absence of PET/CT imaging, bone scintigraphy still has an important role to play in patients' management and referring physicians are encouraged to embrace this imaging modality. Keywords: Bone scintigraphy, Lung cancer, UCH IbadanCopyright © 2018","author":[{"dropping-particle":"","family":"Ayeni","given":"O.","non-dropping-particle":"","parse-names":false,"suffix":""},{"dropping-particle":"","family":"Orunmuyi","given":"A.","non-dropping-particle":"","parse-names":false,"suffix":""}],"container-title":"Journal of Thoracic Oncology","id":"ITEM-1","issue":"10","issued":{"date-parts":[["2018"]]},"page":"S508","publisher":"Elsevier Inc","title":"P1.02-01 Imaging of Lung Cancer at the University College Hospital, Ibadan, Nigeria: Does Nuclear Medicine Have Anything to Offer?","type":"article-journal","volume":"13"},"uris":["http://www.mendeley.com/documents/?uuid=502d61ca-dc6a-4eac-a62e-3ac223239ca1"]}],"mendeley":{"formattedCitation":"[3]","plainTextFormattedCitation":"[3]","previouslyFormattedCitation":"[2]"},"properties":{"noteIndex":0},"schema":"https://github.com/citation-style-language/schema/raw/master/csl-citation.json"}</w:instrText>
      </w:r>
      <w:r w:rsidRPr="003427A4">
        <w:rPr>
          <w:sz w:val="24"/>
          <w:szCs w:val="24"/>
        </w:rPr>
        <w:fldChar w:fldCharType="separate"/>
      </w:r>
      <w:r w:rsidR="00DA2422" w:rsidRPr="003427A4">
        <w:rPr>
          <w:noProof/>
          <w:sz w:val="24"/>
          <w:szCs w:val="24"/>
        </w:rPr>
        <w:t>[3]</w:t>
      </w:r>
      <w:r w:rsidRPr="003427A4">
        <w:rPr>
          <w:sz w:val="24"/>
          <w:szCs w:val="24"/>
        </w:rPr>
        <w:fldChar w:fldCharType="end"/>
      </w:r>
      <w:r w:rsidRPr="003427A4">
        <w:rPr>
          <w:sz w:val="24"/>
          <w:szCs w:val="24"/>
        </w:rPr>
        <w:t>. The first centre</w:t>
      </w:r>
      <w:r w:rsidR="00DA6178" w:rsidRPr="003427A4">
        <w:rPr>
          <w:sz w:val="24"/>
          <w:szCs w:val="24"/>
        </w:rPr>
        <w:t xml:space="preserve"> (A)</w:t>
      </w:r>
      <w:r w:rsidRPr="003427A4">
        <w:rPr>
          <w:sz w:val="24"/>
          <w:szCs w:val="24"/>
        </w:rPr>
        <w:t xml:space="preserve"> is more established with only four </w:t>
      </w:r>
      <w:proofErr w:type="spellStart"/>
      <w:r w:rsidRPr="003427A4">
        <w:rPr>
          <w:sz w:val="24"/>
          <w:szCs w:val="24"/>
        </w:rPr>
        <w:t>radiopharmacists</w:t>
      </w:r>
      <w:proofErr w:type="spellEnd"/>
      <w:r w:rsidRPr="003427A4">
        <w:rPr>
          <w:sz w:val="24"/>
          <w:szCs w:val="24"/>
        </w:rPr>
        <w:t xml:space="preserve">, a specialized medical physicist, and two gamma cameras—including West Africa's sole hybrid single-photon emission computer tomography/computer tomography (SPECT/CT) scanner. Furthermore, it was designed specifically to house two PET scanners and a </w:t>
      </w:r>
      <w:r w:rsidRPr="003427A4">
        <w:rPr>
          <w:sz w:val="24"/>
          <w:szCs w:val="24"/>
        </w:rPr>
        <w:lastRenderedPageBreak/>
        <w:t>cyclotron (not yet installed), and it recently enlarged from two to 10 isolation rooms for radionuclide therapy.</w:t>
      </w:r>
    </w:p>
    <w:p w14:paraId="29D5A6F8" w14:textId="28DEBBBB" w:rsidR="00550A72" w:rsidRPr="003427A4" w:rsidRDefault="00550A72" w:rsidP="00550A72">
      <w:pPr>
        <w:pStyle w:val="BodyText"/>
        <w:spacing w:before="280" w:after="280" w:line="240" w:lineRule="auto"/>
        <w:ind w:firstLine="0"/>
        <w:rPr>
          <w:sz w:val="24"/>
          <w:szCs w:val="24"/>
        </w:rPr>
      </w:pPr>
      <w:r w:rsidRPr="003427A4">
        <w:rPr>
          <w:sz w:val="24"/>
          <w:szCs w:val="24"/>
        </w:rPr>
        <w:t>TABLE 1.</w:t>
      </w:r>
      <w:r w:rsidRPr="003427A4">
        <w:rPr>
          <w:sz w:val="24"/>
          <w:szCs w:val="24"/>
        </w:rPr>
        <w:tab/>
        <w:t>COMPARISON OF NIGERIA’S CENTRES WITH THE CENTRE IN SOUTH AFRICA</w:t>
      </w:r>
    </w:p>
    <w:p w14:paraId="04734653" w14:textId="77777777" w:rsidR="00550A72" w:rsidRPr="003427A4" w:rsidRDefault="00550A72" w:rsidP="00550A72">
      <w:pPr>
        <w:pStyle w:val="BodyText"/>
        <w:spacing w:line="240" w:lineRule="auto"/>
        <w:rPr>
          <w:sz w:val="24"/>
          <w:szCs w:val="24"/>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41"/>
        <w:gridCol w:w="1742"/>
      </w:tblGrid>
      <w:tr w:rsidR="00550A72" w:rsidRPr="003427A4" w14:paraId="426EF5B3" w14:textId="77777777" w:rsidTr="00401974">
        <w:trPr>
          <w:jc w:val="center"/>
        </w:trPr>
        <w:tc>
          <w:tcPr>
            <w:tcW w:w="1741" w:type="dxa"/>
            <w:tcBorders>
              <w:top w:val="single" w:sz="4" w:space="0" w:color="auto"/>
              <w:bottom w:val="single" w:sz="4" w:space="0" w:color="auto"/>
            </w:tcBorders>
          </w:tcPr>
          <w:p w14:paraId="555D838A" w14:textId="77777777" w:rsidR="00550A72" w:rsidRPr="003427A4" w:rsidRDefault="00550A72" w:rsidP="00401974">
            <w:pPr>
              <w:pStyle w:val="BodyText"/>
              <w:ind w:firstLine="0"/>
              <w:rPr>
                <w:sz w:val="24"/>
                <w:szCs w:val="24"/>
              </w:rPr>
            </w:pPr>
            <w:r w:rsidRPr="003427A4">
              <w:rPr>
                <w:sz w:val="24"/>
                <w:szCs w:val="24"/>
              </w:rPr>
              <w:t>Centre A</w:t>
            </w:r>
          </w:p>
        </w:tc>
        <w:tc>
          <w:tcPr>
            <w:tcW w:w="1741" w:type="dxa"/>
            <w:tcBorders>
              <w:top w:val="single" w:sz="4" w:space="0" w:color="auto"/>
              <w:bottom w:val="single" w:sz="4" w:space="0" w:color="auto"/>
            </w:tcBorders>
          </w:tcPr>
          <w:p w14:paraId="7F8C3778" w14:textId="77777777" w:rsidR="00550A72" w:rsidRPr="003427A4" w:rsidRDefault="00550A72" w:rsidP="00401974">
            <w:pPr>
              <w:pStyle w:val="BodyText"/>
              <w:ind w:firstLine="0"/>
              <w:jc w:val="center"/>
              <w:rPr>
                <w:sz w:val="24"/>
                <w:szCs w:val="24"/>
              </w:rPr>
            </w:pPr>
            <w:r w:rsidRPr="003427A4">
              <w:rPr>
                <w:sz w:val="24"/>
                <w:szCs w:val="24"/>
              </w:rPr>
              <w:t>Centre B</w:t>
            </w:r>
          </w:p>
        </w:tc>
        <w:tc>
          <w:tcPr>
            <w:tcW w:w="1742" w:type="dxa"/>
            <w:tcBorders>
              <w:top w:val="single" w:sz="4" w:space="0" w:color="auto"/>
              <w:bottom w:val="single" w:sz="4" w:space="0" w:color="auto"/>
            </w:tcBorders>
          </w:tcPr>
          <w:p w14:paraId="4138FDD7" w14:textId="77777777" w:rsidR="00550A72" w:rsidRPr="003427A4" w:rsidRDefault="00550A72" w:rsidP="00401974">
            <w:pPr>
              <w:pStyle w:val="BodyText"/>
              <w:ind w:firstLine="0"/>
              <w:jc w:val="center"/>
              <w:rPr>
                <w:sz w:val="24"/>
                <w:szCs w:val="24"/>
              </w:rPr>
            </w:pPr>
            <w:proofErr w:type="spellStart"/>
            <w:r w:rsidRPr="003427A4">
              <w:rPr>
                <w:sz w:val="24"/>
                <w:szCs w:val="24"/>
                <w:shd w:val="clear" w:color="auto" w:fill="FFFFFF"/>
              </w:rPr>
              <w:t>iThemba</w:t>
            </w:r>
            <w:proofErr w:type="spellEnd"/>
            <w:r w:rsidRPr="003427A4">
              <w:rPr>
                <w:sz w:val="24"/>
                <w:szCs w:val="24"/>
                <w:shd w:val="clear" w:color="auto" w:fill="FFFFFF"/>
              </w:rPr>
              <w:t xml:space="preserve"> Laboratory</w:t>
            </w:r>
          </w:p>
        </w:tc>
      </w:tr>
      <w:tr w:rsidR="00550A72" w:rsidRPr="003427A4" w14:paraId="3B2BA870" w14:textId="77777777" w:rsidTr="00401974">
        <w:trPr>
          <w:jc w:val="center"/>
        </w:trPr>
        <w:tc>
          <w:tcPr>
            <w:tcW w:w="1741" w:type="dxa"/>
            <w:tcBorders>
              <w:top w:val="single" w:sz="4" w:space="0" w:color="auto"/>
            </w:tcBorders>
          </w:tcPr>
          <w:p w14:paraId="35D4B0A4" w14:textId="77777777" w:rsidR="00550A72" w:rsidRPr="003427A4" w:rsidRDefault="00550A72" w:rsidP="00401974">
            <w:pPr>
              <w:pStyle w:val="BodyText"/>
              <w:ind w:firstLine="0"/>
              <w:rPr>
                <w:sz w:val="24"/>
                <w:szCs w:val="24"/>
              </w:rPr>
            </w:pPr>
            <w:r w:rsidRPr="003427A4">
              <w:rPr>
                <w:rStyle w:val="TabletextChar"/>
                <w:sz w:val="24"/>
                <w:szCs w:val="24"/>
              </w:rPr>
              <w:t>5 staff</w:t>
            </w:r>
          </w:p>
        </w:tc>
        <w:tc>
          <w:tcPr>
            <w:tcW w:w="1741" w:type="dxa"/>
            <w:tcBorders>
              <w:top w:val="single" w:sz="4" w:space="0" w:color="auto"/>
            </w:tcBorders>
          </w:tcPr>
          <w:p w14:paraId="3B894A89" w14:textId="77777777" w:rsidR="00550A72" w:rsidRPr="003427A4" w:rsidRDefault="00550A72" w:rsidP="00401974">
            <w:pPr>
              <w:pStyle w:val="BodyText"/>
              <w:ind w:firstLine="0"/>
              <w:jc w:val="center"/>
              <w:rPr>
                <w:sz w:val="24"/>
                <w:szCs w:val="24"/>
              </w:rPr>
            </w:pPr>
            <w:r w:rsidRPr="003427A4">
              <w:rPr>
                <w:sz w:val="24"/>
                <w:szCs w:val="24"/>
              </w:rPr>
              <w:t>4 staff</w:t>
            </w:r>
          </w:p>
        </w:tc>
        <w:tc>
          <w:tcPr>
            <w:tcW w:w="1742" w:type="dxa"/>
            <w:tcBorders>
              <w:top w:val="single" w:sz="4" w:space="0" w:color="auto"/>
            </w:tcBorders>
          </w:tcPr>
          <w:p w14:paraId="1CFD4423" w14:textId="77777777" w:rsidR="00550A72" w:rsidRPr="003427A4" w:rsidRDefault="00550A72" w:rsidP="00401974">
            <w:pPr>
              <w:pStyle w:val="BodyText"/>
              <w:ind w:firstLine="0"/>
              <w:jc w:val="center"/>
              <w:rPr>
                <w:sz w:val="24"/>
                <w:szCs w:val="24"/>
              </w:rPr>
            </w:pPr>
            <w:r w:rsidRPr="003427A4">
              <w:rPr>
                <w:sz w:val="24"/>
                <w:szCs w:val="24"/>
              </w:rPr>
              <w:t>270 staff</w:t>
            </w:r>
          </w:p>
        </w:tc>
      </w:tr>
      <w:tr w:rsidR="00550A72" w:rsidRPr="003427A4" w14:paraId="151AA390" w14:textId="77777777" w:rsidTr="00401974">
        <w:trPr>
          <w:jc w:val="center"/>
        </w:trPr>
        <w:tc>
          <w:tcPr>
            <w:tcW w:w="1741" w:type="dxa"/>
          </w:tcPr>
          <w:p w14:paraId="14E9B399" w14:textId="77777777" w:rsidR="00550A72" w:rsidRPr="003427A4" w:rsidRDefault="00550A72" w:rsidP="00401974">
            <w:pPr>
              <w:pStyle w:val="BodyText"/>
              <w:ind w:firstLine="0"/>
              <w:rPr>
                <w:sz w:val="24"/>
                <w:szCs w:val="24"/>
              </w:rPr>
            </w:pPr>
            <w:r w:rsidRPr="003427A4">
              <w:rPr>
                <w:sz w:val="24"/>
                <w:szCs w:val="24"/>
              </w:rPr>
              <w:t>0 students</w:t>
            </w:r>
          </w:p>
        </w:tc>
        <w:tc>
          <w:tcPr>
            <w:tcW w:w="1741" w:type="dxa"/>
          </w:tcPr>
          <w:p w14:paraId="649B9F11" w14:textId="77777777" w:rsidR="00550A72" w:rsidRPr="003427A4" w:rsidRDefault="00550A72" w:rsidP="00401974">
            <w:pPr>
              <w:pStyle w:val="BodyText"/>
              <w:ind w:firstLine="0"/>
              <w:jc w:val="center"/>
              <w:rPr>
                <w:sz w:val="24"/>
                <w:szCs w:val="24"/>
              </w:rPr>
            </w:pPr>
            <w:r w:rsidRPr="003427A4">
              <w:rPr>
                <w:sz w:val="24"/>
                <w:szCs w:val="24"/>
              </w:rPr>
              <w:t>0 students</w:t>
            </w:r>
          </w:p>
        </w:tc>
        <w:tc>
          <w:tcPr>
            <w:tcW w:w="1742" w:type="dxa"/>
          </w:tcPr>
          <w:p w14:paraId="413228A4" w14:textId="77777777" w:rsidR="00550A72" w:rsidRPr="003427A4" w:rsidRDefault="00550A72" w:rsidP="00401974">
            <w:pPr>
              <w:pStyle w:val="BodyText"/>
              <w:ind w:firstLine="0"/>
              <w:jc w:val="center"/>
              <w:rPr>
                <w:sz w:val="24"/>
                <w:szCs w:val="24"/>
              </w:rPr>
            </w:pPr>
            <w:r w:rsidRPr="003427A4">
              <w:rPr>
                <w:sz w:val="24"/>
                <w:szCs w:val="24"/>
              </w:rPr>
              <w:t>90 MSc &amp; PhD students</w:t>
            </w:r>
          </w:p>
          <w:p w14:paraId="3C4DF0C6" w14:textId="77777777" w:rsidR="00550A72" w:rsidRPr="003427A4" w:rsidRDefault="00550A72" w:rsidP="00401974">
            <w:pPr>
              <w:pStyle w:val="BodyText"/>
              <w:ind w:firstLine="0"/>
              <w:jc w:val="center"/>
              <w:rPr>
                <w:sz w:val="24"/>
                <w:szCs w:val="24"/>
              </w:rPr>
            </w:pPr>
            <w:r w:rsidRPr="003427A4">
              <w:rPr>
                <w:sz w:val="24"/>
                <w:szCs w:val="24"/>
              </w:rPr>
              <w:t>15 postdoctoral</w:t>
            </w:r>
          </w:p>
        </w:tc>
      </w:tr>
    </w:tbl>
    <w:p w14:paraId="2AB982A4" w14:textId="77777777" w:rsidR="00550A72" w:rsidRPr="003427A4" w:rsidRDefault="00550A72" w:rsidP="002870BA">
      <w:pPr>
        <w:pStyle w:val="ListEmdash"/>
        <w:numPr>
          <w:ilvl w:val="0"/>
          <w:numId w:val="0"/>
        </w:numPr>
        <w:ind w:left="927"/>
        <w:rPr>
          <w:sz w:val="24"/>
          <w:szCs w:val="24"/>
        </w:rPr>
      </w:pPr>
    </w:p>
    <w:p w14:paraId="6D18DB77" w14:textId="06CF497B" w:rsidR="002870BA" w:rsidRPr="003427A4" w:rsidRDefault="002870BA" w:rsidP="002870BA">
      <w:pPr>
        <w:pStyle w:val="ListEmdash"/>
        <w:numPr>
          <w:ilvl w:val="0"/>
          <w:numId w:val="0"/>
        </w:numPr>
        <w:ind w:left="927"/>
        <w:rPr>
          <w:sz w:val="24"/>
          <w:szCs w:val="24"/>
        </w:rPr>
      </w:pPr>
      <w:r w:rsidRPr="003427A4">
        <w:rPr>
          <w:sz w:val="24"/>
          <w:szCs w:val="24"/>
        </w:rPr>
        <w:t xml:space="preserve">The second </w:t>
      </w:r>
      <w:proofErr w:type="spellStart"/>
      <w:r w:rsidRPr="003427A4">
        <w:rPr>
          <w:sz w:val="24"/>
          <w:szCs w:val="24"/>
        </w:rPr>
        <w:t>center</w:t>
      </w:r>
      <w:proofErr w:type="spellEnd"/>
      <w:r w:rsidR="00DA6178" w:rsidRPr="003427A4">
        <w:rPr>
          <w:sz w:val="24"/>
          <w:szCs w:val="24"/>
        </w:rPr>
        <w:t xml:space="preserve"> (B)</w:t>
      </w:r>
      <w:r w:rsidRPr="003427A4">
        <w:rPr>
          <w:sz w:val="24"/>
          <w:szCs w:val="24"/>
        </w:rPr>
        <w:t xml:space="preserve"> has a double-head SPECT camera and two </w:t>
      </w:r>
      <w:proofErr w:type="spellStart"/>
      <w:r w:rsidRPr="003427A4">
        <w:rPr>
          <w:sz w:val="24"/>
          <w:szCs w:val="24"/>
        </w:rPr>
        <w:t>radiopharmacists</w:t>
      </w:r>
      <w:proofErr w:type="spellEnd"/>
      <w:r w:rsidRPr="003427A4">
        <w:rPr>
          <w:sz w:val="24"/>
          <w:szCs w:val="24"/>
        </w:rPr>
        <w:t xml:space="preserve"> as well as two NM physicians. In the last five years, NM services have been disrupted for indefinite periods of time for unknown reasons. As a result, opportunities to expand existing capacity, improve understanding of the benefits of NM, and invest in research and education to support its growth in Nigeria are desired. </w:t>
      </w:r>
    </w:p>
    <w:p w14:paraId="4FF566FC" w14:textId="77777777" w:rsidR="002870BA" w:rsidRPr="003427A4" w:rsidRDefault="002870BA" w:rsidP="002870BA">
      <w:pPr>
        <w:pStyle w:val="ListEmdash"/>
        <w:numPr>
          <w:ilvl w:val="0"/>
          <w:numId w:val="0"/>
        </w:numPr>
        <w:ind w:left="927"/>
        <w:rPr>
          <w:sz w:val="24"/>
          <w:szCs w:val="24"/>
        </w:rPr>
      </w:pPr>
    </w:p>
    <w:p w14:paraId="6EF04697" w14:textId="02107894" w:rsidR="002870BA" w:rsidRPr="003427A4" w:rsidRDefault="002870BA" w:rsidP="002870BA">
      <w:pPr>
        <w:pStyle w:val="BodyText"/>
        <w:numPr>
          <w:ilvl w:val="3"/>
          <w:numId w:val="20"/>
        </w:numPr>
        <w:ind w:left="340" w:firstLine="0"/>
        <w:rPr>
          <w:sz w:val="24"/>
          <w:szCs w:val="24"/>
        </w:rPr>
      </w:pPr>
      <w:r w:rsidRPr="003427A4">
        <w:rPr>
          <w:sz w:val="24"/>
          <w:szCs w:val="24"/>
        </w:rPr>
        <w:t>Cost</w:t>
      </w:r>
    </w:p>
    <w:p w14:paraId="042F61A5" w14:textId="40273C61" w:rsidR="002870BA" w:rsidRPr="003427A4" w:rsidRDefault="002870BA" w:rsidP="002870BA">
      <w:pPr>
        <w:pStyle w:val="BodyText"/>
        <w:numPr>
          <w:ilvl w:val="0"/>
          <w:numId w:val="20"/>
        </w:numPr>
        <w:ind w:left="360"/>
        <w:rPr>
          <w:b/>
          <w:bCs/>
          <w:sz w:val="24"/>
          <w:szCs w:val="24"/>
        </w:rPr>
      </w:pPr>
      <w:r w:rsidRPr="003427A4">
        <w:rPr>
          <w:b/>
          <w:bCs/>
          <w:sz w:val="24"/>
          <w:szCs w:val="24"/>
        </w:rPr>
        <w:t>Conclusion</w:t>
      </w:r>
    </w:p>
    <w:p w14:paraId="3C4420B1" w14:textId="787C0698" w:rsidR="00DA2422" w:rsidRPr="003427A4" w:rsidRDefault="00DA2422" w:rsidP="00DA2422">
      <w:pPr>
        <w:pStyle w:val="BodyText"/>
        <w:rPr>
          <w:sz w:val="24"/>
          <w:szCs w:val="24"/>
        </w:rPr>
      </w:pPr>
      <w:r w:rsidRPr="003427A4">
        <w:rPr>
          <w:sz w:val="24"/>
          <w:szCs w:val="24"/>
        </w:rPr>
        <w:t>There have been no reports of NM radionuclides being used in terrorist actions. As a result, it's critical that the NM community reconsiders the existing approach, which has resulted in the loss of NM services in Nigeria, and recommends a more logical method for ensuring their supply</w:t>
      </w:r>
      <w:r w:rsidRPr="003427A4">
        <w:rPr>
          <w:sz w:val="24"/>
          <w:szCs w:val="24"/>
        </w:rPr>
        <w:t xml:space="preserve"> (</w:t>
      </w:r>
      <w:r w:rsidR="003427A4" w:rsidRPr="003427A4">
        <w:rPr>
          <w:sz w:val="24"/>
          <w:szCs w:val="24"/>
        </w:rPr>
        <w:t>i.e.,</w:t>
      </w:r>
      <w:r w:rsidRPr="003427A4">
        <w:rPr>
          <w:sz w:val="24"/>
          <w:szCs w:val="24"/>
        </w:rPr>
        <w:t xml:space="preserve"> </w:t>
      </w:r>
      <w:r w:rsidR="003427A4">
        <w:rPr>
          <w:sz w:val="24"/>
          <w:szCs w:val="24"/>
        </w:rPr>
        <w:t>establishing</w:t>
      </w:r>
      <w:r w:rsidRPr="003427A4">
        <w:rPr>
          <w:sz w:val="24"/>
          <w:szCs w:val="24"/>
        </w:rPr>
        <w:t xml:space="preserve"> an accelerator</w:t>
      </w:r>
      <w:r w:rsidR="003427A4">
        <w:rPr>
          <w:sz w:val="24"/>
          <w:szCs w:val="24"/>
        </w:rPr>
        <w:t xml:space="preserve"> facility</w:t>
      </w:r>
      <w:r w:rsidRPr="003427A4">
        <w:rPr>
          <w:sz w:val="24"/>
          <w:szCs w:val="24"/>
        </w:rPr>
        <w:t xml:space="preserve"> for the production of radioisotopes locally). Moreover,</w:t>
      </w:r>
      <w:r w:rsidRPr="003427A4">
        <w:rPr>
          <w:sz w:val="24"/>
          <w:szCs w:val="24"/>
        </w:rPr>
        <w:t xml:space="preserve"> </w:t>
      </w:r>
      <w:r w:rsidRPr="003427A4">
        <w:rPr>
          <w:sz w:val="24"/>
          <w:szCs w:val="24"/>
        </w:rPr>
        <w:t>w</w:t>
      </w:r>
      <w:r w:rsidRPr="003427A4">
        <w:rPr>
          <w:sz w:val="24"/>
          <w:szCs w:val="24"/>
        </w:rPr>
        <w:t xml:space="preserve">hen applying global ideas in underdeveloped nations, </w:t>
      </w:r>
      <w:r w:rsidRPr="003427A4">
        <w:rPr>
          <w:sz w:val="24"/>
          <w:szCs w:val="24"/>
        </w:rPr>
        <w:t>there is need to</w:t>
      </w:r>
      <w:r w:rsidRPr="003427A4">
        <w:rPr>
          <w:sz w:val="24"/>
          <w:szCs w:val="24"/>
        </w:rPr>
        <w:t xml:space="preserve"> also emphasize the importance of generating local pragmatic solutions.</w:t>
      </w:r>
    </w:p>
    <w:p w14:paraId="24C299EC" w14:textId="77777777" w:rsidR="00DA6178" w:rsidRPr="003427A4" w:rsidRDefault="00DA6178" w:rsidP="00DA2422">
      <w:pPr>
        <w:pStyle w:val="BodyText"/>
        <w:ind w:firstLine="0"/>
        <w:rPr>
          <w:sz w:val="24"/>
          <w:szCs w:val="24"/>
        </w:rPr>
      </w:pPr>
    </w:p>
    <w:p w14:paraId="28C1A8B2" w14:textId="77777777" w:rsidR="002870BA" w:rsidRPr="003427A4" w:rsidRDefault="002870BA" w:rsidP="002870BA">
      <w:pPr>
        <w:pStyle w:val="BodyText"/>
        <w:spacing w:before="260"/>
        <w:ind w:firstLine="0"/>
        <w:rPr>
          <w:rFonts w:eastAsiaTheme="minorHAnsi"/>
          <w:sz w:val="24"/>
          <w:szCs w:val="24"/>
          <w:lang w:eastAsia="ar-SA"/>
        </w:rPr>
      </w:pPr>
    </w:p>
    <w:p w14:paraId="197201E0" w14:textId="77777777" w:rsidR="00604C59" w:rsidRPr="003427A4" w:rsidRDefault="00604C59" w:rsidP="00046928">
      <w:pPr>
        <w:pStyle w:val="Otherunnumberedheadings"/>
        <w:spacing w:before="280" w:beforeAutospacing="0" w:after="280" w:afterAutospacing="0"/>
        <w:rPr>
          <w:rFonts w:ascii="Times New Roman" w:hAnsi="Times New Roman"/>
          <w:sz w:val="24"/>
          <w:szCs w:val="24"/>
        </w:rPr>
      </w:pPr>
      <w:r w:rsidRPr="003427A4">
        <w:rPr>
          <w:rFonts w:ascii="Times New Roman" w:hAnsi="Times New Roman"/>
          <w:sz w:val="24"/>
          <w:szCs w:val="24"/>
        </w:rPr>
        <w:t>References</w:t>
      </w:r>
    </w:p>
    <w:p w14:paraId="0AD9A4A7" w14:textId="48067761" w:rsidR="00DA2422" w:rsidRPr="003427A4" w:rsidRDefault="003C7D90" w:rsidP="00DA2422">
      <w:pPr>
        <w:widowControl w:val="0"/>
        <w:spacing w:line="240" w:lineRule="atLeast"/>
        <w:ind w:left="640" w:hanging="640"/>
        <w:rPr>
          <w:noProof/>
          <w:sz w:val="24"/>
          <w:szCs w:val="24"/>
        </w:rPr>
      </w:pPr>
      <w:r w:rsidRPr="003427A4">
        <w:rPr>
          <w:sz w:val="24"/>
          <w:szCs w:val="24"/>
          <w:shd w:val="clear" w:color="auto" w:fill="FFFFFF"/>
        </w:rPr>
        <w:fldChar w:fldCharType="begin" w:fldLock="1"/>
      </w:r>
      <w:r w:rsidRPr="003427A4">
        <w:rPr>
          <w:sz w:val="24"/>
          <w:szCs w:val="24"/>
          <w:shd w:val="clear" w:color="auto" w:fill="FFFFFF"/>
        </w:rPr>
        <w:instrText xml:space="preserve">ADDIN Mendeley Bibliography CSL_BIBLIOGRAPHY </w:instrText>
      </w:r>
      <w:r w:rsidRPr="003427A4">
        <w:rPr>
          <w:sz w:val="24"/>
          <w:szCs w:val="24"/>
          <w:shd w:val="clear" w:color="auto" w:fill="FFFFFF"/>
        </w:rPr>
        <w:fldChar w:fldCharType="separate"/>
      </w:r>
      <w:r w:rsidR="00DA2422" w:rsidRPr="003427A4">
        <w:rPr>
          <w:noProof/>
          <w:sz w:val="24"/>
          <w:szCs w:val="24"/>
        </w:rPr>
        <w:t>[1]</w:t>
      </w:r>
      <w:r w:rsidR="00DA2422" w:rsidRPr="003427A4">
        <w:rPr>
          <w:noProof/>
          <w:sz w:val="24"/>
          <w:szCs w:val="24"/>
        </w:rPr>
        <w:tab/>
        <w:t xml:space="preserve">R. Osabohien, N. Adeleye, and E. Osabuohien, “African Growth and Opportunity Act and trade performance in Nigeria,” </w:t>
      </w:r>
      <w:r w:rsidR="00DA2422" w:rsidRPr="003427A4">
        <w:rPr>
          <w:i/>
          <w:iCs/>
          <w:noProof/>
          <w:sz w:val="24"/>
          <w:szCs w:val="24"/>
        </w:rPr>
        <w:t>Heliyon</w:t>
      </w:r>
      <w:r w:rsidR="00DA2422" w:rsidRPr="003427A4">
        <w:rPr>
          <w:noProof/>
          <w:sz w:val="24"/>
          <w:szCs w:val="24"/>
        </w:rPr>
        <w:t>, vol. 7, no. 3, p. e06410, 2021, doi: 10.1016/j.heliyon.2021.e06410.</w:t>
      </w:r>
    </w:p>
    <w:p w14:paraId="5A8E447A" w14:textId="77777777" w:rsidR="00DA2422" w:rsidRPr="003427A4" w:rsidRDefault="00DA2422" w:rsidP="00DA2422">
      <w:pPr>
        <w:widowControl w:val="0"/>
        <w:spacing w:line="240" w:lineRule="atLeast"/>
        <w:ind w:left="640" w:hanging="640"/>
        <w:rPr>
          <w:noProof/>
          <w:sz w:val="24"/>
          <w:szCs w:val="24"/>
        </w:rPr>
      </w:pPr>
      <w:r w:rsidRPr="003427A4">
        <w:rPr>
          <w:noProof/>
          <w:sz w:val="24"/>
          <w:szCs w:val="24"/>
        </w:rPr>
        <w:t>[2]</w:t>
      </w:r>
      <w:r w:rsidRPr="003427A4">
        <w:rPr>
          <w:noProof/>
          <w:sz w:val="24"/>
          <w:szCs w:val="24"/>
        </w:rPr>
        <w:tab/>
        <w:t xml:space="preserve">T. A. Orunmuyi, M. M. Sathekge, and R. J. Buscombe, “Ensuring effective and sustainable radionuclide delivery and its impact on the  development of nuclear medicine in the developing world with special reference to Nigeria.,” </w:t>
      </w:r>
      <w:r w:rsidRPr="003427A4">
        <w:rPr>
          <w:i/>
          <w:iCs/>
          <w:noProof/>
          <w:sz w:val="24"/>
          <w:szCs w:val="24"/>
        </w:rPr>
        <w:t>World J. Nucl. Med.</w:t>
      </w:r>
      <w:r w:rsidRPr="003427A4">
        <w:rPr>
          <w:noProof/>
          <w:sz w:val="24"/>
          <w:szCs w:val="24"/>
        </w:rPr>
        <w:t>, vol. 18, no. 1, pp. 2–7, 2019, doi: 10.4103/wjnm.WJNM_71_18.</w:t>
      </w:r>
    </w:p>
    <w:p w14:paraId="1EE5E3CC" w14:textId="77777777" w:rsidR="00DA2422" w:rsidRPr="003427A4" w:rsidRDefault="00DA2422" w:rsidP="00DA2422">
      <w:pPr>
        <w:widowControl w:val="0"/>
        <w:spacing w:line="240" w:lineRule="atLeast"/>
        <w:ind w:left="640" w:hanging="640"/>
        <w:rPr>
          <w:noProof/>
          <w:sz w:val="24"/>
          <w:szCs w:val="24"/>
        </w:rPr>
      </w:pPr>
      <w:r w:rsidRPr="003427A4">
        <w:rPr>
          <w:noProof/>
          <w:sz w:val="24"/>
          <w:szCs w:val="24"/>
        </w:rPr>
        <w:t>[3]</w:t>
      </w:r>
      <w:r w:rsidRPr="003427A4">
        <w:rPr>
          <w:noProof/>
          <w:sz w:val="24"/>
          <w:szCs w:val="24"/>
        </w:rPr>
        <w:tab/>
        <w:t xml:space="preserve">O. Ayeni and A. Orunmuyi, “P1.02-01 Imaging of Lung Cancer at the University College Hospital, Ibadan, Nigeria: Does Nuclear Medicine Have Anything to Offer?,” </w:t>
      </w:r>
      <w:r w:rsidRPr="003427A4">
        <w:rPr>
          <w:i/>
          <w:iCs/>
          <w:noProof/>
          <w:sz w:val="24"/>
          <w:szCs w:val="24"/>
        </w:rPr>
        <w:t>J. Thorac. Oncol.</w:t>
      </w:r>
      <w:r w:rsidRPr="003427A4">
        <w:rPr>
          <w:noProof/>
          <w:sz w:val="24"/>
          <w:szCs w:val="24"/>
        </w:rPr>
        <w:t>, vol. 13, no. 10, p. S508, 2018, doi: 10.1016/j.jtho.2018.08.671.</w:t>
      </w:r>
    </w:p>
    <w:p w14:paraId="620AF2FD" w14:textId="2936F1B8" w:rsidR="00DA6178" w:rsidRDefault="003C7D90" w:rsidP="002870BA">
      <w:pPr>
        <w:pStyle w:val="Referencelist"/>
        <w:numPr>
          <w:ilvl w:val="0"/>
          <w:numId w:val="0"/>
        </w:numPr>
        <w:ind w:left="720" w:hanging="360"/>
        <w:rPr>
          <w:sz w:val="24"/>
          <w:szCs w:val="24"/>
          <w:shd w:val="clear" w:color="auto" w:fill="FFFFFF"/>
        </w:rPr>
      </w:pPr>
      <w:r w:rsidRPr="003427A4">
        <w:rPr>
          <w:sz w:val="24"/>
          <w:szCs w:val="24"/>
          <w:shd w:val="clear" w:color="auto" w:fill="FFFFFF"/>
        </w:rPr>
        <w:fldChar w:fldCharType="end"/>
      </w:r>
      <w:proofErr w:type="spellStart"/>
      <w:r w:rsidR="00344CB6">
        <w:rPr>
          <w:sz w:val="24"/>
          <w:szCs w:val="24"/>
          <w:shd w:val="clear" w:color="auto" w:fill="FFFFFF"/>
        </w:rPr>
        <w:t>Zz</w:t>
      </w:r>
      <w:proofErr w:type="spellEnd"/>
      <w:r w:rsidR="00344CB6">
        <w:rPr>
          <w:sz w:val="24"/>
          <w:szCs w:val="24"/>
          <w:shd w:val="clear" w:color="auto" w:fill="FFFFFF"/>
        </w:rPr>
        <w:t xml:space="preserve"> </w:t>
      </w:r>
      <w:proofErr w:type="spellStart"/>
      <w:r w:rsidR="00344CB6">
        <w:rPr>
          <w:sz w:val="24"/>
          <w:szCs w:val="24"/>
          <w:shd w:val="clear" w:color="auto" w:fill="FFFFFF"/>
        </w:rPr>
        <w:t>zzz</w:t>
      </w:r>
      <w:proofErr w:type="spellEnd"/>
    </w:p>
    <w:sectPr w:rsidR="00DA6178" w:rsidSect="0026525A">
      <w:footerReference w:type="even" r:id="rId8"/>
      <w:footerReference w:type="default" r:id="rId9"/>
      <w:headerReference w:type="first" r:id="rId10"/>
      <w:footerReference w:type="first" r:id="rId11"/>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DA270" w14:textId="77777777" w:rsidR="002F2ED8" w:rsidRDefault="002F2ED8">
      <w:r>
        <w:separator/>
      </w:r>
    </w:p>
  </w:endnote>
  <w:endnote w:type="continuationSeparator" w:id="0">
    <w:p w14:paraId="7FDD0617" w14:textId="77777777" w:rsidR="002F2ED8" w:rsidRDefault="002F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CF06" w14:textId="77777777" w:rsidR="00E20E70" w:rsidRDefault="00E20E70">
    <w:pPr>
      <w:pStyle w:val="zyxClassification1"/>
    </w:pPr>
    <w:r>
      <w:fldChar w:fldCharType="begin"/>
    </w:r>
    <w:r>
      <w:instrText xml:space="preserve"> DOCPROPERTY "IaeaClassification"  \* MERGEFORMAT </w:instrText>
    </w:r>
    <w:r>
      <w:fldChar w:fldCharType="end"/>
    </w:r>
  </w:p>
  <w:p w14:paraId="200521DA"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B193" w14:textId="6E1AF563" w:rsidR="00E20E70" w:rsidRPr="00C95D35" w:rsidRDefault="00E20E70" w:rsidP="00C95D35">
    <w:pPr>
      <w:pStyle w:val="zyxClassification1"/>
    </w:pPr>
    <w:r>
      <w:fldChar w:fldCharType="begin"/>
    </w:r>
    <w:r>
      <w:instrText xml:space="preserve"> DOCPROPERTY "IaeaClassification"  \* MERGEFORMAT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55EDCE14" w14:textId="77777777">
      <w:trPr>
        <w:cantSplit/>
      </w:trPr>
      <w:tc>
        <w:tcPr>
          <w:tcW w:w="4644" w:type="dxa"/>
        </w:tcPr>
        <w:p w14:paraId="4046DEF9"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79E4DC95"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5BEF3012"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02140AC5"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1F07BD0C"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A93E" w14:textId="77777777" w:rsidR="002F2ED8" w:rsidRDefault="002F2ED8">
      <w:r>
        <w:t>___________________________________________________________________________</w:t>
      </w:r>
    </w:p>
  </w:footnote>
  <w:footnote w:type="continuationSeparator" w:id="0">
    <w:p w14:paraId="595575D8" w14:textId="77777777" w:rsidR="002F2ED8" w:rsidRDefault="002F2ED8">
      <w:r>
        <w:t>___________________________________________________________________________</w:t>
      </w:r>
    </w:p>
  </w:footnote>
  <w:footnote w:type="continuationNotice" w:id="1">
    <w:p w14:paraId="3BC22A29" w14:textId="77777777" w:rsidR="002F2ED8" w:rsidRDefault="002F2E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1492AB90" w14:textId="77777777">
      <w:trPr>
        <w:cantSplit/>
        <w:trHeight w:val="716"/>
      </w:trPr>
      <w:tc>
        <w:tcPr>
          <w:tcW w:w="979" w:type="dxa"/>
          <w:vMerge w:val="restart"/>
        </w:tcPr>
        <w:p w14:paraId="3504C8F1" w14:textId="77777777" w:rsidR="00E20E70" w:rsidRDefault="00E20E70">
          <w:pPr>
            <w:spacing w:before="180"/>
            <w:ind w:left="17"/>
          </w:pPr>
        </w:p>
      </w:tc>
      <w:tc>
        <w:tcPr>
          <w:tcW w:w="3638" w:type="dxa"/>
          <w:vAlign w:val="bottom"/>
        </w:tcPr>
        <w:p w14:paraId="139D94AE" w14:textId="77777777" w:rsidR="00E20E70" w:rsidRDefault="00E20E70">
          <w:pPr>
            <w:spacing w:after="20"/>
          </w:pPr>
        </w:p>
      </w:tc>
      <w:bookmarkStart w:id="0" w:name="DOC_bkmClassification1"/>
      <w:tc>
        <w:tcPr>
          <w:tcW w:w="5702" w:type="dxa"/>
          <w:vMerge w:val="restart"/>
          <w:tcMar>
            <w:right w:w="193" w:type="dxa"/>
          </w:tcMar>
        </w:tcPr>
        <w:p w14:paraId="1F5D837F"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618A6006" w14:textId="77777777" w:rsidR="00E20E70" w:rsidRDefault="00E20E70">
          <w:pPr>
            <w:pStyle w:val="zyxConfid2Red"/>
          </w:pPr>
          <w:r>
            <w:fldChar w:fldCharType="begin"/>
          </w:r>
          <w:r>
            <w:instrText>DOCPROPERTY "IaeaClassification2"  \* MERGEFORMAT</w:instrText>
          </w:r>
          <w:r>
            <w:fldChar w:fldCharType="end"/>
          </w:r>
        </w:p>
      </w:tc>
    </w:tr>
    <w:tr w:rsidR="00E20E70" w14:paraId="624C849A" w14:textId="77777777">
      <w:trPr>
        <w:cantSplit/>
        <w:trHeight w:val="167"/>
      </w:trPr>
      <w:tc>
        <w:tcPr>
          <w:tcW w:w="979" w:type="dxa"/>
          <w:vMerge/>
        </w:tcPr>
        <w:p w14:paraId="59CC5D92" w14:textId="77777777" w:rsidR="00E20E70" w:rsidRDefault="00E20E70">
          <w:pPr>
            <w:spacing w:before="57"/>
          </w:pPr>
        </w:p>
      </w:tc>
      <w:tc>
        <w:tcPr>
          <w:tcW w:w="3638" w:type="dxa"/>
          <w:vAlign w:val="bottom"/>
        </w:tcPr>
        <w:p w14:paraId="102E94F7" w14:textId="77777777" w:rsidR="00E20E70" w:rsidRDefault="00E20E70">
          <w:pPr>
            <w:pStyle w:val="Heading9"/>
            <w:spacing w:before="0" w:after="10"/>
          </w:pPr>
        </w:p>
      </w:tc>
      <w:tc>
        <w:tcPr>
          <w:tcW w:w="5702" w:type="dxa"/>
          <w:vMerge/>
          <w:vAlign w:val="bottom"/>
        </w:tcPr>
        <w:p w14:paraId="661582EC" w14:textId="77777777" w:rsidR="00E20E70" w:rsidRDefault="00E20E70">
          <w:pPr>
            <w:pStyle w:val="Heading9"/>
            <w:spacing w:before="0" w:after="10"/>
          </w:pPr>
        </w:p>
      </w:tc>
    </w:tr>
  </w:tbl>
  <w:p w14:paraId="2C88053A"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1B6AD5A"/>
    <w:lvl w:ilvl="0">
      <w:numFmt w:val="decimal"/>
      <w:lvlText w:val="*"/>
      <w:lvlJc w:val="left"/>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5"/>
  </w:num>
  <w:num w:numId="3">
    <w:abstractNumId w:val="11"/>
  </w:num>
  <w:num w:numId="4">
    <w:abstractNumId w:val="11"/>
  </w:num>
  <w:num w:numId="5">
    <w:abstractNumId w:val="11"/>
  </w:num>
  <w:num w:numId="6">
    <w:abstractNumId w:val="6"/>
  </w:num>
  <w:num w:numId="7">
    <w:abstractNumId w:val="9"/>
  </w:num>
  <w:num w:numId="8">
    <w:abstractNumId w:val="12"/>
  </w:num>
  <w:num w:numId="9">
    <w:abstractNumId w:val="2"/>
  </w:num>
  <w:num w:numId="10">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1"/>
  </w:num>
  <w:num w:numId="12">
    <w:abstractNumId w:val="11"/>
  </w:num>
  <w:num w:numId="13">
    <w:abstractNumId w:val="11"/>
  </w:num>
  <w:num w:numId="14">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1"/>
  </w:num>
  <w:num w:numId="16">
    <w:abstractNumId w:val="11"/>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
  </w:num>
  <w:num w:numId="21">
    <w:abstractNumId w:val="11"/>
  </w:num>
  <w:num w:numId="22">
    <w:abstractNumId w:val="4"/>
  </w:num>
  <w:num w:numId="23">
    <w:abstractNumId w:val="1"/>
  </w:num>
  <w:num w:numId="24">
    <w:abstractNumId w:val="10"/>
  </w:num>
  <w:num w:numId="25">
    <w:abstractNumId w:val="11"/>
  </w:num>
  <w:num w:numId="26">
    <w:abstractNumId w:val="11"/>
  </w:num>
  <w:num w:numId="27">
    <w:abstractNumId w:val="11"/>
  </w:num>
  <w:num w:numId="28">
    <w:abstractNumId w:val="11"/>
  </w:num>
  <w:num w:numId="29">
    <w:abstractNumId w:val="11"/>
  </w:num>
  <w:num w:numId="30">
    <w:abstractNumId w:val="7"/>
  </w:num>
  <w:num w:numId="31">
    <w:abstractNumId w:val="7"/>
  </w:num>
  <w:num w:numId="32">
    <w:abstractNumId w:val="11"/>
  </w:num>
  <w:num w:numId="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tDQ2NDQ2MzU2tDBX0lEKTi0uzszPAykwqgUA7sythywAAAA="/>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1C41"/>
    <w:rsid w:val="000229AB"/>
    <w:rsid w:val="0002569A"/>
    <w:rsid w:val="000300A7"/>
    <w:rsid w:val="00037321"/>
    <w:rsid w:val="00046928"/>
    <w:rsid w:val="000552F9"/>
    <w:rsid w:val="000565D9"/>
    <w:rsid w:val="00073700"/>
    <w:rsid w:val="000A0299"/>
    <w:rsid w:val="000C6874"/>
    <w:rsid w:val="000F7E94"/>
    <w:rsid w:val="00107F61"/>
    <w:rsid w:val="001119D6"/>
    <w:rsid w:val="0012117D"/>
    <w:rsid w:val="00126389"/>
    <w:rsid w:val="001308F2"/>
    <w:rsid w:val="001313E8"/>
    <w:rsid w:val="0019014D"/>
    <w:rsid w:val="001B2AB8"/>
    <w:rsid w:val="001C58F5"/>
    <w:rsid w:val="001D5CEE"/>
    <w:rsid w:val="001F23B8"/>
    <w:rsid w:val="001F49FB"/>
    <w:rsid w:val="001F69D7"/>
    <w:rsid w:val="002071D9"/>
    <w:rsid w:val="00235900"/>
    <w:rsid w:val="00256822"/>
    <w:rsid w:val="0026525A"/>
    <w:rsid w:val="00265CBF"/>
    <w:rsid w:val="00274790"/>
    <w:rsid w:val="00285755"/>
    <w:rsid w:val="002870BA"/>
    <w:rsid w:val="002A1F9C"/>
    <w:rsid w:val="002B29C2"/>
    <w:rsid w:val="002C4208"/>
    <w:rsid w:val="002F2ED8"/>
    <w:rsid w:val="003427A4"/>
    <w:rsid w:val="00344CB6"/>
    <w:rsid w:val="00352DE1"/>
    <w:rsid w:val="003728E6"/>
    <w:rsid w:val="003B5E0E"/>
    <w:rsid w:val="003C7D90"/>
    <w:rsid w:val="003D255A"/>
    <w:rsid w:val="00416949"/>
    <w:rsid w:val="004370D8"/>
    <w:rsid w:val="00446113"/>
    <w:rsid w:val="00472C43"/>
    <w:rsid w:val="00477B19"/>
    <w:rsid w:val="0048417F"/>
    <w:rsid w:val="004910D8"/>
    <w:rsid w:val="00537496"/>
    <w:rsid w:val="00544ED3"/>
    <w:rsid w:val="00547F26"/>
    <w:rsid w:val="00550A72"/>
    <w:rsid w:val="00570061"/>
    <w:rsid w:val="0057131A"/>
    <w:rsid w:val="005834AB"/>
    <w:rsid w:val="0058477B"/>
    <w:rsid w:val="0058654F"/>
    <w:rsid w:val="00596ACA"/>
    <w:rsid w:val="005B7E6B"/>
    <w:rsid w:val="005C5D2D"/>
    <w:rsid w:val="005E39BC"/>
    <w:rsid w:val="005F00A0"/>
    <w:rsid w:val="005F4AF8"/>
    <w:rsid w:val="006000B2"/>
    <w:rsid w:val="00604C59"/>
    <w:rsid w:val="00612CB0"/>
    <w:rsid w:val="00647F33"/>
    <w:rsid w:val="00654B09"/>
    <w:rsid w:val="00662532"/>
    <w:rsid w:val="00675240"/>
    <w:rsid w:val="006903BE"/>
    <w:rsid w:val="006B2274"/>
    <w:rsid w:val="006C0556"/>
    <w:rsid w:val="006F70F6"/>
    <w:rsid w:val="00717C6F"/>
    <w:rsid w:val="007445DA"/>
    <w:rsid w:val="00765630"/>
    <w:rsid w:val="00790E9A"/>
    <w:rsid w:val="007B4FD1"/>
    <w:rsid w:val="007B57CF"/>
    <w:rsid w:val="007D0519"/>
    <w:rsid w:val="00800B84"/>
    <w:rsid w:val="00802381"/>
    <w:rsid w:val="008072C8"/>
    <w:rsid w:val="00815F3A"/>
    <w:rsid w:val="008270D0"/>
    <w:rsid w:val="00827B38"/>
    <w:rsid w:val="0085046A"/>
    <w:rsid w:val="008601BE"/>
    <w:rsid w:val="00883848"/>
    <w:rsid w:val="00897ED5"/>
    <w:rsid w:val="008B6BB9"/>
    <w:rsid w:val="008C3C89"/>
    <w:rsid w:val="008F4C98"/>
    <w:rsid w:val="00911543"/>
    <w:rsid w:val="009519C9"/>
    <w:rsid w:val="009D0B86"/>
    <w:rsid w:val="009D21F0"/>
    <w:rsid w:val="009E0D5B"/>
    <w:rsid w:val="009E1558"/>
    <w:rsid w:val="00A42898"/>
    <w:rsid w:val="00A964E3"/>
    <w:rsid w:val="00AB6ACE"/>
    <w:rsid w:val="00AC5A3A"/>
    <w:rsid w:val="00AD6BB4"/>
    <w:rsid w:val="00AE0AE2"/>
    <w:rsid w:val="00AE6705"/>
    <w:rsid w:val="00B11066"/>
    <w:rsid w:val="00B1443F"/>
    <w:rsid w:val="00B374F7"/>
    <w:rsid w:val="00B54CDF"/>
    <w:rsid w:val="00B808D8"/>
    <w:rsid w:val="00B82FA5"/>
    <w:rsid w:val="00B90025"/>
    <w:rsid w:val="00BC0D33"/>
    <w:rsid w:val="00BD1400"/>
    <w:rsid w:val="00BD196C"/>
    <w:rsid w:val="00BD605C"/>
    <w:rsid w:val="00BE2A76"/>
    <w:rsid w:val="00C520EE"/>
    <w:rsid w:val="00C57D07"/>
    <w:rsid w:val="00C65E60"/>
    <w:rsid w:val="00C95D35"/>
    <w:rsid w:val="00CB0288"/>
    <w:rsid w:val="00CE5A52"/>
    <w:rsid w:val="00CF7AF3"/>
    <w:rsid w:val="00D26ADA"/>
    <w:rsid w:val="00D35A78"/>
    <w:rsid w:val="00D555A1"/>
    <w:rsid w:val="00D64DC2"/>
    <w:rsid w:val="00DA2422"/>
    <w:rsid w:val="00DA46CA"/>
    <w:rsid w:val="00DA6178"/>
    <w:rsid w:val="00DE7061"/>
    <w:rsid w:val="00DF21EB"/>
    <w:rsid w:val="00DF3A79"/>
    <w:rsid w:val="00E20E70"/>
    <w:rsid w:val="00E25B68"/>
    <w:rsid w:val="00E37F3F"/>
    <w:rsid w:val="00E84003"/>
    <w:rsid w:val="00EC10FC"/>
    <w:rsid w:val="00EE0041"/>
    <w:rsid w:val="00EE29B9"/>
    <w:rsid w:val="00EF5DCA"/>
    <w:rsid w:val="00F004EE"/>
    <w:rsid w:val="00F041CD"/>
    <w:rsid w:val="00F42E23"/>
    <w:rsid w:val="00F45EEE"/>
    <w:rsid w:val="00F51E9C"/>
    <w:rsid w:val="00F523CA"/>
    <w:rsid w:val="00F70F80"/>
    <w:rsid w:val="00F74A9D"/>
    <w:rsid w:val="00F81411"/>
    <w:rsid w:val="00F9590C"/>
    <w:rsid w:val="00FF38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A9FC1"/>
  <w15:docId w15:val="{1D5323B3-0188-4AAC-A100-D1474308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0" w:qFormat="1"/>
    <w:lsdException w:name="heading 3" w:locked="0" w:semiHidden="1" w:uiPriority="4"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locked="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link w:val="Heading1Char"/>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link w:val="Heading2Char"/>
    <w:qFormat/>
    <w:rsid w:val="00EE0041"/>
    <w:pPr>
      <w:widowControl w:val="0"/>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customStyle="1" w:styleId="Heading1Char">
    <w:name w:val="Heading 1 Char"/>
    <w:aliases w:val="Paper title Char"/>
    <w:basedOn w:val="DefaultParagraphFont"/>
    <w:link w:val="Heading1"/>
    <w:rsid w:val="00477B19"/>
    <w:rPr>
      <w:rFonts w:ascii="Times New Roman Bold" w:hAnsi="Times New Roman Bold"/>
      <w:b/>
      <w:caps/>
      <w:sz w:val="24"/>
      <w:lang w:val="en-US" w:eastAsia="en-US"/>
    </w:rPr>
  </w:style>
  <w:style w:type="character" w:customStyle="1" w:styleId="Heading2Char">
    <w:name w:val="Heading 2 Char"/>
    <w:aliases w:val="1st level paper heading Char"/>
    <w:basedOn w:val="DefaultParagraphFont"/>
    <w:link w:val="Heading2"/>
    <w:rsid w:val="00011C41"/>
    <w:rPr>
      <w:cap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F0FAADFD-9F90-45A7-8D8C-F0FF3C47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199</TotalTime>
  <Pages>2</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Umar Ahmad</cp:lastModifiedBy>
  <cp:revision>65</cp:revision>
  <cp:lastPrinted>2015-12-01T10:27:00Z</cp:lastPrinted>
  <dcterms:created xsi:type="dcterms:W3CDTF">2017-04-03T14:23:00Z</dcterms:created>
  <dcterms:modified xsi:type="dcterms:W3CDTF">2021-11-18T13:07:00Z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 11th edition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7th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 6th edition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17th edition (author-date)</vt:lpwstr>
  </property>
  <property fmtid="{D5CDD505-2E9C-101B-9397-08002B2CF9AE}" pid="21" name="Mendeley Recent Style Id 5_1">
    <vt:lpwstr>http://www.zotero.org/styles/ieee</vt:lpwstr>
  </property>
  <property fmtid="{D5CDD505-2E9C-101B-9397-08002B2CF9AE}" pid="22" name="Mendeley Recent Style Name 5_1">
    <vt:lpwstr>IEEE</vt:lpwstr>
  </property>
  <property fmtid="{D5CDD505-2E9C-101B-9397-08002B2CF9AE}" pid="23" name="Mendeley Recent Style Id 6_1">
    <vt:lpwstr>http://www.zotero.org/styles/modern-humanities-research-association</vt:lpwstr>
  </property>
  <property fmtid="{D5CDD505-2E9C-101B-9397-08002B2CF9AE}" pid="24" name="Mendeley Recent Style Name 6_1">
    <vt:lpwstr>Modern Humanities Research Association 3rd edition (note with bibliography)</vt:lpwstr>
  </property>
  <property fmtid="{D5CDD505-2E9C-101B-9397-08002B2CF9AE}" pid="25" name="Mendeley Recent Style Id 7_1">
    <vt:lpwstr>http://www.zotero.org/styles/modern-language-association</vt:lpwstr>
  </property>
  <property fmtid="{D5CDD505-2E9C-101B-9397-08002B2CF9AE}" pid="26" name="Mendeley Recent Style Name 7_1">
    <vt:lpwstr>Modern Language Association 8th edition</vt:lpwstr>
  </property>
  <property fmtid="{D5CDD505-2E9C-101B-9397-08002B2CF9AE}" pid="27" name="Mendeley Recent Style Id 8_1">
    <vt:lpwstr>http://www.zotero.org/styles/nature</vt:lpwstr>
  </property>
  <property fmtid="{D5CDD505-2E9C-101B-9397-08002B2CF9AE}" pid="28" name="Mendeley Recent Style Name 8_1">
    <vt:lpwstr>Nature</vt:lpwstr>
  </property>
  <property fmtid="{D5CDD505-2E9C-101B-9397-08002B2CF9AE}" pid="29" name="Mendeley Recent Style Id 9_1">
    <vt:lpwstr>http://www.zotero.org/styles/vancouver</vt:lpwstr>
  </property>
  <property fmtid="{D5CDD505-2E9C-101B-9397-08002B2CF9AE}" pid="30" name="Mendeley Recent Style Name 9_1">
    <vt:lpwstr>Vancouver</vt:lpwstr>
  </property>
  <property fmtid="{D5CDD505-2E9C-101B-9397-08002B2CF9AE}" pid="31" name="Mendeley Document_1">
    <vt:lpwstr>True</vt:lpwstr>
  </property>
  <property fmtid="{D5CDD505-2E9C-101B-9397-08002B2CF9AE}" pid="32" name="Mendeley Citation Style_1">
    <vt:lpwstr>http://www.zotero.org/styles/ieee</vt:lpwstr>
  </property>
  <property fmtid="{D5CDD505-2E9C-101B-9397-08002B2CF9AE}" pid="33" name="Mendeley Unique User Id_1">
    <vt:lpwstr>41f92d2e-011e-3109-b72c-4169e0adcc69</vt:lpwstr>
  </property>
</Properties>
</file>