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4F39" w14:textId="714C4B71" w:rsidR="00A255C0" w:rsidRDefault="00A255C0"/>
    <w:p w14:paraId="6C43A93D" w14:textId="01C474D4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Pr="00A255C0">
        <w:rPr>
          <w:rFonts w:ascii="Gill Sans MT" w:eastAsia="Cambria" w:hAnsi="Cambria" w:cs="Cambria"/>
          <w:b/>
          <w:bCs/>
          <w:sz w:val="18"/>
          <w:szCs w:val="18"/>
          <w:lang w:val="en-US"/>
        </w:rPr>
        <w:t>***</w:t>
      </w:r>
    </w:p>
    <w:p w14:paraId="16F72531" w14:textId="0E16F2A6" w:rsidR="00A255C0" w:rsidRDefault="00A255C0"/>
    <w:p w14:paraId="21677BFC" w14:textId="1A0C366F" w:rsidR="00A255C0" w:rsidRDefault="00A255C0"/>
    <w:p w14:paraId="49D3BE78" w14:textId="1158708C" w:rsidR="00D0771C" w:rsidRPr="00D0771C" w:rsidRDefault="00D0771C" w:rsidP="00D0771C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bookmarkStart w:id="0" w:name="OLE_LINK22"/>
      <w:bookmarkStart w:id="1" w:name="OLE_LINK23"/>
      <w:bookmarkStart w:id="2" w:name="OLE_LINK26"/>
      <w:bookmarkStart w:id="3" w:name="OLE_LINK27"/>
      <w:r w:rsidRPr="00D0771C">
        <w:rPr>
          <w:rFonts w:ascii="Gill Sans MT" w:eastAsia="Gill Sans MT" w:hAnsi="Gill Sans MT" w:cs="Gill Sans MT" w:hint="eastAsia"/>
          <w:b/>
          <w:bCs/>
          <w:sz w:val="34"/>
          <w:szCs w:val="34"/>
          <w:lang w:val="en-US"/>
        </w:rPr>
        <w:t>A</w:t>
      </w:r>
      <w:r w:rsidRPr="00D0771C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</w:t>
      </w:r>
      <w:r w:rsidRPr="00D0771C">
        <w:rPr>
          <w:rFonts w:ascii="Gill Sans MT" w:eastAsia="Gill Sans MT" w:hAnsi="Gill Sans MT" w:cs="Gill Sans MT" w:hint="eastAsia"/>
          <w:b/>
          <w:bCs/>
          <w:sz w:val="34"/>
          <w:szCs w:val="34"/>
          <w:lang w:val="en-US"/>
        </w:rPr>
        <w:t>new</w:t>
      </w:r>
      <w:r w:rsidRPr="00D0771C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type of </w:t>
      </w:r>
      <w:bookmarkStart w:id="4" w:name="OLE_LINK4"/>
      <w:bookmarkStart w:id="5" w:name="OLE_LINK5"/>
      <w:r w:rsidRPr="00D0771C">
        <w:rPr>
          <w:rFonts w:ascii="Gill Sans MT" w:eastAsia="Gill Sans MT" w:hAnsi="Gill Sans MT" w:cs="Gill Sans MT"/>
          <w:b/>
          <w:bCs/>
          <w:sz w:val="34"/>
          <w:szCs w:val="34"/>
          <w:vertAlign w:val="superscript"/>
          <w:lang w:val="en-US"/>
        </w:rPr>
        <w:t>75</w:t>
      </w:r>
      <w:r w:rsidRPr="00D0771C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Se gamma radiography</w:t>
      </w:r>
      <w:bookmarkEnd w:id="4"/>
      <w:bookmarkEnd w:id="5"/>
      <w:r w:rsidRPr="00D0771C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design with enhanced inherent safety</w:t>
      </w:r>
      <w:bookmarkEnd w:id="0"/>
      <w:bookmarkEnd w:id="1"/>
      <w:bookmarkEnd w:id="2"/>
      <w:bookmarkEnd w:id="3"/>
      <w:r w:rsidRPr="00D0771C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</w:t>
      </w:r>
    </w:p>
    <w:p w14:paraId="6B425444" w14:textId="6AA79F06" w:rsidR="00A255C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</w:p>
    <w:p w14:paraId="53BBFEEA" w14:textId="77777777" w:rsidR="00A255C0" w:rsidRP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6C1864C5" w14:textId="4BB97BEF" w:rsidR="00D0771C" w:rsidRPr="00D0771C" w:rsidRDefault="00D0771C" w:rsidP="00D0771C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bookmarkStart w:id="6" w:name="OLE_LINK29"/>
      <w:bookmarkStart w:id="7" w:name="OLE_LINK30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The use of γ-rays for industrial flaw detection is one of the important means of </w:t>
      </w:r>
      <w:bookmarkStart w:id="8" w:name="OLE_LINK20"/>
      <w:bookmarkStart w:id="9" w:name="OLE_LINK21"/>
      <w:r w:rsidRPr="00D0771C">
        <w:rPr>
          <w:rFonts w:ascii="Cambria" w:eastAsia="Cambria" w:hAnsi="Cambria" w:cs="Cambria"/>
          <w:sz w:val="18"/>
          <w:szCs w:val="18"/>
          <w:lang w:val="en-US"/>
        </w:rPr>
        <w:t>non-destructive testing technology</w:t>
      </w:r>
      <w:bookmarkEnd w:id="8"/>
      <w:bookmarkEnd w:id="9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. However, due to the inherent safety of the </w:t>
      </w:r>
      <w:r w:rsidRPr="00D0771C">
        <w:rPr>
          <w:rFonts w:ascii="Cambria" w:eastAsia="Cambria" w:hAnsi="Cambria" w:cs="Cambria" w:hint="eastAsia"/>
          <w:sz w:val="18"/>
          <w:szCs w:val="18"/>
          <w:lang w:val="en-US"/>
        </w:rPr>
        <w:t>traditional</w:t>
      </w:r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 gamma radiography that cannot accurately identify the location of the radioactive source, the interlock system between t</w:t>
      </w:r>
      <w:bookmarkStart w:id="10" w:name="OLE_LINK6"/>
      <w:bookmarkStart w:id="11" w:name="OLE_LINK7"/>
      <w:r w:rsidRPr="00D0771C">
        <w:rPr>
          <w:rFonts w:ascii="Cambria" w:eastAsia="Cambria" w:hAnsi="Cambria" w:cs="Cambria"/>
          <w:sz w:val="18"/>
          <w:szCs w:val="18"/>
          <w:lang w:val="en-US"/>
        </w:rPr>
        <w:t>he shielded exposure device and the guide tube</w:t>
      </w:r>
      <w:bookmarkEnd w:id="10"/>
      <w:bookmarkEnd w:id="11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 has some inherent flaws in use, etc. </w:t>
      </w:r>
      <w:r w:rsidRPr="00D0771C">
        <w:rPr>
          <w:rFonts w:ascii="Cambria" w:eastAsia="Cambria" w:hAnsi="Cambria" w:cs="Cambria" w:hint="eastAsia"/>
          <w:sz w:val="18"/>
          <w:szCs w:val="18"/>
          <w:lang w:val="en-US"/>
        </w:rPr>
        <w:t>Gamma</w:t>
      </w:r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 radiography industry becomes the most risky industry in </w:t>
      </w:r>
      <w:bookmarkStart w:id="12" w:name="OLE_LINK2"/>
      <w:bookmarkStart w:id="13" w:name="OLE_LINK3"/>
      <w:r w:rsidRPr="00D0771C">
        <w:rPr>
          <w:rFonts w:ascii="Cambria" w:eastAsia="Cambria" w:hAnsi="Cambria" w:cs="Cambria"/>
          <w:sz w:val="18"/>
          <w:szCs w:val="18"/>
          <w:lang w:val="en-US"/>
        </w:rPr>
        <w:t>Nuclear Technology Application</w:t>
      </w:r>
      <w:bookmarkEnd w:id="12"/>
      <w:bookmarkEnd w:id="13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, because flaws can easily cause radioactive sources decontrolled and cause radiation accidents. </w:t>
      </w:r>
    </w:p>
    <w:p w14:paraId="7EDEC888" w14:textId="77777777" w:rsidR="00D0771C" w:rsidRPr="00D0771C" w:rsidRDefault="00D0771C" w:rsidP="00D0771C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In order to enhance the inherent safety of gamma radiography, A </w:t>
      </w:r>
      <w:bookmarkStart w:id="14" w:name="OLE_LINK8"/>
      <w:bookmarkStart w:id="15" w:name="OLE_LINK9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new type of </w:t>
      </w:r>
      <w:r w:rsidRPr="00D0771C">
        <w:rPr>
          <w:rFonts w:ascii="Cambria" w:eastAsia="Cambria" w:hAnsi="Cambria" w:cs="Cambria"/>
          <w:sz w:val="18"/>
          <w:szCs w:val="18"/>
          <w:vertAlign w:val="superscript"/>
          <w:lang w:val="en-US"/>
        </w:rPr>
        <w:t>75</w:t>
      </w:r>
      <w:r w:rsidRPr="00D0771C">
        <w:rPr>
          <w:rFonts w:ascii="Cambria" w:eastAsia="Cambria" w:hAnsi="Cambria" w:cs="Cambria"/>
          <w:sz w:val="18"/>
          <w:szCs w:val="18"/>
          <w:lang w:val="en-US"/>
        </w:rPr>
        <w:t>Se gamma radiography</w:t>
      </w:r>
      <w:bookmarkEnd w:id="14"/>
      <w:bookmarkEnd w:id="15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, which includes mechanical identification of the pigtail, a new interlock system between the shielded exposure device and the guide tube, the self-locking mechanism of the quick connector of the guide tube, dovetail type directional shutter, miniature motor remote control, satellite positioning system, etc. is newly designed. The </w:t>
      </w:r>
      <w:bookmarkStart w:id="16" w:name="OLE_LINK17"/>
      <w:bookmarkStart w:id="17" w:name="OLE_LINK18"/>
      <w:bookmarkStart w:id="18" w:name="OLE_LINK19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new </w:t>
      </w:r>
      <w:bookmarkStart w:id="19" w:name="OLE_LINK15"/>
      <w:bookmarkStart w:id="20" w:name="OLE_LINK16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type of </w:t>
      </w:r>
      <w:bookmarkStart w:id="21" w:name="OLE_LINK13"/>
      <w:bookmarkStart w:id="22" w:name="OLE_LINK14"/>
      <w:r w:rsidRPr="00D0771C">
        <w:rPr>
          <w:rFonts w:ascii="Cambria" w:eastAsia="Cambria" w:hAnsi="Cambria" w:cs="Cambria"/>
          <w:sz w:val="18"/>
          <w:szCs w:val="18"/>
          <w:vertAlign w:val="superscript"/>
          <w:lang w:val="en-US"/>
        </w:rPr>
        <w:t>75</w:t>
      </w:r>
      <w:r w:rsidRPr="00D0771C">
        <w:rPr>
          <w:rFonts w:ascii="Cambria" w:eastAsia="Cambria" w:hAnsi="Cambria" w:cs="Cambria"/>
          <w:sz w:val="18"/>
          <w:szCs w:val="18"/>
          <w:lang w:val="en-US"/>
        </w:rPr>
        <w:t>Se gamma radiography</w:t>
      </w:r>
      <w:bookmarkEnd w:id="16"/>
      <w:bookmarkEnd w:id="17"/>
      <w:bookmarkEnd w:id="18"/>
      <w:bookmarkEnd w:id="19"/>
      <w:bookmarkEnd w:id="20"/>
      <w:bookmarkEnd w:id="21"/>
      <w:bookmarkEnd w:id="22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 has the following advantages: </w:t>
      </w:r>
    </w:p>
    <w:p w14:paraId="43C01599" w14:textId="77777777" w:rsidR="00D0771C" w:rsidRPr="00D0771C" w:rsidRDefault="00D0771C" w:rsidP="00D0771C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1. Compared with similar equipment, the weight is </w:t>
      </w:r>
      <w:r w:rsidRPr="00D0771C">
        <w:rPr>
          <w:rFonts w:ascii="Cambria" w:eastAsia="Cambria" w:hAnsi="Cambria" w:cs="Cambria"/>
          <w:b/>
          <w:sz w:val="18"/>
          <w:szCs w:val="18"/>
          <w:lang w:val="en-US"/>
        </w:rPr>
        <w:t>reduced by more than two kilograms</w:t>
      </w:r>
      <w:r w:rsidRPr="00D0771C">
        <w:rPr>
          <w:rFonts w:ascii="Cambria" w:eastAsia="Cambria" w:hAnsi="Cambria" w:cs="Cambria"/>
          <w:sz w:val="18"/>
          <w:szCs w:val="18"/>
          <w:lang w:val="en-US"/>
        </w:rPr>
        <w:t>.</w:t>
      </w:r>
    </w:p>
    <w:p w14:paraId="3B0962BA" w14:textId="77777777" w:rsidR="00D0771C" w:rsidRPr="00D0771C" w:rsidRDefault="00D0771C" w:rsidP="00D0771C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2. The supervised areas can be </w:t>
      </w:r>
      <w:r w:rsidRPr="00D0771C">
        <w:rPr>
          <w:rFonts w:ascii="Cambria" w:eastAsia="Cambria" w:hAnsi="Cambria" w:cs="Cambria"/>
          <w:b/>
          <w:sz w:val="18"/>
          <w:szCs w:val="18"/>
          <w:lang w:val="en-US"/>
        </w:rPr>
        <w:t>greatly reduced</w:t>
      </w:r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 (from the original radius of more than 200 meters to less than 10 meters) with </w:t>
      </w:r>
      <w:bookmarkStart w:id="23" w:name="OLE_LINK10"/>
      <w:bookmarkStart w:id="24" w:name="OLE_LINK11"/>
      <w:bookmarkStart w:id="25" w:name="OLE_LINK12"/>
      <w:r w:rsidRPr="00D0771C">
        <w:rPr>
          <w:rFonts w:ascii="Cambria" w:eastAsia="Cambria" w:hAnsi="Cambria" w:cs="Cambria"/>
          <w:sz w:val="18"/>
          <w:szCs w:val="18"/>
          <w:lang w:val="en-US"/>
        </w:rPr>
        <w:t>appropriate shield</w:t>
      </w:r>
      <w:bookmarkEnd w:id="23"/>
      <w:bookmarkEnd w:id="24"/>
      <w:bookmarkEnd w:id="25"/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. </w:t>
      </w:r>
    </w:p>
    <w:p w14:paraId="721D52BB" w14:textId="77777777" w:rsidR="00D0771C" w:rsidRPr="00D0771C" w:rsidRDefault="00D0771C" w:rsidP="00D0771C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3. The personal dose of the operator and the radiation levels on the site can be reduced by more than </w:t>
      </w:r>
      <w:r w:rsidRPr="00D0771C">
        <w:rPr>
          <w:rFonts w:ascii="Cambria" w:eastAsia="Cambria" w:hAnsi="Cambria" w:cs="Cambria"/>
          <w:b/>
          <w:sz w:val="18"/>
          <w:szCs w:val="18"/>
          <w:lang w:val="en-US"/>
        </w:rPr>
        <w:t>ten times at least</w:t>
      </w:r>
      <w:r w:rsidRPr="00D0771C">
        <w:rPr>
          <w:rFonts w:ascii="Cambria" w:eastAsia="Cambria" w:hAnsi="Cambria" w:cs="Cambria"/>
          <w:sz w:val="18"/>
          <w:szCs w:val="18"/>
          <w:lang w:val="en-US"/>
        </w:rPr>
        <w:t xml:space="preserve">. </w:t>
      </w:r>
    </w:p>
    <w:p w14:paraId="391DB7FB" w14:textId="69FBD5FA" w:rsidR="00A255C0" w:rsidRDefault="00D0771C" w:rsidP="00D0771C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D0771C">
        <w:rPr>
          <w:rFonts w:ascii="Cambria" w:eastAsia="Cambria" w:hAnsi="Cambria" w:cs="Cambria"/>
          <w:sz w:val="18"/>
          <w:szCs w:val="18"/>
          <w:lang w:val="en-US"/>
        </w:rPr>
        <w:t>This new type device has made some breakthroughs in safety supervision, radiation protection, accident prevention, and operational safety, and truly enhanced the inherent safety of gamma radiography.</w:t>
      </w:r>
      <w:bookmarkEnd w:id="6"/>
      <w:bookmarkEnd w:id="7"/>
    </w:p>
    <w:p w14:paraId="17BA22A1" w14:textId="5ACF3E72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B9B91F3" w14:textId="77777777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7D7FA97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14:paraId="13B560B4" w14:textId="49BB722B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(</w:t>
      </w:r>
      <w:r w:rsidR="00D0771C">
        <w:rPr>
          <w:rFonts w:ascii="Cambria" w:eastAsia="Cambria" w:hAnsi="Cambria" w:cs="Cambria" w:hint="eastAsia"/>
          <w:sz w:val="18"/>
          <w:szCs w:val="18"/>
          <w:lang w:val="en-US" w:eastAsia="zh-CN"/>
        </w:rPr>
        <w:t>China</w:t>
      </w:r>
      <w:r w:rsidRPr="00A255C0">
        <w:rPr>
          <w:rFonts w:ascii="Cambria" w:eastAsia="Cambria" w:hAnsi="Cambria" w:cs="Cambria"/>
          <w:sz w:val="18"/>
          <w:szCs w:val="18"/>
          <w:lang w:val="en-US"/>
        </w:rPr>
        <w:t>)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588AA392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</w:p>
    <w:p w14:paraId="3234298B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162A75D1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75F68EDE" w14:textId="6945783D"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="00D0771C">
        <w:rPr>
          <w:rFonts w:ascii="Cambria" w:eastAsia="Cambria" w:hAnsi="Cambria" w:cs="Cambria" w:hint="eastAsia"/>
          <w:sz w:val="18"/>
          <w:lang w:val="en-US" w:eastAsia="zh-CN"/>
        </w:rPr>
        <w:t>He</w:t>
      </w:r>
      <w:r w:rsidRPr="00A255C0">
        <w:rPr>
          <w:rFonts w:ascii="Cambria" w:eastAsia="Cambria" w:hAnsi="Cambria" w:cs="Cambria"/>
          <w:sz w:val="18"/>
          <w:lang w:val="en-US"/>
        </w:rPr>
        <w:t xml:space="preserve">, </w:t>
      </w:r>
      <w:proofErr w:type="spellStart"/>
      <w:r w:rsidR="00D0771C">
        <w:rPr>
          <w:rFonts w:ascii="Cambria" w:eastAsia="Cambria" w:hAnsi="Cambria" w:cs="Cambria" w:hint="eastAsia"/>
          <w:sz w:val="18"/>
          <w:lang w:val="en-US" w:eastAsia="zh-CN"/>
        </w:rPr>
        <w:t>Ronghua</w:t>
      </w:r>
      <w:proofErr w:type="spellEnd"/>
      <w:r w:rsidRPr="00A255C0">
        <w:rPr>
          <w:rFonts w:ascii="Cambria" w:eastAsia="Cambria" w:hAnsi="Cambria" w:cs="Cambria"/>
          <w:sz w:val="18"/>
          <w:lang w:val="en-US"/>
        </w:rPr>
        <w:t xml:space="preserve">; </w:t>
      </w:r>
      <w:r w:rsidR="00D0771C">
        <w:rPr>
          <w:rFonts w:ascii="Cambria" w:eastAsia="Cambria" w:hAnsi="Cambria" w:cs="Cambria" w:hint="eastAsia"/>
          <w:sz w:val="18"/>
          <w:lang w:val="en-US" w:eastAsia="zh-CN"/>
        </w:rPr>
        <w:t>Li</w:t>
      </w:r>
      <w:r w:rsidRPr="00A255C0">
        <w:rPr>
          <w:rFonts w:ascii="Cambria" w:eastAsia="Cambria" w:hAnsi="Cambria" w:cs="Cambria"/>
          <w:sz w:val="18"/>
          <w:lang w:val="en-US"/>
        </w:rPr>
        <w:t xml:space="preserve">, </w:t>
      </w:r>
      <w:r w:rsidR="00D0771C">
        <w:rPr>
          <w:rFonts w:ascii="Cambria" w:eastAsia="Cambria" w:hAnsi="Cambria" w:cs="Cambria" w:hint="eastAsia"/>
          <w:sz w:val="18"/>
          <w:lang w:val="en-US" w:eastAsia="zh-CN"/>
        </w:rPr>
        <w:t>Hang</w:t>
      </w:r>
    </w:p>
    <w:p w14:paraId="0ED3C07B" w14:textId="06E3CEBB" w:rsidR="00A255C0" w:rsidRPr="00A255C0" w:rsidRDefault="00A255C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szCs w:val="18"/>
          <w:lang w:val="en-US"/>
        </w:rPr>
        <w:t>Co-author(s)</w:t>
      </w:r>
      <w:r>
        <w:rPr>
          <w:rFonts w:ascii="Palatino Linotype" w:eastAsia="Cambria" w:hAnsi="Cambria" w:cs="Cambria"/>
          <w:b/>
          <w:sz w:val="20"/>
          <w:szCs w:val="18"/>
          <w:lang w:val="en-US"/>
        </w:rPr>
        <w:t xml:space="preserve">: </w:t>
      </w:r>
      <w:r w:rsidRPr="00A255C0">
        <w:rPr>
          <w:rFonts w:ascii="Cambria" w:eastAsia="Cambria" w:hAnsi="Cambria" w:cs="Cambria"/>
          <w:sz w:val="18"/>
          <w:lang w:val="en-US"/>
        </w:rPr>
        <w:t>SURNAME, First Name</w:t>
      </w:r>
      <w:r>
        <w:rPr>
          <w:rFonts w:ascii="Cambria" w:eastAsia="Cambria" w:hAnsi="Cambria" w:cs="Cambria"/>
          <w:sz w:val="18"/>
          <w:lang w:val="en-US"/>
        </w:rPr>
        <w:t xml:space="preserve"> (Country)</w:t>
      </w:r>
      <w:r w:rsidRPr="00A255C0">
        <w:rPr>
          <w:rFonts w:ascii="Cambria" w:eastAsia="Cambria" w:hAnsi="Cambria" w:cs="Cambria"/>
          <w:sz w:val="18"/>
          <w:lang w:val="en-US"/>
        </w:rPr>
        <w:t>; SURNAME, First Name</w:t>
      </w:r>
      <w:r>
        <w:rPr>
          <w:rFonts w:ascii="Cambria" w:eastAsia="Cambria" w:hAnsi="Cambria" w:cs="Cambria"/>
          <w:sz w:val="18"/>
          <w:lang w:val="en-US"/>
        </w:rPr>
        <w:t xml:space="preserve"> (Country)</w:t>
      </w:r>
    </w:p>
    <w:p w14:paraId="6C8BDC76" w14:textId="1662902E"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 w:rsidR="00D0771C">
        <w:rPr>
          <w:rFonts w:ascii="Palatino Linotype" w:eastAsia="Cambria" w:hAnsi="Cambria" w:cs="Cambria" w:hint="eastAsia"/>
          <w:b/>
          <w:sz w:val="20"/>
          <w:lang w:val="en-US" w:eastAsia="zh-CN"/>
        </w:rPr>
        <w:t>Li</w:t>
      </w:r>
      <w:r>
        <w:rPr>
          <w:rFonts w:ascii="Cambria" w:eastAsia="Cambria" w:hAnsi="Cambria" w:cs="Cambria"/>
          <w:sz w:val="18"/>
          <w:lang w:val="en-US"/>
        </w:rPr>
        <w:t xml:space="preserve">, </w:t>
      </w:r>
      <w:r w:rsidR="00D0771C">
        <w:rPr>
          <w:rFonts w:ascii="Cambria" w:eastAsia="Cambria" w:hAnsi="Cambria" w:cs="Cambria" w:hint="eastAsia"/>
          <w:sz w:val="18"/>
          <w:lang w:val="en-US" w:eastAsia="zh-CN"/>
        </w:rPr>
        <w:t>Hang</w:t>
      </w:r>
    </w:p>
    <w:p w14:paraId="4C959A65" w14:textId="2C7C386A"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14:paraId="2250F487" w14:textId="779D6F4E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>Poster</w:t>
      </w:r>
    </w:p>
    <w:p w14:paraId="16C19EBC" w14:textId="4539B41D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 w:rsidR="00D0771C">
        <w:rPr>
          <w:rFonts w:ascii="Cambria" w:eastAsia="Cambria" w:hAnsi="Cambria" w:cs="Cambria" w:hint="eastAsia"/>
          <w:sz w:val="20"/>
          <w:lang w:val="en-US" w:eastAsia="zh-CN"/>
        </w:rPr>
        <w:t>Li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, </w:t>
      </w:r>
      <w:r w:rsidR="00D0771C">
        <w:rPr>
          <w:rFonts w:ascii="Palatino Linotype" w:eastAsia="Cambria" w:hAnsi="Cambria" w:cs="Cambria" w:hint="eastAsia"/>
          <w:b/>
          <w:sz w:val="20"/>
          <w:lang w:val="en-US" w:eastAsia="zh-CN"/>
        </w:rPr>
        <w:t>Hang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 w:rsidR="00D0771C">
        <w:rPr>
          <w:rFonts w:ascii="Palatino Linotype" w:eastAsia="Cambria" w:hAnsi="Cambria" w:cs="Cambria"/>
          <w:b/>
          <w:sz w:val="20"/>
          <w:lang w:val="en-US"/>
        </w:rPr>
        <w:t>14</w:t>
      </w:r>
      <w:bookmarkStart w:id="26" w:name="_GoBack"/>
      <w:bookmarkEnd w:id="26"/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="00D0771C">
        <w:rPr>
          <w:rFonts w:ascii="Palatino Linotype" w:eastAsia="Cambria" w:hAnsi="Cambria" w:cs="Cambria" w:hint="eastAsia"/>
          <w:b/>
          <w:sz w:val="20"/>
          <w:lang w:val="en-US" w:eastAsia="zh-CN"/>
        </w:rPr>
        <w:t>September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2021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0C8C" w14:textId="77777777" w:rsidR="002B1F8B" w:rsidRDefault="002B1F8B" w:rsidP="00A255C0">
      <w:pPr>
        <w:spacing w:after="0" w:line="240" w:lineRule="auto"/>
      </w:pPr>
      <w:r>
        <w:separator/>
      </w:r>
    </w:p>
  </w:endnote>
  <w:endnote w:type="continuationSeparator" w:id="0">
    <w:p w14:paraId="45579640" w14:textId="77777777" w:rsidR="002B1F8B" w:rsidRDefault="002B1F8B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5411" w14:textId="77777777" w:rsidR="0005181F" w:rsidRDefault="000518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F906" w14:textId="77777777" w:rsidR="0005181F" w:rsidRDefault="000518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7F64" w14:textId="77777777" w:rsidR="0005181F" w:rsidRDefault="000518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1102" w14:textId="77777777" w:rsidR="002B1F8B" w:rsidRDefault="002B1F8B" w:rsidP="00A255C0">
      <w:pPr>
        <w:spacing w:after="0" w:line="240" w:lineRule="auto"/>
      </w:pPr>
      <w:r>
        <w:separator/>
      </w:r>
    </w:p>
  </w:footnote>
  <w:footnote w:type="continuationSeparator" w:id="0">
    <w:p w14:paraId="1B10ED58" w14:textId="77777777" w:rsidR="002B1F8B" w:rsidRDefault="002B1F8B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F05" w14:textId="77777777" w:rsidR="0005181F" w:rsidRDefault="000518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80B5" w14:textId="71D51430" w:rsidR="00A255C0" w:rsidRPr="0005181F" w:rsidRDefault="0005181F" w:rsidP="0005181F">
    <w:pPr>
      <w:pStyle w:val="a3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1B05" w14:textId="77777777" w:rsidR="0005181F" w:rsidRDefault="00051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0"/>
    <w:rsid w:val="0005181F"/>
    <w:rsid w:val="002B1F8B"/>
    <w:rsid w:val="00793466"/>
    <w:rsid w:val="00992218"/>
    <w:rsid w:val="009B2DD6"/>
    <w:rsid w:val="00A255C0"/>
    <w:rsid w:val="00D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255C0"/>
  </w:style>
  <w:style w:type="paragraph" w:styleId="a5">
    <w:name w:val="footer"/>
    <w:basedOn w:val="a"/>
    <w:link w:val="a6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leon</cp:lastModifiedBy>
  <cp:revision>3</cp:revision>
  <dcterms:created xsi:type="dcterms:W3CDTF">2021-05-04T11:48:00Z</dcterms:created>
  <dcterms:modified xsi:type="dcterms:W3CDTF">2021-09-14T15:14:00Z</dcterms:modified>
</cp:coreProperties>
</file>