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7C1D4" w14:textId="77777777" w:rsidR="00CB5D0F" w:rsidRDefault="00CB5D0F" w:rsidP="00CB5D0F">
      <w:pPr>
        <w:pStyle w:val="Ttulo1"/>
      </w:pPr>
      <w:r>
        <w:t xml:space="preserve">TWENTY YEARS OF EXPERIENCE IN THE </w:t>
      </w:r>
    </w:p>
    <w:p w14:paraId="1C63BAE2" w14:textId="77777777" w:rsidR="00CB5D0F" w:rsidRDefault="00CB5D0F" w:rsidP="00CB5D0F">
      <w:pPr>
        <w:pStyle w:val="Ttulo1"/>
      </w:pPr>
      <w:r>
        <w:t>MANAGEMENT OF DISUSED SEALED RADIOACTIVE</w:t>
      </w:r>
    </w:p>
    <w:p w14:paraId="529429EE" w14:textId="7B181E96" w:rsidR="003B5E0E" w:rsidRPr="003B5E0E" w:rsidRDefault="00CB5D0F" w:rsidP="00CB5D0F">
      <w:pPr>
        <w:pStyle w:val="Ttulo1"/>
      </w:pPr>
      <w:r>
        <w:t>SOURCES IN CUBA</w:t>
      </w:r>
      <w:r w:rsidRPr="00EE29B9">
        <w:t xml:space="preserve"> </w:t>
      </w:r>
    </w:p>
    <w:p w14:paraId="19195FDD" w14:textId="77777777" w:rsidR="00802381" w:rsidRDefault="00802381" w:rsidP="00537496">
      <w:pPr>
        <w:pStyle w:val="Authornameandaffiliation"/>
      </w:pPr>
    </w:p>
    <w:p w14:paraId="76E78967" w14:textId="77777777" w:rsidR="00CB5D0F" w:rsidRDefault="00CB5D0F" w:rsidP="00CB5D0F">
      <w:pPr>
        <w:pStyle w:val="Authornameandaffiliation"/>
      </w:pPr>
      <w:r>
        <w:t>M. SALGADO MOJENA</w:t>
      </w:r>
    </w:p>
    <w:p w14:paraId="2B8F3DEA" w14:textId="77777777" w:rsidR="00CB5D0F" w:rsidRDefault="00CB5D0F" w:rsidP="00CB5D0F">
      <w:pPr>
        <w:pStyle w:val="Authornameandaffiliation"/>
      </w:pPr>
      <w:r>
        <w:t xml:space="preserve">Centre for Radiation Protection and Hygiene </w:t>
      </w:r>
    </w:p>
    <w:p w14:paraId="3146F979" w14:textId="77777777" w:rsidR="00CB5D0F" w:rsidRDefault="00CB5D0F" w:rsidP="00CB5D0F">
      <w:pPr>
        <w:pStyle w:val="Authornameandaffiliation"/>
      </w:pPr>
      <w:r>
        <w:t>Havana, Cuba</w:t>
      </w:r>
    </w:p>
    <w:p w14:paraId="0ADD6B08" w14:textId="77777777" w:rsidR="00CB5D0F" w:rsidRDefault="00CB5D0F" w:rsidP="00CB5D0F">
      <w:pPr>
        <w:pStyle w:val="Authornameandaffiliation"/>
      </w:pPr>
      <w:r>
        <w:t>Email: cphrmercedes@ceniai.inf.cu</w:t>
      </w:r>
    </w:p>
    <w:p w14:paraId="6B5FBDBD" w14:textId="77777777" w:rsidR="00CB5D0F" w:rsidRDefault="00CB5D0F" w:rsidP="00CB5D0F">
      <w:pPr>
        <w:pStyle w:val="Authornameandaffiliation"/>
      </w:pPr>
    </w:p>
    <w:p w14:paraId="52FEDF77" w14:textId="028DCFAD" w:rsidR="00CB5D0F" w:rsidRPr="0093161D" w:rsidRDefault="00CB5D0F" w:rsidP="00CB5D0F">
      <w:pPr>
        <w:pStyle w:val="Authornameandaffiliation"/>
      </w:pPr>
      <w:r w:rsidRPr="0093161D">
        <w:t>N. GONZALEZ, J.C. BENITEZ</w:t>
      </w:r>
      <w:r>
        <w:rPr>
          <w:rStyle w:val="Refdenotaalpie"/>
        </w:rPr>
        <w:footnoteReference w:id="2"/>
      </w:r>
      <w:r w:rsidRPr="0093161D">
        <w:t>, J.M. HERNANDEZ, R</w:t>
      </w:r>
      <w:r w:rsidR="00D2451E">
        <w:t>.</w:t>
      </w:r>
      <w:r w:rsidRPr="0093161D">
        <w:t xml:space="preserve"> CASTILLO, J. MENDOZA, G. TURRUELLA </w:t>
      </w:r>
    </w:p>
    <w:p w14:paraId="16CFAFF9" w14:textId="77777777" w:rsidR="00CB5D0F" w:rsidRDefault="00CB5D0F" w:rsidP="00CB5D0F">
      <w:pPr>
        <w:pStyle w:val="Authornameandaffiliation"/>
      </w:pPr>
      <w:r>
        <w:t xml:space="preserve">Centre for Radiation Protection and Hygiene </w:t>
      </w:r>
    </w:p>
    <w:p w14:paraId="389EB1D5" w14:textId="77777777" w:rsidR="00CB5D0F" w:rsidRDefault="00CB5D0F" w:rsidP="00CB5D0F">
      <w:pPr>
        <w:pStyle w:val="Authornameandaffiliation"/>
      </w:pPr>
      <w:r>
        <w:t>Havana, Cuba</w:t>
      </w:r>
    </w:p>
    <w:p w14:paraId="00019388" w14:textId="77777777" w:rsidR="00FF386F" w:rsidRDefault="00FF386F" w:rsidP="00537496">
      <w:pPr>
        <w:pStyle w:val="Authornameandaffiliation"/>
      </w:pPr>
    </w:p>
    <w:p w14:paraId="57857091" w14:textId="77777777" w:rsidR="00647F33" w:rsidRPr="00647F33" w:rsidRDefault="00647F33" w:rsidP="00537496">
      <w:pPr>
        <w:pStyle w:val="Authornameandaffiliation"/>
        <w:rPr>
          <w:b/>
        </w:rPr>
      </w:pPr>
      <w:r w:rsidRPr="00647F33">
        <w:rPr>
          <w:b/>
        </w:rPr>
        <w:t>Abstract</w:t>
      </w:r>
    </w:p>
    <w:p w14:paraId="353C524E" w14:textId="77777777" w:rsidR="00647F33" w:rsidRDefault="00647F33" w:rsidP="00537496">
      <w:pPr>
        <w:pStyle w:val="Authornameandaffiliation"/>
      </w:pPr>
    </w:p>
    <w:p w14:paraId="662E43B0" w14:textId="70B9244E" w:rsidR="00647F33" w:rsidRPr="00BD605C" w:rsidRDefault="00CB5D0F" w:rsidP="00537496">
      <w:pPr>
        <w:pStyle w:val="Abstracttext"/>
      </w:pPr>
      <w:r w:rsidRPr="00CB5D0F">
        <w:t xml:space="preserve">Disused sealed radioactive sources (DSRS) in Cuba, when cannot be returned to </w:t>
      </w:r>
      <w:r w:rsidR="00587018">
        <w:t>a supplier</w:t>
      </w:r>
      <w:r w:rsidRPr="00CB5D0F">
        <w:t>, are transferred to the Centre for Radiation Protection and Hygiene</w:t>
      </w:r>
      <w:r w:rsidR="00D87279">
        <w:t xml:space="preserve"> (CPHR)</w:t>
      </w:r>
      <w:r w:rsidRPr="00CB5D0F">
        <w:t xml:space="preserve">, the Waste Management Organization in the country. Since the beginning of nineties, DSRS have been collected and transported to the Radioactive Waste Management Facilities for their safe and secure management. During the first years, the DSRS were stored in the facility as received. Later the characterization and conditioning of the </w:t>
      </w:r>
      <w:r w:rsidRPr="00F40826">
        <w:t xml:space="preserve">sources </w:t>
      </w:r>
      <w:r w:rsidR="007857DE" w:rsidRPr="00F40826">
        <w:t>have been</w:t>
      </w:r>
      <w:r w:rsidRPr="00F40826">
        <w:t xml:space="preserve"> carried</w:t>
      </w:r>
      <w:r w:rsidRPr="00CB5D0F">
        <w:t xml:space="preserve"> out, following different approaches. At present, the sources of categories 3 to 5 are being removed from the devices, characterized and conditioned in stainless steel capsules for their safe storage. The DSRS of categories 1 and 2 are stored in their devices, as the required technology is not in place for their safe conditioning. The reuse of the DSRS is another option implemented when all the requirements are complied. The paper illustrates the progress of Cuba in the safe management of DSRS in the last 20 years</w:t>
      </w:r>
      <w:r w:rsidR="00647F33" w:rsidRPr="00BD605C">
        <w:t>.</w:t>
      </w:r>
    </w:p>
    <w:p w14:paraId="17E7B079" w14:textId="77777777" w:rsidR="00647F33" w:rsidRDefault="00F523CA" w:rsidP="00537496">
      <w:pPr>
        <w:pStyle w:val="Ttulo2"/>
        <w:numPr>
          <w:ilvl w:val="1"/>
          <w:numId w:val="10"/>
        </w:numPr>
      </w:pPr>
      <w:r>
        <w:t>INTRODUCTION</w:t>
      </w:r>
    </w:p>
    <w:p w14:paraId="788D1138" w14:textId="09B2B70E" w:rsidR="00CB5D0F" w:rsidRDefault="00CB5D0F" w:rsidP="00CB5D0F">
      <w:pPr>
        <w:pStyle w:val="Textoindependiente"/>
      </w:pPr>
      <w:r>
        <w:t>Sealed radioactive sources (SRS) are widely used in Cuba in industry, medicine and research. The national regulations establish that when the SRS are declared disused</w:t>
      </w:r>
      <w:r w:rsidR="00A84BA4">
        <w:t>,</w:t>
      </w:r>
      <w:r>
        <w:t xml:space="preserve"> they have to be returned to </w:t>
      </w:r>
      <w:r w:rsidR="00A84BA4">
        <w:t xml:space="preserve">the </w:t>
      </w:r>
      <w:r w:rsidR="00A84BA4" w:rsidRPr="00A84BA4">
        <w:t>original supplier</w:t>
      </w:r>
      <w:r>
        <w:t xml:space="preserve">. The reuse of the sources by other Licensee is also authorized. When these options are not available, the disused sealed radioactive sources (DSRS) are transferred to the Centre for Radiation Protection and Hygiene (CPHR), the organization responsible for the management of </w:t>
      </w:r>
      <w:r w:rsidR="00A84BA4">
        <w:t xml:space="preserve">DSRS and </w:t>
      </w:r>
      <w:r>
        <w:t xml:space="preserve">radioactive waste in Cuba. DSRS are collected by the CPHR and transported to the Waste Management Facilities, for characterization, conditioning and safe storage. The first national collections of DSRS were carried out in the beginning of nineties, when the centralized </w:t>
      </w:r>
      <w:r w:rsidR="005A7E3D">
        <w:t>W</w:t>
      </w:r>
      <w:r>
        <w:t xml:space="preserve">aste </w:t>
      </w:r>
      <w:r w:rsidR="005A7E3D">
        <w:t>S</w:t>
      </w:r>
      <w:r>
        <w:t xml:space="preserve">torage </w:t>
      </w:r>
      <w:r w:rsidR="005A7E3D">
        <w:t>F</w:t>
      </w:r>
      <w:r>
        <w:t xml:space="preserve">acility was put in operation. </w:t>
      </w:r>
    </w:p>
    <w:p w14:paraId="56DA9165" w14:textId="41B44DD7" w:rsidR="00CB5D0F" w:rsidRDefault="00CB5D0F" w:rsidP="00CB5D0F">
      <w:pPr>
        <w:pStyle w:val="Textoindependiente"/>
      </w:pPr>
      <w:r>
        <w:t xml:space="preserve">At the beginning, the DSRS were stored in the facility as received. Around the year 2000 the DSRS were </w:t>
      </w:r>
      <w:r w:rsidR="00A84BA4">
        <w:t>characterized,</w:t>
      </w:r>
      <w:r>
        <w:t xml:space="preserve"> and a </w:t>
      </w:r>
      <w:r w:rsidR="00A84BA4">
        <w:t xml:space="preserve">rigorous </w:t>
      </w:r>
      <w:r>
        <w:t xml:space="preserve">record keeping was implemented. </w:t>
      </w:r>
      <w:r w:rsidR="00A84BA4">
        <w:t>In line with the IAEA Guidance on the management of DSRS [1], t</w:t>
      </w:r>
      <w:r w:rsidR="005A7E3D" w:rsidRPr="007C725D">
        <w:t xml:space="preserve">he conditioning of DSRS is </w:t>
      </w:r>
      <w:r w:rsidR="005A7E3D">
        <w:t>required</w:t>
      </w:r>
      <w:r w:rsidR="005A7E3D" w:rsidRPr="007C725D">
        <w:t xml:space="preserve"> in order to increase the safety and security during the long term storage.</w:t>
      </w:r>
      <w:r w:rsidR="005A7E3D">
        <w:t xml:space="preserve"> </w:t>
      </w:r>
      <w:r>
        <w:t xml:space="preserve">The DSRS of categories 3 to 5 were first conditioned by </w:t>
      </w:r>
      <w:r w:rsidR="00BF2C57">
        <w:t xml:space="preserve">emplacement </w:t>
      </w:r>
      <w:r>
        <w:t xml:space="preserve">the devices with the DSRS inside </w:t>
      </w:r>
      <w:r w:rsidR="005A7E3D">
        <w:t>concrete</w:t>
      </w:r>
      <w:r w:rsidR="00BF2C57">
        <w:t xml:space="preserve"> </w:t>
      </w:r>
      <w:r w:rsidR="005A7E3D">
        <w:t>lin</w:t>
      </w:r>
      <w:r w:rsidR="00BF2C57">
        <w:t>ed</w:t>
      </w:r>
      <w:r>
        <w:t xml:space="preserve"> 200-litre drums. They were not immobilized to allow retrievability for further conditioning and disposal. Later on, and following the IAEA recommendations, the DSRS of categories 3 to 5 started to be conditioned by encapsulation</w:t>
      </w:r>
      <w:r w:rsidR="008F22EB">
        <w:t xml:space="preserve"> [</w:t>
      </w:r>
      <w:r w:rsidR="009A4F10">
        <w:t>2</w:t>
      </w:r>
      <w:r w:rsidR="00E3688E">
        <w:t>-</w:t>
      </w:r>
      <w:r w:rsidR="008D4601">
        <w:t>4</w:t>
      </w:r>
      <w:bookmarkStart w:id="0" w:name="_GoBack"/>
      <w:bookmarkEnd w:id="0"/>
      <w:r w:rsidR="008F22EB">
        <w:t>]</w:t>
      </w:r>
      <w:r>
        <w:t xml:space="preserve">. </w:t>
      </w:r>
    </w:p>
    <w:p w14:paraId="2E5A1BDF" w14:textId="1A08B9DE" w:rsidR="00EE0041" w:rsidRDefault="00CB5D0F" w:rsidP="00CB5D0F">
      <w:pPr>
        <w:pStyle w:val="Textoindependiente"/>
      </w:pPr>
      <w:r>
        <w:t>The DSRS of categories 1 and 2 are not being conditioned, but in some cases it was necessary to transfer the sources from the user´s facility to adequate shielded containers for their transportation to the Waste Management Facility and safe storage</w:t>
      </w:r>
      <w:r w:rsidR="008B6BB9">
        <w:t>.</w:t>
      </w:r>
    </w:p>
    <w:p w14:paraId="51EC0D42" w14:textId="59193FF6" w:rsidR="00E25B68" w:rsidRDefault="00C3377D" w:rsidP="0026525A">
      <w:pPr>
        <w:pStyle w:val="Ttulo2"/>
        <w:numPr>
          <w:ilvl w:val="1"/>
          <w:numId w:val="10"/>
        </w:numPr>
      </w:pPr>
      <w:r w:rsidRPr="0080718F">
        <w:t>Characterization of disused sealed radioactive sources</w:t>
      </w:r>
    </w:p>
    <w:p w14:paraId="67C56F3F" w14:textId="5DF91B2D" w:rsidR="000A2990" w:rsidRDefault="00C3377D" w:rsidP="000A2990">
      <w:pPr>
        <w:pStyle w:val="Textoindependiente"/>
      </w:pPr>
      <w:r w:rsidRPr="00C3377D">
        <w:t xml:space="preserve">Several sources received in the facility in the </w:t>
      </w:r>
      <w:r w:rsidR="00CE67DB">
        <w:t>earlier</w:t>
      </w:r>
      <w:r w:rsidR="00CE67DB" w:rsidRPr="00C3377D">
        <w:t xml:space="preserve"> </w:t>
      </w:r>
      <w:r w:rsidRPr="00C3377D">
        <w:t xml:space="preserve">collection campaigns did not have the required information about the radionuclide contained and activity. It was </w:t>
      </w:r>
      <w:r w:rsidR="00CE67DB">
        <w:t xml:space="preserve">essential </w:t>
      </w:r>
      <w:r w:rsidR="00CE67DB" w:rsidRPr="00C3377D">
        <w:t>to</w:t>
      </w:r>
      <w:r w:rsidRPr="00C3377D">
        <w:t xml:space="preserve"> establish adequate control over </w:t>
      </w:r>
      <w:r w:rsidRPr="00C3377D">
        <w:lastRenderedPageBreak/>
        <w:t xml:space="preserve">DSRS at the </w:t>
      </w:r>
      <w:r w:rsidR="005A7E3D">
        <w:t xml:space="preserve">Waste </w:t>
      </w:r>
      <w:r w:rsidRPr="00C3377D">
        <w:t>Storage Facility</w:t>
      </w:r>
      <w:r w:rsidR="00CE67DB">
        <w:t>, and consequently t</w:t>
      </w:r>
      <w:r w:rsidRPr="00C3377D">
        <w:t xml:space="preserve">he creation </w:t>
      </w:r>
      <w:r w:rsidRPr="00C3377D">
        <w:t>of proper inventory of DSRS became a high priority. The first tasks were to characterize the “unknown sources” and implement an appropriate system for record keeping. Portable spectrometers were used for identification of the radionuclides (for gamma emitters). The activity was estimated from dose rates measured at a certain distance from the source. More precise activity calculation is carried out during the conditioning process, as explained below. An updated inventory of DSRS is kept at the CPHR</w:t>
      </w:r>
      <w:r w:rsidR="000A2990">
        <w:t xml:space="preserve">. </w:t>
      </w:r>
    </w:p>
    <w:p w14:paraId="0F033135" w14:textId="12776155" w:rsidR="00EE0041" w:rsidRDefault="007C725D" w:rsidP="007C725D">
      <w:pPr>
        <w:pStyle w:val="Ttulo2"/>
        <w:numPr>
          <w:ilvl w:val="1"/>
          <w:numId w:val="10"/>
        </w:numPr>
      </w:pPr>
      <w:r w:rsidRPr="007C725D">
        <w:t>CONDITIONING OF CATEGORIES 3-5 DSR</w:t>
      </w:r>
      <w:r w:rsidR="00F74A9D">
        <w:t>S</w:t>
      </w:r>
    </w:p>
    <w:p w14:paraId="35220AF2" w14:textId="51804507" w:rsidR="008B6BB9" w:rsidRPr="00EE0041" w:rsidRDefault="00391931" w:rsidP="00391931">
      <w:pPr>
        <w:pStyle w:val="Ttulo3"/>
      </w:pPr>
      <w:r w:rsidRPr="00391931">
        <w:t xml:space="preserve">Conditioning of DSRS in </w:t>
      </w:r>
      <w:r w:rsidR="00BF2C57">
        <w:t>concrete lined</w:t>
      </w:r>
      <w:r w:rsidRPr="00391931">
        <w:t xml:space="preserve"> drums</w:t>
      </w:r>
    </w:p>
    <w:p w14:paraId="14E1AC68" w14:textId="7E648F87" w:rsidR="00391931" w:rsidRPr="00391931" w:rsidRDefault="00391931" w:rsidP="00391931">
      <w:pPr>
        <w:pStyle w:val="Textoindependiente"/>
      </w:pPr>
      <w:r w:rsidRPr="00391931">
        <w:t xml:space="preserve">First conditioning operations of DSRS of categories 3-5 containing short lived radionuclides (T1/2 &lt; 30 years) consisted in emplacement of the devices </w:t>
      </w:r>
      <w:r w:rsidR="008F22EB" w:rsidRPr="00391931">
        <w:t xml:space="preserve">containing the radioactive sources </w:t>
      </w:r>
      <w:r w:rsidRPr="00391931">
        <w:t>(mainly nuclear gauges and other devices from industrial applications) in concrete lin</w:t>
      </w:r>
      <w:r w:rsidR="00BF2C57">
        <w:t>ed</w:t>
      </w:r>
      <w:r w:rsidRPr="00391931">
        <w:t xml:space="preserve"> drums. The number of devices in a package depended on the </w:t>
      </w:r>
      <w:r w:rsidR="00DB2138">
        <w:t xml:space="preserve">dimensions </w:t>
      </w:r>
      <w:r w:rsidRPr="00391931">
        <w:t>of devices and the total activity of the sources, ensuring the compliance with the acceptance criteria previous</w:t>
      </w:r>
      <w:r w:rsidR="007D0BD4">
        <w:t>ly defined and approved by the R</w:t>
      </w:r>
      <w:r w:rsidRPr="00391931">
        <w:t xml:space="preserve">egulatory </w:t>
      </w:r>
      <w:r w:rsidR="007D0BD4">
        <w:t>B</w:t>
      </w:r>
      <w:r w:rsidRPr="00391931">
        <w:t xml:space="preserve">ody. The devices </w:t>
      </w:r>
      <w:r w:rsidR="00DB2138">
        <w:t xml:space="preserve">were not immobilized with cement, to allow the DSRS </w:t>
      </w:r>
      <w:r w:rsidRPr="00391931">
        <w:t>remain</w:t>
      </w:r>
      <w:r w:rsidR="00DB2138">
        <w:t>ed</w:t>
      </w:r>
      <w:r w:rsidRPr="00391931">
        <w:t xml:space="preserve"> retrievable for further processing. The drums were closed </w:t>
      </w:r>
      <w:r w:rsidR="004B3128">
        <w:t xml:space="preserve">with </w:t>
      </w:r>
      <w:r w:rsidR="00CF5DE6" w:rsidRPr="00CF5DE6">
        <w:t>lid closing mechanism</w:t>
      </w:r>
      <w:r w:rsidR="00CF5DE6">
        <w:t xml:space="preserve">. </w:t>
      </w:r>
      <w:r w:rsidRPr="00391931">
        <w:t xml:space="preserve">The information about the devices and the DSRS conditioned in each package was recorded. More than 600 DSRS were conditioned following this procedure. </w:t>
      </w:r>
    </w:p>
    <w:p w14:paraId="5C0936A5" w14:textId="0E4A0203" w:rsidR="00391931" w:rsidRDefault="00391931" w:rsidP="00391931">
      <w:pPr>
        <w:pStyle w:val="Textoindependiente"/>
      </w:pPr>
      <w:r w:rsidRPr="00391931">
        <w:t xml:space="preserve">The fact that most of these devices </w:t>
      </w:r>
      <w:r w:rsidR="007C4762">
        <w:t>have been stored in the facility for more than 20 years</w:t>
      </w:r>
      <w:r w:rsidRPr="00391931">
        <w:t>, together with the environmental conditions they were exposed to during their service lifetime (mostly in industries), has resulted in the corrosion and deterioration of the majority of devices. This situation increases the risk of sources being stuck inside the devices, source leaking and radioactive contamination in the facility</w:t>
      </w:r>
      <w:r w:rsidR="00CA27DC">
        <w:t xml:space="preserve">. </w:t>
      </w:r>
    </w:p>
    <w:p w14:paraId="3EAE118F" w14:textId="01D3BCA4" w:rsidR="00391931" w:rsidRDefault="007D7DA9" w:rsidP="00391931">
      <w:pPr>
        <w:pStyle w:val="Textoindependiente"/>
      </w:pPr>
      <w:r w:rsidRPr="004F0C27">
        <w:rPr>
          <w:szCs w:val="22"/>
        </w:rPr>
        <w:t>Consequently, devices containing category 3-5 sources are nowadays being dismantled in order to re</w:t>
      </w:r>
      <w:r w:rsidR="00BF2C57">
        <w:rPr>
          <w:szCs w:val="22"/>
        </w:rPr>
        <w:t>move</w:t>
      </w:r>
      <w:r w:rsidRPr="004F0C27">
        <w:rPr>
          <w:szCs w:val="22"/>
        </w:rPr>
        <w:t xml:space="preserve"> the associated radioactive sources, for their characterization and conditioning </w:t>
      </w:r>
      <w:r>
        <w:rPr>
          <w:szCs w:val="22"/>
        </w:rPr>
        <w:t xml:space="preserve">by re-encapsulation. </w:t>
      </w:r>
      <w:r w:rsidR="0060506B">
        <w:rPr>
          <w:szCs w:val="22"/>
        </w:rPr>
        <w:t xml:space="preserve">This </w:t>
      </w:r>
      <w:r w:rsidR="00BF2C57">
        <w:rPr>
          <w:szCs w:val="22"/>
        </w:rPr>
        <w:t xml:space="preserve">procedure </w:t>
      </w:r>
      <w:r w:rsidR="0060506B" w:rsidRPr="0060506B">
        <w:rPr>
          <w:szCs w:val="22"/>
        </w:rPr>
        <w:t>is explained below</w:t>
      </w:r>
      <w:r w:rsidR="0060506B">
        <w:rPr>
          <w:szCs w:val="22"/>
        </w:rPr>
        <w:t xml:space="preserve">. </w:t>
      </w:r>
    </w:p>
    <w:p w14:paraId="67D8B3AB" w14:textId="77777777" w:rsidR="007D7DA9" w:rsidRPr="005E2746" w:rsidRDefault="007D7DA9" w:rsidP="007D7DA9">
      <w:pPr>
        <w:pStyle w:val="Ttulo3"/>
        <w:numPr>
          <w:ilvl w:val="2"/>
          <w:numId w:val="3"/>
        </w:numPr>
      </w:pPr>
      <w:r>
        <w:t xml:space="preserve">Conditioning of DSRS by re-encapsulation </w:t>
      </w:r>
    </w:p>
    <w:p w14:paraId="21AE7BC4" w14:textId="75F60833" w:rsidR="00BB3785" w:rsidRDefault="00551187" w:rsidP="00BB3785">
      <w:pPr>
        <w:pStyle w:val="Textoindependiente"/>
      </w:pPr>
      <w:r w:rsidRPr="00551187">
        <w:t xml:space="preserve">The conditioning process consists of removing the sources from the devices, characterizing </w:t>
      </w:r>
      <w:r w:rsidR="00947187" w:rsidRPr="00947187">
        <w:t>(verification of the radionuclide, dose rate measurements, activity estimation and leak testing by smear samples)</w:t>
      </w:r>
      <w:r w:rsidR="00947187">
        <w:t xml:space="preserve"> </w:t>
      </w:r>
      <w:r w:rsidRPr="00551187">
        <w:t xml:space="preserve">and placing in stainless steel capsules. The conditioning plan is previously prepared, containing the devices to be dismantled and the sources to be placed in each capsule, depending on the radionuclide, activity and dimensions of the sources, as well as the </w:t>
      </w:r>
      <w:r w:rsidR="00E3688E">
        <w:t xml:space="preserve">activity </w:t>
      </w:r>
      <w:r w:rsidRPr="00551187">
        <w:t>limits established in the safety assessment. The capsules are sealed by welding the lid. After checking that the capsules are leak-tight, they are placed in suitable containers. The conditioning process results in waste packages, suitable for safe and secure storage and does not preclude subsequent preparation for disposal</w:t>
      </w:r>
      <w:r w:rsidR="00CF5DE6">
        <w:t xml:space="preserve"> or even return to suppliers for recycling</w:t>
      </w:r>
      <w:r w:rsidRPr="00551187">
        <w:t>. Th</w:t>
      </w:r>
      <w:r w:rsidR="00D87279">
        <w:t xml:space="preserve">e CPHR is </w:t>
      </w:r>
      <w:r w:rsidR="00506E97">
        <w:t>authoriz</w:t>
      </w:r>
      <w:r w:rsidR="00D87279">
        <w:t xml:space="preserve">ed by </w:t>
      </w:r>
      <w:r w:rsidR="00BB3785" w:rsidRPr="00551187">
        <w:t xml:space="preserve">the National Regulatory Body </w:t>
      </w:r>
      <w:r w:rsidR="00506E97">
        <w:t>for th</w:t>
      </w:r>
      <w:r w:rsidR="00D87279">
        <w:t>is practice</w:t>
      </w:r>
      <w:r w:rsidRPr="00551187">
        <w:t xml:space="preserve">. </w:t>
      </w:r>
    </w:p>
    <w:p w14:paraId="617A807D" w14:textId="226AC7F3" w:rsidR="00F01121" w:rsidRDefault="00F01121" w:rsidP="00506E97">
      <w:pPr>
        <w:pStyle w:val="Ttulo4"/>
        <w:ind w:left="0"/>
      </w:pPr>
      <w:r>
        <w:t xml:space="preserve">Conditioning of Ra-226 and other sources containing long lived radionuclides </w:t>
      </w:r>
    </w:p>
    <w:p w14:paraId="2D3E7FED" w14:textId="631B27E7" w:rsidR="002B0293" w:rsidRDefault="00551187" w:rsidP="00EE387C">
      <w:pPr>
        <w:pStyle w:val="Textoindependiente"/>
      </w:pPr>
      <w:r w:rsidRPr="00EE387C">
        <w:t>Radium-226 sources were the first to be conditioned, in 2007, following this methodology</w:t>
      </w:r>
      <w:r w:rsidR="002B0293">
        <w:t xml:space="preserve"> [</w:t>
      </w:r>
      <w:r w:rsidR="009A4F10">
        <w:t>2</w:t>
      </w:r>
      <w:r w:rsidR="002B0293">
        <w:t>]</w:t>
      </w:r>
      <w:r w:rsidRPr="00EE387C">
        <w:t xml:space="preserve">. </w:t>
      </w:r>
      <w:r w:rsidR="00585070" w:rsidRPr="00EE387C">
        <w:t xml:space="preserve">Most </w:t>
      </w:r>
      <w:r w:rsidR="004A59A9">
        <w:t xml:space="preserve">   </w:t>
      </w:r>
      <w:r w:rsidR="00585070" w:rsidRPr="00EE387C">
        <w:t>Ra-226 sources were coming from medical applications (brachythera</w:t>
      </w:r>
      <w:r w:rsidR="00DF50C6">
        <w:t>p</w:t>
      </w:r>
      <w:r w:rsidR="00585070" w:rsidRPr="00EE387C">
        <w:t xml:space="preserve">y sources). The total quantity of Radium stored at the Waste Management Facilities was not </w:t>
      </w:r>
      <w:r w:rsidR="002B0293">
        <w:t>accurate</w:t>
      </w:r>
      <w:r w:rsidR="00585070" w:rsidRPr="00EE387C">
        <w:t xml:space="preserve">, so the first task was to characterize all the sources and to update the inventory. The Ra-226 sources were segregated in groups and placed in individual lead containers, so that the total activity per group </w:t>
      </w:r>
      <w:r w:rsidR="002B0293">
        <w:t>was around</w:t>
      </w:r>
      <w:r w:rsidR="00585070" w:rsidRPr="00EE387C">
        <w:t xml:space="preserve"> 1.85 </w:t>
      </w:r>
      <w:proofErr w:type="spellStart"/>
      <w:r w:rsidR="00585070" w:rsidRPr="00EE387C">
        <w:t>GBq</w:t>
      </w:r>
      <w:proofErr w:type="spellEnd"/>
      <w:r w:rsidR="00585070" w:rsidRPr="00EE387C">
        <w:t xml:space="preserve"> (50 </w:t>
      </w:r>
      <w:proofErr w:type="spellStart"/>
      <w:r w:rsidR="00585070" w:rsidRPr="00EE387C">
        <w:t>mCi</w:t>
      </w:r>
      <w:proofErr w:type="spellEnd"/>
      <w:r w:rsidR="00585070" w:rsidRPr="00EE387C">
        <w:t>). This is the activity of Ra-226 to be conditioned per capsule</w:t>
      </w:r>
      <w:r w:rsidR="004A59A9">
        <w:t xml:space="preserve"> [3]</w:t>
      </w:r>
      <w:r w:rsidR="00585070" w:rsidRPr="00EE387C">
        <w:t xml:space="preserve">. </w:t>
      </w:r>
      <w:r w:rsidR="0060506B">
        <w:t>Since some Ra-226 DSRS were leaking and storage containers were contaminated, a</w:t>
      </w:r>
      <w:r w:rsidR="002B0293">
        <w:t>dequate safety measures were taken when handling Ra-226</w:t>
      </w:r>
      <w:r w:rsidR="00ED3E11">
        <w:t xml:space="preserve"> sources to avoid the spread of contamination and for protection of the operators.</w:t>
      </w:r>
      <w:r w:rsidR="0060506B">
        <w:t xml:space="preserve"> </w:t>
      </w:r>
    </w:p>
    <w:p w14:paraId="71C0D837" w14:textId="076E3FB3" w:rsidR="004A4BA7" w:rsidRDefault="00585070" w:rsidP="00EE387C">
      <w:pPr>
        <w:pStyle w:val="Textoindependiente"/>
      </w:pPr>
      <w:r w:rsidRPr="00EE387C">
        <w:t xml:space="preserve">Relevant equipment for Radium conditioning </w:t>
      </w:r>
      <w:r w:rsidR="00ED3E11">
        <w:t>operations</w:t>
      </w:r>
      <w:r w:rsidRPr="00EE387C">
        <w:t xml:space="preserve"> was provided by the IAEA. Other important equipment and consumables were locally procured or </w:t>
      </w:r>
      <w:r w:rsidR="006F2670">
        <w:t>manufactured</w:t>
      </w:r>
      <w:r w:rsidR="006F2670" w:rsidRPr="00EE387C">
        <w:t xml:space="preserve"> </w:t>
      </w:r>
      <w:r w:rsidRPr="00EE387C">
        <w:t xml:space="preserve">by the CPHR. </w:t>
      </w:r>
      <w:r w:rsidR="006F2670">
        <w:t xml:space="preserve">The </w:t>
      </w:r>
      <w:r w:rsidR="004A4BA7" w:rsidRPr="004A4BA7">
        <w:t>Radium conditioning</w:t>
      </w:r>
      <w:r w:rsidR="006F2670">
        <w:t xml:space="preserve"> </w:t>
      </w:r>
      <w:r w:rsidR="004A59A9">
        <w:t>was</w:t>
      </w:r>
      <w:r w:rsidR="004A4BA7" w:rsidRPr="004A4BA7">
        <w:t xml:space="preserve"> not included among the </w:t>
      </w:r>
      <w:r w:rsidR="00E92365">
        <w:t xml:space="preserve">operations </w:t>
      </w:r>
      <w:r w:rsidR="006F2670">
        <w:t xml:space="preserve">initially </w:t>
      </w:r>
      <w:r w:rsidR="004A4BA7" w:rsidRPr="004A4BA7">
        <w:t xml:space="preserve">authorized under the License for the </w:t>
      </w:r>
      <w:r w:rsidR="00E92365">
        <w:t xml:space="preserve">Radioactive </w:t>
      </w:r>
      <w:r w:rsidR="004A4BA7" w:rsidRPr="004A4BA7">
        <w:t xml:space="preserve">Waste Management </w:t>
      </w:r>
      <w:r w:rsidR="00E92365">
        <w:t>Practice</w:t>
      </w:r>
      <w:r w:rsidR="004A4BA7" w:rsidRPr="004A4BA7">
        <w:t>. Therefore</w:t>
      </w:r>
      <w:r w:rsidR="009A4F10">
        <w:t>,</w:t>
      </w:r>
      <w:r w:rsidR="004A4BA7" w:rsidRPr="004A4BA7">
        <w:t xml:space="preserve"> it was necessary to</w:t>
      </w:r>
      <w:r w:rsidR="004A4BA7">
        <w:t xml:space="preserve"> apply </w:t>
      </w:r>
      <w:r w:rsidR="009A4F10">
        <w:t>for</w:t>
      </w:r>
      <w:r w:rsidR="009A4F10" w:rsidRPr="004A4BA7">
        <w:t xml:space="preserve"> </w:t>
      </w:r>
      <w:r w:rsidR="004A4BA7" w:rsidRPr="004A4BA7">
        <w:t xml:space="preserve">an additional </w:t>
      </w:r>
      <w:r w:rsidR="009A4F10">
        <w:t xml:space="preserve">specific </w:t>
      </w:r>
      <w:r w:rsidR="004A4BA7" w:rsidRPr="004A4BA7">
        <w:t xml:space="preserve">authorization for these </w:t>
      </w:r>
      <w:r w:rsidR="004A4BA7" w:rsidRPr="004A4BA7">
        <w:lastRenderedPageBreak/>
        <w:t xml:space="preserve">operations. The documentation supporting this </w:t>
      </w:r>
      <w:r w:rsidR="004A4BA7">
        <w:t xml:space="preserve">application </w:t>
      </w:r>
      <w:r w:rsidR="004A4BA7" w:rsidRPr="004A4BA7">
        <w:t xml:space="preserve">included the </w:t>
      </w:r>
      <w:r w:rsidR="007F2569">
        <w:t>operational p</w:t>
      </w:r>
      <w:r w:rsidR="004A4BA7" w:rsidRPr="004A4BA7">
        <w:t>rocedures</w:t>
      </w:r>
      <w:r w:rsidR="004A4BA7">
        <w:t>,</w:t>
      </w:r>
      <w:r w:rsidR="004A4BA7" w:rsidRPr="004A4BA7">
        <w:t xml:space="preserve"> the corresponding Safety Report and the Emergency Plan</w:t>
      </w:r>
      <w:r w:rsidR="004A4BA7">
        <w:t>.</w:t>
      </w:r>
      <w:r w:rsidR="004A4BA7" w:rsidRPr="0080718F">
        <w:rPr>
          <w:szCs w:val="22"/>
        </w:rPr>
        <w:t xml:space="preserve"> The preparation of suitable and adequate workplaces to handle the sources was a basic principle observed in order to avoid unnecessary occupational exposure and spread of contamination</w:t>
      </w:r>
      <w:r w:rsidR="004A4BA7">
        <w:rPr>
          <w:szCs w:val="22"/>
        </w:rPr>
        <w:t xml:space="preserve">. </w:t>
      </w:r>
      <w:r w:rsidR="007F2569">
        <w:rPr>
          <w:szCs w:val="22"/>
        </w:rPr>
        <w:t xml:space="preserve">The documentation was evaluated by the Regulatory Body and the authorization was granted to the CPHR. </w:t>
      </w:r>
    </w:p>
    <w:p w14:paraId="7D2BA688" w14:textId="13DC4FBC" w:rsidR="008F22EB" w:rsidRPr="00EE387C" w:rsidRDefault="00EE387C" w:rsidP="00EE387C">
      <w:pPr>
        <w:pStyle w:val="Textoindependiente"/>
      </w:pPr>
      <w:r w:rsidRPr="00EE387C">
        <w:t>Radium sources in Cuba were conditioned following the methodology recommended by the IAEA [</w:t>
      </w:r>
      <w:r w:rsidR="009A4F10">
        <w:t>3</w:t>
      </w:r>
      <w:r w:rsidRPr="00EE387C">
        <w:t>].</w:t>
      </w:r>
      <w:r w:rsidR="003553E7">
        <w:t xml:space="preserve"> </w:t>
      </w:r>
      <w:r w:rsidR="009A4F10">
        <w:t xml:space="preserve">All disused Ra-226 </w:t>
      </w:r>
      <w:r w:rsidR="003553E7">
        <w:t xml:space="preserve">sources (1071 in total, </w:t>
      </w:r>
      <w:r w:rsidR="002B0293" w:rsidRPr="002B0293">
        <w:t>among them</w:t>
      </w:r>
      <w:r w:rsidR="002B0293">
        <w:t xml:space="preserve"> </w:t>
      </w:r>
      <w:r w:rsidR="003553E7">
        <w:t xml:space="preserve">1009 brachytherapy needles and tubes) with an </w:t>
      </w:r>
      <w:r w:rsidR="003553E7">
        <w:t xml:space="preserve">estimated total activity of 188 </w:t>
      </w:r>
      <w:proofErr w:type="spellStart"/>
      <w:r w:rsidR="003553E7">
        <w:t>GBq</w:t>
      </w:r>
      <w:proofErr w:type="spellEnd"/>
      <w:r w:rsidR="002B0293">
        <w:t xml:space="preserve"> (5 </w:t>
      </w:r>
      <w:proofErr w:type="spellStart"/>
      <w:r w:rsidR="002B0293">
        <w:t>Ci</w:t>
      </w:r>
      <w:proofErr w:type="spellEnd"/>
      <w:r w:rsidR="002B0293">
        <w:t>)</w:t>
      </w:r>
      <w:r w:rsidR="003553E7">
        <w:t xml:space="preserve"> were conditioned in 84 capsules that were placed in 9 lead shielded </w:t>
      </w:r>
      <w:r w:rsidR="00947187">
        <w:t>containers, which</w:t>
      </w:r>
      <w:r w:rsidR="003553E7">
        <w:t xml:space="preserve"> are stored in 5 waste packages.  </w:t>
      </w:r>
    </w:p>
    <w:p w14:paraId="2A164926" w14:textId="38CC6EB7" w:rsidR="00307C4B" w:rsidRPr="00EE387C" w:rsidRDefault="00947187" w:rsidP="00EE387C">
      <w:pPr>
        <w:pStyle w:val="Textoindependiente"/>
      </w:pPr>
      <w:r>
        <w:t>Other DSRS containing long lived radionuclides (mainly Am-241) are being conditioned following the same methodology</w:t>
      </w:r>
      <w:r w:rsidR="00ED3E11">
        <w:t xml:space="preserve"> [</w:t>
      </w:r>
      <w:r w:rsidR="009A4F10">
        <w:t>2</w:t>
      </w:r>
      <w:r w:rsidR="00ED3E11">
        <w:t>]</w:t>
      </w:r>
      <w:r>
        <w:t xml:space="preserve">. These sources </w:t>
      </w:r>
      <w:r w:rsidR="00DC21A3">
        <w:t xml:space="preserve">have been removed from lightning conductors, smoke detectors and some nuclear gauges. </w:t>
      </w:r>
      <w:r w:rsidR="00DC21A3" w:rsidRPr="00DC21A3">
        <w:t xml:space="preserve">The activities of sources contained </w:t>
      </w:r>
      <w:r w:rsidR="00DC21A3">
        <w:t xml:space="preserve">in radioactive lightning conductors and smoke detectors </w:t>
      </w:r>
      <w:r w:rsidR="00DC21A3" w:rsidRPr="00DC21A3">
        <w:t xml:space="preserve">are relatively low, so they </w:t>
      </w:r>
      <w:r w:rsidR="009A4F10">
        <w:t xml:space="preserve">would not </w:t>
      </w:r>
      <w:r w:rsidR="00DC21A3" w:rsidRPr="00DC21A3">
        <w:t xml:space="preserve">cause high </w:t>
      </w:r>
      <w:r w:rsidR="00EF7250">
        <w:t xml:space="preserve">external </w:t>
      </w:r>
      <w:r w:rsidR="00DC21A3" w:rsidRPr="00DC21A3">
        <w:t>occupational exposure. However, spread of contamination is a</w:t>
      </w:r>
      <w:r w:rsidR="00DC21A3">
        <w:t xml:space="preserve"> definite risk to be dealt with, </w:t>
      </w:r>
      <w:r w:rsidR="00DC21A3" w:rsidRPr="00DC21A3">
        <w:t>so the risk of inhalation during the handling of these sources was considered</w:t>
      </w:r>
      <w:r w:rsidR="00DC21A3">
        <w:t xml:space="preserve">. </w:t>
      </w:r>
      <w:r w:rsidR="00307C4B">
        <w:t xml:space="preserve">More than two hundred </w:t>
      </w:r>
      <w:r w:rsidR="00307C4B" w:rsidRPr="00551187">
        <w:t xml:space="preserve">radioactive lightning conductors, containing Am-241 </w:t>
      </w:r>
      <w:r w:rsidR="00307C4B">
        <w:t>or</w:t>
      </w:r>
      <w:r w:rsidR="00307C4B" w:rsidRPr="00551187">
        <w:t xml:space="preserve"> C-14 sources, were dismantled </w:t>
      </w:r>
      <w:r w:rsidR="00307C4B">
        <w:t xml:space="preserve">and the </w:t>
      </w:r>
      <w:r w:rsidR="00307C4B" w:rsidRPr="00551187">
        <w:t xml:space="preserve">DSRS were </w:t>
      </w:r>
      <w:r w:rsidR="00307C4B">
        <w:t xml:space="preserve">characterized and conditioned. </w:t>
      </w:r>
      <w:r w:rsidR="00307C4B" w:rsidRPr="00307C4B">
        <w:t>Thousands</w:t>
      </w:r>
      <w:r w:rsidR="00307C4B">
        <w:t xml:space="preserve"> </w:t>
      </w:r>
      <w:r w:rsidR="00307C4B" w:rsidRPr="00307C4B">
        <w:t xml:space="preserve">of </w:t>
      </w:r>
      <w:r w:rsidR="00307C4B">
        <w:t xml:space="preserve">ionization smoke </w:t>
      </w:r>
      <w:r w:rsidR="00307C4B" w:rsidRPr="00307C4B">
        <w:t>detectors</w:t>
      </w:r>
      <w:r w:rsidR="008F1100">
        <w:t xml:space="preserve"> were also managed in the Waste Management Facilities. </w:t>
      </w:r>
    </w:p>
    <w:p w14:paraId="36CBE8E6" w14:textId="56A53B79" w:rsidR="000C521F" w:rsidRDefault="000C521F" w:rsidP="000C521F">
      <w:pPr>
        <w:pStyle w:val="Ttulo4"/>
        <w:ind w:left="0"/>
      </w:pPr>
      <w:r>
        <w:t xml:space="preserve">Dismantling of nuclear gauges and conditioning of associated DSRS of categories 3-5 </w:t>
      </w:r>
    </w:p>
    <w:p w14:paraId="5B68868D" w14:textId="13BC40D0" w:rsidR="003553E7" w:rsidRDefault="00923810" w:rsidP="00551187">
      <w:pPr>
        <w:pStyle w:val="Textoindependiente"/>
      </w:pPr>
      <w:r>
        <w:t>As mentioned before, nuclear gauges a</w:t>
      </w:r>
      <w:r w:rsidR="00EF7250">
        <w:t>n</w:t>
      </w:r>
      <w:r>
        <w:t xml:space="preserve">d other devices containing category 3-5 sources stored in the facility </w:t>
      </w:r>
      <w:r w:rsidR="00EF7250">
        <w:t>we</w:t>
      </w:r>
      <w:r>
        <w:t>re corroded and deteriorated</w:t>
      </w:r>
      <w:r w:rsidR="00F40826">
        <w:t xml:space="preserve"> (Fig. 1)</w:t>
      </w:r>
      <w:r>
        <w:t xml:space="preserve">, so it was necessary to </w:t>
      </w:r>
      <w:r w:rsidRPr="004F0C27">
        <w:rPr>
          <w:szCs w:val="22"/>
        </w:rPr>
        <w:t>dismantle</w:t>
      </w:r>
      <w:r>
        <w:rPr>
          <w:szCs w:val="22"/>
        </w:rPr>
        <w:t xml:space="preserve"> the devices </w:t>
      </w:r>
      <w:r w:rsidRPr="004F0C27">
        <w:rPr>
          <w:szCs w:val="22"/>
        </w:rPr>
        <w:t>to re</w:t>
      </w:r>
      <w:r>
        <w:rPr>
          <w:szCs w:val="22"/>
        </w:rPr>
        <w:t>move</w:t>
      </w:r>
      <w:r w:rsidRPr="004F0C27">
        <w:rPr>
          <w:szCs w:val="22"/>
        </w:rPr>
        <w:t xml:space="preserve"> the associated radioactive sources, for their characterization and conditioning </w:t>
      </w:r>
      <w:r>
        <w:rPr>
          <w:szCs w:val="22"/>
        </w:rPr>
        <w:t xml:space="preserve">for </w:t>
      </w:r>
      <w:r w:rsidR="008F1100">
        <w:rPr>
          <w:szCs w:val="22"/>
        </w:rPr>
        <w:t xml:space="preserve">safe </w:t>
      </w:r>
      <w:r>
        <w:rPr>
          <w:szCs w:val="22"/>
        </w:rPr>
        <w:t xml:space="preserve">long term storage. </w:t>
      </w:r>
      <w:r w:rsidRPr="00551187">
        <w:t>The</w:t>
      </w:r>
      <w:r w:rsidR="003F6775">
        <w:t xml:space="preserve">se operations started </w:t>
      </w:r>
      <w:r w:rsidRPr="00551187">
        <w:t>in 2015.</w:t>
      </w:r>
      <w:r>
        <w:t xml:space="preserve"> An IAEA expert mission was received to </w:t>
      </w:r>
      <w:r w:rsidR="00EF7250">
        <w:t>advice</w:t>
      </w:r>
      <w:r>
        <w:t xml:space="preserve"> during the first </w:t>
      </w:r>
      <w:r w:rsidR="003F6775">
        <w:t xml:space="preserve">device </w:t>
      </w:r>
      <w:r>
        <w:t xml:space="preserve">dismantling operations. </w:t>
      </w:r>
    </w:p>
    <w:p w14:paraId="6129C61D" w14:textId="77777777" w:rsidR="00923810" w:rsidRDefault="00923810" w:rsidP="00551187">
      <w:pPr>
        <w:pStyle w:val="Textoindependiente"/>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8"/>
        <w:gridCol w:w="3544"/>
      </w:tblGrid>
      <w:tr w:rsidR="003F6775" w14:paraId="1AE34871" w14:textId="77777777" w:rsidTr="009117E5">
        <w:tc>
          <w:tcPr>
            <w:tcW w:w="5468" w:type="dxa"/>
          </w:tcPr>
          <w:p w14:paraId="1FC584CA" w14:textId="77777777" w:rsidR="003F6775" w:rsidRDefault="003F6775" w:rsidP="009117E5">
            <w:pPr>
              <w:pStyle w:val="Textoindependiente"/>
              <w:ind w:firstLine="0"/>
              <w:jc w:val="center"/>
            </w:pPr>
            <w:r w:rsidRPr="00055395">
              <w:rPr>
                <w:noProof/>
                <w:lang w:val="es-ES" w:eastAsia="es-ES"/>
              </w:rPr>
              <w:drawing>
                <wp:inline distT="0" distB="0" distL="0" distR="0" wp14:anchorId="5F02B030" wp14:editId="31DB3527">
                  <wp:extent cx="2435961" cy="1826971"/>
                  <wp:effectExtent l="0" t="0" r="2540" b="1905"/>
                  <wp:docPr id="51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40173" cy="1830130"/>
                          </a:xfrm>
                          <a:prstGeom prst="rect">
                            <a:avLst/>
                          </a:prstGeom>
                          <a:noFill/>
                          <a:ln>
                            <a:noFill/>
                          </a:ln>
                          <a:effectLst/>
                        </pic:spPr>
                      </pic:pic>
                    </a:graphicData>
                  </a:graphic>
                </wp:inline>
              </w:drawing>
            </w:r>
          </w:p>
        </w:tc>
        <w:tc>
          <w:tcPr>
            <w:tcW w:w="3544" w:type="dxa"/>
          </w:tcPr>
          <w:p w14:paraId="7783EB35" w14:textId="77777777" w:rsidR="003F6775" w:rsidRDefault="003F6775" w:rsidP="009117E5">
            <w:pPr>
              <w:pStyle w:val="Textoindependiente"/>
              <w:ind w:firstLine="0"/>
              <w:jc w:val="center"/>
            </w:pPr>
            <w:r w:rsidRPr="00055395">
              <w:rPr>
                <w:noProof/>
                <w:lang w:val="es-ES" w:eastAsia="es-ES"/>
              </w:rPr>
              <w:drawing>
                <wp:inline distT="0" distB="0" distL="0" distR="0" wp14:anchorId="52AE4634" wp14:editId="47FF71C0">
                  <wp:extent cx="1423802" cy="1894906"/>
                  <wp:effectExtent l="0" t="0" r="5080"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3"/>
                          <pic:cNvPicPr>
                            <a:picLocks noChangeAspect="1" noChangeArrowheads="1"/>
                          </pic:cNvPicPr>
                        </pic:nvPicPr>
                        <pic:blipFill>
                          <a:blip r:embed="rId14" cstate="print">
                            <a:extLst>
                              <a:ext uri="{BEBA8EAE-BF5A-486C-A8C5-ECC9F3942E4B}">
                                <a14:imgProps xmlns:a14="http://schemas.microsoft.com/office/drawing/2010/main">
                                  <a14:imgLayer r:embed="rId15">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1425082" cy="1896610"/>
                          </a:xfrm>
                          <a:prstGeom prst="rect">
                            <a:avLst/>
                          </a:prstGeom>
                          <a:ln>
                            <a:noFill/>
                          </a:ln>
                          <a:effectLst/>
                          <a:extLst>
                            <a:ext uri="{909E8E84-426E-40DD-AFC4-6F175D3DCCD1}">
                              <a14:hiddenFill xmlns:a14="http://schemas.microsoft.com/office/drawing/2010/main">
                                <a:solidFill>
                                  <a:schemeClr val="accent1"/>
                                </a:solidFill>
                              </a14:hiddenFill>
                            </a:ext>
                          </a:extLst>
                        </pic:spPr>
                      </pic:pic>
                    </a:graphicData>
                  </a:graphic>
                </wp:inline>
              </w:drawing>
            </w:r>
          </w:p>
        </w:tc>
      </w:tr>
      <w:tr w:rsidR="003F6775" w14:paraId="7D91D76F" w14:textId="77777777" w:rsidTr="009117E5">
        <w:tc>
          <w:tcPr>
            <w:tcW w:w="9012" w:type="dxa"/>
            <w:gridSpan w:val="2"/>
          </w:tcPr>
          <w:p w14:paraId="1C5ED804" w14:textId="5823F409" w:rsidR="003F6775" w:rsidRDefault="003F6775" w:rsidP="00BF2C57">
            <w:pPr>
              <w:pStyle w:val="Epgrafe"/>
              <w:jc w:val="cente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763411">
              <w:rPr>
                <w:i/>
                <w:noProof/>
              </w:rPr>
              <w:t>1</w:t>
            </w:r>
            <w:r w:rsidRPr="00802381">
              <w:rPr>
                <w:i/>
              </w:rPr>
              <w:fldChar w:fldCharType="end"/>
            </w:r>
            <w:r>
              <w:rPr>
                <w:i/>
              </w:rPr>
              <w:t>. Situation of devices stored in the facility in 2015</w:t>
            </w:r>
            <w:r w:rsidR="009A4F10">
              <w:rPr>
                <w:i/>
              </w:rPr>
              <w:t xml:space="preserve"> </w:t>
            </w:r>
            <w:r>
              <w:rPr>
                <w:i/>
              </w:rPr>
              <w:t>(devices were removed from the concrete lin</w:t>
            </w:r>
            <w:r w:rsidR="00BF2C57">
              <w:rPr>
                <w:i/>
              </w:rPr>
              <w:t>ed</w:t>
            </w:r>
            <w:r>
              <w:rPr>
                <w:i/>
              </w:rPr>
              <w:t xml:space="preserve"> drums)</w:t>
            </w:r>
          </w:p>
        </w:tc>
      </w:tr>
    </w:tbl>
    <w:p w14:paraId="5D63FF22" w14:textId="77777777" w:rsidR="00923810" w:rsidRDefault="00923810" w:rsidP="00335515">
      <w:pPr>
        <w:pStyle w:val="Textoindependiente"/>
        <w:spacing w:line="240" w:lineRule="auto"/>
      </w:pPr>
    </w:p>
    <w:p w14:paraId="37217568" w14:textId="19676432" w:rsidR="003F6775" w:rsidRDefault="009117E5" w:rsidP="00551187">
      <w:pPr>
        <w:pStyle w:val="Textoindependiente"/>
      </w:pPr>
      <w:r>
        <w:t>Preparatory activities are essential for the safe implementation of dismantling and conditioning operations. These include:</w:t>
      </w:r>
    </w:p>
    <w:p w14:paraId="05F4BF9B" w14:textId="216A61F4" w:rsidR="009117E5" w:rsidRDefault="009117E5" w:rsidP="00D12E67">
      <w:pPr>
        <w:pStyle w:val="ListEmdash"/>
        <w:ind w:left="709"/>
      </w:pPr>
      <w:r>
        <w:t xml:space="preserve">Acquire the necessary stainless steel capsules, as well as other materials and </w:t>
      </w:r>
      <w:r w:rsidR="00D12E67">
        <w:t>consumables,</w:t>
      </w:r>
    </w:p>
    <w:p w14:paraId="19A1E875" w14:textId="74B4D9D2" w:rsidR="003F6775" w:rsidRDefault="00D12E67" w:rsidP="00D12E67">
      <w:pPr>
        <w:pStyle w:val="ListEmdash"/>
        <w:ind w:left="709"/>
      </w:pPr>
      <w:r>
        <w:t>Design and construction of shielded containers to store the conditioned capsules,</w:t>
      </w:r>
    </w:p>
    <w:p w14:paraId="01E97832" w14:textId="767F5B7C" w:rsidR="00D12E67" w:rsidRDefault="00D12E67" w:rsidP="00D12E67">
      <w:pPr>
        <w:pStyle w:val="ListEmdash"/>
        <w:ind w:left="709"/>
      </w:pPr>
      <w:r>
        <w:t>Design and construction of specific tools, to facilitate the dismantling operations and to optimize the operator doses,</w:t>
      </w:r>
    </w:p>
    <w:p w14:paraId="5CB725BC" w14:textId="35793246" w:rsidR="00D12E67" w:rsidRDefault="00D12E67" w:rsidP="00D12E67">
      <w:pPr>
        <w:pStyle w:val="ListEmdash"/>
        <w:ind w:left="709"/>
      </w:pPr>
      <w:r>
        <w:t>Prepare the work places, guarantying:</w:t>
      </w:r>
    </w:p>
    <w:p w14:paraId="52D1F945" w14:textId="05686D67" w:rsidR="00D12E67" w:rsidRDefault="00D12E67" w:rsidP="00D12E67">
      <w:pPr>
        <w:pStyle w:val="Textoindependiente"/>
        <w:numPr>
          <w:ilvl w:val="3"/>
          <w:numId w:val="20"/>
        </w:numPr>
        <w:ind w:left="1134" w:hanging="425"/>
      </w:pPr>
      <w:r>
        <w:t>Adequate shielding (for gamma or neutron radiation, according to the radionuclide of the sources to be handled),</w:t>
      </w:r>
    </w:p>
    <w:p w14:paraId="25A64BAE" w14:textId="0E8FAFC4" w:rsidR="00D12E67" w:rsidRDefault="00D12E67" w:rsidP="00D12E67">
      <w:pPr>
        <w:pStyle w:val="Textoindependiente"/>
        <w:numPr>
          <w:ilvl w:val="3"/>
          <w:numId w:val="20"/>
        </w:numPr>
        <w:ind w:left="1134" w:hanging="425"/>
      </w:pPr>
      <w:r>
        <w:t>Ventilation, if required,</w:t>
      </w:r>
    </w:p>
    <w:p w14:paraId="587B5599" w14:textId="56251029" w:rsidR="00D12E67" w:rsidRDefault="00D12E67" w:rsidP="00D12E67">
      <w:pPr>
        <w:pStyle w:val="Textoindependiente"/>
        <w:numPr>
          <w:ilvl w:val="3"/>
          <w:numId w:val="20"/>
        </w:numPr>
        <w:ind w:left="1134" w:hanging="425"/>
      </w:pPr>
      <w:r>
        <w:t>Containment of radioactive contamination (cover the surfaces prone to contamination with plastic sheets, use a tray covered with absorbent paper to handle the source for characterization, etc.)</w:t>
      </w:r>
    </w:p>
    <w:p w14:paraId="66E9C9F0" w14:textId="163FAFF7" w:rsidR="00D12E67" w:rsidRDefault="0029792F" w:rsidP="0029792F">
      <w:pPr>
        <w:pStyle w:val="ListEmdash"/>
        <w:ind w:left="709"/>
      </w:pPr>
      <w:r>
        <w:t>Prepare the documents requested by the Regulatory Body to apply for authorization:</w:t>
      </w:r>
    </w:p>
    <w:p w14:paraId="244E493C" w14:textId="39623CFE" w:rsidR="0029792F" w:rsidRDefault="0029792F" w:rsidP="0029792F">
      <w:pPr>
        <w:pStyle w:val="Textoindependiente"/>
        <w:numPr>
          <w:ilvl w:val="3"/>
          <w:numId w:val="20"/>
        </w:numPr>
        <w:ind w:left="1134" w:hanging="425"/>
      </w:pPr>
      <w:r>
        <w:lastRenderedPageBreak/>
        <w:t>Operational procedures</w:t>
      </w:r>
      <w:r w:rsidR="005F1A7B">
        <w:t xml:space="preserve"> for dismantling the device</w:t>
      </w:r>
      <w:r w:rsidR="008F1100">
        <w:t>s</w:t>
      </w:r>
      <w:r w:rsidR="005F1A7B">
        <w:t xml:space="preserve"> to remove the </w:t>
      </w:r>
      <w:r w:rsidR="008F1100">
        <w:t xml:space="preserve">associated </w:t>
      </w:r>
      <w:r w:rsidR="005F1A7B">
        <w:t xml:space="preserve">DSRS, characterization and encapsulation of the sources, </w:t>
      </w:r>
      <w:r w:rsidR="00917889">
        <w:t xml:space="preserve">as well as </w:t>
      </w:r>
      <w:r w:rsidR="005F1A7B">
        <w:t>the leak testing and storage</w:t>
      </w:r>
      <w:r w:rsidR="00BD39E9" w:rsidRPr="00BD39E9">
        <w:t xml:space="preserve"> </w:t>
      </w:r>
      <w:r w:rsidR="00BD39E9">
        <w:t>of the conditioned capsule</w:t>
      </w:r>
      <w:r w:rsidR="005F1A7B">
        <w:t>,</w:t>
      </w:r>
    </w:p>
    <w:p w14:paraId="50E0D58C" w14:textId="769C0B24" w:rsidR="005F1A7B" w:rsidRDefault="005F1A7B" w:rsidP="0029792F">
      <w:pPr>
        <w:pStyle w:val="Textoindependiente"/>
        <w:numPr>
          <w:ilvl w:val="3"/>
          <w:numId w:val="20"/>
        </w:numPr>
        <w:ind w:left="1134" w:hanging="425"/>
      </w:pPr>
      <w:r>
        <w:t>The conditioning plan,</w:t>
      </w:r>
    </w:p>
    <w:p w14:paraId="38D24B35" w14:textId="79252E6F" w:rsidR="005F1A7B" w:rsidRDefault="005F1A7B" w:rsidP="0029792F">
      <w:pPr>
        <w:pStyle w:val="Textoindependiente"/>
        <w:numPr>
          <w:ilvl w:val="3"/>
          <w:numId w:val="20"/>
        </w:numPr>
        <w:ind w:left="1134" w:hanging="425"/>
      </w:pPr>
      <w:r>
        <w:t>Radiation protection program,</w:t>
      </w:r>
    </w:p>
    <w:p w14:paraId="227345A6" w14:textId="6433D1EB" w:rsidR="005F1A7B" w:rsidRDefault="005F1A7B" w:rsidP="007D420D">
      <w:pPr>
        <w:pStyle w:val="Textoindependiente"/>
        <w:numPr>
          <w:ilvl w:val="3"/>
          <w:numId w:val="20"/>
        </w:numPr>
        <w:ind w:left="1134" w:hanging="425"/>
      </w:pPr>
      <w:r>
        <w:t xml:space="preserve">Safety </w:t>
      </w:r>
      <w:r w:rsidR="007D420D">
        <w:t>assessment that</w:t>
      </w:r>
      <w:r>
        <w:t xml:space="preserve"> included the </w:t>
      </w:r>
      <w:r w:rsidR="007D420D" w:rsidRPr="007D420D">
        <w:t>dose estimations for normal operations and potential doses in accidental situations</w:t>
      </w:r>
      <w:r w:rsidR="007D420D">
        <w:t>.</w:t>
      </w:r>
      <w:r w:rsidR="007D420D" w:rsidRPr="007D420D">
        <w:t xml:space="preserve"> Several postulated events were considered. The risk matrix methodology was used for the safety analysis</w:t>
      </w:r>
      <w:r w:rsidR="008366E0">
        <w:t>,</w:t>
      </w:r>
    </w:p>
    <w:p w14:paraId="22763521" w14:textId="617A2ADD" w:rsidR="005F1A7B" w:rsidRDefault="005F1A7B" w:rsidP="0029792F">
      <w:pPr>
        <w:pStyle w:val="Textoindependiente"/>
        <w:numPr>
          <w:ilvl w:val="3"/>
          <w:numId w:val="20"/>
        </w:numPr>
        <w:ind w:left="1134" w:hanging="425"/>
      </w:pPr>
      <w:r>
        <w:t xml:space="preserve">Emergency plan. </w:t>
      </w:r>
      <w:r w:rsidR="00BD39E9">
        <w:t xml:space="preserve"> </w:t>
      </w:r>
    </w:p>
    <w:p w14:paraId="603FAD17" w14:textId="77777777" w:rsidR="00923810" w:rsidRDefault="00923810" w:rsidP="00551187">
      <w:pPr>
        <w:pStyle w:val="Textoindependiente"/>
      </w:pPr>
    </w:p>
    <w:p w14:paraId="79978CC0" w14:textId="08CA9C1E" w:rsidR="00EC17A3" w:rsidRDefault="008366E0" w:rsidP="00551187">
      <w:pPr>
        <w:pStyle w:val="Textoindependiente"/>
      </w:pPr>
      <w:r>
        <w:t xml:space="preserve">These documents were evaluated by the Regulatory Body and the authorization was granted. </w:t>
      </w:r>
      <w:r w:rsidR="00EC17A3" w:rsidRPr="00EC17A3">
        <w:t xml:space="preserve">The dismantling of devices to remove the radioactive sources and </w:t>
      </w:r>
      <w:r w:rsidR="00EC17A3">
        <w:t>the characterization and conditioning of the associated DSRS</w:t>
      </w:r>
      <w:r w:rsidR="00EC17A3" w:rsidRPr="00EC17A3">
        <w:t xml:space="preserve"> </w:t>
      </w:r>
      <w:r w:rsidR="00EC17A3">
        <w:t xml:space="preserve">are included among the </w:t>
      </w:r>
      <w:r w:rsidR="00EC17A3" w:rsidRPr="00EC17A3">
        <w:t>operations</w:t>
      </w:r>
      <w:r w:rsidR="00EC17A3">
        <w:t xml:space="preserve"> authorized in the Licence of the Radioactive Waste Management Practice</w:t>
      </w:r>
      <w:r w:rsidR="00EC17A3" w:rsidRPr="00EC17A3">
        <w:t>. This conditioning methodology is based on the latest IAEA recommendations [</w:t>
      </w:r>
      <w:r w:rsidR="009A4F10">
        <w:t>4</w:t>
      </w:r>
      <w:r w:rsidR="00EC17A3" w:rsidRPr="00EC17A3">
        <w:t>].</w:t>
      </w:r>
    </w:p>
    <w:p w14:paraId="4A4E81A5" w14:textId="16EF95C7" w:rsidR="007D420D" w:rsidRDefault="002555D5" w:rsidP="00551187">
      <w:pPr>
        <w:pStyle w:val="Textoindependiente"/>
      </w:pPr>
      <w:r>
        <w:t xml:space="preserve">Dismantling and conditioning operations started after the License was granted. The devices containing neutron sources (Am/Be, Pu/Be and Ra/Be) were dismantled. The 44 DSRS recovered from these devices were conditioned in </w:t>
      </w:r>
      <w:r w:rsidRPr="002555D5">
        <w:t>8 stainless steel capsules</w:t>
      </w:r>
      <w:r>
        <w:t xml:space="preserve"> that were sealed </w:t>
      </w:r>
      <w:r w:rsidR="003815A5">
        <w:t xml:space="preserve">by welding the lid </w:t>
      </w:r>
      <w:r>
        <w:t>and lea</w:t>
      </w:r>
      <w:r w:rsidR="003815A5">
        <w:t>k</w:t>
      </w:r>
      <w:r>
        <w:t xml:space="preserve"> tested. The conditioned capsules were stored in a shielded container (Fig. 2). </w:t>
      </w:r>
    </w:p>
    <w:p w14:paraId="2EC0BD83" w14:textId="77777777" w:rsidR="006000A0" w:rsidRDefault="006000A0" w:rsidP="00551187">
      <w:pPr>
        <w:pStyle w:val="Textoindependiente"/>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4"/>
        <w:gridCol w:w="2734"/>
        <w:gridCol w:w="3544"/>
      </w:tblGrid>
      <w:tr w:rsidR="006000A0" w14:paraId="190EBF6D" w14:textId="77777777" w:rsidTr="00BD39E9">
        <w:trPr>
          <w:trHeight w:val="3274"/>
        </w:trPr>
        <w:tc>
          <w:tcPr>
            <w:tcW w:w="2734" w:type="dxa"/>
          </w:tcPr>
          <w:p w14:paraId="0B91876D" w14:textId="01D18735" w:rsidR="006000A0" w:rsidRPr="00BD39E9" w:rsidRDefault="00BD39E9" w:rsidP="003815A5">
            <w:pPr>
              <w:pStyle w:val="Textoindependiente"/>
              <w:ind w:firstLine="0"/>
              <w:rPr>
                <w:sz w:val="16"/>
                <w:szCs w:val="16"/>
              </w:rPr>
            </w:pPr>
            <w:r w:rsidRPr="00BD39E9">
              <w:rPr>
                <w:noProof/>
                <w:sz w:val="16"/>
                <w:szCs w:val="16"/>
                <w:lang w:val="es-ES" w:eastAsia="es-ES"/>
              </w:rPr>
              <w:drawing>
                <wp:anchor distT="0" distB="0" distL="114300" distR="114300" simplePos="0" relativeHeight="251659264" behindDoc="0" locked="0" layoutInCell="1" allowOverlap="1" wp14:anchorId="398E0D24" wp14:editId="5509ADD8">
                  <wp:simplePos x="0" y="0"/>
                  <wp:positionH relativeFrom="margin">
                    <wp:posOffset>577850</wp:posOffset>
                  </wp:positionH>
                  <wp:positionV relativeFrom="margin">
                    <wp:posOffset>1602740</wp:posOffset>
                  </wp:positionV>
                  <wp:extent cx="1084580" cy="577850"/>
                  <wp:effectExtent l="0" t="0" r="1270" b="0"/>
                  <wp:wrapSquare wrapText="bothSides"/>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8"/>
                          <pic:cNvPicPr>
                            <a:picLocks noChangeAspect="1" noChangeArrowheads="1"/>
                          </pic:cNvPicPr>
                        </pic:nvPicPr>
                        <pic:blipFill>
                          <a:blip r:embed="rId16" cstate="print">
                            <a:extLst>
                              <a:ext uri="{BEBA8EAE-BF5A-486C-A8C5-ECC9F3942E4B}">
                                <a14:imgProps xmlns:a14="http://schemas.microsoft.com/office/drawing/2010/main">
                                  <a14:imgLayer r:embed="rId17">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1084580" cy="577850"/>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r w:rsidRPr="00BD39E9">
              <w:rPr>
                <w:noProof/>
                <w:sz w:val="16"/>
                <w:szCs w:val="16"/>
                <w:lang w:val="es-ES" w:eastAsia="es-ES"/>
              </w:rPr>
              <w:drawing>
                <wp:anchor distT="0" distB="0" distL="114300" distR="114300" simplePos="0" relativeHeight="251658240" behindDoc="0" locked="0" layoutInCell="1" allowOverlap="1" wp14:anchorId="09E75BE4" wp14:editId="5E3C9E58">
                  <wp:simplePos x="1082040" y="4549775"/>
                  <wp:positionH relativeFrom="margin">
                    <wp:align>left</wp:align>
                  </wp:positionH>
                  <wp:positionV relativeFrom="margin">
                    <wp:align>top</wp:align>
                  </wp:positionV>
                  <wp:extent cx="1155065" cy="1550670"/>
                  <wp:effectExtent l="0" t="0" r="6985"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6873" cy="1553247"/>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p>
        </w:tc>
        <w:tc>
          <w:tcPr>
            <w:tcW w:w="2734" w:type="dxa"/>
          </w:tcPr>
          <w:p w14:paraId="48DFAACC" w14:textId="7020783E" w:rsidR="006000A0" w:rsidRPr="00BD39E9" w:rsidRDefault="00914485" w:rsidP="00BD39E9">
            <w:pPr>
              <w:pStyle w:val="Textoindependiente"/>
              <w:ind w:firstLine="0"/>
              <w:jc w:val="center"/>
              <w:rPr>
                <w:sz w:val="16"/>
                <w:szCs w:val="16"/>
              </w:rPr>
            </w:pPr>
            <w:r w:rsidRPr="00BD39E9">
              <w:rPr>
                <w:noProof/>
                <w:sz w:val="16"/>
                <w:szCs w:val="16"/>
                <w:lang w:val="es-ES" w:eastAsia="es-ES"/>
              </w:rPr>
              <w:drawing>
                <wp:anchor distT="0" distB="0" distL="114300" distR="114300" simplePos="0" relativeHeight="251661312" behindDoc="0" locked="0" layoutInCell="1" allowOverlap="1" wp14:anchorId="4CE5AC84" wp14:editId="49BB9DAE">
                  <wp:simplePos x="0" y="0"/>
                  <wp:positionH relativeFrom="margin">
                    <wp:posOffset>533400</wp:posOffset>
                  </wp:positionH>
                  <wp:positionV relativeFrom="margin">
                    <wp:posOffset>1029335</wp:posOffset>
                  </wp:positionV>
                  <wp:extent cx="1042670" cy="1206500"/>
                  <wp:effectExtent l="0" t="0" r="5080" b="0"/>
                  <wp:wrapSquare wrapText="bothSides"/>
                  <wp:docPr id="4608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87"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42670" cy="120650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6000A0" w:rsidRPr="00BD39E9">
              <w:rPr>
                <w:noProof/>
                <w:sz w:val="16"/>
                <w:szCs w:val="16"/>
                <w:lang w:val="es-ES" w:eastAsia="es-ES"/>
              </w:rPr>
              <w:drawing>
                <wp:anchor distT="0" distB="0" distL="114300" distR="114300" simplePos="0" relativeHeight="251660288" behindDoc="0" locked="0" layoutInCell="1" allowOverlap="1" wp14:anchorId="4A4ECC83" wp14:editId="28B1D816">
                  <wp:simplePos x="2903855" y="4549775"/>
                  <wp:positionH relativeFrom="margin">
                    <wp:align>left</wp:align>
                  </wp:positionH>
                  <wp:positionV relativeFrom="margin">
                    <wp:align>top</wp:align>
                  </wp:positionV>
                  <wp:extent cx="987425" cy="995680"/>
                  <wp:effectExtent l="0" t="0" r="3175" b="0"/>
                  <wp:wrapSquare wrapText="bothSides"/>
                  <wp:docPr id="460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83"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91960" cy="1000708"/>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c>
        <w:tc>
          <w:tcPr>
            <w:tcW w:w="3544" w:type="dxa"/>
          </w:tcPr>
          <w:p w14:paraId="47A827E1" w14:textId="1742393D" w:rsidR="006000A0" w:rsidRPr="00BD39E9" w:rsidRDefault="006000A0" w:rsidP="0054547A">
            <w:pPr>
              <w:pStyle w:val="Textoindependiente"/>
              <w:ind w:firstLine="0"/>
              <w:jc w:val="center"/>
              <w:rPr>
                <w:sz w:val="16"/>
                <w:szCs w:val="16"/>
              </w:rPr>
            </w:pPr>
            <w:r w:rsidRPr="00BD39E9">
              <w:rPr>
                <w:noProof/>
                <w:sz w:val="16"/>
                <w:szCs w:val="16"/>
                <w:lang w:val="es-ES" w:eastAsia="es-ES"/>
              </w:rPr>
              <w:drawing>
                <wp:anchor distT="0" distB="0" distL="114300" distR="114300" simplePos="0" relativeHeight="251662336" behindDoc="0" locked="0" layoutInCell="1" allowOverlap="1" wp14:anchorId="3C0B2DE5" wp14:editId="4C07E655">
                  <wp:simplePos x="0" y="0"/>
                  <wp:positionH relativeFrom="margin">
                    <wp:posOffset>199390</wp:posOffset>
                  </wp:positionH>
                  <wp:positionV relativeFrom="margin">
                    <wp:posOffset>134620</wp:posOffset>
                  </wp:positionV>
                  <wp:extent cx="1715135" cy="1901825"/>
                  <wp:effectExtent l="0" t="0" r="0" b="3175"/>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pic:cNvPicPr>
                            <a:picLocks noChangeAspect="1" noChangeArrowheads="1"/>
                          </pic:cNvPicPr>
                        </pic:nvPicPr>
                        <pic:blipFill rotWithShape="1">
                          <a:blip r:embed="rId21">
                            <a:extLst>
                              <a:ext uri="{28A0092B-C50C-407E-A947-70E740481C1C}">
                                <a14:useLocalDpi xmlns:a14="http://schemas.microsoft.com/office/drawing/2010/main" val="0"/>
                              </a:ext>
                            </a:extLst>
                          </a:blip>
                          <a:srcRect r="7451"/>
                          <a:stretch/>
                        </pic:blipFill>
                        <pic:spPr bwMode="auto">
                          <a:xfrm>
                            <a:off x="0" y="0"/>
                            <a:ext cx="1715135" cy="1901825"/>
                          </a:xfrm>
                          <a:prstGeom prst="rect">
                            <a:avLst/>
                          </a:prstGeom>
                          <a:noFill/>
                        </pic:spPr>
                      </pic:pic>
                    </a:graphicData>
                  </a:graphic>
                  <wp14:sizeRelH relativeFrom="margin">
                    <wp14:pctWidth>0</wp14:pctWidth>
                  </wp14:sizeRelH>
                  <wp14:sizeRelV relativeFrom="margin">
                    <wp14:pctHeight>0</wp14:pctHeight>
                  </wp14:sizeRelV>
                </wp:anchor>
              </w:drawing>
            </w:r>
          </w:p>
        </w:tc>
      </w:tr>
      <w:tr w:rsidR="006000A0" w14:paraId="587F98EC" w14:textId="77777777" w:rsidTr="0054547A">
        <w:tc>
          <w:tcPr>
            <w:tcW w:w="9012" w:type="dxa"/>
            <w:gridSpan w:val="3"/>
          </w:tcPr>
          <w:p w14:paraId="65D28685" w14:textId="74D7375B" w:rsidR="003A78EA" w:rsidRPr="003A78EA" w:rsidRDefault="006000A0" w:rsidP="003A78EA">
            <w:pPr>
              <w:pStyle w:val="Epgrafe"/>
              <w:jc w:val="cente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763411">
              <w:rPr>
                <w:i/>
                <w:noProof/>
              </w:rPr>
              <w:t>2</w:t>
            </w:r>
            <w:r w:rsidRPr="00802381">
              <w:rPr>
                <w:i/>
              </w:rPr>
              <w:fldChar w:fldCharType="end"/>
            </w:r>
            <w:r>
              <w:rPr>
                <w:i/>
              </w:rPr>
              <w:t>. Dismantling of devices containing neutron sources and conditioning of the DSRS</w:t>
            </w:r>
          </w:p>
        </w:tc>
      </w:tr>
    </w:tbl>
    <w:p w14:paraId="1D7794A3" w14:textId="77777777" w:rsidR="00763411" w:rsidRPr="00763411" w:rsidRDefault="00763411" w:rsidP="00917889">
      <w:pPr>
        <w:pStyle w:val="Textoindependiente"/>
        <w:spacing w:line="240" w:lineRule="auto"/>
      </w:pPr>
    </w:p>
    <w:p w14:paraId="79881694" w14:textId="7F73872E" w:rsidR="003A78EA" w:rsidRPr="00763411" w:rsidRDefault="0094313B" w:rsidP="00763411">
      <w:pPr>
        <w:pStyle w:val="Textoindependiente"/>
      </w:pPr>
      <w:r w:rsidRPr="00763411">
        <w:t>A significant number of devices stored in the facility contain Cs-137 DSRS, for example: nuclear gauges, calibration and teaching devices, etc. These devices are</w:t>
      </w:r>
      <w:r w:rsidR="00CF542A" w:rsidRPr="00763411">
        <w:t xml:space="preserve"> being</w:t>
      </w:r>
      <w:r w:rsidRPr="00763411">
        <w:t xml:space="preserve"> dismantled and the DSRS conditioned (Fig. 3).</w:t>
      </w:r>
    </w:p>
    <w:p w14:paraId="3BF4C7E8" w14:textId="77777777" w:rsidR="003A78EA" w:rsidRPr="00763411" w:rsidRDefault="003A78EA" w:rsidP="00917889">
      <w:pPr>
        <w:pStyle w:val="Textoindependiente"/>
        <w:spacing w:line="240" w:lineRule="aut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1"/>
        <w:gridCol w:w="3068"/>
        <w:gridCol w:w="3464"/>
      </w:tblGrid>
      <w:tr w:rsidR="000240CA" w14:paraId="75F3B48E" w14:textId="77777777" w:rsidTr="00265AD9">
        <w:tc>
          <w:tcPr>
            <w:tcW w:w="2711" w:type="dxa"/>
          </w:tcPr>
          <w:p w14:paraId="0750F342" w14:textId="104A17E1" w:rsidR="0094313B" w:rsidRDefault="000240CA" w:rsidP="0054547A">
            <w:pPr>
              <w:pStyle w:val="Textoindependiente"/>
              <w:ind w:firstLine="0"/>
            </w:pPr>
            <w:r w:rsidRPr="0094313B">
              <w:rPr>
                <w:noProof/>
                <w:lang w:val="es-ES" w:eastAsia="es-ES"/>
              </w:rPr>
              <w:drawing>
                <wp:anchor distT="0" distB="0" distL="114300" distR="114300" simplePos="0" relativeHeight="251663360" behindDoc="0" locked="0" layoutInCell="1" allowOverlap="1" wp14:anchorId="3CFEF230" wp14:editId="5EDF2DDA">
                  <wp:simplePos x="0" y="0"/>
                  <wp:positionH relativeFrom="margin">
                    <wp:posOffset>644525</wp:posOffset>
                  </wp:positionH>
                  <wp:positionV relativeFrom="margin">
                    <wp:posOffset>1797685</wp:posOffset>
                  </wp:positionV>
                  <wp:extent cx="869950" cy="680085"/>
                  <wp:effectExtent l="0" t="0" r="6350" b="5715"/>
                  <wp:wrapSquare wrapText="bothSides"/>
                  <wp:docPr id="12" name="11 Imagen" descr="C:\Users\Mercedes Salgado\AppData\Local\Microsoft\Windows\INetCache\Content.Word\P1090597.jpg"/>
                  <wp:cNvGraphicFramePr/>
                  <a:graphic xmlns:a="http://schemas.openxmlformats.org/drawingml/2006/main">
                    <a:graphicData uri="http://schemas.openxmlformats.org/drawingml/2006/picture">
                      <pic:pic xmlns:pic="http://schemas.openxmlformats.org/drawingml/2006/picture">
                        <pic:nvPicPr>
                          <pic:cNvPr id="12" name="11 Imagen" descr="C:\Users\Mercedes Salgado\AppData\Local\Microsoft\Windows\INetCache\Content.Word\P1090597.jpg"/>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69950" cy="680085"/>
                          </a:xfrm>
                          <a:prstGeom prst="rect">
                            <a:avLst/>
                          </a:prstGeom>
                          <a:noFill/>
                          <a:ln>
                            <a:noFill/>
                          </a:ln>
                        </pic:spPr>
                      </pic:pic>
                    </a:graphicData>
                  </a:graphic>
                </wp:anchor>
              </w:drawing>
            </w:r>
            <w:r w:rsidRPr="0094313B">
              <w:rPr>
                <w:noProof/>
                <w:lang w:val="es-ES" w:eastAsia="es-ES"/>
              </w:rPr>
              <w:drawing>
                <wp:anchor distT="0" distB="0" distL="114300" distR="114300" simplePos="0" relativeHeight="251664384" behindDoc="0" locked="0" layoutInCell="1" allowOverlap="1" wp14:anchorId="03049D5B" wp14:editId="0582CFF5">
                  <wp:simplePos x="0" y="0"/>
                  <wp:positionH relativeFrom="margin">
                    <wp:posOffset>58420</wp:posOffset>
                  </wp:positionH>
                  <wp:positionV relativeFrom="margin">
                    <wp:posOffset>123825</wp:posOffset>
                  </wp:positionV>
                  <wp:extent cx="1594485" cy="1579880"/>
                  <wp:effectExtent l="0" t="0" r="5715" b="1270"/>
                  <wp:wrapSquare wrapText="bothSides"/>
                  <wp:docPr id="10" name="7 Imagen" descr="C:\Users\Mercedes Salgado\AppData\Local\Microsoft\Windows\INetCache\Content.Word\P1090582.jpg"/>
                  <wp:cNvGraphicFramePr/>
                  <a:graphic xmlns:a="http://schemas.openxmlformats.org/drawingml/2006/main">
                    <a:graphicData uri="http://schemas.openxmlformats.org/drawingml/2006/picture">
                      <pic:pic xmlns:pic="http://schemas.openxmlformats.org/drawingml/2006/picture">
                        <pic:nvPicPr>
                          <pic:cNvPr id="8" name="7 Imagen" descr="C:\Users\Mercedes Salgado\AppData\Local\Microsoft\Windows\INetCache\Content.Word\P1090582.jpg"/>
                          <pic:cNvPicPr/>
                        </pic:nvPicPr>
                        <pic:blipFill rotWithShape="1">
                          <a:blip r:embed="rId23" cstate="print">
                            <a:extLst>
                              <a:ext uri="{28A0092B-C50C-407E-A947-70E740481C1C}">
                                <a14:useLocalDpi xmlns:a14="http://schemas.microsoft.com/office/drawing/2010/main" val="0"/>
                              </a:ext>
                            </a:extLst>
                          </a:blip>
                          <a:srcRect l="3086" t="2617" r="11357" b="5523"/>
                          <a:stretch/>
                        </pic:blipFill>
                        <pic:spPr bwMode="auto">
                          <a:xfrm>
                            <a:off x="0" y="0"/>
                            <a:ext cx="1594485" cy="157988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3068" w:type="dxa"/>
          </w:tcPr>
          <w:p w14:paraId="1D6A220E" w14:textId="202C3866" w:rsidR="0094313B" w:rsidRDefault="00914485" w:rsidP="00914485">
            <w:pPr>
              <w:pStyle w:val="Textoindependiente"/>
              <w:ind w:firstLine="0"/>
            </w:pPr>
            <w:r w:rsidRPr="000240CA">
              <w:rPr>
                <w:noProof/>
                <w:lang w:val="es-ES" w:eastAsia="es-ES"/>
              </w:rPr>
              <w:drawing>
                <wp:anchor distT="0" distB="0" distL="114300" distR="114300" simplePos="0" relativeHeight="251665408" behindDoc="0" locked="0" layoutInCell="1" allowOverlap="1" wp14:anchorId="16C2CD7B" wp14:editId="377B9A18">
                  <wp:simplePos x="0" y="0"/>
                  <wp:positionH relativeFrom="margin">
                    <wp:posOffset>407035</wp:posOffset>
                  </wp:positionH>
                  <wp:positionV relativeFrom="margin">
                    <wp:posOffset>1777695</wp:posOffset>
                  </wp:positionV>
                  <wp:extent cx="906145" cy="672465"/>
                  <wp:effectExtent l="0" t="0" r="8255" b="0"/>
                  <wp:wrapNone/>
                  <wp:docPr id="9" name="8 Imagen" descr="C:\Users\Mercedes Salgado\AppData\Local\Microsoft\Windows\INetCache\Content.Word\P1120698.jpg"/>
                  <wp:cNvGraphicFramePr/>
                  <a:graphic xmlns:a="http://schemas.openxmlformats.org/drawingml/2006/main">
                    <a:graphicData uri="http://schemas.openxmlformats.org/drawingml/2006/picture">
                      <pic:pic xmlns:pic="http://schemas.openxmlformats.org/drawingml/2006/picture">
                        <pic:nvPicPr>
                          <pic:cNvPr id="9" name="8 Imagen" descr="C:\Users\Mercedes Salgado\AppData\Local\Microsoft\Windows\INetCache\Content.Word\P1120698.jpg"/>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06145" cy="672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40CA">
              <w:rPr>
                <w:noProof/>
                <w:lang w:val="es-ES" w:eastAsia="es-ES"/>
              </w:rPr>
              <w:drawing>
                <wp:anchor distT="0" distB="0" distL="114300" distR="114300" simplePos="0" relativeHeight="251666432" behindDoc="0" locked="0" layoutInCell="1" allowOverlap="1" wp14:anchorId="19311DBD" wp14:editId="6B08A392">
                  <wp:simplePos x="0" y="0"/>
                  <wp:positionH relativeFrom="margin">
                    <wp:posOffset>13970</wp:posOffset>
                  </wp:positionH>
                  <wp:positionV relativeFrom="margin">
                    <wp:posOffset>83820</wp:posOffset>
                  </wp:positionV>
                  <wp:extent cx="1828800" cy="1579880"/>
                  <wp:effectExtent l="0" t="0" r="0" b="1270"/>
                  <wp:wrapSquare wrapText="bothSides"/>
                  <wp:docPr id="13" name="7 Imagen" descr="C:\Users\Mercedes Salgado\AppData\Local\Microsoft\Windows\INetCache\Content.Word\BENITEZ22.jpg"/>
                  <wp:cNvGraphicFramePr/>
                  <a:graphic xmlns:a="http://schemas.openxmlformats.org/drawingml/2006/main">
                    <a:graphicData uri="http://schemas.openxmlformats.org/drawingml/2006/picture">
                      <pic:pic xmlns:pic="http://schemas.openxmlformats.org/drawingml/2006/picture">
                        <pic:nvPicPr>
                          <pic:cNvPr id="8" name="7 Imagen" descr="C:\Users\Mercedes Salgado\AppData\Local\Microsoft\Windows\INetCache\Content.Word\BENITEZ22.jpg"/>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0" cy="1579880"/>
                          </a:xfrm>
                          <a:prstGeom prst="rect">
                            <a:avLst/>
                          </a:prstGeom>
                          <a:noFill/>
                          <a:ln>
                            <a:noFill/>
                          </a:ln>
                        </pic:spPr>
                      </pic:pic>
                    </a:graphicData>
                  </a:graphic>
                </wp:anchor>
              </w:drawing>
            </w:r>
          </w:p>
        </w:tc>
        <w:tc>
          <w:tcPr>
            <w:tcW w:w="3464" w:type="dxa"/>
          </w:tcPr>
          <w:p w14:paraId="0BA938C6" w14:textId="2648C658" w:rsidR="0094313B" w:rsidRDefault="008949E3" w:rsidP="0054547A">
            <w:pPr>
              <w:pStyle w:val="Textoindependiente"/>
              <w:ind w:firstLine="0"/>
              <w:jc w:val="center"/>
            </w:pPr>
            <w:r>
              <w:rPr>
                <w:noProof/>
                <w:lang w:val="es-ES" w:eastAsia="es-ES"/>
              </w:rPr>
              <w:drawing>
                <wp:anchor distT="0" distB="0" distL="114300" distR="114300" simplePos="0" relativeHeight="251667456" behindDoc="0" locked="0" layoutInCell="1" allowOverlap="1" wp14:anchorId="174FD960" wp14:editId="716B7B72">
                  <wp:simplePos x="0" y="0"/>
                  <wp:positionH relativeFrom="margin">
                    <wp:posOffset>813435</wp:posOffset>
                  </wp:positionH>
                  <wp:positionV relativeFrom="margin">
                    <wp:posOffset>1617345</wp:posOffset>
                  </wp:positionV>
                  <wp:extent cx="675640" cy="760730"/>
                  <wp:effectExtent l="0" t="0" r="0" b="1270"/>
                  <wp:wrapSquare wrapText="bothSides"/>
                  <wp:docPr id="18" name="Imagen 18" descr="C:\Users\Laury\AppData\Local\Microsoft\Windows\INetCache\Content.Word\P1140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y\AppData\Local\Microsoft\Windows\INetCache\Content.Word\P1140110.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75640" cy="760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40CA">
              <w:rPr>
                <w:noProof/>
                <w:lang w:val="es-ES" w:eastAsia="es-ES"/>
              </w:rPr>
              <w:drawing>
                <wp:inline distT="0" distB="0" distL="0" distR="0" wp14:anchorId="6208EA4D" wp14:editId="50EDED3E">
                  <wp:extent cx="2083292" cy="1561835"/>
                  <wp:effectExtent l="0" t="0" r="0" b="635"/>
                  <wp:docPr id="17" name="Imagen 17" descr="C:\Users\Laury\Pictures\01-FotosTrabajo\_Fuentes selladas\Desmantelamiento Equipos-Dispositivos\Cuba\2016-acondicionamiento Cs-137\06-Recuperando fuentes\Rusos BGI\916\P1140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y\Pictures\01-FotosTrabajo\_Fuentes selladas\Desmantelamiento Equipos-Dispositivos\Cuba\2016-acondicionamiento Cs-137\06-Recuperando fuentes\Rusos BGI\916\P1140177.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85748" cy="1563677"/>
                          </a:xfrm>
                          <a:prstGeom prst="rect">
                            <a:avLst/>
                          </a:prstGeom>
                          <a:noFill/>
                          <a:ln>
                            <a:noFill/>
                          </a:ln>
                        </pic:spPr>
                      </pic:pic>
                    </a:graphicData>
                  </a:graphic>
                </wp:inline>
              </w:drawing>
            </w:r>
          </w:p>
        </w:tc>
      </w:tr>
      <w:tr w:rsidR="0094313B" w14:paraId="60BB9DAF" w14:textId="77777777" w:rsidTr="00265AD9">
        <w:tc>
          <w:tcPr>
            <w:tcW w:w="9243" w:type="dxa"/>
            <w:gridSpan w:val="3"/>
          </w:tcPr>
          <w:p w14:paraId="2162A75F" w14:textId="1A361B6D" w:rsidR="0094313B" w:rsidRDefault="0094313B" w:rsidP="0094313B">
            <w:pPr>
              <w:pStyle w:val="Epgrafe"/>
              <w:jc w:val="cente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763411">
              <w:rPr>
                <w:i/>
                <w:noProof/>
              </w:rPr>
              <w:t>3</w:t>
            </w:r>
            <w:r w:rsidRPr="00802381">
              <w:rPr>
                <w:i/>
              </w:rPr>
              <w:fldChar w:fldCharType="end"/>
            </w:r>
            <w:r>
              <w:rPr>
                <w:i/>
              </w:rPr>
              <w:t xml:space="preserve">. Examples of devices containing Cs-137 DSRS. Source removal operations </w:t>
            </w:r>
          </w:p>
        </w:tc>
      </w:tr>
    </w:tbl>
    <w:p w14:paraId="58D9D013" w14:textId="7A4F749D" w:rsidR="009239C8" w:rsidRDefault="009239C8" w:rsidP="009239C8">
      <w:pPr>
        <w:pStyle w:val="Textoindependiente"/>
      </w:pPr>
      <w:r w:rsidRPr="00551187">
        <w:lastRenderedPageBreak/>
        <w:t xml:space="preserve">Cuban experts have provided support to several other Member States around the world in the safe management of their </w:t>
      </w:r>
      <w:r>
        <w:t>DSRS of categories 3-5</w:t>
      </w:r>
      <w:r w:rsidRPr="00551187">
        <w:t>. Expert Missions through different IAEA Technical Cooperation Projects have been carried out to assist in their capacity building, the development of operational procedures, safety assessment and licensing of the field operations, including removal of DSRS from devices, characterization, encapsulation and safe storage.</w:t>
      </w:r>
    </w:p>
    <w:p w14:paraId="2BC0AB10" w14:textId="77777777" w:rsidR="00265AD9" w:rsidRDefault="00265AD9" w:rsidP="00265AD9">
      <w:pPr>
        <w:pStyle w:val="Ttulo2"/>
        <w:numPr>
          <w:ilvl w:val="1"/>
          <w:numId w:val="10"/>
        </w:numPr>
      </w:pPr>
      <w:r>
        <w:t xml:space="preserve">management </w:t>
      </w:r>
      <w:r w:rsidRPr="007C725D">
        <w:t xml:space="preserve">OF </w:t>
      </w:r>
      <w:r>
        <w:t xml:space="preserve">high activity disused radioactive sources </w:t>
      </w:r>
    </w:p>
    <w:p w14:paraId="6D07C803" w14:textId="3B016459" w:rsidR="009239C8" w:rsidRPr="009239C8" w:rsidRDefault="009239C8" w:rsidP="009239C8">
      <w:pPr>
        <w:pStyle w:val="Textoindependiente"/>
      </w:pPr>
      <w:r w:rsidRPr="009239C8">
        <w:t xml:space="preserve">Teletherapy devices and irradiators containing high activity sources </w:t>
      </w:r>
      <w:r w:rsidR="000C0D91">
        <w:t xml:space="preserve">(categories 1-2) were received </w:t>
      </w:r>
      <w:r w:rsidRPr="009239C8">
        <w:t xml:space="preserve">in the Waste Management Facilities. </w:t>
      </w:r>
      <w:r w:rsidR="000C0D91">
        <w:t xml:space="preserve">After more than 20 years stored in the facility, some sources </w:t>
      </w:r>
      <w:r>
        <w:t>have already decayed to categor</w:t>
      </w:r>
      <w:r w:rsidR="0069230A">
        <w:t>ies</w:t>
      </w:r>
      <w:r>
        <w:t xml:space="preserve"> 2</w:t>
      </w:r>
      <w:r w:rsidR="000C0D91">
        <w:t xml:space="preserve"> or 3. No sources of category 1 are stored at present</w:t>
      </w:r>
      <w:r>
        <w:t xml:space="preserve">, but because of the significant number of </w:t>
      </w:r>
      <w:r w:rsidR="0069230A">
        <w:t xml:space="preserve">category 2 </w:t>
      </w:r>
      <w:r>
        <w:t>DSRS, they still represent a risk in the facility and have to be managed safely</w:t>
      </w:r>
      <w:r w:rsidR="00984A22">
        <w:t xml:space="preserve"> and securely</w:t>
      </w:r>
      <w:r>
        <w:t xml:space="preserve">. </w:t>
      </w:r>
    </w:p>
    <w:p w14:paraId="7190BE1A" w14:textId="7536209F" w:rsidR="009239C8" w:rsidRDefault="00B871FE" w:rsidP="009239C8">
      <w:pPr>
        <w:pStyle w:val="Textoindependiente"/>
      </w:pPr>
      <w:r w:rsidRPr="009239C8">
        <w:t>The</w:t>
      </w:r>
      <w:r w:rsidR="009239C8">
        <w:t>se</w:t>
      </w:r>
      <w:r w:rsidRPr="009239C8">
        <w:t xml:space="preserve"> DSRS are stored in</w:t>
      </w:r>
      <w:r w:rsidR="000C0D91">
        <w:t>side</w:t>
      </w:r>
      <w:r w:rsidRPr="009239C8">
        <w:t xml:space="preserve"> their devices, as the required technology is not in place for their safe conditioning.</w:t>
      </w:r>
      <w:r w:rsidR="009239C8" w:rsidRPr="009239C8">
        <w:t xml:space="preserve"> </w:t>
      </w:r>
      <w:r w:rsidR="009239C8">
        <w:t xml:space="preserve">Some of </w:t>
      </w:r>
      <w:r w:rsidR="00984A22">
        <w:t xml:space="preserve">the disused high activity sources </w:t>
      </w:r>
      <w:r w:rsidR="009239C8">
        <w:t xml:space="preserve">were </w:t>
      </w:r>
      <w:r w:rsidR="000C0D91" w:rsidRPr="009239C8">
        <w:t>transfer</w:t>
      </w:r>
      <w:r w:rsidR="000C0D91">
        <w:t>red</w:t>
      </w:r>
      <w:r w:rsidR="009239C8" w:rsidRPr="009239C8">
        <w:t xml:space="preserve"> from the user´s facility </w:t>
      </w:r>
      <w:r w:rsidR="00984A22">
        <w:t xml:space="preserve">(from two irradiation facilities) </w:t>
      </w:r>
      <w:r w:rsidR="009239C8" w:rsidRPr="009239C8">
        <w:t>to adequate shielded containers for their transportation to the Waste Management Facility and safe storage.</w:t>
      </w:r>
      <w:r w:rsidR="00A12022">
        <w:t xml:space="preserve"> </w:t>
      </w:r>
    </w:p>
    <w:p w14:paraId="052AE8F9" w14:textId="5A385A51" w:rsidR="00185924" w:rsidRDefault="00185924" w:rsidP="00185924">
      <w:pPr>
        <w:pStyle w:val="Ttulo2"/>
        <w:numPr>
          <w:ilvl w:val="1"/>
          <w:numId w:val="10"/>
        </w:numPr>
      </w:pPr>
      <w:r w:rsidRPr="00CB5D0F">
        <w:t>reuse of the DSRS</w:t>
      </w:r>
    </w:p>
    <w:p w14:paraId="5AED7171" w14:textId="388E7769" w:rsidR="00444F88" w:rsidRDefault="00E81C3F" w:rsidP="00185924">
      <w:pPr>
        <w:pStyle w:val="Textoindependiente"/>
      </w:pPr>
      <w:r>
        <w:t xml:space="preserve">The </w:t>
      </w:r>
      <w:r w:rsidRPr="00E81C3F">
        <w:t xml:space="preserve">reuse of sources is allowed </w:t>
      </w:r>
      <w:r w:rsidR="00984A22">
        <w:t xml:space="preserve">by the </w:t>
      </w:r>
      <w:r w:rsidRPr="00E81C3F">
        <w:t xml:space="preserve">national legislation, complying with regulatory requirements and </w:t>
      </w:r>
      <w:r>
        <w:t>du</w:t>
      </w:r>
      <w:r w:rsidRPr="00E81C3F">
        <w:t xml:space="preserve">ly authorized by the </w:t>
      </w:r>
      <w:r>
        <w:t xml:space="preserve">Regulatory Body. </w:t>
      </w:r>
      <w:r w:rsidR="000474F8">
        <w:t>The S</w:t>
      </w:r>
      <w:r w:rsidR="000474F8" w:rsidRPr="000474F8">
        <w:t xml:space="preserve">econdary </w:t>
      </w:r>
      <w:r w:rsidR="000474F8">
        <w:t>S</w:t>
      </w:r>
      <w:r w:rsidR="000474F8" w:rsidRPr="000474F8">
        <w:t xml:space="preserve">tandard </w:t>
      </w:r>
      <w:r w:rsidR="000474F8">
        <w:t>D</w:t>
      </w:r>
      <w:r w:rsidR="000474F8" w:rsidRPr="000474F8">
        <w:t xml:space="preserve">osimetry </w:t>
      </w:r>
      <w:r w:rsidR="000474F8">
        <w:t>L</w:t>
      </w:r>
      <w:r w:rsidR="000474F8" w:rsidRPr="000474F8">
        <w:t>aboratory (SSDL)</w:t>
      </w:r>
      <w:r w:rsidR="000474F8">
        <w:t xml:space="preserve"> at the CPHR </w:t>
      </w:r>
      <w:r w:rsidR="00444F88" w:rsidRPr="00444F88">
        <w:t xml:space="preserve">is equipped with a teletherapy Unit model </w:t>
      </w:r>
      <w:r w:rsidR="00444F88" w:rsidRPr="000474F8">
        <w:t>Theratron Phoenix</w:t>
      </w:r>
      <w:r w:rsidR="00444F88">
        <w:t xml:space="preserve"> </w:t>
      </w:r>
      <w:r w:rsidR="00763411">
        <w:t>(</w:t>
      </w:r>
      <w:r w:rsidR="00444F88">
        <w:t>with a Co-60 radioactive source</w:t>
      </w:r>
      <w:r w:rsidR="00763411">
        <w:t>)</w:t>
      </w:r>
      <w:r w:rsidR="00DC44E3" w:rsidRPr="00DC44E3">
        <w:t xml:space="preserve"> </w:t>
      </w:r>
      <w:r w:rsidR="00DC44E3" w:rsidRPr="0054547A">
        <w:t>used</w:t>
      </w:r>
      <w:r w:rsidR="00DC44E3" w:rsidRPr="00DC44E3">
        <w:t xml:space="preserve"> </w:t>
      </w:r>
      <w:r w:rsidR="00DC44E3" w:rsidRPr="00444F88">
        <w:t>for the calibration of therapy level dosimeters</w:t>
      </w:r>
      <w:r w:rsidR="00F13FFD">
        <w:t xml:space="preserve">. </w:t>
      </w:r>
    </w:p>
    <w:p w14:paraId="58F4C269" w14:textId="123DDBA7" w:rsidR="00444F88" w:rsidRPr="00185924" w:rsidRDefault="0054547A" w:rsidP="00185924">
      <w:pPr>
        <w:pStyle w:val="Textoindependiente"/>
      </w:pPr>
      <w:r w:rsidRPr="0056792E">
        <w:t>On the other hand, a</w:t>
      </w:r>
      <w:r w:rsidR="002C129F" w:rsidRPr="0056792E">
        <w:t xml:space="preserve"> </w:t>
      </w:r>
      <w:proofErr w:type="spellStart"/>
      <w:r w:rsidR="002C129F" w:rsidRPr="0056792E">
        <w:t>teletherapy</w:t>
      </w:r>
      <w:proofErr w:type="spellEnd"/>
      <w:r w:rsidR="002C129F" w:rsidRPr="0056792E">
        <w:t xml:space="preserve"> </w:t>
      </w:r>
      <w:r w:rsidR="00984A22">
        <w:t>unit</w:t>
      </w:r>
      <w:r w:rsidR="00984A22" w:rsidRPr="0056792E">
        <w:t xml:space="preserve"> </w:t>
      </w:r>
      <w:r w:rsidR="002C129F" w:rsidRPr="0056792E">
        <w:t xml:space="preserve">model </w:t>
      </w:r>
      <w:proofErr w:type="spellStart"/>
      <w:r w:rsidR="002C129F" w:rsidRPr="0056792E">
        <w:t>Theratron</w:t>
      </w:r>
      <w:proofErr w:type="spellEnd"/>
      <w:r w:rsidR="002C129F" w:rsidRPr="0056792E">
        <w:t xml:space="preserve"> 1000E is in operation in the Radiotherapy </w:t>
      </w:r>
      <w:r w:rsidR="00F13FFD" w:rsidRPr="0056792E">
        <w:t>D</w:t>
      </w:r>
      <w:r w:rsidR="002C129F" w:rsidRPr="0056792E">
        <w:t xml:space="preserve">epartment </w:t>
      </w:r>
      <w:r w:rsidR="00AF795A">
        <w:t>at</w:t>
      </w:r>
      <w:r w:rsidR="002C129F" w:rsidRPr="0056792E">
        <w:t xml:space="preserve"> </w:t>
      </w:r>
      <w:r w:rsidR="00614253" w:rsidRPr="0056792E">
        <w:t xml:space="preserve">the Medical Research Centre </w:t>
      </w:r>
      <w:r w:rsidR="002C129F" w:rsidRPr="0056792E">
        <w:t xml:space="preserve">in Havana. </w:t>
      </w:r>
      <w:r w:rsidR="00E15390" w:rsidRPr="0056792E">
        <w:t>This equipment uses a Co-60 radioactive source provided by Theratronics International Limited. After about 10 years in operation and because of the radioactive decay, the old source is replaced by a new one. The old source, declared disused b</w:t>
      </w:r>
      <w:r w:rsidR="00B46CB9" w:rsidRPr="0056792E">
        <w:t>y</w:t>
      </w:r>
      <w:r w:rsidR="00E15390" w:rsidRPr="0056792E">
        <w:t xml:space="preserve"> the hospital, has been transferred to the CPHR </w:t>
      </w:r>
      <w:r w:rsidR="00280D01" w:rsidRPr="0056792E">
        <w:t xml:space="preserve">for use in the SSDL for calibration purposes. </w:t>
      </w:r>
      <w:r w:rsidR="00F44A9B" w:rsidRPr="0056792E">
        <w:t xml:space="preserve">This operation has been carried out twice, in 2006 and 2017, </w:t>
      </w:r>
      <w:r w:rsidR="0056792E">
        <w:t xml:space="preserve">complying with the regulatory requirements and </w:t>
      </w:r>
      <w:r w:rsidR="00F44A9B" w:rsidRPr="0056792E">
        <w:t xml:space="preserve">authorized by the Regulatory Body. The </w:t>
      </w:r>
      <w:r w:rsidR="00AF795A">
        <w:t xml:space="preserve">  </w:t>
      </w:r>
      <w:r w:rsidR="00F44A9B" w:rsidRPr="0056792E">
        <w:t>Co-60 source</w:t>
      </w:r>
      <w:r w:rsidR="0056792E">
        <w:t>s</w:t>
      </w:r>
      <w:r w:rsidR="00F44A9B" w:rsidRPr="0056792E">
        <w:t xml:space="preserve"> declared disused by the CPHR </w:t>
      </w:r>
      <w:r w:rsidR="0056792E">
        <w:t>were</w:t>
      </w:r>
      <w:r w:rsidR="00F44A9B" w:rsidRPr="0056792E">
        <w:t xml:space="preserve"> then returned to the </w:t>
      </w:r>
      <w:r w:rsidR="001F13BC">
        <w:t>supplier</w:t>
      </w:r>
      <w:r w:rsidR="00F44A9B" w:rsidRPr="0056792E">
        <w:t xml:space="preserve">. </w:t>
      </w:r>
      <w:r w:rsidR="0056792E" w:rsidRPr="0056792E">
        <w:t xml:space="preserve">The reuse of </w:t>
      </w:r>
      <w:r w:rsidR="0056792E">
        <w:t>DSRS</w:t>
      </w:r>
      <w:r w:rsidR="0056792E" w:rsidRPr="0056792E">
        <w:t xml:space="preserve"> allows to extend the useful life of the </w:t>
      </w:r>
      <w:r w:rsidR="0056792E">
        <w:t xml:space="preserve">radioactive </w:t>
      </w:r>
      <w:r w:rsidR="0056792E" w:rsidRPr="0056792E">
        <w:t>source</w:t>
      </w:r>
      <w:r w:rsidR="0056792E">
        <w:t>s</w:t>
      </w:r>
      <w:r w:rsidR="0056792E" w:rsidRPr="0056792E">
        <w:t xml:space="preserve"> and </w:t>
      </w:r>
      <w:r w:rsidR="0056792E">
        <w:t xml:space="preserve">to </w:t>
      </w:r>
      <w:r w:rsidR="0056792E" w:rsidRPr="0056792E">
        <w:t xml:space="preserve">reduce </w:t>
      </w:r>
      <w:r w:rsidR="0056792E">
        <w:t xml:space="preserve">the cost, </w:t>
      </w:r>
      <w:r w:rsidR="0056792E" w:rsidRPr="0056792E">
        <w:t>as the country does not have to acquire a new source</w:t>
      </w:r>
      <w:r w:rsidR="0056792E">
        <w:t xml:space="preserve">. </w:t>
      </w:r>
    </w:p>
    <w:p w14:paraId="12C30561" w14:textId="77777777" w:rsidR="00E632FC" w:rsidRPr="0080718F" w:rsidRDefault="00E632FC" w:rsidP="00E632FC">
      <w:pPr>
        <w:pStyle w:val="Ttulo2"/>
        <w:numPr>
          <w:ilvl w:val="1"/>
          <w:numId w:val="10"/>
        </w:numPr>
      </w:pPr>
      <w:r w:rsidRPr="0080718F">
        <w:t xml:space="preserve">Conclusions </w:t>
      </w:r>
    </w:p>
    <w:p w14:paraId="196C8C1E" w14:textId="5835ACC3" w:rsidR="002A6E77" w:rsidRDefault="00E632FC" w:rsidP="0038141B">
      <w:pPr>
        <w:pStyle w:val="Textoindependiente"/>
      </w:pPr>
      <w:r>
        <w:t xml:space="preserve">Adequate infrastructure exists in Cuba for the management of disused radioactive sources. The conditioning of DSRS of categories 3-5 guaranties the safety and security of the radioactive sources during the long term storage. Necessary actions have to be taken for the </w:t>
      </w:r>
      <w:r w:rsidR="00D2166C">
        <w:t xml:space="preserve">safe management of high activity radioactive sources. </w:t>
      </w:r>
    </w:p>
    <w:p w14:paraId="36BF2C66" w14:textId="77777777" w:rsidR="00D26ADA" w:rsidRPr="00285755" w:rsidRDefault="00D26ADA" w:rsidP="00537496">
      <w:pPr>
        <w:pStyle w:val="Otherunnumberedheadings"/>
      </w:pPr>
      <w:r>
        <w:t>References</w:t>
      </w:r>
    </w:p>
    <w:p w14:paraId="783876BB" w14:textId="3B4F65DB" w:rsidR="00A84BA4" w:rsidRDefault="00A84BA4" w:rsidP="000B4E5C">
      <w:pPr>
        <w:pStyle w:val="Referencelist"/>
      </w:pPr>
      <w:r w:rsidRPr="00A84BA4">
        <w:t>INTERNATIONAL ATOMIC ENERGY AGENCY Guidance on the Management of Disused Radioactive Sources IAEA, IAEA/CODEOC/MGT-DRS/2018, Vienna, (2018).</w:t>
      </w:r>
    </w:p>
    <w:p w14:paraId="13222BD6" w14:textId="47433441" w:rsidR="003728E6" w:rsidRDefault="000B4E5C" w:rsidP="000B4E5C">
      <w:pPr>
        <w:pStyle w:val="Referencelist"/>
      </w:pPr>
      <w:r>
        <w:t>SALGADO, M.</w:t>
      </w:r>
      <w:r w:rsidR="003728E6">
        <w:t>,</w:t>
      </w:r>
      <w:r w:rsidR="006F45D2">
        <w:t xml:space="preserve"> et al.,</w:t>
      </w:r>
      <w:r w:rsidR="003728E6">
        <w:t xml:space="preserve"> “</w:t>
      </w:r>
      <w:r w:rsidRPr="000B4E5C">
        <w:t>Experience in the management of disused radioactive sources in Cuba</w:t>
      </w:r>
      <w:r w:rsidR="003728E6">
        <w:t xml:space="preserve">”, </w:t>
      </w:r>
      <w:r>
        <w:t xml:space="preserve">Safety and Security of Radioactive Sources: Maintaining Continuous Global Control of Sources throughout Their Life Cycle </w:t>
      </w:r>
      <w:r w:rsidR="003728E6" w:rsidRPr="003728E6">
        <w:t xml:space="preserve">(Proc. Int. Conf. </w:t>
      </w:r>
      <w:r w:rsidRPr="000B4E5C">
        <w:t>Abu Dhabi, United Arab Emirates</w:t>
      </w:r>
      <w:r w:rsidR="003728E6" w:rsidRPr="003728E6">
        <w:t xml:space="preserve">, </w:t>
      </w:r>
      <w:r>
        <w:t>2013</w:t>
      </w:r>
      <w:r w:rsidR="003728E6" w:rsidRPr="003728E6">
        <w:t xml:space="preserve">), </w:t>
      </w:r>
      <w:r>
        <w:t>IAEA</w:t>
      </w:r>
      <w:r w:rsidR="003728E6" w:rsidRPr="003728E6">
        <w:t xml:space="preserve">, </w:t>
      </w:r>
      <w:r w:rsidR="001B210C">
        <w:t>Austria</w:t>
      </w:r>
      <w:r w:rsidR="003728E6" w:rsidRPr="003728E6">
        <w:t xml:space="preserve"> (</w:t>
      </w:r>
      <w:r>
        <w:t>2015</w:t>
      </w:r>
      <w:r w:rsidR="003728E6" w:rsidRPr="003728E6">
        <w:t>).</w:t>
      </w:r>
    </w:p>
    <w:p w14:paraId="2FD93EBB" w14:textId="77777777" w:rsidR="00EE387C" w:rsidRPr="00EE387C" w:rsidRDefault="00EE387C" w:rsidP="00EE387C">
      <w:pPr>
        <w:pStyle w:val="Referencelist"/>
      </w:pPr>
      <w:r w:rsidRPr="00EE387C">
        <w:t>INTERNATIONAL ATOMIC ENERGY AGENCY, Conditioning and Interim Storage of Spent Radium Sources, IAEA-TECDOC-886, Vienna (1996).</w:t>
      </w:r>
    </w:p>
    <w:p w14:paraId="6396B70A" w14:textId="45D0B1A2" w:rsidR="00EE387C" w:rsidRPr="003728E6" w:rsidRDefault="008F1100" w:rsidP="008F1100">
      <w:pPr>
        <w:pStyle w:val="Referencelist"/>
      </w:pPr>
      <w:r w:rsidRPr="008F1100">
        <w:t>INTERNATIONAL ATOMIC ENERGY AGENCY, Management of Disused Sealed Radioactive Sources, IAEA Nuclear Energy Series, No. NW-T-1.3, Vienna (2014).</w:t>
      </w:r>
    </w:p>
    <w:sectPr w:rsidR="00EE387C" w:rsidRPr="003728E6" w:rsidSect="0026525A">
      <w:headerReference w:type="even" r:id="rId28"/>
      <w:headerReference w:type="default" r:id="rId29"/>
      <w:footerReference w:type="even" r:id="rId30"/>
      <w:footerReference w:type="default" r:id="rId31"/>
      <w:headerReference w:type="first" r:id="rId32"/>
      <w:footerReference w:type="first" r:id="rId33"/>
      <w:type w:val="oddPage"/>
      <w:pgSz w:w="11907" w:h="16840" w:code="9"/>
      <w:pgMar w:top="1440" w:right="1440" w:bottom="1440" w:left="1440" w:header="539" w:footer="964" w:gutter="0"/>
      <w:pgNumType w:start="1"/>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7F57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431A2" w16cex:dateUtc="2022-04-03T1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7F5746" w16cid:durableId="25F431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05AA9" w14:textId="77777777" w:rsidR="00FC737C" w:rsidRDefault="00FC737C">
      <w:r>
        <w:separator/>
      </w:r>
    </w:p>
  </w:endnote>
  <w:endnote w:type="continuationSeparator" w:id="0">
    <w:p w14:paraId="5E82268E" w14:textId="77777777" w:rsidR="00FC737C" w:rsidRDefault="00FC7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B217E" w14:textId="77777777" w:rsidR="000B5719" w:rsidRDefault="000B5719">
    <w:pPr>
      <w:pStyle w:val="zyxClassification1"/>
    </w:pPr>
    <w:r>
      <w:fldChar w:fldCharType="begin"/>
    </w:r>
    <w:r>
      <w:instrText xml:space="preserve"> DOCPROPERTY "IaeaClassification"  \* MERGEFORMAT </w:instrText>
    </w:r>
    <w:r>
      <w:fldChar w:fldCharType="end"/>
    </w:r>
  </w:p>
  <w:p w14:paraId="18E0BCF6" w14:textId="77777777" w:rsidR="000B5719" w:rsidRDefault="000B5719">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866CE" w14:textId="77777777" w:rsidR="000B5719" w:rsidRDefault="000B5719">
    <w:pPr>
      <w:pStyle w:val="zyxClassification1"/>
    </w:pPr>
    <w:r>
      <w:fldChar w:fldCharType="begin"/>
    </w:r>
    <w:r>
      <w:instrText xml:space="preserve"> DOCPROPERTY "IaeaClassification"  \* MERGEFORMAT </w:instrText>
    </w:r>
    <w:r>
      <w:fldChar w:fldCharType="end"/>
    </w:r>
  </w:p>
  <w:p w14:paraId="277CAA6E" w14:textId="2BEAED91" w:rsidR="000B5719" w:rsidRPr="00037321" w:rsidRDefault="000B5719">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8D4601">
      <w:rPr>
        <w:rFonts w:ascii="Times New Roman" w:hAnsi="Times New Roman" w:cs="Times New Roman"/>
        <w:noProof/>
        <w:sz w:val="20"/>
      </w:rPr>
      <w:t>5</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0B5719" w14:paraId="11914824" w14:textId="77777777">
      <w:trPr>
        <w:cantSplit/>
      </w:trPr>
      <w:tc>
        <w:tcPr>
          <w:tcW w:w="4644" w:type="dxa"/>
        </w:tcPr>
        <w:p w14:paraId="01922AC8" w14:textId="77777777" w:rsidR="000B5719" w:rsidRDefault="000B5719">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5F7FDA0D" w14:textId="77777777" w:rsidR="000B5719" w:rsidRDefault="000B5719">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46DD02AF" w14:textId="77777777" w:rsidR="000B5719" w:rsidRDefault="000B5719">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27BCD056" w14:textId="77777777" w:rsidR="000B5719" w:rsidRDefault="000B5719">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0D8938D7" w14:textId="77777777" w:rsidR="000B5719" w:rsidRDefault="000B5719">
    <w:r>
      <w:rPr>
        <w:sz w:val="16"/>
      </w:rPr>
      <w:fldChar w:fldCharType="begin"/>
    </w:r>
    <w:r>
      <w:rPr>
        <w:sz w:val="16"/>
      </w:rPr>
      <w:instrText xml:space="preserve"> FILENAME \* MERGEFORMAT </w:instrText>
    </w:r>
    <w:r>
      <w:rPr>
        <w:sz w:val="16"/>
      </w:rPr>
      <w:fldChar w:fldCharType="separate"/>
    </w:r>
    <w:r w:rsidR="00763411">
      <w:rPr>
        <w:noProof/>
        <w:sz w:val="16"/>
      </w:rPr>
      <w:t>IAEA-CN-295-057-01 abr</w:t>
    </w:r>
    <w:r>
      <w:rPr>
        <w:sz w:val="16"/>
      </w:rPr>
      <w:fldChar w:fldCharType="end"/>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64239" w14:textId="77777777" w:rsidR="00FC737C" w:rsidRDefault="00FC737C">
      <w:r>
        <w:t>___________________________________________________________________________</w:t>
      </w:r>
    </w:p>
  </w:footnote>
  <w:footnote w:type="continuationSeparator" w:id="0">
    <w:p w14:paraId="6D062F92" w14:textId="77777777" w:rsidR="00FC737C" w:rsidRDefault="00FC737C">
      <w:r>
        <w:t>___________________________________________________________________________</w:t>
      </w:r>
    </w:p>
  </w:footnote>
  <w:footnote w:type="continuationNotice" w:id="1">
    <w:p w14:paraId="5DEF94B4" w14:textId="77777777" w:rsidR="00FC737C" w:rsidRDefault="00FC737C"/>
  </w:footnote>
  <w:footnote w:id="2">
    <w:p w14:paraId="3B191212" w14:textId="77777777" w:rsidR="000B5719" w:rsidRDefault="000B5719" w:rsidP="00CB5D0F">
      <w:pPr>
        <w:pStyle w:val="Textonotapie"/>
      </w:pPr>
      <w:r>
        <w:rPr>
          <w:rStyle w:val="Refdenotaalpie"/>
        </w:rPr>
        <w:footnoteRef/>
      </w:r>
      <w:r>
        <w:t xml:space="preserve"> </w:t>
      </w:r>
      <w:r w:rsidRPr="002E3DF9">
        <w:rPr>
          <w:lang w:val="en-US"/>
        </w:rPr>
        <w:t xml:space="preserve">Mr. </w:t>
      </w:r>
      <w:r>
        <w:rPr>
          <w:lang w:val="en-US"/>
        </w:rPr>
        <w:t xml:space="preserve">J.C </w:t>
      </w:r>
      <w:r w:rsidRPr="002E3DF9">
        <w:rPr>
          <w:lang w:val="en-US"/>
        </w:rPr>
        <w:t xml:space="preserve">Benítez is currently employed by </w:t>
      </w:r>
      <w:r>
        <w:rPr>
          <w:lang w:val="en-US"/>
        </w:rPr>
        <w:t>the IAEA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819C9" w14:textId="2EFA230E" w:rsidR="000B5719" w:rsidRDefault="000B5719" w:rsidP="007C725D">
    <w:pPr>
      <w:pStyle w:val="Runninghead"/>
    </w:pPr>
    <w:r>
      <w:tab/>
      <w:t>IAEA-CN-295/57</w:t>
    </w:r>
    <w:r>
      <w:fldChar w:fldCharType="begin"/>
    </w:r>
    <w:r>
      <w:instrText xml:space="preserve"> DOCPROPERTY "IaeaClassification"  \* MERGEFORMAT </w:instrText>
    </w:r>
    <w:r>
      <w:fldChar w:fldCharType="end"/>
    </w: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B0C97" w14:textId="1102FF1A" w:rsidR="000B5719" w:rsidRPr="00CB5D0F" w:rsidRDefault="000B5719" w:rsidP="00CB5D0F">
    <w:pPr>
      <w:pStyle w:val="Runninghead"/>
    </w:pPr>
    <w:r w:rsidRPr="00CB5D0F">
      <w:t>M. SALGADO MOJENA</w:t>
    </w:r>
    <w:r>
      <w:t xml:space="preserve"> et 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0B5719" w14:paraId="65B84B39" w14:textId="77777777">
      <w:trPr>
        <w:cantSplit/>
        <w:trHeight w:val="716"/>
      </w:trPr>
      <w:tc>
        <w:tcPr>
          <w:tcW w:w="979" w:type="dxa"/>
          <w:vMerge w:val="restart"/>
        </w:tcPr>
        <w:p w14:paraId="2D948F13" w14:textId="77777777" w:rsidR="000B5719" w:rsidRDefault="000B5719">
          <w:pPr>
            <w:spacing w:before="180"/>
            <w:ind w:left="17"/>
          </w:pPr>
        </w:p>
      </w:tc>
      <w:tc>
        <w:tcPr>
          <w:tcW w:w="3638" w:type="dxa"/>
          <w:vAlign w:val="bottom"/>
        </w:tcPr>
        <w:p w14:paraId="3741A6CB" w14:textId="77777777" w:rsidR="000B5719" w:rsidRDefault="000B5719">
          <w:pPr>
            <w:spacing w:after="20"/>
          </w:pPr>
        </w:p>
      </w:tc>
      <w:bookmarkStart w:id="1" w:name="DOC_bkmClassification1"/>
      <w:tc>
        <w:tcPr>
          <w:tcW w:w="5702" w:type="dxa"/>
          <w:vMerge w:val="restart"/>
          <w:tcMar>
            <w:right w:w="193" w:type="dxa"/>
          </w:tcMar>
        </w:tcPr>
        <w:p w14:paraId="6CA879E2" w14:textId="77777777" w:rsidR="000B5719" w:rsidRDefault="000B5719">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1658BF87" w14:textId="77777777" w:rsidR="000B5719" w:rsidRDefault="000B5719">
          <w:pPr>
            <w:pStyle w:val="zyxConfid2Red"/>
          </w:pPr>
          <w:r>
            <w:fldChar w:fldCharType="begin"/>
          </w:r>
          <w:r>
            <w:instrText>DOCPROPERTY "IaeaClassification2"  \* MERGEFORMAT</w:instrText>
          </w:r>
          <w:r>
            <w:fldChar w:fldCharType="end"/>
          </w:r>
        </w:p>
      </w:tc>
    </w:tr>
    <w:tr w:rsidR="000B5719" w14:paraId="12F4B44A" w14:textId="77777777">
      <w:trPr>
        <w:cantSplit/>
        <w:trHeight w:val="167"/>
      </w:trPr>
      <w:tc>
        <w:tcPr>
          <w:tcW w:w="979" w:type="dxa"/>
          <w:vMerge/>
        </w:tcPr>
        <w:p w14:paraId="6A2AB7D9" w14:textId="77777777" w:rsidR="000B5719" w:rsidRDefault="000B5719">
          <w:pPr>
            <w:spacing w:before="57"/>
          </w:pPr>
        </w:p>
      </w:tc>
      <w:tc>
        <w:tcPr>
          <w:tcW w:w="3638" w:type="dxa"/>
          <w:vAlign w:val="bottom"/>
        </w:tcPr>
        <w:p w14:paraId="03DC007D" w14:textId="77777777" w:rsidR="000B5719" w:rsidRDefault="000B5719">
          <w:pPr>
            <w:pStyle w:val="Ttulo9"/>
            <w:spacing w:before="0" w:after="10"/>
          </w:pPr>
        </w:p>
      </w:tc>
      <w:tc>
        <w:tcPr>
          <w:tcW w:w="5702" w:type="dxa"/>
          <w:vMerge/>
          <w:vAlign w:val="bottom"/>
        </w:tcPr>
        <w:p w14:paraId="2A0B6A2B" w14:textId="77777777" w:rsidR="000B5719" w:rsidRDefault="000B5719">
          <w:pPr>
            <w:pStyle w:val="Ttulo9"/>
            <w:spacing w:before="0" w:after="10"/>
          </w:pPr>
        </w:p>
      </w:tc>
    </w:tr>
  </w:tbl>
  <w:p w14:paraId="50B524FE" w14:textId="77777777" w:rsidR="000B5719" w:rsidRDefault="000B571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Ttulo2"/>
      <w:suff w:val="space"/>
      <w:lvlText w:val="%1%2."/>
      <w:lvlJc w:val="left"/>
      <w:pPr>
        <w:ind w:left="0" w:firstLine="0"/>
      </w:pPr>
      <w:rPr>
        <w:rFonts w:hint="default"/>
        <w:color w:val="auto"/>
      </w:rPr>
    </w:lvl>
    <w:lvl w:ilvl="2">
      <w:start w:val="1"/>
      <w:numFmt w:val="decimal"/>
      <w:lvlRestart w:val="0"/>
      <w:pStyle w:val="Ttulo3"/>
      <w:lvlText w:val="%1%2.%3."/>
      <w:lvlJc w:val="left"/>
      <w:pPr>
        <w:ind w:left="0" w:firstLine="0"/>
      </w:pPr>
      <w:rPr>
        <w:rFonts w:hint="default"/>
      </w:rPr>
    </w:lvl>
    <w:lvl w:ilvl="3">
      <w:start w:val="1"/>
      <w:numFmt w:val="decimal"/>
      <w:lvlRestart w:val="0"/>
      <w:pStyle w:val="Ttulo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Ttulo2"/>
        <w:lvlText w:val="%1%2."/>
        <w:lvlJc w:val="left"/>
        <w:pPr>
          <w:ind w:left="0" w:firstLine="0"/>
        </w:pPr>
        <w:rPr>
          <w:rFonts w:hint="default"/>
          <w:color w:val="auto"/>
        </w:rPr>
      </w:lvl>
    </w:lvlOverride>
    <w:lvlOverride w:ilvl="2">
      <w:lvl w:ilvl="2">
        <w:start w:val="1"/>
        <w:numFmt w:val="decimal"/>
        <w:lvlRestart w:val="0"/>
        <w:pStyle w:val="Ttulo3"/>
        <w:lvlText w:val="%1%2.%3."/>
        <w:lvlJc w:val="left"/>
        <w:pPr>
          <w:ind w:left="0" w:firstLine="0"/>
        </w:pPr>
        <w:rPr>
          <w:rFonts w:hint="default"/>
        </w:rPr>
      </w:lvl>
    </w:lvlOverride>
    <w:lvlOverride w:ilvl="3">
      <w:lvl w:ilvl="3">
        <w:start w:val="1"/>
        <w:numFmt w:val="none"/>
        <w:lvlRestart w:val="0"/>
        <w:pStyle w:val="Ttulo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Ttulo2"/>
        <w:suff w:val="space"/>
        <w:lvlText w:val="%1%2."/>
        <w:lvlJc w:val="left"/>
        <w:pPr>
          <w:ind w:left="0" w:firstLine="0"/>
        </w:pPr>
        <w:rPr>
          <w:rFonts w:hint="default"/>
          <w:color w:val="auto"/>
        </w:rPr>
      </w:lvl>
    </w:lvlOverride>
    <w:lvlOverride w:ilvl="2">
      <w:lvl w:ilvl="2">
        <w:start w:val="1"/>
        <w:numFmt w:val="decimal"/>
        <w:lvlRestart w:val="0"/>
        <w:pStyle w:val="Ttulo3"/>
        <w:suff w:val="space"/>
        <w:lvlText w:val="%1%2.%3."/>
        <w:lvlJc w:val="left"/>
        <w:pPr>
          <w:ind w:left="0" w:firstLine="0"/>
        </w:pPr>
        <w:rPr>
          <w:rFonts w:hint="default"/>
        </w:rPr>
      </w:lvl>
    </w:lvlOverride>
    <w:lvlOverride w:ilvl="3">
      <w:lvl w:ilvl="3">
        <w:start w:val="1"/>
        <w:numFmt w:val="decimal"/>
        <w:lvlRestart w:val="0"/>
        <w:pStyle w:val="Ttulo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 w:numId="33">
    <w:abstractNumId w:val="2"/>
  </w:num>
  <w:num w:numId="34">
    <w:abstractNumId w:val="2"/>
  </w:num>
  <w:num w:numId="35">
    <w:abstractNumId w:val="10"/>
  </w:num>
  <w:num w:numId="3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ITEZ NAVARRO, Juan Carlos">
    <w15:presenceInfo w15:providerId="AD" w15:userId="S::J.C.Benitez-Navarro@iaea.org::d1f52e14-599f-4830-8046-d04bbde004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0438"/>
    <w:rsid w:val="000220A2"/>
    <w:rsid w:val="000229AB"/>
    <w:rsid w:val="000240CA"/>
    <w:rsid w:val="0002569A"/>
    <w:rsid w:val="00037321"/>
    <w:rsid w:val="000474F8"/>
    <w:rsid w:val="00072E4F"/>
    <w:rsid w:val="000A0299"/>
    <w:rsid w:val="000A2990"/>
    <w:rsid w:val="000B4E5C"/>
    <w:rsid w:val="000B5719"/>
    <w:rsid w:val="000C0D91"/>
    <w:rsid w:val="000C521F"/>
    <w:rsid w:val="000E5D61"/>
    <w:rsid w:val="000E6FD5"/>
    <w:rsid w:val="000F7E94"/>
    <w:rsid w:val="0010085A"/>
    <w:rsid w:val="001119D6"/>
    <w:rsid w:val="001308F2"/>
    <w:rsid w:val="001313E8"/>
    <w:rsid w:val="00137DF8"/>
    <w:rsid w:val="00185924"/>
    <w:rsid w:val="001B210C"/>
    <w:rsid w:val="001C58F5"/>
    <w:rsid w:val="001D5CEE"/>
    <w:rsid w:val="001F13BC"/>
    <w:rsid w:val="002071D9"/>
    <w:rsid w:val="002555D5"/>
    <w:rsid w:val="00256822"/>
    <w:rsid w:val="0026525A"/>
    <w:rsid w:val="00265AD9"/>
    <w:rsid w:val="00274790"/>
    <w:rsid w:val="00275BA4"/>
    <w:rsid w:val="00280D01"/>
    <w:rsid w:val="00285755"/>
    <w:rsid w:val="0029792F"/>
    <w:rsid w:val="002A1F9C"/>
    <w:rsid w:val="002A6E77"/>
    <w:rsid w:val="002B0293"/>
    <w:rsid w:val="002B29C2"/>
    <w:rsid w:val="002B3EFA"/>
    <w:rsid w:val="002C129F"/>
    <w:rsid w:val="002C4208"/>
    <w:rsid w:val="002E3C89"/>
    <w:rsid w:val="00307C4B"/>
    <w:rsid w:val="00325502"/>
    <w:rsid w:val="00331070"/>
    <w:rsid w:val="00335515"/>
    <w:rsid w:val="00352DE1"/>
    <w:rsid w:val="003553E7"/>
    <w:rsid w:val="003728E6"/>
    <w:rsid w:val="0038141B"/>
    <w:rsid w:val="003815A5"/>
    <w:rsid w:val="00391931"/>
    <w:rsid w:val="003A61F8"/>
    <w:rsid w:val="003A78EA"/>
    <w:rsid w:val="003B5E0E"/>
    <w:rsid w:val="003D255A"/>
    <w:rsid w:val="003F6775"/>
    <w:rsid w:val="00416949"/>
    <w:rsid w:val="004370D8"/>
    <w:rsid w:val="00444F88"/>
    <w:rsid w:val="004569CC"/>
    <w:rsid w:val="00472C43"/>
    <w:rsid w:val="004A4BA7"/>
    <w:rsid w:val="004A59A9"/>
    <w:rsid w:val="004B3128"/>
    <w:rsid w:val="00506E97"/>
    <w:rsid w:val="00532A0F"/>
    <w:rsid w:val="00537496"/>
    <w:rsid w:val="00542DF1"/>
    <w:rsid w:val="00544ED3"/>
    <w:rsid w:val="0054547A"/>
    <w:rsid w:val="00551187"/>
    <w:rsid w:val="0056792E"/>
    <w:rsid w:val="00575546"/>
    <w:rsid w:val="0057749B"/>
    <w:rsid w:val="0058477B"/>
    <w:rsid w:val="00585070"/>
    <w:rsid w:val="0058654F"/>
    <w:rsid w:val="00587018"/>
    <w:rsid w:val="00596ACA"/>
    <w:rsid w:val="005A7764"/>
    <w:rsid w:val="005A7E3D"/>
    <w:rsid w:val="005D1A54"/>
    <w:rsid w:val="005E39BC"/>
    <w:rsid w:val="005E7775"/>
    <w:rsid w:val="005F00A0"/>
    <w:rsid w:val="005F1A7B"/>
    <w:rsid w:val="006000A0"/>
    <w:rsid w:val="0060506B"/>
    <w:rsid w:val="00611D65"/>
    <w:rsid w:val="00614253"/>
    <w:rsid w:val="00647F33"/>
    <w:rsid w:val="00662532"/>
    <w:rsid w:val="0069230A"/>
    <w:rsid w:val="006B2274"/>
    <w:rsid w:val="006F2670"/>
    <w:rsid w:val="006F45D2"/>
    <w:rsid w:val="00717091"/>
    <w:rsid w:val="00717C6F"/>
    <w:rsid w:val="007445DA"/>
    <w:rsid w:val="00763411"/>
    <w:rsid w:val="007857DE"/>
    <w:rsid w:val="007B4FD1"/>
    <w:rsid w:val="007C4762"/>
    <w:rsid w:val="007C725D"/>
    <w:rsid w:val="007D0BD4"/>
    <w:rsid w:val="007D420D"/>
    <w:rsid w:val="007D4E23"/>
    <w:rsid w:val="007D7DA9"/>
    <w:rsid w:val="007F2569"/>
    <w:rsid w:val="00802381"/>
    <w:rsid w:val="008257FA"/>
    <w:rsid w:val="008366E0"/>
    <w:rsid w:val="00841342"/>
    <w:rsid w:val="00871307"/>
    <w:rsid w:val="00883848"/>
    <w:rsid w:val="008949E3"/>
    <w:rsid w:val="00897ED5"/>
    <w:rsid w:val="008B6BB9"/>
    <w:rsid w:val="008D4601"/>
    <w:rsid w:val="008F1100"/>
    <w:rsid w:val="008F22EB"/>
    <w:rsid w:val="008F6E82"/>
    <w:rsid w:val="00911543"/>
    <w:rsid w:val="009117E5"/>
    <w:rsid w:val="00914485"/>
    <w:rsid w:val="00917889"/>
    <w:rsid w:val="00923810"/>
    <w:rsid w:val="009239C8"/>
    <w:rsid w:val="0094313B"/>
    <w:rsid w:val="00947187"/>
    <w:rsid w:val="009519C9"/>
    <w:rsid w:val="00984A22"/>
    <w:rsid w:val="009A4F10"/>
    <w:rsid w:val="009D0B86"/>
    <w:rsid w:val="009E0D5B"/>
    <w:rsid w:val="009E1558"/>
    <w:rsid w:val="00A0286B"/>
    <w:rsid w:val="00A12022"/>
    <w:rsid w:val="00A42898"/>
    <w:rsid w:val="00A55DCD"/>
    <w:rsid w:val="00A5685E"/>
    <w:rsid w:val="00A84BA4"/>
    <w:rsid w:val="00AA0A4B"/>
    <w:rsid w:val="00AB6ACE"/>
    <w:rsid w:val="00AC5A3A"/>
    <w:rsid w:val="00AF795A"/>
    <w:rsid w:val="00B46CB9"/>
    <w:rsid w:val="00B60B99"/>
    <w:rsid w:val="00B82FA5"/>
    <w:rsid w:val="00B871FE"/>
    <w:rsid w:val="00B9189A"/>
    <w:rsid w:val="00BA4FFE"/>
    <w:rsid w:val="00BB3785"/>
    <w:rsid w:val="00BD1400"/>
    <w:rsid w:val="00BD39E9"/>
    <w:rsid w:val="00BD605C"/>
    <w:rsid w:val="00BE2A76"/>
    <w:rsid w:val="00BF2C57"/>
    <w:rsid w:val="00C3377D"/>
    <w:rsid w:val="00C65E60"/>
    <w:rsid w:val="00C9759A"/>
    <w:rsid w:val="00CA27DC"/>
    <w:rsid w:val="00CB5D0F"/>
    <w:rsid w:val="00CD07B9"/>
    <w:rsid w:val="00CE5A52"/>
    <w:rsid w:val="00CE67DB"/>
    <w:rsid w:val="00CF542A"/>
    <w:rsid w:val="00CF5DE6"/>
    <w:rsid w:val="00CF7AF3"/>
    <w:rsid w:val="00D12E67"/>
    <w:rsid w:val="00D2166C"/>
    <w:rsid w:val="00D2451E"/>
    <w:rsid w:val="00D26ADA"/>
    <w:rsid w:val="00D35A78"/>
    <w:rsid w:val="00D555A1"/>
    <w:rsid w:val="00D64DC2"/>
    <w:rsid w:val="00D87279"/>
    <w:rsid w:val="00DA46CA"/>
    <w:rsid w:val="00DB2138"/>
    <w:rsid w:val="00DC21A3"/>
    <w:rsid w:val="00DC44E3"/>
    <w:rsid w:val="00DF21EB"/>
    <w:rsid w:val="00DF50C6"/>
    <w:rsid w:val="00E15390"/>
    <w:rsid w:val="00E20E70"/>
    <w:rsid w:val="00E23B50"/>
    <w:rsid w:val="00E25B68"/>
    <w:rsid w:val="00E3688E"/>
    <w:rsid w:val="00E632FC"/>
    <w:rsid w:val="00E81C3F"/>
    <w:rsid w:val="00E84003"/>
    <w:rsid w:val="00E90A6F"/>
    <w:rsid w:val="00E92365"/>
    <w:rsid w:val="00EC10FC"/>
    <w:rsid w:val="00EC17A3"/>
    <w:rsid w:val="00ED3E11"/>
    <w:rsid w:val="00EE0041"/>
    <w:rsid w:val="00EE29B9"/>
    <w:rsid w:val="00EE387C"/>
    <w:rsid w:val="00EF7250"/>
    <w:rsid w:val="00F004EE"/>
    <w:rsid w:val="00F01121"/>
    <w:rsid w:val="00F13FFD"/>
    <w:rsid w:val="00F40826"/>
    <w:rsid w:val="00F42E23"/>
    <w:rsid w:val="00F44A9B"/>
    <w:rsid w:val="00F45EEE"/>
    <w:rsid w:val="00F51E9C"/>
    <w:rsid w:val="00F523CA"/>
    <w:rsid w:val="00F6101C"/>
    <w:rsid w:val="00F74A9D"/>
    <w:rsid w:val="00FB571D"/>
    <w:rsid w:val="00FC737C"/>
    <w:rsid w:val="00FF0F0B"/>
    <w:rsid w:val="00FF386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A9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semiHidden="0" w:uiPriority="4" w:unhideWhenUsed="0" w:qFormat="1"/>
    <w:lsdException w:name="heading 4" w:locked="0" w:semiHidden="0" w:uiPriority="4" w:unhideWhenUsed="0" w:qFormat="1"/>
    <w:lsdException w:name="heading 5" w:locked="0" w:semiHidden="0" w:uiPriority="0" w:unhideWhenUsed="0"/>
    <w:lsdException w:name="heading 6" w:locked="0" w:semiHidden="0" w:uiPriority="0" w:unhideWhenUsed="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lsdException w:name="footnote reference" w:locked="0" w:uiPriority="0"/>
    <w:lsdException w:name="List Bullet" w:locked="0"/>
    <w:lsdException w:name="List Number" w:semiHidden="0" w:unhideWhenUsed="0"/>
    <w:lsdException w:name="List 4" w:semiHidden="0" w:unhideWhenUsed="0"/>
    <w:lsdException w:name="List 5"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Subtitle" w:locked="0" w:semiHidden="0" w:uiPriority="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uiPriority="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Ttulo1">
    <w:name w:val="heading 1"/>
    <w:aliases w:val="Paper title"/>
    <w:next w:val="Subttulo"/>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Ttulo2">
    <w:name w:val="heading 2"/>
    <w:aliases w:val="1st level paper heading"/>
    <w:next w:val="Textoindependiente"/>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Ttulo3">
    <w:name w:val="heading 3"/>
    <w:aliases w:val="2nd level paper heading"/>
    <w:next w:val="Textoindependiente"/>
    <w:uiPriority w:val="4"/>
    <w:qFormat/>
    <w:rsid w:val="00897ED5"/>
    <w:pPr>
      <w:widowControl w:val="0"/>
      <w:numPr>
        <w:ilvl w:val="2"/>
        <w:numId w:val="12"/>
      </w:numPr>
      <w:spacing w:before="240" w:after="240" w:line="240" w:lineRule="exact"/>
      <w:outlineLvl w:val="2"/>
    </w:pPr>
    <w:rPr>
      <w:b/>
      <w:lang w:eastAsia="en-US"/>
    </w:rPr>
  </w:style>
  <w:style w:type="paragraph" w:styleId="Ttulo4">
    <w:name w:val="heading 4"/>
    <w:aliases w:val="3rd level paper heading"/>
    <w:basedOn w:val="Normal"/>
    <w:next w:val="Textoindependiente"/>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Ttulo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Ttulo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Ttulo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Ttulo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Ttulo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link w:val="TextoindependienteCar"/>
    <w:qFormat/>
    <w:rsid w:val="00647F33"/>
    <w:pPr>
      <w:spacing w:line="260" w:lineRule="atLeast"/>
      <w:ind w:firstLine="567"/>
      <w:contextualSpacing/>
      <w:jc w:val="both"/>
    </w:pPr>
    <w:rPr>
      <w:lang w:eastAsia="en-US"/>
    </w:rPr>
  </w:style>
  <w:style w:type="paragraph" w:styleId="Sangradetextonormal">
    <w:name w:val="Body Text Indent"/>
    <w:basedOn w:val="Textoindependiente"/>
    <w:uiPriority w:val="49"/>
    <w:locked/>
    <w:pPr>
      <w:ind w:left="1134" w:hanging="675"/>
    </w:pPr>
  </w:style>
  <w:style w:type="paragraph" w:customStyle="1" w:styleId="BodyTextMultiline">
    <w:name w:val="Body Text Multiline"/>
    <w:basedOn w:val="Textoindependiente"/>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Epgrafe">
    <w:name w:val="caption"/>
    <w:next w:val="Normal"/>
    <w:uiPriority w:val="49"/>
    <w:pPr>
      <w:spacing w:after="85"/>
    </w:pPr>
    <w:rPr>
      <w:bCs/>
      <w:sz w:val="18"/>
      <w:lang w:val="en-US" w:eastAsia="en-US"/>
    </w:rPr>
  </w:style>
  <w:style w:type="paragraph" w:styleId="Piedepgina">
    <w:name w:val="footer"/>
    <w:basedOn w:val="Normal"/>
    <w:link w:val="PiedepginaCar"/>
    <w:uiPriority w:val="99"/>
    <w:locked/>
    <w:pPr>
      <w:overflowPunct/>
      <w:autoSpaceDE/>
      <w:autoSpaceDN/>
      <w:adjustRightInd/>
      <w:textAlignment w:val="auto"/>
    </w:pPr>
    <w:rPr>
      <w:sz w:val="2"/>
      <w:lang w:val="en-US"/>
    </w:rPr>
  </w:style>
  <w:style w:type="paragraph" w:styleId="Textonotapie">
    <w:name w:val="footnote text"/>
    <w:semiHidden/>
    <w:locked/>
    <w:pPr>
      <w:tabs>
        <w:tab w:val="left" w:pos="459"/>
      </w:tabs>
      <w:spacing w:before="142"/>
      <w:ind w:left="459"/>
      <w:jc w:val="both"/>
    </w:pPr>
    <w:rPr>
      <w:sz w:val="18"/>
      <w:lang w:eastAsia="en-US"/>
    </w:rPr>
  </w:style>
  <w:style w:type="paragraph" w:styleId="Encabezado">
    <w:name w:val="header"/>
    <w:next w:val="Textoindependiente"/>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Textoindependiente"/>
    <w:uiPriority w:val="6"/>
    <w:qFormat/>
    <w:rsid w:val="00717C6F"/>
    <w:pPr>
      <w:numPr>
        <w:numId w:val="20"/>
      </w:numPr>
    </w:pPr>
  </w:style>
  <w:style w:type="paragraph" w:customStyle="1" w:styleId="ListNumbered">
    <w:name w:val="List Numbered"/>
    <w:basedOn w:val="Textoindependiente"/>
    <w:uiPriority w:val="5"/>
    <w:qFormat/>
    <w:locked/>
    <w:rsid w:val="00717C6F"/>
    <w:pPr>
      <w:numPr>
        <w:numId w:val="22"/>
      </w:numPr>
    </w:pPr>
  </w:style>
  <w:style w:type="paragraph" w:styleId="Ttulo">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Refdenotaalpie">
    <w:name w:val="footnote reference"/>
    <w:basedOn w:val="Fuentedeprrafopredeter"/>
    <w:semiHidden/>
    <w:locked/>
    <w:rPr>
      <w:vertAlign w:val="superscript"/>
    </w:rPr>
  </w:style>
  <w:style w:type="paragraph" w:styleId="Subttulo">
    <w:name w:val="Subtitle"/>
    <w:next w:val="Textoindependiente"/>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Textoindependiente"/>
    <w:uiPriority w:val="49"/>
    <w:locked/>
    <w:pPr>
      <w:spacing w:line="280" w:lineRule="exact"/>
      <w:jc w:val="right"/>
    </w:pPr>
    <w:rPr>
      <w:rFonts w:ascii="Arial" w:hAnsi="Arial" w:cs="Arial"/>
      <w:b/>
      <w:bCs/>
      <w:caps/>
      <w:sz w:val="24"/>
    </w:rPr>
  </w:style>
  <w:style w:type="paragraph" w:customStyle="1" w:styleId="zyxClassification2">
    <w:name w:val="zyxClassification2"/>
    <w:basedOn w:val="Piedepgina"/>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PiedepginaCar">
    <w:name w:val="Pie de página Car"/>
    <w:basedOn w:val="Fuentedeprrafopredeter"/>
    <w:link w:val="Piedepgina"/>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Fuentedeprrafopredeter"/>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TextoindependienteCar">
    <w:name w:val="Texto independiente Car"/>
    <w:basedOn w:val="Fuentedeprrafopredeter"/>
    <w:link w:val="Textoindependiente"/>
    <w:rsid w:val="00647F33"/>
    <w:rPr>
      <w:lang w:eastAsia="en-US"/>
    </w:rPr>
  </w:style>
  <w:style w:type="character" w:customStyle="1" w:styleId="AuthornameandaffiliationChar">
    <w:name w:val="Author name and affiliation Char"/>
    <w:basedOn w:val="TextoindependienteCar"/>
    <w:link w:val="Authornameandaffiliation"/>
    <w:uiPriority w:val="49"/>
    <w:rsid w:val="00647F33"/>
    <w:rPr>
      <w:lang w:val="en-US" w:eastAsia="en-US"/>
    </w:rPr>
  </w:style>
  <w:style w:type="table" w:styleId="Tablaconcuadrcula">
    <w:name w:val="Table Grid"/>
    <w:basedOn w:val="Tablanormal"/>
    <w:locked/>
    <w:rsid w:val="00472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Textodeglobo">
    <w:name w:val="Balloon Text"/>
    <w:basedOn w:val="Normal"/>
    <w:link w:val="TextodegloboCar"/>
    <w:uiPriority w:val="49"/>
    <w:locked/>
    <w:rsid w:val="005F00A0"/>
    <w:rPr>
      <w:rFonts w:ascii="Tahoma" w:hAnsi="Tahoma" w:cs="Tahoma"/>
      <w:sz w:val="16"/>
      <w:szCs w:val="16"/>
    </w:rPr>
  </w:style>
  <w:style w:type="character" w:customStyle="1" w:styleId="TextodegloboCar">
    <w:name w:val="Texto de globo Car"/>
    <w:basedOn w:val="Fuentedeprrafopredeter"/>
    <w:link w:val="Textodeglobo"/>
    <w:uiPriority w:val="49"/>
    <w:rsid w:val="005F00A0"/>
    <w:rPr>
      <w:rFonts w:ascii="Tahoma" w:hAnsi="Tahoma" w:cs="Tahoma"/>
      <w:sz w:val="16"/>
      <w:szCs w:val="16"/>
      <w:lang w:eastAsia="en-US"/>
    </w:rPr>
  </w:style>
  <w:style w:type="paragraph" w:customStyle="1" w:styleId="Figurecaption">
    <w:name w:val="Figure caption"/>
    <w:basedOn w:val="Textoindependiente"/>
    <w:link w:val="FigurecaptionChar"/>
    <w:uiPriority w:val="49"/>
    <w:qFormat/>
    <w:locked/>
    <w:rsid w:val="00717C6F"/>
    <w:pPr>
      <w:jc w:val="center"/>
    </w:pPr>
    <w:rPr>
      <w:i/>
      <w:sz w:val="18"/>
    </w:rPr>
  </w:style>
  <w:style w:type="paragraph" w:customStyle="1" w:styleId="Otherunnumberedheadings">
    <w:name w:val="Other unnumbered headings"/>
    <w:next w:val="Textoindependiente"/>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TextoindependienteCar"/>
    <w:link w:val="Figurecaption"/>
    <w:uiPriority w:val="49"/>
    <w:rsid w:val="00717C6F"/>
    <w:rPr>
      <w:i/>
      <w:sz w:val="18"/>
      <w:lang w:eastAsia="en-US"/>
    </w:rPr>
  </w:style>
  <w:style w:type="paragraph" w:customStyle="1" w:styleId="Referencelist">
    <w:name w:val="Reference list"/>
    <w:basedOn w:val="Textoindependiente"/>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TextoindependienteC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TextoindependienteCar"/>
    <w:link w:val="Referencelist"/>
    <w:uiPriority w:val="49"/>
    <w:rsid w:val="009E0D5B"/>
    <w:rPr>
      <w:sz w:val="18"/>
      <w:szCs w:val="18"/>
      <w:lang w:eastAsia="en-US"/>
    </w:rPr>
  </w:style>
  <w:style w:type="paragraph" w:customStyle="1" w:styleId="Tabletext">
    <w:name w:val="Table text"/>
    <w:basedOn w:val="Textoindependiente"/>
    <w:link w:val="TabletextChar"/>
    <w:uiPriority w:val="49"/>
    <w:qFormat/>
    <w:rsid w:val="00883848"/>
    <w:pPr>
      <w:ind w:firstLine="0"/>
    </w:pPr>
  </w:style>
  <w:style w:type="character" w:customStyle="1" w:styleId="TabletextChar">
    <w:name w:val="Table text Char"/>
    <w:basedOn w:val="TextoindependienteCar"/>
    <w:link w:val="Tabletext"/>
    <w:uiPriority w:val="49"/>
    <w:rsid w:val="00883848"/>
    <w:rPr>
      <w:lang w:eastAsia="en-US"/>
    </w:rPr>
  </w:style>
  <w:style w:type="character" w:styleId="Refdecomentario">
    <w:name w:val="annotation reference"/>
    <w:basedOn w:val="Fuentedeprrafopredeter"/>
    <w:uiPriority w:val="49"/>
    <w:semiHidden/>
    <w:unhideWhenUsed/>
    <w:locked/>
    <w:rsid w:val="00CF5DE6"/>
    <w:rPr>
      <w:sz w:val="16"/>
      <w:szCs w:val="16"/>
    </w:rPr>
  </w:style>
  <w:style w:type="paragraph" w:styleId="Textocomentario">
    <w:name w:val="annotation text"/>
    <w:basedOn w:val="Normal"/>
    <w:link w:val="TextocomentarioCar"/>
    <w:uiPriority w:val="49"/>
    <w:semiHidden/>
    <w:unhideWhenUsed/>
    <w:locked/>
    <w:rsid w:val="00CF5DE6"/>
    <w:rPr>
      <w:sz w:val="20"/>
    </w:rPr>
  </w:style>
  <w:style w:type="character" w:customStyle="1" w:styleId="TextocomentarioCar">
    <w:name w:val="Texto comentario Car"/>
    <w:basedOn w:val="Fuentedeprrafopredeter"/>
    <w:link w:val="Textocomentario"/>
    <w:uiPriority w:val="49"/>
    <w:semiHidden/>
    <w:rsid w:val="00CF5DE6"/>
    <w:rPr>
      <w:lang w:eastAsia="en-US"/>
    </w:rPr>
  </w:style>
  <w:style w:type="paragraph" w:styleId="Asuntodelcomentario">
    <w:name w:val="annotation subject"/>
    <w:basedOn w:val="Textocomentario"/>
    <w:next w:val="Textocomentario"/>
    <w:link w:val="AsuntodelcomentarioCar"/>
    <w:uiPriority w:val="49"/>
    <w:semiHidden/>
    <w:unhideWhenUsed/>
    <w:locked/>
    <w:rsid w:val="00CF5DE6"/>
    <w:rPr>
      <w:b/>
      <w:bCs/>
    </w:rPr>
  </w:style>
  <w:style w:type="character" w:customStyle="1" w:styleId="AsuntodelcomentarioCar">
    <w:name w:val="Asunto del comentario Car"/>
    <w:basedOn w:val="TextocomentarioCar"/>
    <w:link w:val="Asuntodelcomentario"/>
    <w:uiPriority w:val="49"/>
    <w:semiHidden/>
    <w:rsid w:val="00CF5DE6"/>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semiHidden="0" w:uiPriority="4" w:unhideWhenUsed="0" w:qFormat="1"/>
    <w:lsdException w:name="heading 4" w:locked="0" w:semiHidden="0" w:uiPriority="4" w:unhideWhenUsed="0" w:qFormat="1"/>
    <w:lsdException w:name="heading 5" w:locked="0" w:semiHidden="0" w:uiPriority="0" w:unhideWhenUsed="0"/>
    <w:lsdException w:name="heading 6" w:locked="0" w:semiHidden="0" w:uiPriority="0" w:unhideWhenUsed="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lsdException w:name="footnote reference" w:locked="0" w:uiPriority="0"/>
    <w:lsdException w:name="List Bullet" w:locked="0"/>
    <w:lsdException w:name="List Number" w:semiHidden="0" w:unhideWhenUsed="0"/>
    <w:lsdException w:name="List 4" w:semiHidden="0" w:unhideWhenUsed="0"/>
    <w:lsdException w:name="List 5"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Subtitle" w:locked="0" w:semiHidden="0" w:uiPriority="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uiPriority="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Ttulo1">
    <w:name w:val="heading 1"/>
    <w:aliases w:val="Paper title"/>
    <w:next w:val="Subttulo"/>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Ttulo2">
    <w:name w:val="heading 2"/>
    <w:aliases w:val="1st level paper heading"/>
    <w:next w:val="Textoindependiente"/>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Ttulo3">
    <w:name w:val="heading 3"/>
    <w:aliases w:val="2nd level paper heading"/>
    <w:next w:val="Textoindependiente"/>
    <w:uiPriority w:val="4"/>
    <w:qFormat/>
    <w:rsid w:val="00897ED5"/>
    <w:pPr>
      <w:widowControl w:val="0"/>
      <w:numPr>
        <w:ilvl w:val="2"/>
        <w:numId w:val="12"/>
      </w:numPr>
      <w:spacing w:before="240" w:after="240" w:line="240" w:lineRule="exact"/>
      <w:outlineLvl w:val="2"/>
    </w:pPr>
    <w:rPr>
      <w:b/>
      <w:lang w:eastAsia="en-US"/>
    </w:rPr>
  </w:style>
  <w:style w:type="paragraph" w:styleId="Ttulo4">
    <w:name w:val="heading 4"/>
    <w:aliases w:val="3rd level paper heading"/>
    <w:basedOn w:val="Normal"/>
    <w:next w:val="Textoindependiente"/>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Ttulo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Ttulo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Ttulo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Ttulo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Ttulo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link w:val="TextoindependienteCar"/>
    <w:qFormat/>
    <w:rsid w:val="00647F33"/>
    <w:pPr>
      <w:spacing w:line="260" w:lineRule="atLeast"/>
      <w:ind w:firstLine="567"/>
      <w:contextualSpacing/>
      <w:jc w:val="both"/>
    </w:pPr>
    <w:rPr>
      <w:lang w:eastAsia="en-US"/>
    </w:rPr>
  </w:style>
  <w:style w:type="paragraph" w:styleId="Sangradetextonormal">
    <w:name w:val="Body Text Indent"/>
    <w:basedOn w:val="Textoindependiente"/>
    <w:uiPriority w:val="49"/>
    <w:locked/>
    <w:pPr>
      <w:ind w:left="1134" w:hanging="675"/>
    </w:pPr>
  </w:style>
  <w:style w:type="paragraph" w:customStyle="1" w:styleId="BodyTextMultiline">
    <w:name w:val="Body Text Multiline"/>
    <w:basedOn w:val="Textoindependiente"/>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Epgrafe">
    <w:name w:val="caption"/>
    <w:next w:val="Normal"/>
    <w:uiPriority w:val="49"/>
    <w:pPr>
      <w:spacing w:after="85"/>
    </w:pPr>
    <w:rPr>
      <w:bCs/>
      <w:sz w:val="18"/>
      <w:lang w:val="en-US" w:eastAsia="en-US"/>
    </w:rPr>
  </w:style>
  <w:style w:type="paragraph" w:styleId="Piedepgina">
    <w:name w:val="footer"/>
    <w:basedOn w:val="Normal"/>
    <w:link w:val="PiedepginaCar"/>
    <w:uiPriority w:val="99"/>
    <w:locked/>
    <w:pPr>
      <w:overflowPunct/>
      <w:autoSpaceDE/>
      <w:autoSpaceDN/>
      <w:adjustRightInd/>
      <w:textAlignment w:val="auto"/>
    </w:pPr>
    <w:rPr>
      <w:sz w:val="2"/>
      <w:lang w:val="en-US"/>
    </w:rPr>
  </w:style>
  <w:style w:type="paragraph" w:styleId="Textonotapie">
    <w:name w:val="footnote text"/>
    <w:semiHidden/>
    <w:locked/>
    <w:pPr>
      <w:tabs>
        <w:tab w:val="left" w:pos="459"/>
      </w:tabs>
      <w:spacing w:before="142"/>
      <w:ind w:left="459"/>
      <w:jc w:val="both"/>
    </w:pPr>
    <w:rPr>
      <w:sz w:val="18"/>
      <w:lang w:eastAsia="en-US"/>
    </w:rPr>
  </w:style>
  <w:style w:type="paragraph" w:styleId="Encabezado">
    <w:name w:val="header"/>
    <w:next w:val="Textoindependiente"/>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Textoindependiente"/>
    <w:uiPriority w:val="6"/>
    <w:qFormat/>
    <w:rsid w:val="00717C6F"/>
    <w:pPr>
      <w:numPr>
        <w:numId w:val="20"/>
      </w:numPr>
    </w:pPr>
  </w:style>
  <w:style w:type="paragraph" w:customStyle="1" w:styleId="ListNumbered">
    <w:name w:val="List Numbered"/>
    <w:basedOn w:val="Textoindependiente"/>
    <w:uiPriority w:val="5"/>
    <w:qFormat/>
    <w:locked/>
    <w:rsid w:val="00717C6F"/>
    <w:pPr>
      <w:numPr>
        <w:numId w:val="22"/>
      </w:numPr>
    </w:pPr>
  </w:style>
  <w:style w:type="paragraph" w:styleId="Ttulo">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Refdenotaalpie">
    <w:name w:val="footnote reference"/>
    <w:basedOn w:val="Fuentedeprrafopredeter"/>
    <w:semiHidden/>
    <w:locked/>
    <w:rPr>
      <w:vertAlign w:val="superscript"/>
    </w:rPr>
  </w:style>
  <w:style w:type="paragraph" w:styleId="Subttulo">
    <w:name w:val="Subtitle"/>
    <w:next w:val="Textoindependiente"/>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Textoindependiente"/>
    <w:uiPriority w:val="49"/>
    <w:locked/>
    <w:pPr>
      <w:spacing w:line="280" w:lineRule="exact"/>
      <w:jc w:val="right"/>
    </w:pPr>
    <w:rPr>
      <w:rFonts w:ascii="Arial" w:hAnsi="Arial" w:cs="Arial"/>
      <w:b/>
      <w:bCs/>
      <w:caps/>
      <w:sz w:val="24"/>
    </w:rPr>
  </w:style>
  <w:style w:type="paragraph" w:customStyle="1" w:styleId="zyxClassification2">
    <w:name w:val="zyxClassification2"/>
    <w:basedOn w:val="Piedepgina"/>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PiedepginaCar">
    <w:name w:val="Pie de página Car"/>
    <w:basedOn w:val="Fuentedeprrafopredeter"/>
    <w:link w:val="Piedepgina"/>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Fuentedeprrafopredeter"/>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TextoindependienteCar">
    <w:name w:val="Texto independiente Car"/>
    <w:basedOn w:val="Fuentedeprrafopredeter"/>
    <w:link w:val="Textoindependiente"/>
    <w:rsid w:val="00647F33"/>
    <w:rPr>
      <w:lang w:eastAsia="en-US"/>
    </w:rPr>
  </w:style>
  <w:style w:type="character" w:customStyle="1" w:styleId="AuthornameandaffiliationChar">
    <w:name w:val="Author name and affiliation Char"/>
    <w:basedOn w:val="TextoindependienteCar"/>
    <w:link w:val="Authornameandaffiliation"/>
    <w:uiPriority w:val="49"/>
    <w:rsid w:val="00647F33"/>
    <w:rPr>
      <w:lang w:val="en-US" w:eastAsia="en-US"/>
    </w:rPr>
  </w:style>
  <w:style w:type="table" w:styleId="Tablaconcuadrcula">
    <w:name w:val="Table Grid"/>
    <w:basedOn w:val="Tablanormal"/>
    <w:locked/>
    <w:rsid w:val="00472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Textodeglobo">
    <w:name w:val="Balloon Text"/>
    <w:basedOn w:val="Normal"/>
    <w:link w:val="TextodegloboCar"/>
    <w:uiPriority w:val="49"/>
    <w:locked/>
    <w:rsid w:val="005F00A0"/>
    <w:rPr>
      <w:rFonts w:ascii="Tahoma" w:hAnsi="Tahoma" w:cs="Tahoma"/>
      <w:sz w:val="16"/>
      <w:szCs w:val="16"/>
    </w:rPr>
  </w:style>
  <w:style w:type="character" w:customStyle="1" w:styleId="TextodegloboCar">
    <w:name w:val="Texto de globo Car"/>
    <w:basedOn w:val="Fuentedeprrafopredeter"/>
    <w:link w:val="Textodeglobo"/>
    <w:uiPriority w:val="49"/>
    <w:rsid w:val="005F00A0"/>
    <w:rPr>
      <w:rFonts w:ascii="Tahoma" w:hAnsi="Tahoma" w:cs="Tahoma"/>
      <w:sz w:val="16"/>
      <w:szCs w:val="16"/>
      <w:lang w:eastAsia="en-US"/>
    </w:rPr>
  </w:style>
  <w:style w:type="paragraph" w:customStyle="1" w:styleId="Figurecaption">
    <w:name w:val="Figure caption"/>
    <w:basedOn w:val="Textoindependiente"/>
    <w:link w:val="FigurecaptionChar"/>
    <w:uiPriority w:val="49"/>
    <w:qFormat/>
    <w:locked/>
    <w:rsid w:val="00717C6F"/>
    <w:pPr>
      <w:jc w:val="center"/>
    </w:pPr>
    <w:rPr>
      <w:i/>
      <w:sz w:val="18"/>
    </w:rPr>
  </w:style>
  <w:style w:type="paragraph" w:customStyle="1" w:styleId="Otherunnumberedheadings">
    <w:name w:val="Other unnumbered headings"/>
    <w:next w:val="Textoindependiente"/>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TextoindependienteCar"/>
    <w:link w:val="Figurecaption"/>
    <w:uiPriority w:val="49"/>
    <w:rsid w:val="00717C6F"/>
    <w:rPr>
      <w:i/>
      <w:sz w:val="18"/>
      <w:lang w:eastAsia="en-US"/>
    </w:rPr>
  </w:style>
  <w:style w:type="paragraph" w:customStyle="1" w:styleId="Referencelist">
    <w:name w:val="Reference list"/>
    <w:basedOn w:val="Textoindependiente"/>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TextoindependienteC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TextoindependienteCar"/>
    <w:link w:val="Referencelist"/>
    <w:uiPriority w:val="49"/>
    <w:rsid w:val="009E0D5B"/>
    <w:rPr>
      <w:sz w:val="18"/>
      <w:szCs w:val="18"/>
      <w:lang w:eastAsia="en-US"/>
    </w:rPr>
  </w:style>
  <w:style w:type="paragraph" w:customStyle="1" w:styleId="Tabletext">
    <w:name w:val="Table text"/>
    <w:basedOn w:val="Textoindependiente"/>
    <w:link w:val="TabletextChar"/>
    <w:uiPriority w:val="49"/>
    <w:qFormat/>
    <w:rsid w:val="00883848"/>
    <w:pPr>
      <w:ind w:firstLine="0"/>
    </w:pPr>
  </w:style>
  <w:style w:type="character" w:customStyle="1" w:styleId="TabletextChar">
    <w:name w:val="Table text Char"/>
    <w:basedOn w:val="TextoindependienteCar"/>
    <w:link w:val="Tabletext"/>
    <w:uiPriority w:val="49"/>
    <w:rsid w:val="00883848"/>
    <w:rPr>
      <w:lang w:eastAsia="en-US"/>
    </w:rPr>
  </w:style>
  <w:style w:type="character" w:styleId="Refdecomentario">
    <w:name w:val="annotation reference"/>
    <w:basedOn w:val="Fuentedeprrafopredeter"/>
    <w:uiPriority w:val="49"/>
    <w:semiHidden/>
    <w:unhideWhenUsed/>
    <w:locked/>
    <w:rsid w:val="00CF5DE6"/>
    <w:rPr>
      <w:sz w:val="16"/>
      <w:szCs w:val="16"/>
    </w:rPr>
  </w:style>
  <w:style w:type="paragraph" w:styleId="Textocomentario">
    <w:name w:val="annotation text"/>
    <w:basedOn w:val="Normal"/>
    <w:link w:val="TextocomentarioCar"/>
    <w:uiPriority w:val="49"/>
    <w:semiHidden/>
    <w:unhideWhenUsed/>
    <w:locked/>
    <w:rsid w:val="00CF5DE6"/>
    <w:rPr>
      <w:sz w:val="20"/>
    </w:rPr>
  </w:style>
  <w:style w:type="character" w:customStyle="1" w:styleId="TextocomentarioCar">
    <w:name w:val="Texto comentario Car"/>
    <w:basedOn w:val="Fuentedeprrafopredeter"/>
    <w:link w:val="Textocomentario"/>
    <w:uiPriority w:val="49"/>
    <w:semiHidden/>
    <w:rsid w:val="00CF5DE6"/>
    <w:rPr>
      <w:lang w:eastAsia="en-US"/>
    </w:rPr>
  </w:style>
  <w:style w:type="paragraph" w:styleId="Asuntodelcomentario">
    <w:name w:val="annotation subject"/>
    <w:basedOn w:val="Textocomentario"/>
    <w:next w:val="Textocomentario"/>
    <w:link w:val="AsuntodelcomentarioCar"/>
    <w:uiPriority w:val="49"/>
    <w:semiHidden/>
    <w:unhideWhenUsed/>
    <w:locked/>
    <w:rsid w:val="00CF5DE6"/>
    <w:rPr>
      <w:b/>
      <w:bCs/>
    </w:rPr>
  </w:style>
  <w:style w:type="character" w:customStyle="1" w:styleId="AsuntodelcomentarioCar">
    <w:name w:val="Asunto del comentario Car"/>
    <w:basedOn w:val="TextocomentarioCar"/>
    <w:link w:val="Asuntodelcomentario"/>
    <w:uiPriority w:val="49"/>
    <w:semiHidden/>
    <w:rsid w:val="00CF5DE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image" Target="media/image4.jpeg"/><Relationship Id="rId26" Type="http://schemas.openxmlformats.org/officeDocument/2006/relationships/image" Target="media/image12.jpeg"/><Relationship Id="rId39"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microsoft.com/office/2007/relationships/hdphoto" Target="media/hdphoto2.wdp"/><Relationship Id="rId25" Type="http://schemas.openxmlformats.org/officeDocument/2006/relationships/image" Target="media/image11.jpeg"/><Relationship Id="rId33" Type="http://schemas.openxmlformats.org/officeDocument/2006/relationships/footer" Target="footer3.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10.jpeg"/><Relationship Id="rId32" Type="http://schemas.openxmlformats.org/officeDocument/2006/relationships/header" Target="header3.xml"/><Relationship Id="rId40" Type="http://schemas.microsoft.com/office/2016/09/relationships/commentsIds" Target="commentsIds.xml"/><Relationship Id="rId5" Type="http://schemas.openxmlformats.org/officeDocument/2006/relationships/customXml" Target="../customXml/item5.xml"/><Relationship Id="rId15" Type="http://schemas.microsoft.com/office/2007/relationships/hdphoto" Target="media/hdphoto1.wdp"/><Relationship Id="rId23" Type="http://schemas.openxmlformats.org/officeDocument/2006/relationships/image" Target="media/image9.jpeg"/><Relationship Id="rId28" Type="http://schemas.openxmlformats.org/officeDocument/2006/relationships/header" Target="header1.xml"/><Relationship Id="rId36"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image" Target="media/image5.jpe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footer" Target="footer1.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lc_DocIdPersistId xmlns="9a0cca68-9885-4579-a121-0ff71e341cd0" xsi:nil="true"/>
    <_DCDateCreated xmlns="http://schemas.microsoft.com/sharepoint/v3/fields" xsi:nil="true"/>
    <_dlc_DocId xmlns="9a0cca68-9885-4579-a121-0ff71e341cd0">4HWPYYT6XAN2-2121337104-8393</_dlc_DocId>
    <_dlc_DocIdUrl xmlns="9a0cca68-9885-4579-a121-0ff71e341cd0">
      <Url>https://nsns-new.sg.iaea.org/meetings/_layouts/15/DocIdRedir.aspx?ID=4HWPYYT6XAN2-2121337104-8393</Url>
      <Description>4HWPYYT6XAN2-2121337104-8393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67A277B6-36A2-436B-8C92-9C32115A04DF}">
  <ds:schemaRefs>
    <ds:schemaRef ds:uri="http://schemas.microsoft.com/office/2006/metadata/properties"/>
    <ds:schemaRef ds:uri="http://schemas.microsoft.com/office/infopath/2007/PartnerControls"/>
    <ds:schemaRef ds:uri="http://schemas.microsoft.com/sharepoint/v3/fields"/>
    <ds:schemaRef ds:uri="9a0cca68-9885-4579-a121-0ff71e341cd0"/>
  </ds:schemaRefs>
</ds:datastoreItem>
</file>

<file path=customXml/itemProps2.xml><?xml version="1.0" encoding="utf-8"?>
<ds:datastoreItem xmlns:ds="http://schemas.openxmlformats.org/officeDocument/2006/customXml" ds:itemID="{C6D817FB-1837-4E6D-A5D5-156D5AC4FB5F}">
  <ds:schemaRefs>
    <ds:schemaRef ds:uri="http://schemas.microsoft.com/sharepoint/v3/contenttype/forms"/>
  </ds:schemaRefs>
</ds:datastoreItem>
</file>

<file path=customXml/itemProps3.xml><?xml version="1.0" encoding="utf-8"?>
<ds:datastoreItem xmlns:ds="http://schemas.openxmlformats.org/officeDocument/2006/customXml" ds:itemID="{C9053951-862C-42BF-B886-50856CF0AEF5}">
  <ds:schemaRefs>
    <ds:schemaRef ds:uri="http://schemas.microsoft.com/sharepoint/events"/>
  </ds:schemaRefs>
</ds:datastoreItem>
</file>

<file path=customXml/itemProps4.xml><?xml version="1.0" encoding="utf-8"?>
<ds:datastoreItem xmlns:ds="http://schemas.openxmlformats.org/officeDocument/2006/customXml" ds:itemID="{27BE94C2-5F68-4097-AF76-2524047BD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131E68-9773-465D-BCCF-AA4CFC0DB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67</TotalTime>
  <Pages>5</Pages>
  <Words>2502</Words>
  <Characters>13764</Characters>
  <Application>Microsoft Office Word</Application>
  <DocSecurity>0</DocSecurity>
  <Lines>114</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16234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Mercedes</cp:lastModifiedBy>
  <cp:revision>6</cp:revision>
  <cp:lastPrinted>2015-12-01T10:27:00Z</cp:lastPrinted>
  <dcterms:created xsi:type="dcterms:W3CDTF">2022-04-08T10:44:00Z</dcterms:created>
  <dcterms:modified xsi:type="dcterms:W3CDTF">2022-04-08T11:50:00Z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061d8fe4-c58e-48da-b299-db7bcc303392</vt:lpwstr>
  </property>
</Properties>
</file>