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1F" w:rsidRPr="009755E7" w:rsidRDefault="009755E7" w:rsidP="009755E7">
      <w:pPr>
        <w:spacing w:after="0" w:line="280" w:lineRule="atLeast"/>
        <w:ind w:left="562" w:right="562"/>
        <w:outlineLvl w:val="0"/>
        <w:rPr>
          <w:rFonts w:ascii="Times New Roman" w:eastAsia="Gill Sans MT" w:hAnsi="Times New Roman" w:cs="Times New Roman"/>
          <w:b/>
          <w:bCs/>
          <w:sz w:val="24"/>
          <w:szCs w:val="24"/>
          <w:lang w:val="en-US"/>
        </w:rPr>
      </w:pPr>
      <w:bookmarkStart w:id="0" w:name="_GoBack"/>
      <w:bookmarkEnd w:id="0"/>
      <w:r w:rsidRPr="009755E7">
        <w:rPr>
          <w:rFonts w:ascii="Times New Roman" w:eastAsia="Gill Sans MT" w:hAnsi="Times New Roman" w:cs="Times New Roman"/>
          <w:b/>
          <w:bCs/>
          <w:sz w:val="24"/>
          <w:szCs w:val="24"/>
          <w:lang w:val="en-US"/>
        </w:rPr>
        <w:t>CHALLENGES AND GOOD PRACTICES ASSOCIATED WITH ENSURING THE SAFETY AND SECURITY OF RADIOACTIVE SOURCES THROUGHOUT THEIR LIFE CYCLE</w:t>
      </w:r>
    </w:p>
    <w:p w:rsidR="0039293E" w:rsidRDefault="0039293E" w:rsidP="0039293E">
      <w:pPr>
        <w:spacing w:after="0" w:line="240" w:lineRule="auto"/>
        <w:ind w:left="562"/>
        <w:rPr>
          <w:rFonts w:ascii="Times New Roman" w:hAnsi="Times New Roman" w:cs="Times New Roman"/>
          <w:sz w:val="20"/>
          <w:szCs w:val="20"/>
        </w:rPr>
      </w:pPr>
    </w:p>
    <w:p w:rsidR="005D760A" w:rsidRPr="009755E7" w:rsidRDefault="000E344C" w:rsidP="0039293E">
      <w:pPr>
        <w:spacing w:after="0" w:line="240" w:lineRule="auto"/>
        <w:ind w:left="562"/>
        <w:rPr>
          <w:rFonts w:ascii="Times New Roman" w:hAnsi="Times New Roman" w:cs="Times New Roman"/>
          <w:sz w:val="20"/>
          <w:szCs w:val="20"/>
          <w:vertAlign w:val="superscript"/>
        </w:rPr>
      </w:pPr>
      <w:r w:rsidRPr="009755E7">
        <w:rPr>
          <w:rFonts w:ascii="Times New Roman" w:hAnsi="Times New Roman" w:cs="Times New Roman"/>
          <w:sz w:val="20"/>
          <w:szCs w:val="20"/>
        </w:rPr>
        <w:t>M.R</w:t>
      </w:r>
      <w:r w:rsidR="009755E7" w:rsidRPr="009755E7">
        <w:rPr>
          <w:rFonts w:ascii="Times New Roman" w:hAnsi="Times New Roman" w:cs="Times New Roman"/>
          <w:sz w:val="20"/>
          <w:szCs w:val="20"/>
        </w:rPr>
        <w:t>WEYEMAMU</w:t>
      </w:r>
    </w:p>
    <w:p w:rsidR="000E344C" w:rsidRPr="009755E7" w:rsidRDefault="000E344C" w:rsidP="0039293E">
      <w:pPr>
        <w:spacing w:after="0" w:line="240" w:lineRule="auto"/>
        <w:ind w:left="562"/>
        <w:rPr>
          <w:rFonts w:ascii="Times New Roman" w:hAnsi="Times New Roman" w:cs="Times New Roman"/>
          <w:sz w:val="20"/>
          <w:szCs w:val="20"/>
        </w:rPr>
      </w:pPr>
      <w:r w:rsidRPr="009755E7">
        <w:rPr>
          <w:rFonts w:ascii="Times New Roman" w:hAnsi="Times New Roman" w:cs="Times New Roman"/>
          <w:sz w:val="20"/>
          <w:szCs w:val="20"/>
        </w:rPr>
        <w:t>Tanzania Atomic Energy Commission</w:t>
      </w:r>
    </w:p>
    <w:p w:rsidR="009755E7" w:rsidRPr="009755E7" w:rsidRDefault="009755E7" w:rsidP="0039293E">
      <w:pPr>
        <w:spacing w:after="0" w:line="240" w:lineRule="auto"/>
        <w:ind w:left="562"/>
        <w:rPr>
          <w:rFonts w:ascii="Times New Roman" w:hAnsi="Times New Roman" w:cs="Times New Roman"/>
          <w:sz w:val="20"/>
          <w:szCs w:val="20"/>
        </w:rPr>
      </w:pPr>
      <w:r w:rsidRPr="009755E7">
        <w:rPr>
          <w:rFonts w:ascii="Times New Roman" w:hAnsi="Times New Roman" w:cs="Times New Roman"/>
          <w:sz w:val="20"/>
          <w:szCs w:val="20"/>
        </w:rPr>
        <w:t>Arusha, United Republic of Tanzania</w:t>
      </w:r>
    </w:p>
    <w:p w:rsidR="000E344C" w:rsidRPr="009755E7" w:rsidRDefault="000E344C" w:rsidP="0039293E">
      <w:pPr>
        <w:spacing w:after="0" w:line="240" w:lineRule="auto"/>
        <w:ind w:left="562"/>
        <w:rPr>
          <w:rFonts w:ascii="Times New Roman" w:hAnsi="Times New Roman" w:cs="Times New Roman"/>
          <w:sz w:val="20"/>
          <w:szCs w:val="20"/>
        </w:rPr>
      </w:pPr>
      <w:r w:rsidRPr="009755E7">
        <w:rPr>
          <w:rFonts w:ascii="Times New Roman" w:hAnsi="Times New Roman" w:cs="Times New Roman"/>
          <w:sz w:val="20"/>
          <w:szCs w:val="20"/>
        </w:rPr>
        <w:t xml:space="preserve">E-mail: </w:t>
      </w:r>
      <w:hyperlink r:id="rId8" w:history="1">
        <w:r w:rsidRPr="009755E7">
          <w:rPr>
            <w:rStyle w:val="Hyperlink"/>
            <w:rFonts w:ascii="Times New Roman" w:hAnsi="Times New Roman" w:cs="Times New Roman"/>
            <w:sz w:val="20"/>
            <w:szCs w:val="20"/>
          </w:rPr>
          <w:t>rweyemamu</w:t>
        </w:r>
        <w:r w:rsidR="00560A49" w:rsidRPr="009755E7">
          <w:rPr>
            <w:rStyle w:val="Hyperlink"/>
            <w:rFonts w:ascii="Times New Roman" w:hAnsi="Times New Roman" w:cs="Times New Roman"/>
            <w:sz w:val="20"/>
            <w:szCs w:val="20"/>
          </w:rPr>
          <w:t>kagya</w:t>
        </w:r>
        <w:r w:rsidRPr="009755E7">
          <w:rPr>
            <w:rStyle w:val="Hyperlink"/>
            <w:rFonts w:ascii="Times New Roman" w:hAnsi="Times New Roman" w:cs="Times New Roman"/>
            <w:sz w:val="20"/>
            <w:szCs w:val="20"/>
          </w:rPr>
          <w:t>@</w:t>
        </w:r>
      </w:hyperlink>
      <w:r w:rsidR="00560A49" w:rsidRPr="009755E7">
        <w:rPr>
          <w:rStyle w:val="Hyperlink"/>
          <w:rFonts w:ascii="Times New Roman" w:hAnsi="Times New Roman" w:cs="Times New Roman"/>
          <w:sz w:val="20"/>
          <w:szCs w:val="20"/>
        </w:rPr>
        <w:t>hotmail.com</w:t>
      </w:r>
    </w:p>
    <w:p w:rsidR="0039293E" w:rsidRDefault="0039293E" w:rsidP="009755E7">
      <w:pPr>
        <w:spacing w:after="0"/>
        <w:rPr>
          <w:rFonts w:ascii="Times New Roman" w:hAnsi="Times New Roman" w:cs="Times New Roman"/>
          <w:sz w:val="20"/>
          <w:szCs w:val="20"/>
        </w:rPr>
      </w:pPr>
    </w:p>
    <w:p w:rsidR="009755E7" w:rsidRPr="009755E7" w:rsidRDefault="009755E7" w:rsidP="0039293E">
      <w:pPr>
        <w:spacing w:after="0" w:line="240" w:lineRule="auto"/>
        <w:ind w:left="562"/>
        <w:rPr>
          <w:rFonts w:ascii="Times New Roman" w:hAnsi="Times New Roman" w:cs="Times New Roman"/>
          <w:sz w:val="20"/>
          <w:szCs w:val="20"/>
          <w:vertAlign w:val="superscript"/>
        </w:rPr>
      </w:pPr>
      <w:r w:rsidRPr="009755E7">
        <w:rPr>
          <w:rFonts w:ascii="Times New Roman" w:hAnsi="Times New Roman" w:cs="Times New Roman"/>
          <w:sz w:val="20"/>
          <w:szCs w:val="20"/>
        </w:rPr>
        <w:t>F.BANZI</w:t>
      </w:r>
    </w:p>
    <w:p w:rsidR="009755E7" w:rsidRPr="009755E7" w:rsidRDefault="009755E7" w:rsidP="0039293E">
      <w:pPr>
        <w:spacing w:after="0" w:line="240" w:lineRule="auto"/>
        <w:ind w:left="562"/>
        <w:rPr>
          <w:rFonts w:ascii="Times New Roman" w:hAnsi="Times New Roman" w:cs="Times New Roman"/>
          <w:sz w:val="20"/>
          <w:szCs w:val="20"/>
        </w:rPr>
      </w:pPr>
      <w:r w:rsidRPr="009755E7">
        <w:rPr>
          <w:rFonts w:ascii="Times New Roman" w:hAnsi="Times New Roman" w:cs="Times New Roman"/>
          <w:sz w:val="20"/>
          <w:szCs w:val="20"/>
        </w:rPr>
        <w:t>Tanzania Atomic Energy Commission</w:t>
      </w:r>
    </w:p>
    <w:p w:rsidR="009755E7" w:rsidRPr="009755E7" w:rsidRDefault="009755E7" w:rsidP="0039293E">
      <w:pPr>
        <w:spacing w:after="0" w:line="240" w:lineRule="auto"/>
        <w:ind w:left="562"/>
        <w:rPr>
          <w:rFonts w:ascii="Times New Roman" w:hAnsi="Times New Roman" w:cs="Times New Roman"/>
          <w:sz w:val="20"/>
          <w:szCs w:val="20"/>
        </w:rPr>
      </w:pPr>
      <w:r w:rsidRPr="009755E7">
        <w:rPr>
          <w:rFonts w:ascii="Times New Roman" w:hAnsi="Times New Roman" w:cs="Times New Roman"/>
          <w:sz w:val="20"/>
          <w:szCs w:val="20"/>
        </w:rPr>
        <w:t>Arusha, United Republic of Tanzania</w:t>
      </w:r>
    </w:p>
    <w:p w:rsidR="006F229F" w:rsidRDefault="006F229F" w:rsidP="000E344C">
      <w:pPr>
        <w:widowControl w:val="0"/>
        <w:autoSpaceDE w:val="0"/>
        <w:autoSpaceDN w:val="0"/>
        <w:spacing w:before="116" w:after="0" w:line="271" w:lineRule="auto"/>
        <w:ind w:left="90" w:right="272"/>
        <w:jc w:val="both"/>
        <w:rPr>
          <w:rFonts w:ascii="Times New Roman" w:hAnsi="Times New Roman" w:cs="Times New Roman"/>
          <w:sz w:val="24"/>
          <w:szCs w:val="24"/>
        </w:rPr>
      </w:pPr>
    </w:p>
    <w:p w:rsidR="00362182" w:rsidRDefault="000E344C" w:rsidP="00362182">
      <w:pPr>
        <w:widowControl w:val="0"/>
        <w:autoSpaceDE w:val="0"/>
        <w:autoSpaceDN w:val="0"/>
        <w:spacing w:after="0" w:line="240" w:lineRule="auto"/>
        <w:ind w:left="562"/>
        <w:rPr>
          <w:rFonts w:ascii="Times New Roman" w:hAnsi="Times New Roman" w:cs="Times New Roman"/>
          <w:sz w:val="20"/>
          <w:szCs w:val="20"/>
        </w:rPr>
      </w:pPr>
      <w:r w:rsidRPr="006652C1">
        <w:rPr>
          <w:rFonts w:ascii="Times New Roman" w:hAnsi="Times New Roman" w:cs="Times New Roman"/>
          <w:b/>
          <w:sz w:val="20"/>
          <w:szCs w:val="20"/>
        </w:rPr>
        <w:t>Abstract.</w:t>
      </w:r>
      <w:r w:rsidRPr="006F229F">
        <w:rPr>
          <w:rFonts w:ascii="Times New Roman" w:hAnsi="Times New Roman" w:cs="Times New Roman"/>
          <w:sz w:val="20"/>
          <w:szCs w:val="20"/>
        </w:rPr>
        <w:t xml:space="preserve"> </w:t>
      </w:r>
    </w:p>
    <w:p w:rsidR="007D4853" w:rsidRDefault="007D4853" w:rsidP="007D4853">
      <w:pPr>
        <w:widowControl w:val="0"/>
        <w:autoSpaceDE w:val="0"/>
        <w:autoSpaceDN w:val="0"/>
        <w:spacing w:after="0" w:line="240" w:lineRule="atLeast"/>
        <w:ind w:firstLine="562"/>
        <w:rPr>
          <w:rFonts w:ascii="Times New Roman" w:eastAsia="Cambria" w:hAnsi="Times New Roman" w:cs="Times New Roman"/>
          <w:sz w:val="20"/>
          <w:szCs w:val="20"/>
          <w:lang w:val="en-US"/>
        </w:rPr>
      </w:pPr>
    </w:p>
    <w:p w:rsidR="000E344C" w:rsidRPr="008B73E6" w:rsidRDefault="000E344C" w:rsidP="007D4853">
      <w:pPr>
        <w:widowControl w:val="0"/>
        <w:autoSpaceDE w:val="0"/>
        <w:autoSpaceDN w:val="0"/>
        <w:spacing w:after="0" w:line="240" w:lineRule="atLeast"/>
        <w:ind w:firstLine="562"/>
        <w:jc w:val="both"/>
        <w:rPr>
          <w:rFonts w:ascii="Times New Roman" w:eastAsia="Cambria" w:hAnsi="Times New Roman" w:cs="Times New Roman"/>
          <w:sz w:val="18"/>
          <w:szCs w:val="18"/>
          <w:lang w:val="en-US"/>
        </w:rPr>
      </w:pPr>
      <w:r w:rsidRPr="008B73E6">
        <w:rPr>
          <w:rFonts w:ascii="Times New Roman" w:eastAsia="Cambria" w:hAnsi="Times New Roman" w:cs="Times New Roman"/>
          <w:sz w:val="18"/>
          <w:szCs w:val="18"/>
          <w:lang w:val="en-US"/>
        </w:rPr>
        <w:t>Worldwide, radioactive sources are beneficially used in various fields such as in medical, agriculture, industry, research etc. However, these radioactive sources may present a potential health hazard to human (radiation exposure) if control measures are not put in place</w:t>
      </w:r>
      <w:r w:rsidR="00D2025F" w:rsidRPr="008B73E6">
        <w:rPr>
          <w:rFonts w:ascii="Times New Roman" w:eastAsia="Cambria" w:hAnsi="Times New Roman" w:cs="Times New Roman"/>
          <w:sz w:val="18"/>
          <w:szCs w:val="18"/>
          <w:lang w:val="en-US"/>
        </w:rPr>
        <w:t>,</w:t>
      </w:r>
      <w:r w:rsidR="00B24D5D" w:rsidRPr="008B73E6">
        <w:rPr>
          <w:rFonts w:ascii="Times New Roman" w:eastAsia="Cambria" w:hAnsi="Times New Roman" w:cs="Times New Roman"/>
          <w:sz w:val="18"/>
          <w:szCs w:val="18"/>
          <w:lang w:val="en-US"/>
        </w:rPr>
        <w:t xml:space="preserve"> especially those radiation</w:t>
      </w:r>
      <w:r w:rsidRPr="008B73E6">
        <w:rPr>
          <w:rFonts w:ascii="Times New Roman" w:eastAsia="Cambria" w:hAnsi="Times New Roman" w:cs="Times New Roman"/>
          <w:sz w:val="18"/>
          <w:szCs w:val="18"/>
          <w:lang w:val="en-US"/>
        </w:rPr>
        <w:t xml:space="preserve"> sources</w:t>
      </w:r>
      <w:r w:rsidR="00B24D5D" w:rsidRPr="008B73E6">
        <w:rPr>
          <w:rFonts w:ascii="Times New Roman" w:eastAsia="Cambria" w:hAnsi="Times New Roman" w:cs="Times New Roman"/>
          <w:sz w:val="18"/>
          <w:szCs w:val="18"/>
          <w:lang w:val="en-US"/>
        </w:rPr>
        <w:t xml:space="preserve"> that have</w:t>
      </w:r>
      <w:r w:rsidRPr="008B73E6">
        <w:rPr>
          <w:rFonts w:ascii="Times New Roman" w:eastAsia="Cambria" w:hAnsi="Times New Roman" w:cs="Times New Roman"/>
          <w:sz w:val="18"/>
          <w:szCs w:val="18"/>
          <w:lang w:val="en-US"/>
        </w:rPr>
        <w:t xml:space="preserve"> relatively high activity. In order to avoid this health hazards, it is important to ensure that the safety and security of these radioactive sources are maintained throughout the life cycle of these materials. </w:t>
      </w:r>
      <w:r w:rsidR="002064B8" w:rsidRPr="008B73E6">
        <w:rPr>
          <w:rFonts w:ascii="Times New Roman" w:eastAsia="Cambria" w:hAnsi="Times New Roman" w:cs="Times New Roman"/>
          <w:sz w:val="18"/>
          <w:szCs w:val="18"/>
          <w:lang w:val="en-US"/>
        </w:rPr>
        <w:t>Since i</w:t>
      </w:r>
      <w:r w:rsidRPr="008B73E6">
        <w:rPr>
          <w:rFonts w:ascii="Times New Roman" w:eastAsia="Cambria" w:hAnsi="Times New Roman" w:cs="Times New Roman"/>
          <w:sz w:val="18"/>
          <w:szCs w:val="18"/>
          <w:lang w:val="en-US"/>
        </w:rPr>
        <w:t>t is not easy to ensure the safety and security of radioactive sources</w:t>
      </w:r>
      <w:r w:rsidR="002064B8" w:rsidRPr="008B73E6">
        <w:rPr>
          <w:rFonts w:ascii="Times New Roman" w:eastAsia="Cambria" w:hAnsi="Times New Roman" w:cs="Times New Roman"/>
          <w:sz w:val="18"/>
          <w:szCs w:val="18"/>
          <w:lang w:val="en-US"/>
        </w:rPr>
        <w:t>, i</w:t>
      </w:r>
      <w:r w:rsidRPr="008B73E6">
        <w:rPr>
          <w:rFonts w:ascii="Times New Roman" w:eastAsia="Cambria" w:hAnsi="Times New Roman" w:cs="Times New Roman"/>
          <w:sz w:val="18"/>
          <w:szCs w:val="18"/>
          <w:lang w:val="en-US"/>
        </w:rPr>
        <w:t xml:space="preserve">t needs a state commitment, knowledge, regulatory infrastructures, resources, national and regional cooperation, and technical capability. There are various challenges that are experienced during the life cycle </w:t>
      </w:r>
      <w:r w:rsidR="00A66E09" w:rsidRPr="008B73E6">
        <w:rPr>
          <w:rFonts w:ascii="Times New Roman" w:eastAsia="Cambria" w:hAnsi="Times New Roman" w:cs="Times New Roman"/>
          <w:sz w:val="18"/>
          <w:szCs w:val="18"/>
          <w:lang w:val="en-US"/>
        </w:rPr>
        <w:t xml:space="preserve">management </w:t>
      </w:r>
      <w:r w:rsidRPr="008B73E6">
        <w:rPr>
          <w:rFonts w:ascii="Times New Roman" w:eastAsia="Cambria" w:hAnsi="Times New Roman" w:cs="Times New Roman"/>
          <w:sz w:val="18"/>
          <w:szCs w:val="18"/>
          <w:lang w:val="en-US"/>
        </w:rPr>
        <w:t>of radioactive s</w:t>
      </w:r>
      <w:r w:rsidR="00A66E09" w:rsidRPr="008B73E6">
        <w:rPr>
          <w:rFonts w:ascii="Times New Roman" w:eastAsia="Cambria" w:hAnsi="Times New Roman" w:cs="Times New Roman"/>
          <w:sz w:val="18"/>
          <w:szCs w:val="18"/>
          <w:lang w:val="en-US"/>
        </w:rPr>
        <w:t>ources. T</w:t>
      </w:r>
      <w:r w:rsidRPr="008B73E6">
        <w:rPr>
          <w:rFonts w:ascii="Times New Roman" w:eastAsia="Cambria" w:hAnsi="Times New Roman" w:cs="Times New Roman"/>
          <w:sz w:val="18"/>
          <w:szCs w:val="18"/>
          <w:lang w:val="en-US"/>
        </w:rPr>
        <w:t>he lack of management policy for the radioactive materials</w:t>
      </w:r>
      <w:r w:rsidR="00A66E09" w:rsidRPr="008B73E6">
        <w:rPr>
          <w:rFonts w:ascii="Times New Roman" w:eastAsia="Cambria" w:hAnsi="Times New Roman" w:cs="Times New Roman"/>
          <w:sz w:val="18"/>
          <w:szCs w:val="18"/>
          <w:lang w:val="en-US"/>
        </w:rPr>
        <w:t xml:space="preserve"> is one of the challenges. M</w:t>
      </w:r>
      <w:r w:rsidRPr="008B73E6">
        <w:rPr>
          <w:rFonts w:ascii="Times New Roman" w:eastAsia="Cambria" w:hAnsi="Times New Roman" w:cs="Times New Roman"/>
          <w:sz w:val="18"/>
          <w:szCs w:val="18"/>
          <w:lang w:val="en-US"/>
        </w:rPr>
        <w:t xml:space="preserve">anagement and control of radioactive sources starts from the moment the source is produced until its disposal. This means the state/authority should have a policy in place to address how the source will be managed from the </w:t>
      </w:r>
      <w:r w:rsidR="00A66E09" w:rsidRPr="008B73E6">
        <w:rPr>
          <w:rFonts w:ascii="Times New Roman" w:eastAsia="Cambria" w:hAnsi="Times New Roman" w:cs="Times New Roman"/>
          <w:sz w:val="18"/>
          <w:szCs w:val="18"/>
          <w:lang w:val="en-US"/>
        </w:rPr>
        <w:t xml:space="preserve">time the source is </w:t>
      </w:r>
      <w:r w:rsidRPr="008B73E6">
        <w:rPr>
          <w:rFonts w:ascii="Times New Roman" w:eastAsia="Cambria" w:hAnsi="Times New Roman" w:cs="Times New Roman"/>
          <w:sz w:val="18"/>
          <w:szCs w:val="18"/>
          <w:lang w:val="en-US"/>
        </w:rPr>
        <w:t>import</w:t>
      </w:r>
      <w:r w:rsidR="00A66E09" w:rsidRPr="008B73E6">
        <w:rPr>
          <w:rFonts w:ascii="Times New Roman" w:eastAsia="Cambria" w:hAnsi="Times New Roman" w:cs="Times New Roman"/>
          <w:sz w:val="18"/>
          <w:szCs w:val="18"/>
          <w:lang w:val="en-US"/>
        </w:rPr>
        <w:t>ed</w:t>
      </w:r>
      <w:r w:rsidRPr="008B73E6">
        <w:rPr>
          <w:rFonts w:ascii="Times New Roman" w:eastAsia="Cambria" w:hAnsi="Times New Roman" w:cs="Times New Roman"/>
          <w:sz w:val="18"/>
          <w:szCs w:val="18"/>
          <w:lang w:val="en-US"/>
        </w:rPr>
        <w:t>,</w:t>
      </w:r>
      <w:r w:rsidR="00A66E09" w:rsidRPr="008B73E6">
        <w:rPr>
          <w:rFonts w:ascii="Times New Roman" w:eastAsia="Cambria" w:hAnsi="Times New Roman" w:cs="Times New Roman"/>
          <w:sz w:val="18"/>
          <w:szCs w:val="18"/>
          <w:lang w:val="en-US"/>
        </w:rPr>
        <w:t xml:space="preserve"> until</w:t>
      </w:r>
      <w:r w:rsidRPr="008B73E6">
        <w:rPr>
          <w:rFonts w:ascii="Times New Roman" w:eastAsia="Cambria" w:hAnsi="Times New Roman" w:cs="Times New Roman"/>
          <w:sz w:val="18"/>
          <w:szCs w:val="18"/>
          <w:lang w:val="en-US"/>
        </w:rPr>
        <w:t xml:space="preserve"> when i</w:t>
      </w:r>
      <w:r w:rsidR="00A66E09" w:rsidRPr="008B73E6">
        <w:rPr>
          <w:rFonts w:ascii="Times New Roman" w:eastAsia="Cambria" w:hAnsi="Times New Roman" w:cs="Times New Roman"/>
          <w:sz w:val="18"/>
          <w:szCs w:val="18"/>
          <w:lang w:val="en-US"/>
        </w:rPr>
        <w:t>s ready to be disposed (for the country with disposal option).</w:t>
      </w:r>
      <w:r w:rsidRPr="008B73E6">
        <w:rPr>
          <w:rFonts w:ascii="Times New Roman" w:eastAsia="Cambria" w:hAnsi="Times New Roman" w:cs="Times New Roman"/>
          <w:sz w:val="18"/>
          <w:szCs w:val="18"/>
          <w:lang w:val="en-US"/>
        </w:rPr>
        <w:t xml:space="preserve"> The return to manufacturer is a good option to avoid accumulation of sources in the country especially in the absence of disposal option. However, it is still difficult to control the </w:t>
      </w:r>
      <w:r w:rsidR="00A66E09" w:rsidRPr="008B73E6">
        <w:rPr>
          <w:rFonts w:ascii="Times New Roman" w:eastAsia="Cambria" w:hAnsi="Times New Roman" w:cs="Times New Roman"/>
          <w:sz w:val="18"/>
          <w:szCs w:val="18"/>
          <w:lang w:val="en-US"/>
        </w:rPr>
        <w:t xml:space="preserve">life cycle management of these radiation </w:t>
      </w:r>
      <w:r w:rsidRPr="008B73E6">
        <w:rPr>
          <w:rFonts w:ascii="Times New Roman" w:eastAsia="Cambria" w:hAnsi="Times New Roman" w:cs="Times New Roman"/>
          <w:sz w:val="18"/>
          <w:szCs w:val="18"/>
          <w:lang w:val="en-US"/>
        </w:rPr>
        <w:t xml:space="preserve">sources </w:t>
      </w:r>
      <w:r w:rsidR="00A66E09" w:rsidRPr="008B73E6">
        <w:rPr>
          <w:rFonts w:ascii="Times New Roman" w:eastAsia="Cambria" w:hAnsi="Times New Roman" w:cs="Times New Roman"/>
          <w:sz w:val="18"/>
          <w:szCs w:val="18"/>
          <w:lang w:val="en-US"/>
        </w:rPr>
        <w:t>especially in the absence of regulatory framework</w:t>
      </w:r>
      <w:r w:rsidRPr="008B73E6">
        <w:rPr>
          <w:rFonts w:ascii="Times New Roman" w:eastAsia="Cambria" w:hAnsi="Times New Roman" w:cs="Times New Roman"/>
          <w:sz w:val="18"/>
          <w:szCs w:val="18"/>
          <w:lang w:val="en-US"/>
        </w:rPr>
        <w:t xml:space="preserve">. The laws and regulations are very important components in ensuring the safety and security of radiation sources.  Some of the states have no regulatory body for radioactive material but others have the regulatory body but they have no regulatory framework in place. </w:t>
      </w:r>
      <w:r w:rsidR="0070745A" w:rsidRPr="008B73E6">
        <w:rPr>
          <w:rFonts w:ascii="Times New Roman" w:eastAsia="Cambria" w:hAnsi="Times New Roman" w:cs="Times New Roman"/>
          <w:sz w:val="18"/>
          <w:szCs w:val="18"/>
          <w:lang w:val="en-US"/>
        </w:rPr>
        <w:t>Some of t</w:t>
      </w:r>
      <w:r w:rsidRPr="008B73E6">
        <w:rPr>
          <w:rFonts w:ascii="Times New Roman" w:eastAsia="Cambria" w:hAnsi="Times New Roman" w:cs="Times New Roman"/>
          <w:sz w:val="18"/>
          <w:szCs w:val="18"/>
          <w:lang w:val="en-US"/>
        </w:rPr>
        <w:t>he challenge</w:t>
      </w:r>
      <w:r w:rsidR="0070745A" w:rsidRPr="008B73E6">
        <w:rPr>
          <w:rFonts w:ascii="Times New Roman" w:eastAsia="Cambria" w:hAnsi="Times New Roman" w:cs="Times New Roman"/>
          <w:sz w:val="18"/>
          <w:szCs w:val="18"/>
          <w:lang w:val="en-US"/>
        </w:rPr>
        <w:t xml:space="preserve">s facing the United Republic of Tanzania </w:t>
      </w:r>
      <w:r w:rsidRPr="008B73E6">
        <w:rPr>
          <w:rFonts w:ascii="Times New Roman" w:eastAsia="Cambria" w:hAnsi="Times New Roman" w:cs="Times New Roman"/>
          <w:sz w:val="18"/>
          <w:szCs w:val="18"/>
          <w:lang w:val="en-US"/>
        </w:rPr>
        <w:t>is the illicit trafficking</w:t>
      </w:r>
      <w:r w:rsidR="0070745A" w:rsidRPr="008B73E6">
        <w:rPr>
          <w:rFonts w:ascii="Times New Roman" w:eastAsia="Cambria" w:hAnsi="Times New Roman" w:cs="Times New Roman"/>
          <w:sz w:val="18"/>
          <w:szCs w:val="18"/>
          <w:lang w:val="en-US"/>
        </w:rPr>
        <w:t xml:space="preserve"> which is contributed much by the other challenge of </w:t>
      </w:r>
      <w:r w:rsidRPr="008B73E6">
        <w:rPr>
          <w:rFonts w:ascii="Times New Roman" w:eastAsia="Cambria" w:hAnsi="Times New Roman" w:cs="Times New Roman"/>
          <w:sz w:val="18"/>
          <w:szCs w:val="18"/>
          <w:lang w:val="en-US"/>
        </w:rPr>
        <w:t xml:space="preserve">porous borders. </w:t>
      </w:r>
      <w:r w:rsidR="0070745A" w:rsidRPr="008B73E6">
        <w:rPr>
          <w:rFonts w:ascii="Times New Roman" w:eastAsia="Cambria" w:hAnsi="Times New Roman" w:cs="Times New Roman"/>
          <w:sz w:val="18"/>
          <w:szCs w:val="18"/>
          <w:lang w:val="en-US"/>
        </w:rPr>
        <w:t>The United Republic of Tanzania (URT)</w:t>
      </w:r>
      <w:r w:rsidRPr="008B73E6">
        <w:rPr>
          <w:rFonts w:ascii="Times New Roman" w:eastAsia="Cambria" w:hAnsi="Times New Roman" w:cs="Times New Roman"/>
          <w:sz w:val="18"/>
          <w:szCs w:val="18"/>
          <w:lang w:val="en-US"/>
        </w:rPr>
        <w:t xml:space="preserve"> ha</w:t>
      </w:r>
      <w:r w:rsidR="0070745A" w:rsidRPr="008B73E6">
        <w:rPr>
          <w:rFonts w:ascii="Times New Roman" w:eastAsia="Cambria" w:hAnsi="Times New Roman" w:cs="Times New Roman"/>
          <w:sz w:val="18"/>
          <w:szCs w:val="18"/>
          <w:lang w:val="en-US"/>
        </w:rPr>
        <w:t>ve</w:t>
      </w:r>
      <w:r w:rsidRPr="008B73E6">
        <w:rPr>
          <w:rFonts w:ascii="Times New Roman" w:eastAsia="Cambria" w:hAnsi="Times New Roman" w:cs="Times New Roman"/>
          <w:sz w:val="18"/>
          <w:szCs w:val="18"/>
          <w:lang w:val="en-US"/>
        </w:rPr>
        <w:t xml:space="preserve"> several border</w:t>
      </w:r>
      <w:r w:rsidR="00647244" w:rsidRPr="008B73E6">
        <w:rPr>
          <w:rFonts w:ascii="Times New Roman" w:eastAsia="Cambria" w:hAnsi="Times New Roman" w:cs="Times New Roman"/>
          <w:sz w:val="18"/>
          <w:szCs w:val="18"/>
          <w:lang w:val="en-US"/>
        </w:rPr>
        <w:t>s</w:t>
      </w:r>
      <w:r w:rsidRPr="008B73E6">
        <w:rPr>
          <w:rFonts w:ascii="Times New Roman" w:eastAsia="Cambria" w:hAnsi="Times New Roman" w:cs="Times New Roman"/>
          <w:sz w:val="18"/>
          <w:szCs w:val="18"/>
          <w:lang w:val="en-US"/>
        </w:rPr>
        <w:t xml:space="preserve"> which are porous and this makes it difficult to control the movement of radiation sources even in the presence of the regulatory infrastructure.  </w:t>
      </w:r>
      <w:r w:rsidR="00647244" w:rsidRPr="008B73E6">
        <w:rPr>
          <w:rFonts w:ascii="Times New Roman" w:eastAsia="Cambria" w:hAnsi="Times New Roman" w:cs="Times New Roman"/>
          <w:sz w:val="18"/>
          <w:szCs w:val="18"/>
          <w:lang w:val="en-US"/>
        </w:rPr>
        <w:t>Another</w:t>
      </w:r>
      <w:r w:rsidRPr="008B73E6">
        <w:rPr>
          <w:rFonts w:ascii="Times New Roman" w:eastAsia="Cambria" w:hAnsi="Times New Roman" w:cs="Times New Roman"/>
          <w:sz w:val="18"/>
          <w:szCs w:val="18"/>
          <w:lang w:val="en-US"/>
        </w:rPr>
        <w:t xml:space="preserve"> challenge is the </w:t>
      </w:r>
      <w:r w:rsidR="00647244" w:rsidRPr="008B73E6">
        <w:rPr>
          <w:rFonts w:ascii="Times New Roman" w:eastAsia="Cambria" w:hAnsi="Times New Roman" w:cs="Times New Roman"/>
          <w:sz w:val="18"/>
          <w:szCs w:val="18"/>
          <w:lang w:val="en-US"/>
        </w:rPr>
        <w:t xml:space="preserve">discovery </w:t>
      </w:r>
      <w:r w:rsidRPr="008B73E6">
        <w:rPr>
          <w:rFonts w:ascii="Times New Roman" w:eastAsia="Cambria" w:hAnsi="Times New Roman" w:cs="Times New Roman"/>
          <w:sz w:val="18"/>
          <w:szCs w:val="18"/>
          <w:lang w:val="en-US"/>
        </w:rPr>
        <w:t>of unregistered sources</w:t>
      </w:r>
      <w:r w:rsidR="00647244" w:rsidRPr="008B73E6">
        <w:rPr>
          <w:rFonts w:ascii="Times New Roman" w:eastAsia="Cambria" w:hAnsi="Times New Roman" w:cs="Times New Roman"/>
          <w:sz w:val="18"/>
          <w:szCs w:val="18"/>
          <w:lang w:val="en-US"/>
        </w:rPr>
        <w:t xml:space="preserve"> in the country such </w:t>
      </w:r>
      <w:r w:rsidR="00CC292B" w:rsidRPr="008B73E6">
        <w:rPr>
          <w:rFonts w:ascii="Times New Roman" w:eastAsia="Cambria" w:hAnsi="Times New Roman" w:cs="Times New Roman"/>
          <w:sz w:val="18"/>
          <w:szCs w:val="18"/>
          <w:lang w:val="en-US"/>
        </w:rPr>
        <w:t xml:space="preserve">as </w:t>
      </w:r>
      <w:r w:rsidR="00647244" w:rsidRPr="008B73E6">
        <w:rPr>
          <w:rFonts w:ascii="Times New Roman" w:eastAsia="Cambria" w:hAnsi="Times New Roman" w:cs="Times New Roman"/>
          <w:sz w:val="18"/>
          <w:szCs w:val="18"/>
          <w:lang w:val="en-US"/>
        </w:rPr>
        <w:t>orphan</w:t>
      </w:r>
      <w:r w:rsidRPr="008B73E6">
        <w:rPr>
          <w:rFonts w:ascii="Times New Roman" w:eastAsia="Cambria" w:hAnsi="Times New Roman" w:cs="Times New Roman"/>
          <w:sz w:val="18"/>
          <w:szCs w:val="18"/>
          <w:lang w:val="en-US"/>
        </w:rPr>
        <w:t xml:space="preserve"> </w:t>
      </w:r>
      <w:r w:rsidR="00CC292B" w:rsidRPr="008B73E6">
        <w:rPr>
          <w:rFonts w:ascii="Times New Roman" w:eastAsia="Cambria" w:hAnsi="Times New Roman" w:cs="Times New Roman"/>
          <w:sz w:val="18"/>
          <w:szCs w:val="18"/>
          <w:lang w:val="en-US"/>
        </w:rPr>
        <w:t xml:space="preserve">sources </w:t>
      </w:r>
      <w:r w:rsidRPr="008B73E6">
        <w:rPr>
          <w:rFonts w:ascii="Times New Roman" w:eastAsia="Cambria" w:hAnsi="Times New Roman" w:cs="Times New Roman"/>
          <w:sz w:val="18"/>
          <w:szCs w:val="18"/>
          <w:lang w:val="en-US"/>
        </w:rPr>
        <w:t>that are out of regulatory</w:t>
      </w:r>
      <w:r w:rsidR="00647244" w:rsidRPr="008B73E6">
        <w:rPr>
          <w:rFonts w:ascii="Times New Roman" w:eastAsia="Cambria" w:hAnsi="Times New Roman" w:cs="Times New Roman"/>
          <w:sz w:val="18"/>
          <w:szCs w:val="18"/>
          <w:lang w:val="en-US"/>
        </w:rPr>
        <w:t xml:space="preserve"> control</w:t>
      </w:r>
      <w:r w:rsidRPr="008B73E6">
        <w:rPr>
          <w:rFonts w:ascii="Times New Roman" w:eastAsia="Cambria" w:hAnsi="Times New Roman" w:cs="Times New Roman"/>
          <w:sz w:val="18"/>
          <w:szCs w:val="18"/>
          <w:lang w:val="en-US"/>
        </w:rPr>
        <w:t xml:space="preserve">. </w:t>
      </w:r>
      <w:r w:rsidR="00CC292B" w:rsidRPr="008B73E6">
        <w:rPr>
          <w:rFonts w:ascii="Times New Roman" w:eastAsia="Cambria" w:hAnsi="Times New Roman" w:cs="Times New Roman"/>
          <w:sz w:val="18"/>
          <w:szCs w:val="18"/>
          <w:lang w:val="en-US"/>
        </w:rPr>
        <w:t>Also,</w:t>
      </w:r>
      <w:r w:rsidRPr="008B73E6">
        <w:rPr>
          <w:rFonts w:ascii="Times New Roman" w:eastAsia="Cambria" w:hAnsi="Times New Roman" w:cs="Times New Roman"/>
          <w:sz w:val="18"/>
          <w:szCs w:val="18"/>
          <w:lang w:val="en-US"/>
        </w:rPr>
        <w:t xml:space="preserve"> the lack of disposal option</w:t>
      </w:r>
      <w:r w:rsidR="00CC292B" w:rsidRPr="008B73E6">
        <w:rPr>
          <w:rFonts w:ascii="Times New Roman" w:eastAsia="Cambria" w:hAnsi="Times New Roman" w:cs="Times New Roman"/>
          <w:sz w:val="18"/>
          <w:szCs w:val="18"/>
          <w:lang w:val="en-US"/>
        </w:rPr>
        <w:t xml:space="preserve"> is another challenge because t</w:t>
      </w:r>
      <w:r w:rsidRPr="008B73E6">
        <w:rPr>
          <w:rFonts w:ascii="Times New Roman" w:eastAsia="Cambria" w:hAnsi="Times New Roman" w:cs="Times New Roman"/>
          <w:sz w:val="18"/>
          <w:szCs w:val="18"/>
          <w:lang w:val="en-US"/>
        </w:rPr>
        <w:t xml:space="preserve">he accumulation of sources in the </w:t>
      </w:r>
      <w:r w:rsidR="002064B8" w:rsidRPr="008B73E6">
        <w:rPr>
          <w:rFonts w:ascii="Times New Roman" w:eastAsia="Cambria" w:hAnsi="Times New Roman" w:cs="Times New Roman"/>
          <w:sz w:val="18"/>
          <w:szCs w:val="18"/>
          <w:lang w:val="en-US"/>
        </w:rPr>
        <w:t>radioactive waste management facility</w:t>
      </w:r>
      <w:r w:rsidRPr="008B73E6">
        <w:rPr>
          <w:rFonts w:ascii="Times New Roman" w:eastAsia="Cambria" w:hAnsi="Times New Roman" w:cs="Times New Roman"/>
          <w:sz w:val="18"/>
          <w:szCs w:val="18"/>
          <w:lang w:val="en-US"/>
        </w:rPr>
        <w:t xml:space="preserve"> </w:t>
      </w:r>
      <w:r w:rsidR="00CC292B" w:rsidRPr="008B73E6">
        <w:rPr>
          <w:rFonts w:ascii="Times New Roman" w:eastAsia="Cambria" w:hAnsi="Times New Roman" w:cs="Times New Roman"/>
          <w:sz w:val="18"/>
          <w:szCs w:val="18"/>
          <w:lang w:val="en-US"/>
        </w:rPr>
        <w:t xml:space="preserve">does not only decrease the storage space, but also may increase the dose rates </w:t>
      </w:r>
      <w:r w:rsidR="00F3305F" w:rsidRPr="008B73E6">
        <w:rPr>
          <w:rFonts w:ascii="Times New Roman" w:eastAsia="Cambria" w:hAnsi="Times New Roman" w:cs="Times New Roman"/>
          <w:sz w:val="18"/>
          <w:szCs w:val="18"/>
          <w:lang w:val="en-US"/>
        </w:rPr>
        <w:t>in the storage facility</w:t>
      </w:r>
      <w:r w:rsidRPr="008B73E6">
        <w:rPr>
          <w:rFonts w:ascii="Times New Roman" w:eastAsia="Cambria" w:hAnsi="Times New Roman" w:cs="Times New Roman"/>
          <w:sz w:val="18"/>
          <w:szCs w:val="18"/>
          <w:lang w:val="en-US"/>
        </w:rPr>
        <w:t xml:space="preserve">. Other </w:t>
      </w:r>
      <w:r w:rsidR="002064B8" w:rsidRPr="008B73E6">
        <w:rPr>
          <w:rFonts w:ascii="Times New Roman" w:eastAsia="Cambria" w:hAnsi="Times New Roman" w:cs="Times New Roman"/>
          <w:sz w:val="18"/>
          <w:szCs w:val="18"/>
          <w:lang w:val="en-US"/>
        </w:rPr>
        <w:t>challenges include</w:t>
      </w:r>
      <w:r w:rsidRPr="008B73E6">
        <w:rPr>
          <w:rFonts w:ascii="Times New Roman" w:eastAsia="Cambria" w:hAnsi="Times New Roman" w:cs="Times New Roman"/>
          <w:sz w:val="18"/>
          <w:szCs w:val="18"/>
          <w:lang w:val="en-US"/>
        </w:rPr>
        <w:t xml:space="preserve"> the </w:t>
      </w:r>
      <w:r w:rsidR="000A0B96" w:rsidRPr="008B73E6">
        <w:rPr>
          <w:rFonts w:ascii="Times New Roman" w:eastAsia="Cambria" w:hAnsi="Times New Roman" w:cs="Times New Roman"/>
          <w:sz w:val="18"/>
          <w:szCs w:val="18"/>
          <w:lang w:val="en-US"/>
        </w:rPr>
        <w:t xml:space="preserve">lack </w:t>
      </w:r>
      <w:r w:rsidRPr="008B73E6">
        <w:rPr>
          <w:rFonts w:ascii="Times New Roman" w:eastAsia="Cambria" w:hAnsi="Times New Roman" w:cs="Times New Roman"/>
          <w:sz w:val="18"/>
          <w:szCs w:val="18"/>
          <w:lang w:val="en-US"/>
        </w:rPr>
        <w:t xml:space="preserve">of </w:t>
      </w:r>
      <w:r w:rsidR="002064B8" w:rsidRPr="008B73E6">
        <w:rPr>
          <w:rFonts w:ascii="Times New Roman" w:eastAsia="Cambria" w:hAnsi="Times New Roman" w:cs="Times New Roman"/>
          <w:sz w:val="18"/>
          <w:szCs w:val="18"/>
          <w:lang w:val="en-US"/>
        </w:rPr>
        <w:t xml:space="preserve">information </w:t>
      </w:r>
      <w:r w:rsidR="00116E3A" w:rsidRPr="008B73E6">
        <w:rPr>
          <w:rFonts w:ascii="Times New Roman" w:eastAsia="Cambria" w:hAnsi="Times New Roman" w:cs="Times New Roman"/>
          <w:sz w:val="18"/>
          <w:szCs w:val="18"/>
          <w:lang w:val="en-US"/>
        </w:rPr>
        <w:t>on country</w:t>
      </w:r>
      <w:r w:rsidR="000A0B96" w:rsidRPr="008B73E6">
        <w:rPr>
          <w:rFonts w:ascii="Times New Roman" w:eastAsia="Cambria" w:hAnsi="Times New Roman" w:cs="Times New Roman"/>
          <w:sz w:val="18"/>
          <w:szCs w:val="18"/>
          <w:lang w:val="en-US"/>
        </w:rPr>
        <w:t xml:space="preserve"> of origin for the sources intercepted during illicit trafficking</w:t>
      </w:r>
      <w:r w:rsidRPr="008B73E6">
        <w:rPr>
          <w:rFonts w:ascii="Times New Roman" w:eastAsia="Cambria" w:hAnsi="Times New Roman" w:cs="Times New Roman"/>
          <w:sz w:val="18"/>
          <w:szCs w:val="18"/>
          <w:lang w:val="en-US"/>
        </w:rPr>
        <w:t>.</w:t>
      </w:r>
      <w:r w:rsidR="000D48A1" w:rsidRPr="008B73E6">
        <w:rPr>
          <w:rFonts w:ascii="Times New Roman" w:eastAsia="Cambria" w:hAnsi="Times New Roman" w:cs="Times New Roman"/>
          <w:sz w:val="18"/>
          <w:szCs w:val="18"/>
          <w:lang w:val="en-US"/>
        </w:rPr>
        <w:t xml:space="preserve"> However, the </w:t>
      </w:r>
      <w:r w:rsidR="00826E2E" w:rsidRPr="008B73E6">
        <w:rPr>
          <w:rFonts w:ascii="Times New Roman" w:eastAsia="Cambria" w:hAnsi="Times New Roman" w:cs="Times New Roman"/>
          <w:sz w:val="18"/>
          <w:szCs w:val="18"/>
          <w:lang w:val="en-US"/>
        </w:rPr>
        <w:t>country has</w:t>
      </w:r>
      <w:r w:rsidR="000D48A1" w:rsidRPr="008B73E6">
        <w:rPr>
          <w:rFonts w:ascii="Times New Roman" w:eastAsia="Cambria" w:hAnsi="Times New Roman" w:cs="Times New Roman"/>
          <w:sz w:val="18"/>
          <w:szCs w:val="18"/>
          <w:lang w:val="en-US"/>
        </w:rPr>
        <w:t xml:space="preserve"> put in place some good practices for managing radiation sources. These includes establishment of regulatory </w:t>
      </w:r>
      <w:r w:rsidR="00826E2E" w:rsidRPr="008B73E6">
        <w:rPr>
          <w:rFonts w:ascii="Times New Roman" w:eastAsia="Cambria" w:hAnsi="Times New Roman" w:cs="Times New Roman"/>
          <w:sz w:val="18"/>
          <w:szCs w:val="18"/>
          <w:lang w:val="en-US"/>
        </w:rPr>
        <w:t>infrastructure</w:t>
      </w:r>
      <w:r w:rsidR="000D48A1" w:rsidRPr="008B73E6">
        <w:rPr>
          <w:rFonts w:ascii="Times New Roman" w:eastAsia="Cambria" w:hAnsi="Times New Roman" w:cs="Times New Roman"/>
          <w:sz w:val="18"/>
          <w:szCs w:val="18"/>
          <w:lang w:val="en-US"/>
        </w:rPr>
        <w:t xml:space="preserve">, establishment of central radioactive waste management facility, return the sources to manufacturer and </w:t>
      </w:r>
      <w:r w:rsidR="00A53CB4" w:rsidRPr="008B73E6">
        <w:rPr>
          <w:rFonts w:ascii="Times New Roman" w:eastAsia="Cambria" w:hAnsi="Times New Roman" w:cs="Times New Roman"/>
          <w:sz w:val="18"/>
          <w:szCs w:val="18"/>
          <w:lang w:val="en-US"/>
        </w:rPr>
        <w:t xml:space="preserve">recognizing and </w:t>
      </w:r>
      <w:r w:rsidR="000D48A1" w:rsidRPr="008B73E6">
        <w:rPr>
          <w:rFonts w:ascii="Times New Roman" w:eastAsia="Cambria" w:hAnsi="Times New Roman" w:cs="Times New Roman"/>
          <w:sz w:val="18"/>
          <w:szCs w:val="18"/>
          <w:lang w:val="en-US"/>
        </w:rPr>
        <w:t xml:space="preserve">participating in international </w:t>
      </w:r>
      <w:r w:rsidR="00A53CB4" w:rsidRPr="008B73E6">
        <w:rPr>
          <w:rFonts w:ascii="Times New Roman" w:eastAsia="Cambria" w:hAnsi="Times New Roman" w:cs="Times New Roman"/>
          <w:sz w:val="18"/>
          <w:szCs w:val="18"/>
          <w:lang w:val="en-US"/>
        </w:rPr>
        <w:t>cooperation to promote radiation safety and security.</w:t>
      </w:r>
    </w:p>
    <w:p w:rsidR="000E344C" w:rsidRDefault="000E344C" w:rsidP="000E344C">
      <w:pPr>
        <w:ind w:left="270" w:hanging="270"/>
        <w:jc w:val="both"/>
        <w:rPr>
          <w:rFonts w:ascii="Times New Roman" w:hAnsi="Times New Roman" w:cs="Times New Roman"/>
          <w:sz w:val="24"/>
          <w:szCs w:val="24"/>
          <w:lang w:val="en-US"/>
        </w:rPr>
      </w:pPr>
    </w:p>
    <w:p w:rsidR="00BE71E3" w:rsidRPr="000A758E" w:rsidRDefault="002D564A" w:rsidP="000A758E">
      <w:pPr>
        <w:pStyle w:val="ListParagraph"/>
        <w:numPr>
          <w:ilvl w:val="0"/>
          <w:numId w:val="2"/>
        </w:numPr>
        <w:spacing w:before="100" w:beforeAutospacing="1" w:after="100" w:afterAutospacing="1" w:line="280" w:lineRule="atLeast"/>
        <w:ind w:left="540" w:hanging="540"/>
        <w:outlineLvl w:val="1"/>
        <w:rPr>
          <w:sz w:val="20"/>
          <w:szCs w:val="20"/>
        </w:rPr>
      </w:pPr>
      <w:r w:rsidRPr="000A758E">
        <w:rPr>
          <w:sz w:val="20"/>
          <w:szCs w:val="20"/>
        </w:rPr>
        <w:t xml:space="preserve">INTRODUCTION </w:t>
      </w:r>
    </w:p>
    <w:p w:rsidR="00224549" w:rsidRDefault="005902E2" w:rsidP="00224549">
      <w:pPr>
        <w:spacing w:after="0" w:line="260" w:lineRule="atLeast"/>
        <w:ind w:firstLine="562"/>
        <w:jc w:val="both"/>
        <w:rPr>
          <w:rFonts w:ascii="Times New Roman" w:hAnsi="Times New Roman" w:cs="Times New Roman"/>
          <w:sz w:val="20"/>
          <w:szCs w:val="20"/>
          <w:lang w:val="en-US"/>
        </w:rPr>
      </w:pPr>
      <w:r w:rsidRPr="002D564A">
        <w:rPr>
          <w:rFonts w:ascii="Times New Roman" w:hAnsi="Times New Roman" w:cs="Times New Roman"/>
          <w:sz w:val="20"/>
          <w:szCs w:val="20"/>
          <w:lang w:val="en-US"/>
        </w:rPr>
        <w:t>Radioactive sources are widely used worldwide in various beneficial applications</w:t>
      </w:r>
      <w:r w:rsidR="0049325E" w:rsidRPr="002D564A">
        <w:rPr>
          <w:rFonts w:ascii="Times New Roman" w:hAnsi="Times New Roman" w:cs="Times New Roman"/>
          <w:sz w:val="20"/>
          <w:szCs w:val="20"/>
          <w:lang w:val="en-US"/>
        </w:rPr>
        <w:t xml:space="preserve">. The </w:t>
      </w:r>
      <w:r w:rsidR="00FB3962" w:rsidRPr="002D564A">
        <w:rPr>
          <w:rFonts w:ascii="Times New Roman" w:hAnsi="Times New Roman" w:cs="Times New Roman"/>
          <w:sz w:val="20"/>
          <w:szCs w:val="20"/>
          <w:lang w:val="en-US"/>
        </w:rPr>
        <w:t>field of applications ranges</w:t>
      </w:r>
      <w:r w:rsidR="0049325E" w:rsidRPr="002D564A">
        <w:rPr>
          <w:rFonts w:ascii="Times New Roman" w:hAnsi="Times New Roman" w:cs="Times New Roman"/>
          <w:sz w:val="20"/>
          <w:szCs w:val="20"/>
          <w:lang w:val="en-US"/>
        </w:rPr>
        <w:t xml:space="preserve"> from</w:t>
      </w:r>
      <w:r w:rsidR="00354323" w:rsidRPr="002D564A">
        <w:rPr>
          <w:sz w:val="20"/>
          <w:szCs w:val="20"/>
        </w:rPr>
        <w:t xml:space="preserve"> </w:t>
      </w:r>
      <w:r w:rsidR="00354323" w:rsidRPr="002D564A">
        <w:rPr>
          <w:rFonts w:ascii="Times New Roman" w:hAnsi="Times New Roman" w:cs="Times New Roman"/>
          <w:sz w:val="20"/>
          <w:szCs w:val="20"/>
          <w:lang w:val="en-US"/>
        </w:rPr>
        <w:t xml:space="preserve">medical, agriculture, industry, </w:t>
      </w:r>
      <w:r w:rsidR="007E0892" w:rsidRPr="002D564A">
        <w:rPr>
          <w:rFonts w:ascii="Times New Roman" w:hAnsi="Times New Roman" w:cs="Times New Roman"/>
          <w:sz w:val="20"/>
          <w:szCs w:val="20"/>
          <w:lang w:val="en-US"/>
        </w:rPr>
        <w:t xml:space="preserve">and various </w:t>
      </w:r>
      <w:r w:rsidR="00354323" w:rsidRPr="002D564A">
        <w:rPr>
          <w:rFonts w:ascii="Times New Roman" w:hAnsi="Times New Roman" w:cs="Times New Roman"/>
          <w:sz w:val="20"/>
          <w:szCs w:val="20"/>
          <w:lang w:val="en-US"/>
        </w:rPr>
        <w:t>research</w:t>
      </w:r>
      <w:r w:rsidR="00FB3962" w:rsidRPr="002D564A">
        <w:rPr>
          <w:rFonts w:ascii="Times New Roman" w:hAnsi="Times New Roman" w:cs="Times New Roman"/>
          <w:sz w:val="20"/>
          <w:szCs w:val="20"/>
          <w:lang w:val="en-US"/>
        </w:rPr>
        <w:t xml:space="preserve"> </w:t>
      </w:r>
      <w:r w:rsidR="00AC1D7D" w:rsidRPr="002D564A">
        <w:rPr>
          <w:rFonts w:ascii="Times New Roman" w:hAnsi="Times New Roman" w:cs="Times New Roman"/>
          <w:sz w:val="20"/>
          <w:szCs w:val="20"/>
          <w:lang w:val="en-US"/>
        </w:rPr>
        <w:t>a</w:t>
      </w:r>
      <w:r w:rsidR="007E0892" w:rsidRPr="002D564A">
        <w:rPr>
          <w:rFonts w:ascii="Times New Roman" w:hAnsi="Times New Roman" w:cs="Times New Roman"/>
          <w:sz w:val="20"/>
          <w:szCs w:val="20"/>
          <w:lang w:val="en-US"/>
        </w:rPr>
        <w:t xml:space="preserve">reas </w:t>
      </w:r>
      <w:r w:rsidR="007E0892" w:rsidRPr="002D564A">
        <w:rPr>
          <w:rFonts w:ascii="Times New Roman" w:hAnsi="Times New Roman" w:cs="Times New Roman"/>
          <w:sz w:val="20"/>
          <w:szCs w:val="20"/>
          <w:lang w:val="en-US"/>
        </w:rPr>
        <w:fldChar w:fldCharType="begin"/>
      </w:r>
      <w:r w:rsidR="002D0D82" w:rsidRPr="002D564A">
        <w:rPr>
          <w:rFonts w:ascii="Times New Roman" w:hAnsi="Times New Roman" w:cs="Times New Roman"/>
          <w:sz w:val="20"/>
          <w:szCs w:val="20"/>
          <w:lang w:val="en-US"/>
        </w:rPr>
        <w:instrText xml:space="preserve"> ADDIN ZOTERO_ITEM CSL_CITATION {"citationID":"dtnbwmsf","properties":{"formattedCitation":"[1]","plainCitation":"[1]","noteIndex":0},"citationItems":[{"id":302,"uris":["http://zotero.org/users/local/otuCU33O/items/VZ8EBYH6"],"itemData":{"id":302,"type":"book","collection-number":"NW-T-1.3","collection-title":"IAEA Nuclear Energy Series","event-place":"Vienna","number-of-pages":"183","publisher":"IAEA","publisher-place":"Vienna","title":"Management of Disused Sealed Radioactive Sources","author":[{"family":"","given":"International Atomic Energy Agency"}],"issued":{"date-parts":[["2014"]]}}}],"schema":"https://github.com/citation-style-language/schema/raw/master/csl-citation.json"} </w:instrText>
      </w:r>
      <w:r w:rsidR="007E0892" w:rsidRPr="002D564A">
        <w:rPr>
          <w:rFonts w:ascii="Times New Roman" w:hAnsi="Times New Roman" w:cs="Times New Roman"/>
          <w:sz w:val="20"/>
          <w:szCs w:val="20"/>
          <w:lang w:val="en-US"/>
        </w:rPr>
        <w:fldChar w:fldCharType="separate"/>
      </w:r>
      <w:r w:rsidR="007E0892" w:rsidRPr="002D564A">
        <w:rPr>
          <w:rFonts w:ascii="Times New Roman" w:hAnsi="Times New Roman" w:cs="Times New Roman"/>
          <w:sz w:val="20"/>
          <w:szCs w:val="20"/>
        </w:rPr>
        <w:t>[1]</w:t>
      </w:r>
      <w:r w:rsidR="007E0892" w:rsidRPr="002D564A">
        <w:rPr>
          <w:rFonts w:ascii="Times New Roman" w:hAnsi="Times New Roman" w:cs="Times New Roman"/>
          <w:sz w:val="20"/>
          <w:szCs w:val="20"/>
          <w:lang w:val="en-US"/>
        </w:rPr>
        <w:fldChar w:fldCharType="end"/>
      </w:r>
      <w:r w:rsidR="00354323" w:rsidRPr="002D564A">
        <w:rPr>
          <w:rFonts w:ascii="Times New Roman" w:hAnsi="Times New Roman" w:cs="Times New Roman"/>
          <w:sz w:val="20"/>
          <w:szCs w:val="20"/>
          <w:lang w:val="en-US"/>
        </w:rPr>
        <w:t xml:space="preserve">. </w:t>
      </w:r>
      <w:r w:rsidR="009A4381" w:rsidRPr="002D564A">
        <w:rPr>
          <w:rFonts w:ascii="Times New Roman" w:hAnsi="Times New Roman" w:cs="Times New Roman"/>
          <w:sz w:val="20"/>
          <w:szCs w:val="20"/>
          <w:lang w:val="en-US"/>
        </w:rPr>
        <w:t xml:space="preserve">Proper management and control of radiation sources is very important </w:t>
      </w:r>
      <w:r w:rsidR="00594D75" w:rsidRPr="002D564A">
        <w:rPr>
          <w:rFonts w:ascii="Times New Roman" w:hAnsi="Times New Roman" w:cs="Times New Roman"/>
          <w:sz w:val="20"/>
          <w:szCs w:val="20"/>
          <w:lang w:val="en-US"/>
        </w:rPr>
        <w:t>throughout of their life cycle</w:t>
      </w:r>
      <w:r w:rsidR="00826E2E" w:rsidRPr="002D564A">
        <w:rPr>
          <w:rFonts w:ascii="Times New Roman" w:hAnsi="Times New Roman" w:cs="Times New Roman"/>
          <w:sz w:val="20"/>
          <w:szCs w:val="20"/>
          <w:lang w:val="en-US"/>
        </w:rPr>
        <w:t xml:space="preserve"> (cradle to grave)</w:t>
      </w:r>
      <w:r w:rsidR="009A4381" w:rsidRPr="002D564A">
        <w:rPr>
          <w:rFonts w:ascii="Times New Roman" w:hAnsi="Times New Roman" w:cs="Times New Roman"/>
          <w:sz w:val="20"/>
          <w:szCs w:val="20"/>
          <w:lang w:val="en-US"/>
        </w:rPr>
        <w:t xml:space="preserve">. This is because these </w:t>
      </w:r>
      <w:r w:rsidR="00762BF3" w:rsidRPr="002D564A">
        <w:rPr>
          <w:rFonts w:ascii="Times New Roman" w:hAnsi="Times New Roman" w:cs="Times New Roman"/>
          <w:sz w:val="20"/>
          <w:szCs w:val="20"/>
          <w:lang w:val="en-US"/>
        </w:rPr>
        <w:t xml:space="preserve">radiation </w:t>
      </w:r>
      <w:r w:rsidR="009A4381" w:rsidRPr="002D564A">
        <w:rPr>
          <w:rFonts w:ascii="Times New Roman" w:hAnsi="Times New Roman" w:cs="Times New Roman"/>
          <w:sz w:val="20"/>
          <w:szCs w:val="20"/>
          <w:lang w:val="en-US"/>
        </w:rPr>
        <w:t xml:space="preserve">sources may </w:t>
      </w:r>
      <w:r w:rsidR="00594D75" w:rsidRPr="002D564A">
        <w:rPr>
          <w:rFonts w:ascii="Times New Roman" w:hAnsi="Times New Roman" w:cs="Times New Roman"/>
          <w:sz w:val="20"/>
          <w:szCs w:val="20"/>
          <w:lang w:val="en-US"/>
        </w:rPr>
        <w:t>cause</w:t>
      </w:r>
      <w:r w:rsidR="009A4381" w:rsidRPr="002D564A">
        <w:rPr>
          <w:rFonts w:ascii="Times New Roman" w:hAnsi="Times New Roman" w:cs="Times New Roman"/>
          <w:sz w:val="20"/>
          <w:szCs w:val="20"/>
          <w:lang w:val="en-US"/>
        </w:rPr>
        <w:t xml:space="preserve"> potential health hazard</w:t>
      </w:r>
      <w:r w:rsidR="00594D75" w:rsidRPr="002D564A">
        <w:rPr>
          <w:rFonts w:ascii="Times New Roman" w:hAnsi="Times New Roman" w:cs="Times New Roman"/>
          <w:sz w:val="20"/>
          <w:szCs w:val="20"/>
          <w:lang w:val="en-US"/>
        </w:rPr>
        <w:t>s such as deterministic effects</w:t>
      </w:r>
      <w:r w:rsidR="009A4381" w:rsidRPr="002D564A">
        <w:rPr>
          <w:rFonts w:ascii="Times New Roman" w:hAnsi="Times New Roman" w:cs="Times New Roman"/>
          <w:sz w:val="20"/>
          <w:szCs w:val="20"/>
          <w:lang w:val="en-US"/>
        </w:rPr>
        <w:t xml:space="preserve"> to </w:t>
      </w:r>
      <w:r w:rsidR="00594D75" w:rsidRPr="002D564A">
        <w:rPr>
          <w:rFonts w:ascii="Times New Roman" w:hAnsi="Times New Roman" w:cs="Times New Roman"/>
          <w:sz w:val="20"/>
          <w:szCs w:val="20"/>
          <w:lang w:val="en-US"/>
        </w:rPr>
        <w:t xml:space="preserve">individual especially </w:t>
      </w:r>
      <w:r w:rsidR="009A4381" w:rsidRPr="002D564A">
        <w:rPr>
          <w:rFonts w:ascii="Times New Roman" w:hAnsi="Times New Roman" w:cs="Times New Roman"/>
          <w:sz w:val="20"/>
          <w:szCs w:val="20"/>
          <w:lang w:val="en-US"/>
        </w:rPr>
        <w:t>th</w:t>
      </w:r>
      <w:r w:rsidR="00594D75" w:rsidRPr="002D564A">
        <w:rPr>
          <w:rFonts w:ascii="Times New Roman" w:hAnsi="Times New Roman" w:cs="Times New Roman"/>
          <w:sz w:val="20"/>
          <w:szCs w:val="20"/>
          <w:lang w:val="en-US"/>
        </w:rPr>
        <w:t>o</w:t>
      </w:r>
      <w:r w:rsidR="009A4381" w:rsidRPr="002D564A">
        <w:rPr>
          <w:rFonts w:ascii="Times New Roman" w:hAnsi="Times New Roman" w:cs="Times New Roman"/>
          <w:sz w:val="20"/>
          <w:szCs w:val="20"/>
          <w:lang w:val="en-US"/>
        </w:rPr>
        <w:t xml:space="preserve">se radiation sources </w:t>
      </w:r>
      <w:r w:rsidR="00594D75" w:rsidRPr="002D564A">
        <w:rPr>
          <w:rFonts w:ascii="Times New Roman" w:hAnsi="Times New Roman" w:cs="Times New Roman"/>
          <w:sz w:val="20"/>
          <w:szCs w:val="20"/>
          <w:lang w:val="en-US"/>
        </w:rPr>
        <w:t>with</w:t>
      </w:r>
      <w:r w:rsidR="009A4381" w:rsidRPr="002D564A">
        <w:rPr>
          <w:rFonts w:ascii="Times New Roman" w:hAnsi="Times New Roman" w:cs="Times New Roman"/>
          <w:sz w:val="20"/>
          <w:szCs w:val="20"/>
          <w:lang w:val="en-US"/>
        </w:rPr>
        <w:t xml:space="preserve"> a relatively high activity</w:t>
      </w:r>
      <w:r w:rsidR="00594D75" w:rsidRPr="002D564A">
        <w:rPr>
          <w:rFonts w:ascii="Times New Roman" w:hAnsi="Times New Roman" w:cs="Times New Roman"/>
          <w:sz w:val="20"/>
          <w:szCs w:val="20"/>
          <w:lang w:val="en-US"/>
        </w:rPr>
        <w:t xml:space="preserve"> </w:t>
      </w:r>
      <w:r w:rsidR="00594D75" w:rsidRPr="002D564A">
        <w:rPr>
          <w:rFonts w:ascii="Times New Roman" w:hAnsi="Times New Roman" w:cs="Times New Roman"/>
          <w:sz w:val="20"/>
          <w:szCs w:val="20"/>
          <w:lang w:val="en-US"/>
        </w:rPr>
        <w:fldChar w:fldCharType="begin"/>
      </w:r>
      <w:r w:rsidR="00594D75" w:rsidRPr="002D564A">
        <w:rPr>
          <w:rFonts w:ascii="Times New Roman" w:hAnsi="Times New Roman" w:cs="Times New Roman"/>
          <w:sz w:val="20"/>
          <w:szCs w:val="20"/>
          <w:lang w:val="en-US"/>
        </w:rPr>
        <w:instrText xml:space="preserve"> ADDIN ZOTERO_ITEM CSL_CITATION {"citationID":"CGIDmGkq","properties":{"formattedCitation":"[2]","plainCitation":"[2]","noteIndex":0},"citationItems":[{"id":301,"uris":["http://zotero.org/users/local/otuCU33O/items/DHQML65G"],"itemData":{"id":301,"type":"book","collection-number":"RS-G-1.9","collection-title":"IAEA Safety Standards Series","event-place":"Vienna","number-of-pages":"70","publisher":"IAEA","publisher-place":"Vienna","title":"Categorization of Radioactive Sources","author":[{"family":"","given":"International Atomic Energy Agency"}],"issued":{"date-parts":[["2005"]]}}}],"schema":"https://github.com/citation-style-language/schema/raw/master/csl-citation.json"} </w:instrText>
      </w:r>
      <w:r w:rsidR="00594D75" w:rsidRPr="002D564A">
        <w:rPr>
          <w:rFonts w:ascii="Times New Roman" w:hAnsi="Times New Roman" w:cs="Times New Roman"/>
          <w:sz w:val="20"/>
          <w:szCs w:val="20"/>
          <w:lang w:val="en-US"/>
        </w:rPr>
        <w:fldChar w:fldCharType="separate"/>
      </w:r>
      <w:r w:rsidR="00594D75" w:rsidRPr="002D564A">
        <w:rPr>
          <w:rFonts w:ascii="Times New Roman" w:hAnsi="Times New Roman" w:cs="Times New Roman"/>
          <w:sz w:val="20"/>
          <w:szCs w:val="20"/>
        </w:rPr>
        <w:t>[2]</w:t>
      </w:r>
      <w:r w:rsidR="00594D75" w:rsidRPr="002D564A">
        <w:rPr>
          <w:rFonts w:ascii="Times New Roman" w:hAnsi="Times New Roman" w:cs="Times New Roman"/>
          <w:sz w:val="20"/>
          <w:szCs w:val="20"/>
          <w:lang w:val="en-US"/>
        </w:rPr>
        <w:fldChar w:fldCharType="end"/>
      </w:r>
      <w:r w:rsidR="009A4381" w:rsidRPr="002D564A">
        <w:rPr>
          <w:rFonts w:ascii="Times New Roman" w:hAnsi="Times New Roman" w:cs="Times New Roman"/>
          <w:sz w:val="20"/>
          <w:szCs w:val="20"/>
          <w:lang w:val="en-US"/>
        </w:rPr>
        <w:t>.</w:t>
      </w:r>
      <w:r w:rsidR="00057AF2" w:rsidRPr="002D564A">
        <w:rPr>
          <w:rFonts w:ascii="Times New Roman" w:hAnsi="Times New Roman" w:cs="Times New Roman"/>
          <w:sz w:val="20"/>
          <w:szCs w:val="20"/>
          <w:lang w:val="en-US"/>
        </w:rPr>
        <w:t xml:space="preserve"> The safety and security of radiation sources is not only important for the facility owning the source but </w:t>
      </w:r>
      <w:r w:rsidR="00464E2C" w:rsidRPr="002D564A">
        <w:rPr>
          <w:rFonts w:ascii="Times New Roman" w:hAnsi="Times New Roman" w:cs="Times New Roman"/>
          <w:sz w:val="20"/>
          <w:szCs w:val="20"/>
          <w:lang w:val="en-US"/>
        </w:rPr>
        <w:t xml:space="preserve">also for </w:t>
      </w:r>
      <w:r w:rsidR="00057AF2" w:rsidRPr="002D564A">
        <w:rPr>
          <w:rFonts w:ascii="Times New Roman" w:hAnsi="Times New Roman" w:cs="Times New Roman"/>
          <w:sz w:val="20"/>
          <w:szCs w:val="20"/>
          <w:lang w:val="en-US"/>
        </w:rPr>
        <w:t>the public in general.</w:t>
      </w:r>
      <w:r w:rsidR="00464E2C" w:rsidRPr="002D564A">
        <w:rPr>
          <w:rFonts w:ascii="Times New Roman" w:hAnsi="Times New Roman" w:cs="Times New Roman"/>
          <w:sz w:val="20"/>
          <w:szCs w:val="20"/>
          <w:lang w:val="en-US"/>
        </w:rPr>
        <w:t xml:space="preserve"> T</w:t>
      </w:r>
      <w:r w:rsidR="002C37AD" w:rsidRPr="002D564A">
        <w:rPr>
          <w:rFonts w:ascii="Times New Roman" w:hAnsi="Times New Roman" w:cs="Times New Roman"/>
          <w:sz w:val="20"/>
          <w:szCs w:val="20"/>
          <w:lang w:val="en-US"/>
        </w:rPr>
        <w:t xml:space="preserve">he security of the radiation sources is needed because in the absence of control measures, they can </w:t>
      </w:r>
      <w:r w:rsidR="00826E2E" w:rsidRPr="002D564A">
        <w:rPr>
          <w:rFonts w:ascii="Times New Roman" w:hAnsi="Times New Roman" w:cs="Times New Roman"/>
          <w:sz w:val="20"/>
          <w:szCs w:val="20"/>
          <w:lang w:val="en-US"/>
        </w:rPr>
        <w:t xml:space="preserve">fall </w:t>
      </w:r>
      <w:r w:rsidR="00F04AE3" w:rsidRPr="002D564A">
        <w:rPr>
          <w:rFonts w:ascii="Times New Roman" w:hAnsi="Times New Roman" w:cs="Times New Roman"/>
          <w:sz w:val="20"/>
          <w:szCs w:val="20"/>
          <w:lang w:val="en-US"/>
        </w:rPr>
        <w:t>into illicit</w:t>
      </w:r>
      <w:r w:rsidR="002C37AD" w:rsidRPr="002D564A">
        <w:rPr>
          <w:rFonts w:ascii="Times New Roman" w:hAnsi="Times New Roman" w:cs="Times New Roman"/>
          <w:sz w:val="20"/>
          <w:szCs w:val="20"/>
          <w:lang w:val="en-US"/>
        </w:rPr>
        <w:t xml:space="preserve"> trafficking </w:t>
      </w:r>
      <w:r w:rsidR="00826E2E" w:rsidRPr="002D564A">
        <w:rPr>
          <w:rFonts w:ascii="Times New Roman" w:hAnsi="Times New Roman" w:cs="Times New Roman"/>
          <w:sz w:val="20"/>
          <w:szCs w:val="20"/>
          <w:lang w:val="en-US"/>
        </w:rPr>
        <w:t xml:space="preserve">leading </w:t>
      </w:r>
      <w:r w:rsidR="00C72083" w:rsidRPr="002D564A">
        <w:rPr>
          <w:rFonts w:ascii="Times New Roman" w:hAnsi="Times New Roman" w:cs="Times New Roman"/>
          <w:sz w:val="20"/>
          <w:szCs w:val="20"/>
          <w:lang w:val="en-US"/>
        </w:rPr>
        <w:t>to actions</w:t>
      </w:r>
      <w:r w:rsidR="002C37AD" w:rsidRPr="002D564A">
        <w:rPr>
          <w:rFonts w:ascii="Times New Roman" w:hAnsi="Times New Roman" w:cs="Times New Roman"/>
          <w:sz w:val="20"/>
          <w:szCs w:val="20"/>
          <w:lang w:val="en-US"/>
        </w:rPr>
        <w:t xml:space="preserve"> such as terrorists and other malicious acts </w:t>
      </w:r>
      <w:r w:rsidR="00CC5432" w:rsidRPr="002D564A">
        <w:rPr>
          <w:rFonts w:ascii="Times New Roman" w:hAnsi="Times New Roman" w:cs="Times New Roman"/>
          <w:sz w:val="20"/>
          <w:szCs w:val="20"/>
          <w:lang w:val="en-US"/>
        </w:rPr>
        <w:t>that may jeopardize the</w:t>
      </w:r>
      <w:r w:rsidR="002C37AD" w:rsidRPr="002D564A">
        <w:rPr>
          <w:rFonts w:ascii="Times New Roman" w:hAnsi="Times New Roman" w:cs="Times New Roman"/>
          <w:sz w:val="20"/>
          <w:szCs w:val="20"/>
          <w:lang w:val="en-US"/>
        </w:rPr>
        <w:t xml:space="preserve"> public</w:t>
      </w:r>
      <w:r w:rsidR="00CC5432" w:rsidRPr="002D564A">
        <w:rPr>
          <w:rFonts w:ascii="Times New Roman" w:hAnsi="Times New Roman" w:cs="Times New Roman"/>
          <w:sz w:val="20"/>
          <w:szCs w:val="20"/>
          <w:lang w:val="en-US"/>
        </w:rPr>
        <w:t xml:space="preserve"> safety.</w:t>
      </w:r>
      <w:r w:rsidR="00553272" w:rsidRPr="002D564A">
        <w:rPr>
          <w:rFonts w:ascii="Times New Roman" w:hAnsi="Times New Roman" w:cs="Times New Roman"/>
          <w:sz w:val="20"/>
          <w:szCs w:val="20"/>
          <w:lang w:val="en-US"/>
        </w:rPr>
        <w:t xml:space="preserve"> </w:t>
      </w:r>
      <w:r w:rsidR="00DE118D" w:rsidRPr="002D564A">
        <w:rPr>
          <w:rFonts w:ascii="Times New Roman" w:hAnsi="Times New Roman" w:cs="Times New Roman"/>
          <w:sz w:val="20"/>
          <w:szCs w:val="20"/>
          <w:lang w:val="en-US"/>
        </w:rPr>
        <w:t xml:space="preserve">Therefore, in order to avoid this health hazards that might be caused by the radiation sources, it is important to ensure that the safety and security of these </w:t>
      </w:r>
      <w:r w:rsidR="00BD5A16" w:rsidRPr="002D564A">
        <w:rPr>
          <w:rFonts w:ascii="Times New Roman" w:hAnsi="Times New Roman" w:cs="Times New Roman"/>
          <w:sz w:val="20"/>
          <w:szCs w:val="20"/>
          <w:lang w:val="en-US"/>
        </w:rPr>
        <w:t>radiation</w:t>
      </w:r>
      <w:r w:rsidR="00DE118D" w:rsidRPr="002D564A">
        <w:rPr>
          <w:rFonts w:ascii="Times New Roman" w:hAnsi="Times New Roman" w:cs="Times New Roman"/>
          <w:sz w:val="20"/>
          <w:szCs w:val="20"/>
          <w:lang w:val="en-US"/>
        </w:rPr>
        <w:t xml:space="preserve"> sources are maintained throughout the life cycle of these materials.  </w:t>
      </w:r>
      <w:r w:rsidR="00BD5A16" w:rsidRPr="002D564A">
        <w:rPr>
          <w:rFonts w:ascii="Times New Roman" w:hAnsi="Times New Roman" w:cs="Times New Roman"/>
          <w:sz w:val="20"/>
          <w:szCs w:val="20"/>
          <w:lang w:val="en-US"/>
        </w:rPr>
        <w:t xml:space="preserve">It is the national responsibility to regulate </w:t>
      </w:r>
      <w:r w:rsidR="00867BBF" w:rsidRPr="002D564A">
        <w:rPr>
          <w:rFonts w:ascii="Times New Roman" w:hAnsi="Times New Roman" w:cs="Times New Roman"/>
          <w:sz w:val="20"/>
          <w:szCs w:val="20"/>
          <w:lang w:val="en-US"/>
        </w:rPr>
        <w:t xml:space="preserve">the </w:t>
      </w:r>
      <w:r w:rsidR="00DE118D" w:rsidRPr="002D564A">
        <w:rPr>
          <w:rFonts w:ascii="Times New Roman" w:hAnsi="Times New Roman" w:cs="Times New Roman"/>
          <w:sz w:val="20"/>
          <w:szCs w:val="20"/>
          <w:lang w:val="en-US"/>
        </w:rPr>
        <w:t>safety</w:t>
      </w:r>
      <w:r w:rsidR="00867BBF" w:rsidRPr="002D564A">
        <w:rPr>
          <w:rFonts w:ascii="Times New Roman" w:hAnsi="Times New Roman" w:cs="Times New Roman"/>
          <w:sz w:val="20"/>
          <w:szCs w:val="20"/>
          <w:lang w:val="en-US"/>
        </w:rPr>
        <w:t xml:space="preserve"> </w:t>
      </w:r>
      <w:r w:rsidR="00826E2E" w:rsidRPr="002D564A">
        <w:rPr>
          <w:rFonts w:ascii="Times New Roman" w:hAnsi="Times New Roman" w:cs="Times New Roman"/>
          <w:sz w:val="20"/>
          <w:szCs w:val="20"/>
          <w:lang w:val="en-US"/>
        </w:rPr>
        <w:t xml:space="preserve">and security </w:t>
      </w:r>
      <w:r w:rsidR="00867BBF" w:rsidRPr="002D564A">
        <w:rPr>
          <w:rFonts w:ascii="Times New Roman" w:hAnsi="Times New Roman" w:cs="Times New Roman"/>
          <w:sz w:val="20"/>
          <w:szCs w:val="20"/>
          <w:lang w:val="en-US"/>
        </w:rPr>
        <w:t>of radioactive sources</w:t>
      </w:r>
      <w:r w:rsidR="00BD5A16" w:rsidRPr="002D564A">
        <w:rPr>
          <w:rFonts w:ascii="Times New Roman" w:hAnsi="Times New Roman" w:cs="Times New Roman"/>
          <w:sz w:val="20"/>
          <w:szCs w:val="20"/>
          <w:lang w:val="en-US"/>
        </w:rPr>
        <w:t xml:space="preserve">. </w:t>
      </w:r>
    </w:p>
    <w:p w:rsidR="00BC3943" w:rsidRPr="002D564A" w:rsidRDefault="00BD5A16" w:rsidP="00224549">
      <w:pPr>
        <w:spacing w:after="0" w:line="260" w:lineRule="atLeast"/>
        <w:ind w:firstLine="562"/>
        <w:jc w:val="both"/>
        <w:rPr>
          <w:rFonts w:ascii="Times New Roman" w:hAnsi="Times New Roman" w:cs="Times New Roman"/>
          <w:sz w:val="20"/>
          <w:szCs w:val="20"/>
          <w:lang w:val="en-US"/>
        </w:rPr>
      </w:pPr>
      <w:r w:rsidRPr="002D564A">
        <w:rPr>
          <w:rFonts w:ascii="Times New Roman" w:hAnsi="Times New Roman" w:cs="Times New Roman"/>
          <w:sz w:val="20"/>
          <w:szCs w:val="20"/>
          <w:lang w:val="en-US"/>
        </w:rPr>
        <w:lastRenderedPageBreak/>
        <w:t xml:space="preserve">However, </w:t>
      </w:r>
      <w:r w:rsidR="00C74DE7" w:rsidRPr="002D564A">
        <w:rPr>
          <w:rFonts w:ascii="Times New Roman" w:hAnsi="Times New Roman" w:cs="Times New Roman"/>
          <w:sz w:val="20"/>
          <w:szCs w:val="20"/>
          <w:lang w:val="en-US"/>
        </w:rPr>
        <w:t xml:space="preserve">radiation risk may cross the national </w:t>
      </w:r>
      <w:r w:rsidR="00C64E06" w:rsidRPr="002D564A">
        <w:rPr>
          <w:rFonts w:ascii="Times New Roman" w:hAnsi="Times New Roman" w:cs="Times New Roman"/>
          <w:sz w:val="20"/>
          <w:szCs w:val="20"/>
          <w:lang w:val="en-US"/>
        </w:rPr>
        <w:t>borders</w:t>
      </w:r>
      <w:r w:rsidR="00C74DE7" w:rsidRPr="002D564A">
        <w:rPr>
          <w:rFonts w:ascii="Times New Roman" w:hAnsi="Times New Roman" w:cs="Times New Roman"/>
          <w:sz w:val="20"/>
          <w:szCs w:val="20"/>
          <w:lang w:val="en-US"/>
        </w:rPr>
        <w:t xml:space="preserve"> and cause harmful consequences</w:t>
      </w:r>
      <w:r w:rsidR="00826E2E" w:rsidRPr="002D564A">
        <w:rPr>
          <w:rFonts w:ascii="Times New Roman" w:hAnsi="Times New Roman" w:cs="Times New Roman"/>
          <w:sz w:val="20"/>
          <w:szCs w:val="20"/>
          <w:lang w:val="en-US"/>
        </w:rPr>
        <w:t xml:space="preserve"> to another nation</w:t>
      </w:r>
      <w:r w:rsidR="00C74DE7" w:rsidRPr="002D564A">
        <w:rPr>
          <w:rFonts w:ascii="Times New Roman" w:hAnsi="Times New Roman" w:cs="Times New Roman"/>
          <w:sz w:val="20"/>
          <w:szCs w:val="20"/>
          <w:lang w:val="en-US"/>
        </w:rPr>
        <w:t xml:space="preserve">.   Therefore, </w:t>
      </w:r>
      <w:r w:rsidRPr="002D564A">
        <w:rPr>
          <w:rFonts w:ascii="Times New Roman" w:hAnsi="Times New Roman" w:cs="Times New Roman"/>
          <w:sz w:val="20"/>
          <w:szCs w:val="20"/>
          <w:lang w:val="en-US"/>
        </w:rPr>
        <w:t xml:space="preserve">international cooperation </w:t>
      </w:r>
      <w:r w:rsidR="00193284" w:rsidRPr="002D564A">
        <w:rPr>
          <w:rFonts w:ascii="Times New Roman" w:hAnsi="Times New Roman" w:cs="Times New Roman"/>
          <w:sz w:val="20"/>
          <w:szCs w:val="20"/>
          <w:lang w:val="en-US"/>
        </w:rPr>
        <w:t xml:space="preserve">is needed </w:t>
      </w:r>
      <w:r w:rsidR="000B79A4" w:rsidRPr="002D564A">
        <w:rPr>
          <w:rFonts w:ascii="Times New Roman" w:hAnsi="Times New Roman" w:cs="Times New Roman"/>
          <w:sz w:val="20"/>
          <w:szCs w:val="20"/>
          <w:lang w:val="en-US"/>
        </w:rPr>
        <w:t xml:space="preserve">to exchange information and </w:t>
      </w:r>
      <w:r w:rsidR="00C74DE7" w:rsidRPr="002D564A">
        <w:rPr>
          <w:rFonts w:ascii="Times New Roman" w:hAnsi="Times New Roman" w:cs="Times New Roman"/>
          <w:sz w:val="20"/>
          <w:szCs w:val="20"/>
          <w:lang w:val="en-US"/>
        </w:rPr>
        <w:t xml:space="preserve">experience in order to promote and enhance safety </w:t>
      </w:r>
      <w:r w:rsidR="00826E2E" w:rsidRPr="002D564A">
        <w:rPr>
          <w:rFonts w:ascii="Times New Roman" w:hAnsi="Times New Roman" w:cs="Times New Roman"/>
          <w:sz w:val="20"/>
          <w:szCs w:val="20"/>
          <w:lang w:val="en-US"/>
        </w:rPr>
        <w:t>and security worldwide</w:t>
      </w:r>
      <w:r w:rsidR="00AE0FEC" w:rsidRPr="002D564A">
        <w:rPr>
          <w:rFonts w:ascii="Times New Roman" w:hAnsi="Times New Roman" w:cs="Times New Roman"/>
          <w:sz w:val="20"/>
          <w:szCs w:val="20"/>
          <w:lang w:val="en-US"/>
        </w:rPr>
        <w:t xml:space="preserve"> </w:t>
      </w:r>
      <w:r w:rsidR="00AE0FEC" w:rsidRPr="002D564A">
        <w:rPr>
          <w:rFonts w:ascii="Times New Roman" w:hAnsi="Times New Roman" w:cs="Times New Roman"/>
          <w:sz w:val="20"/>
          <w:szCs w:val="20"/>
          <w:lang w:val="en-US"/>
        </w:rPr>
        <w:fldChar w:fldCharType="begin"/>
      </w:r>
      <w:r w:rsidR="00594D75" w:rsidRPr="002D564A">
        <w:rPr>
          <w:rFonts w:ascii="Times New Roman" w:hAnsi="Times New Roman" w:cs="Times New Roman"/>
          <w:sz w:val="20"/>
          <w:szCs w:val="20"/>
          <w:lang w:val="en-US"/>
        </w:rPr>
        <w:instrText xml:space="preserve"> ADDIN ZOTERO_ITEM CSL_CITATION {"citationID":"Q4lbTspQ","properties":{"formattedCitation":"[3]","plainCitation":"[3]","noteIndex":0},"citationItems":[{"id":296,"uris":["http://zotero.org/users/local/otuCU33O/items/E6Q22HT5"],"itemData":{"id":296,"type":"book","collection-number":"GSR Part 3","collection-title":"IAEA Safety Standards Series","event-place":"Vienna","language":"en","number-of-pages":"471","publisher":"IAEA","publisher-place":"Vienna","title":"Radiation Protection and Safety of Radiation Sources: International Basic Safety Standards","author":[{"family":"","given":"International Atomic Energy Agency"}],"issued":{"date-parts":[["2014"]]}}}],"schema":"https://github.com/citation-style-language/schema/raw/master/csl-citation.json"} </w:instrText>
      </w:r>
      <w:r w:rsidR="00AE0FEC" w:rsidRPr="002D564A">
        <w:rPr>
          <w:rFonts w:ascii="Times New Roman" w:hAnsi="Times New Roman" w:cs="Times New Roman"/>
          <w:sz w:val="20"/>
          <w:szCs w:val="20"/>
          <w:lang w:val="en-US"/>
        </w:rPr>
        <w:fldChar w:fldCharType="separate"/>
      </w:r>
      <w:r w:rsidR="00594D75" w:rsidRPr="002D564A">
        <w:rPr>
          <w:rFonts w:ascii="Times New Roman" w:hAnsi="Times New Roman" w:cs="Times New Roman"/>
          <w:sz w:val="20"/>
          <w:szCs w:val="20"/>
        </w:rPr>
        <w:t>[3]</w:t>
      </w:r>
      <w:r w:rsidR="00AE0FEC" w:rsidRPr="002D564A">
        <w:rPr>
          <w:rFonts w:ascii="Times New Roman" w:hAnsi="Times New Roman" w:cs="Times New Roman"/>
          <w:sz w:val="20"/>
          <w:szCs w:val="20"/>
          <w:lang w:val="en-US"/>
        </w:rPr>
        <w:fldChar w:fldCharType="end"/>
      </w:r>
      <w:r w:rsidR="00C74DE7" w:rsidRPr="002D564A">
        <w:rPr>
          <w:rFonts w:ascii="Times New Roman" w:hAnsi="Times New Roman" w:cs="Times New Roman"/>
          <w:sz w:val="20"/>
          <w:szCs w:val="20"/>
          <w:lang w:val="en-US"/>
        </w:rPr>
        <w:t>.</w:t>
      </w:r>
      <w:r w:rsidR="00344B0C" w:rsidRPr="002D564A">
        <w:rPr>
          <w:rFonts w:ascii="Times New Roman" w:hAnsi="Times New Roman" w:cs="Times New Roman"/>
          <w:sz w:val="20"/>
          <w:szCs w:val="20"/>
          <w:lang w:val="en-US"/>
        </w:rPr>
        <w:t xml:space="preserve"> It is not easy </w:t>
      </w:r>
      <w:r w:rsidR="00826E2E" w:rsidRPr="002D564A">
        <w:rPr>
          <w:rFonts w:ascii="Times New Roman" w:hAnsi="Times New Roman" w:cs="Times New Roman"/>
          <w:sz w:val="20"/>
          <w:szCs w:val="20"/>
          <w:lang w:val="en-US"/>
        </w:rPr>
        <w:t xml:space="preserve">for one state </w:t>
      </w:r>
      <w:r w:rsidR="00344B0C" w:rsidRPr="002D564A">
        <w:rPr>
          <w:rFonts w:ascii="Times New Roman" w:hAnsi="Times New Roman" w:cs="Times New Roman"/>
          <w:sz w:val="20"/>
          <w:szCs w:val="20"/>
          <w:lang w:val="en-US"/>
        </w:rPr>
        <w:t>to ensure the safety and security of radioactive sources/devices</w:t>
      </w:r>
      <w:r w:rsidR="00885E46" w:rsidRPr="002D564A">
        <w:rPr>
          <w:rFonts w:ascii="Times New Roman" w:hAnsi="Times New Roman" w:cs="Times New Roman"/>
          <w:sz w:val="20"/>
          <w:szCs w:val="20"/>
          <w:lang w:val="en-US"/>
        </w:rPr>
        <w:t xml:space="preserve"> alone</w:t>
      </w:r>
      <w:r w:rsidR="00344B0C" w:rsidRPr="002D564A">
        <w:rPr>
          <w:rFonts w:ascii="Times New Roman" w:hAnsi="Times New Roman" w:cs="Times New Roman"/>
          <w:sz w:val="20"/>
          <w:szCs w:val="20"/>
          <w:lang w:val="en-US"/>
        </w:rPr>
        <w:t xml:space="preserve">. Safe and secure management of radiation sources needs a </w:t>
      </w:r>
      <w:r w:rsidR="000B79A4" w:rsidRPr="002D564A">
        <w:rPr>
          <w:rFonts w:ascii="Times New Roman" w:hAnsi="Times New Roman" w:cs="Times New Roman"/>
          <w:sz w:val="20"/>
          <w:szCs w:val="20"/>
          <w:lang w:val="en-US"/>
        </w:rPr>
        <w:t xml:space="preserve">country </w:t>
      </w:r>
      <w:r w:rsidR="00344B0C" w:rsidRPr="002D564A">
        <w:rPr>
          <w:rFonts w:ascii="Times New Roman" w:hAnsi="Times New Roman" w:cs="Times New Roman"/>
          <w:sz w:val="20"/>
          <w:szCs w:val="20"/>
          <w:lang w:val="en-US"/>
        </w:rPr>
        <w:t>commitment, knowledge</w:t>
      </w:r>
      <w:r w:rsidR="000B79A4" w:rsidRPr="002D564A">
        <w:rPr>
          <w:rFonts w:ascii="Times New Roman" w:hAnsi="Times New Roman" w:cs="Times New Roman"/>
          <w:sz w:val="20"/>
          <w:szCs w:val="20"/>
          <w:lang w:val="en-US"/>
        </w:rPr>
        <w:t xml:space="preserve"> about radiation</w:t>
      </w:r>
      <w:r w:rsidR="00344B0C" w:rsidRPr="002D564A">
        <w:rPr>
          <w:rFonts w:ascii="Times New Roman" w:hAnsi="Times New Roman" w:cs="Times New Roman"/>
          <w:sz w:val="20"/>
          <w:szCs w:val="20"/>
          <w:lang w:val="en-US"/>
        </w:rPr>
        <w:t>, regulatory infrastructures, resources, national and international cooperation, and technical capability.</w:t>
      </w:r>
      <w:r w:rsidR="00885E46" w:rsidRPr="002D564A">
        <w:rPr>
          <w:rFonts w:ascii="Times New Roman" w:hAnsi="Times New Roman" w:cs="Times New Roman"/>
          <w:sz w:val="20"/>
          <w:szCs w:val="20"/>
          <w:lang w:val="en-US"/>
        </w:rPr>
        <w:t xml:space="preserve"> Tanzania is among the many users of radiation sources with various installation of which they may cause risk to the world community if they are not properly controlled. Figure 1 highlight the applications of radioactive sources in Tanzania.</w:t>
      </w:r>
    </w:p>
    <w:p w:rsidR="00386C42" w:rsidRDefault="00386C42" w:rsidP="00392454">
      <w:pPr>
        <w:spacing w:line="240" w:lineRule="auto"/>
        <w:ind w:right="-64"/>
        <w:jc w:val="both"/>
        <w:rPr>
          <w:rFonts w:ascii="Times New Roman" w:hAnsi="Times New Roman" w:cs="Times New Roman"/>
          <w:sz w:val="24"/>
          <w:szCs w:val="24"/>
          <w:lang w:val="en-US"/>
        </w:rPr>
      </w:pPr>
    </w:p>
    <w:p w:rsidR="00392454" w:rsidRDefault="00386C42" w:rsidP="00386C42">
      <w:pPr>
        <w:spacing w:line="240" w:lineRule="auto"/>
        <w:ind w:right="-64"/>
        <w:jc w:val="center"/>
        <w:rPr>
          <w:rFonts w:ascii="Times New Roman" w:hAnsi="Times New Roman" w:cs="Times New Roman"/>
          <w:sz w:val="24"/>
          <w:szCs w:val="24"/>
          <w:lang w:val="en-US"/>
        </w:rPr>
      </w:pPr>
      <w:r>
        <w:rPr>
          <w:noProof/>
        </w:rPr>
        <w:drawing>
          <wp:inline distT="0" distB="0" distL="0" distR="0" wp14:anchorId="6E79B4AB" wp14:editId="166AE07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C42" w:rsidRPr="008B73E6" w:rsidRDefault="00386C42" w:rsidP="00386C42">
      <w:pPr>
        <w:spacing w:line="240" w:lineRule="auto"/>
        <w:ind w:right="-64"/>
        <w:jc w:val="center"/>
        <w:rPr>
          <w:rFonts w:ascii="Times New Roman" w:hAnsi="Times New Roman" w:cs="Times New Roman"/>
          <w:i/>
          <w:sz w:val="18"/>
          <w:szCs w:val="18"/>
          <w:lang w:val="en-US"/>
        </w:rPr>
      </w:pPr>
      <w:r w:rsidRPr="008B73E6">
        <w:rPr>
          <w:rFonts w:ascii="Times New Roman" w:hAnsi="Times New Roman" w:cs="Times New Roman"/>
          <w:i/>
          <w:sz w:val="18"/>
          <w:szCs w:val="18"/>
          <w:lang w:val="en-US"/>
        </w:rPr>
        <w:t xml:space="preserve">Fig.1. </w:t>
      </w:r>
      <w:r w:rsidR="00A515ED" w:rsidRPr="008B73E6">
        <w:rPr>
          <w:rFonts w:ascii="Times New Roman" w:hAnsi="Times New Roman" w:cs="Times New Roman"/>
          <w:i/>
          <w:sz w:val="18"/>
          <w:szCs w:val="18"/>
          <w:lang w:val="en-US"/>
        </w:rPr>
        <w:t>App</w:t>
      </w:r>
      <w:r w:rsidRPr="008B73E6">
        <w:rPr>
          <w:rFonts w:ascii="Times New Roman" w:hAnsi="Times New Roman" w:cs="Times New Roman"/>
          <w:i/>
          <w:sz w:val="18"/>
          <w:szCs w:val="18"/>
          <w:lang w:val="en-US"/>
        </w:rPr>
        <w:t>lications</w:t>
      </w:r>
      <w:r w:rsidR="00A515ED" w:rsidRPr="008B73E6">
        <w:rPr>
          <w:rFonts w:ascii="Times New Roman" w:hAnsi="Times New Roman" w:cs="Times New Roman"/>
          <w:i/>
          <w:sz w:val="18"/>
          <w:szCs w:val="18"/>
          <w:lang w:val="en-US"/>
        </w:rPr>
        <w:t xml:space="preserve"> of</w:t>
      </w:r>
      <w:r w:rsidRPr="008B73E6">
        <w:rPr>
          <w:rFonts w:ascii="Times New Roman" w:hAnsi="Times New Roman" w:cs="Times New Roman"/>
          <w:i/>
          <w:sz w:val="18"/>
          <w:szCs w:val="18"/>
          <w:lang w:val="en-US"/>
        </w:rPr>
        <w:t xml:space="preserve"> </w:t>
      </w:r>
      <w:r w:rsidR="00A515ED" w:rsidRPr="008B73E6">
        <w:rPr>
          <w:rFonts w:ascii="Times New Roman" w:hAnsi="Times New Roman" w:cs="Times New Roman"/>
          <w:i/>
          <w:sz w:val="18"/>
          <w:szCs w:val="18"/>
          <w:lang w:val="en-US"/>
        </w:rPr>
        <w:t xml:space="preserve">radiation sources </w:t>
      </w:r>
      <w:r w:rsidRPr="008B73E6">
        <w:rPr>
          <w:rFonts w:ascii="Times New Roman" w:hAnsi="Times New Roman" w:cs="Times New Roman"/>
          <w:i/>
          <w:sz w:val="18"/>
          <w:szCs w:val="18"/>
          <w:lang w:val="en-US"/>
        </w:rPr>
        <w:t>in Tanzania</w:t>
      </w:r>
      <w:r w:rsidR="00A515ED" w:rsidRPr="008B73E6">
        <w:rPr>
          <w:rFonts w:ascii="Times New Roman" w:hAnsi="Times New Roman" w:cs="Times New Roman"/>
          <w:i/>
          <w:sz w:val="18"/>
          <w:szCs w:val="18"/>
          <w:lang w:val="en-US"/>
        </w:rPr>
        <w:t xml:space="preserve"> (Source: Tanzania Atomic Energy Commission)</w:t>
      </w:r>
    </w:p>
    <w:p w:rsidR="000F0BF1" w:rsidRPr="008B73E6" w:rsidRDefault="000F0BF1">
      <w:pPr>
        <w:spacing w:line="240" w:lineRule="auto"/>
        <w:jc w:val="both"/>
        <w:rPr>
          <w:rFonts w:ascii="Times New Roman" w:hAnsi="Times New Roman" w:cs="Times New Roman"/>
          <w:b/>
          <w:sz w:val="18"/>
          <w:szCs w:val="18"/>
          <w:lang w:val="en-US"/>
        </w:rPr>
      </w:pPr>
    </w:p>
    <w:p w:rsidR="00BC3943" w:rsidRPr="00DD1AA7" w:rsidRDefault="008B73E6" w:rsidP="008B73E6">
      <w:pPr>
        <w:pStyle w:val="ListParagraph"/>
        <w:numPr>
          <w:ilvl w:val="0"/>
          <w:numId w:val="2"/>
        </w:numPr>
        <w:spacing w:before="100" w:beforeAutospacing="1" w:after="100" w:afterAutospacing="1" w:line="280" w:lineRule="atLeast"/>
        <w:ind w:hanging="720"/>
        <w:outlineLvl w:val="1"/>
        <w:rPr>
          <w:sz w:val="20"/>
          <w:szCs w:val="20"/>
        </w:rPr>
      </w:pPr>
      <w:r w:rsidRPr="00DD1AA7">
        <w:rPr>
          <w:sz w:val="20"/>
          <w:szCs w:val="20"/>
        </w:rPr>
        <w:t xml:space="preserve">CHALLENGES OF SAFETY AND SECURITY FOR LIFE MANAGEMENT OF RADIOACTIVE SOURCES </w:t>
      </w:r>
    </w:p>
    <w:p w:rsidR="00CE50B7" w:rsidRPr="00CE50B7" w:rsidRDefault="00521853" w:rsidP="00CE50B7">
      <w:pPr>
        <w:widowControl w:val="0"/>
        <w:autoSpaceDE w:val="0"/>
        <w:autoSpaceDN w:val="0"/>
        <w:spacing w:after="0" w:line="260" w:lineRule="atLeast"/>
        <w:ind w:firstLine="562"/>
        <w:jc w:val="both"/>
        <w:rPr>
          <w:rFonts w:ascii="Times New Roman" w:eastAsia="Cambria" w:hAnsi="Times New Roman" w:cs="Times New Roman"/>
          <w:sz w:val="20"/>
          <w:szCs w:val="20"/>
          <w:lang w:val="en-US"/>
        </w:rPr>
      </w:pPr>
      <w:r w:rsidRPr="00B12FA5">
        <w:rPr>
          <w:rFonts w:ascii="Times New Roman" w:eastAsia="Cambria" w:hAnsi="Times New Roman" w:cs="Times New Roman"/>
          <w:sz w:val="20"/>
          <w:szCs w:val="20"/>
          <w:lang w:val="en-US"/>
        </w:rPr>
        <w:t>Globally, t</w:t>
      </w:r>
      <w:r w:rsidR="00392454" w:rsidRPr="00B12FA5">
        <w:rPr>
          <w:rFonts w:ascii="Times New Roman" w:eastAsia="Cambria" w:hAnsi="Times New Roman" w:cs="Times New Roman"/>
          <w:sz w:val="20"/>
          <w:szCs w:val="20"/>
          <w:lang w:val="en-US"/>
        </w:rPr>
        <w:t>here are various challenges that are experienced during the life cycle o</w:t>
      </w:r>
      <w:r w:rsidR="00F774C2" w:rsidRPr="00B12FA5">
        <w:rPr>
          <w:rFonts w:ascii="Times New Roman" w:eastAsia="Cambria" w:hAnsi="Times New Roman" w:cs="Times New Roman"/>
          <w:sz w:val="20"/>
          <w:szCs w:val="20"/>
          <w:lang w:val="en-US"/>
        </w:rPr>
        <w:t>f radioactive sources. L</w:t>
      </w:r>
      <w:r w:rsidR="00392454" w:rsidRPr="00B12FA5">
        <w:rPr>
          <w:rFonts w:ascii="Times New Roman" w:eastAsia="Cambria" w:hAnsi="Times New Roman" w:cs="Times New Roman"/>
          <w:sz w:val="20"/>
          <w:szCs w:val="20"/>
          <w:lang w:val="en-US"/>
        </w:rPr>
        <w:t xml:space="preserve">ack of </w:t>
      </w:r>
      <w:r w:rsidR="00F774C2" w:rsidRPr="00B12FA5">
        <w:rPr>
          <w:rFonts w:ascii="Times New Roman" w:eastAsia="Cambria" w:hAnsi="Times New Roman" w:cs="Times New Roman"/>
          <w:sz w:val="20"/>
          <w:szCs w:val="20"/>
          <w:lang w:val="en-US"/>
        </w:rPr>
        <w:t xml:space="preserve">the </w:t>
      </w:r>
      <w:r w:rsidR="00392454" w:rsidRPr="00B12FA5">
        <w:rPr>
          <w:rFonts w:ascii="Times New Roman" w:eastAsia="Cambria" w:hAnsi="Times New Roman" w:cs="Times New Roman"/>
          <w:sz w:val="20"/>
          <w:szCs w:val="20"/>
          <w:lang w:val="en-US"/>
        </w:rPr>
        <w:t>management policy for the radioactive materials</w:t>
      </w:r>
      <w:r w:rsidR="00F774C2" w:rsidRPr="00B12FA5">
        <w:rPr>
          <w:rFonts w:ascii="Times New Roman" w:eastAsia="Cambria" w:hAnsi="Times New Roman" w:cs="Times New Roman"/>
          <w:sz w:val="20"/>
          <w:szCs w:val="20"/>
          <w:lang w:val="en-US"/>
        </w:rPr>
        <w:t xml:space="preserve"> is one of the challenges.</w:t>
      </w:r>
      <w:r w:rsidR="00392454" w:rsidRPr="00B12FA5">
        <w:rPr>
          <w:rFonts w:ascii="Times New Roman" w:eastAsia="Cambria" w:hAnsi="Times New Roman" w:cs="Times New Roman"/>
          <w:sz w:val="20"/>
          <w:szCs w:val="20"/>
          <w:lang w:val="en-US"/>
        </w:rPr>
        <w:t xml:space="preserve"> </w:t>
      </w:r>
      <w:r w:rsidR="00F774C2" w:rsidRPr="00B12FA5">
        <w:rPr>
          <w:rFonts w:ascii="Times New Roman" w:eastAsia="Cambria" w:hAnsi="Times New Roman" w:cs="Times New Roman"/>
          <w:sz w:val="20"/>
          <w:szCs w:val="20"/>
          <w:lang w:val="en-US"/>
        </w:rPr>
        <w:t>M</w:t>
      </w:r>
      <w:r w:rsidR="00392454" w:rsidRPr="00B12FA5">
        <w:rPr>
          <w:rFonts w:ascii="Times New Roman" w:eastAsia="Cambria" w:hAnsi="Times New Roman" w:cs="Times New Roman"/>
          <w:sz w:val="20"/>
          <w:szCs w:val="20"/>
          <w:lang w:val="en-US"/>
        </w:rPr>
        <w:t xml:space="preserve">anagement and control of radioactive sources starts from the moment the source is produced until its disposal. This means the state/authority should have a policy in place to address how the source will be managed from the </w:t>
      </w:r>
      <w:r w:rsidR="00F774C2" w:rsidRPr="00B12FA5">
        <w:rPr>
          <w:rFonts w:ascii="Times New Roman" w:eastAsia="Cambria" w:hAnsi="Times New Roman" w:cs="Times New Roman"/>
          <w:sz w:val="20"/>
          <w:szCs w:val="20"/>
          <w:lang w:val="en-US"/>
        </w:rPr>
        <w:t xml:space="preserve">time the source is </w:t>
      </w:r>
      <w:r w:rsidR="00392454" w:rsidRPr="00B12FA5">
        <w:rPr>
          <w:rFonts w:ascii="Times New Roman" w:eastAsia="Cambria" w:hAnsi="Times New Roman" w:cs="Times New Roman"/>
          <w:sz w:val="20"/>
          <w:szCs w:val="20"/>
          <w:lang w:val="en-US"/>
        </w:rPr>
        <w:t>import</w:t>
      </w:r>
      <w:r w:rsidR="00F774C2" w:rsidRPr="00B12FA5">
        <w:rPr>
          <w:rFonts w:ascii="Times New Roman" w:eastAsia="Cambria" w:hAnsi="Times New Roman" w:cs="Times New Roman"/>
          <w:sz w:val="20"/>
          <w:szCs w:val="20"/>
          <w:lang w:val="en-US"/>
        </w:rPr>
        <w:t>ed until when it is ready to be disposed (for the countries with the disposal option).</w:t>
      </w:r>
      <w:r w:rsidR="00392454" w:rsidRPr="00B12FA5">
        <w:rPr>
          <w:rFonts w:ascii="Times New Roman" w:eastAsia="Cambria" w:hAnsi="Times New Roman" w:cs="Times New Roman"/>
          <w:sz w:val="20"/>
          <w:szCs w:val="20"/>
          <w:lang w:val="en-US"/>
        </w:rPr>
        <w:t xml:space="preserve"> The return to manufacturer is a good option to avoid accumulation of sources in the country especially in the absence of disposal option. However, it is still difficult to </w:t>
      </w:r>
      <w:r w:rsidR="001C4D68" w:rsidRPr="00B12FA5">
        <w:rPr>
          <w:rFonts w:ascii="Times New Roman" w:eastAsia="Cambria" w:hAnsi="Times New Roman" w:cs="Times New Roman"/>
          <w:sz w:val="20"/>
          <w:szCs w:val="20"/>
          <w:lang w:val="en-US"/>
        </w:rPr>
        <w:t xml:space="preserve">manage and </w:t>
      </w:r>
      <w:r w:rsidR="00392454" w:rsidRPr="00B12FA5">
        <w:rPr>
          <w:rFonts w:ascii="Times New Roman" w:eastAsia="Cambria" w:hAnsi="Times New Roman" w:cs="Times New Roman"/>
          <w:sz w:val="20"/>
          <w:szCs w:val="20"/>
          <w:lang w:val="en-US"/>
        </w:rPr>
        <w:t xml:space="preserve">control the </w:t>
      </w:r>
      <w:r w:rsidR="00B60F2A" w:rsidRPr="00B12FA5">
        <w:rPr>
          <w:rFonts w:ascii="Times New Roman" w:eastAsia="Cambria" w:hAnsi="Times New Roman" w:cs="Times New Roman"/>
          <w:sz w:val="20"/>
          <w:szCs w:val="20"/>
          <w:lang w:val="en-US"/>
        </w:rPr>
        <w:t xml:space="preserve">life cycle </w:t>
      </w:r>
      <w:r w:rsidR="00A66E09" w:rsidRPr="00B12FA5">
        <w:rPr>
          <w:rFonts w:ascii="Times New Roman" w:eastAsia="Cambria" w:hAnsi="Times New Roman" w:cs="Times New Roman"/>
          <w:sz w:val="20"/>
          <w:szCs w:val="20"/>
          <w:lang w:val="en-US"/>
        </w:rPr>
        <w:t xml:space="preserve">management </w:t>
      </w:r>
      <w:r w:rsidR="00B60F2A" w:rsidRPr="00B12FA5">
        <w:rPr>
          <w:rFonts w:ascii="Times New Roman" w:eastAsia="Cambria" w:hAnsi="Times New Roman" w:cs="Times New Roman"/>
          <w:sz w:val="20"/>
          <w:szCs w:val="20"/>
          <w:lang w:val="en-US"/>
        </w:rPr>
        <w:t>of these radiation</w:t>
      </w:r>
      <w:r w:rsidR="00392454" w:rsidRPr="00B12FA5">
        <w:rPr>
          <w:rFonts w:ascii="Times New Roman" w:eastAsia="Cambria" w:hAnsi="Times New Roman" w:cs="Times New Roman"/>
          <w:sz w:val="20"/>
          <w:szCs w:val="20"/>
          <w:lang w:val="en-US"/>
        </w:rPr>
        <w:t xml:space="preserve"> source</w:t>
      </w:r>
      <w:r w:rsidR="00B60F2A" w:rsidRPr="00B12FA5">
        <w:rPr>
          <w:rFonts w:ascii="Times New Roman" w:eastAsia="Cambria" w:hAnsi="Times New Roman" w:cs="Times New Roman"/>
          <w:sz w:val="20"/>
          <w:szCs w:val="20"/>
          <w:lang w:val="en-US"/>
        </w:rPr>
        <w:t>s especially</w:t>
      </w:r>
      <w:r w:rsidR="00392454" w:rsidRPr="00B12FA5">
        <w:rPr>
          <w:rFonts w:ascii="Times New Roman" w:eastAsia="Cambria" w:hAnsi="Times New Roman" w:cs="Times New Roman"/>
          <w:sz w:val="20"/>
          <w:szCs w:val="20"/>
          <w:lang w:val="en-US"/>
        </w:rPr>
        <w:t xml:space="preserve"> in the absence of </w:t>
      </w:r>
      <w:r w:rsidR="001C4D68" w:rsidRPr="00B12FA5">
        <w:rPr>
          <w:rFonts w:ascii="Times New Roman" w:eastAsia="Cambria" w:hAnsi="Times New Roman" w:cs="Times New Roman"/>
          <w:sz w:val="20"/>
          <w:szCs w:val="20"/>
          <w:lang w:val="en-US"/>
        </w:rPr>
        <w:t>regulatory framework</w:t>
      </w:r>
      <w:r w:rsidR="00392454" w:rsidRPr="00B12FA5">
        <w:rPr>
          <w:rFonts w:ascii="Times New Roman" w:eastAsia="Cambria" w:hAnsi="Times New Roman" w:cs="Times New Roman"/>
          <w:sz w:val="20"/>
          <w:szCs w:val="20"/>
          <w:lang w:val="en-US"/>
        </w:rPr>
        <w:t xml:space="preserve">. The laws and regulations are very important components in ensuring the safety and security of radiation sources.  </w:t>
      </w:r>
      <w:r w:rsidR="00392454" w:rsidRPr="00CE50B7">
        <w:rPr>
          <w:rFonts w:ascii="Times New Roman" w:eastAsia="Cambria" w:hAnsi="Times New Roman" w:cs="Times New Roman"/>
          <w:sz w:val="20"/>
          <w:szCs w:val="20"/>
          <w:lang w:val="en-US"/>
        </w:rPr>
        <w:t xml:space="preserve">Some of the states have no regulatory body for </w:t>
      </w:r>
      <w:r w:rsidR="00A5687F" w:rsidRPr="00CE50B7">
        <w:rPr>
          <w:rFonts w:ascii="Times New Roman" w:eastAsia="Cambria" w:hAnsi="Times New Roman" w:cs="Times New Roman"/>
          <w:sz w:val="20"/>
          <w:szCs w:val="20"/>
          <w:lang w:val="en-US"/>
        </w:rPr>
        <w:t xml:space="preserve">the control of </w:t>
      </w:r>
      <w:r w:rsidR="00392454" w:rsidRPr="00CE50B7">
        <w:rPr>
          <w:rFonts w:ascii="Times New Roman" w:eastAsia="Cambria" w:hAnsi="Times New Roman" w:cs="Times New Roman"/>
          <w:sz w:val="20"/>
          <w:szCs w:val="20"/>
          <w:lang w:val="en-US"/>
        </w:rPr>
        <w:t xml:space="preserve">radioactive material but others have the regulatory body but they have no regulatory framework in place. </w:t>
      </w:r>
    </w:p>
    <w:p w:rsidR="007949F7" w:rsidRPr="00CE50B7" w:rsidRDefault="00A5687F" w:rsidP="00CE50B7">
      <w:pPr>
        <w:widowControl w:val="0"/>
        <w:autoSpaceDE w:val="0"/>
        <w:autoSpaceDN w:val="0"/>
        <w:spacing w:after="0" w:line="260" w:lineRule="atLeast"/>
        <w:ind w:firstLine="562"/>
        <w:jc w:val="both"/>
        <w:rPr>
          <w:rFonts w:ascii="Times New Roman" w:eastAsia="Cambria" w:hAnsi="Times New Roman" w:cs="Times New Roman"/>
          <w:sz w:val="20"/>
          <w:szCs w:val="20"/>
          <w:lang w:val="en-US"/>
        </w:rPr>
      </w:pPr>
      <w:r w:rsidRPr="00CE50B7">
        <w:rPr>
          <w:rFonts w:ascii="Times New Roman" w:eastAsia="Cambria" w:hAnsi="Times New Roman" w:cs="Times New Roman"/>
          <w:sz w:val="20"/>
          <w:szCs w:val="20"/>
          <w:lang w:val="en-US"/>
        </w:rPr>
        <w:t xml:space="preserve">Some of the challenges facing the United Republic of </w:t>
      </w:r>
      <w:r w:rsidR="00706298" w:rsidRPr="00CE50B7">
        <w:rPr>
          <w:rFonts w:ascii="Times New Roman" w:eastAsia="Cambria" w:hAnsi="Times New Roman" w:cs="Times New Roman"/>
          <w:sz w:val="20"/>
          <w:szCs w:val="20"/>
          <w:lang w:val="en-US"/>
        </w:rPr>
        <w:t xml:space="preserve">Tanzania </w:t>
      </w:r>
      <w:r w:rsidR="00392454" w:rsidRPr="00CE50B7">
        <w:rPr>
          <w:rFonts w:ascii="Times New Roman" w:eastAsia="Cambria" w:hAnsi="Times New Roman" w:cs="Times New Roman"/>
          <w:sz w:val="20"/>
          <w:szCs w:val="20"/>
          <w:lang w:val="en-US"/>
        </w:rPr>
        <w:t>i</w:t>
      </w:r>
      <w:r w:rsidR="00706298" w:rsidRPr="00CE50B7">
        <w:rPr>
          <w:rFonts w:ascii="Times New Roman" w:eastAsia="Cambria" w:hAnsi="Times New Roman" w:cs="Times New Roman"/>
          <w:sz w:val="20"/>
          <w:szCs w:val="20"/>
          <w:lang w:val="en-US"/>
        </w:rPr>
        <w:t>nclude</w:t>
      </w:r>
      <w:r w:rsidR="00392454" w:rsidRPr="00CE50B7">
        <w:rPr>
          <w:rFonts w:ascii="Times New Roman" w:eastAsia="Cambria" w:hAnsi="Times New Roman" w:cs="Times New Roman"/>
          <w:sz w:val="20"/>
          <w:szCs w:val="20"/>
          <w:lang w:val="en-US"/>
        </w:rPr>
        <w:t>s the illicit trafficking.</w:t>
      </w:r>
      <w:r w:rsidR="00706298" w:rsidRPr="00CE50B7">
        <w:rPr>
          <w:rFonts w:ascii="Times New Roman" w:eastAsia="Cambria" w:hAnsi="Times New Roman" w:cs="Times New Roman"/>
          <w:sz w:val="20"/>
          <w:szCs w:val="20"/>
          <w:lang w:val="en-US"/>
        </w:rPr>
        <w:t xml:space="preserve"> The motive</w:t>
      </w:r>
      <w:r w:rsidR="0070745A" w:rsidRPr="00CE50B7">
        <w:rPr>
          <w:rFonts w:ascii="Times New Roman" w:eastAsia="Cambria" w:hAnsi="Times New Roman" w:cs="Times New Roman"/>
          <w:sz w:val="20"/>
          <w:szCs w:val="20"/>
          <w:lang w:val="en-US"/>
        </w:rPr>
        <w:t xml:space="preserve">s for </w:t>
      </w:r>
      <w:r w:rsidR="00706298" w:rsidRPr="00CE50B7">
        <w:rPr>
          <w:rFonts w:ascii="Times New Roman" w:eastAsia="Cambria" w:hAnsi="Times New Roman" w:cs="Times New Roman"/>
          <w:sz w:val="20"/>
          <w:szCs w:val="20"/>
          <w:lang w:val="en-US"/>
        </w:rPr>
        <w:t>most of the</w:t>
      </w:r>
      <w:r w:rsidR="0070745A" w:rsidRPr="00CE50B7">
        <w:rPr>
          <w:rFonts w:ascii="Times New Roman" w:eastAsia="Cambria" w:hAnsi="Times New Roman" w:cs="Times New Roman"/>
          <w:sz w:val="20"/>
          <w:szCs w:val="20"/>
          <w:lang w:val="en-US"/>
        </w:rPr>
        <w:t xml:space="preserve"> illicit trafficking</w:t>
      </w:r>
      <w:r w:rsidR="00706298" w:rsidRPr="00CE50B7">
        <w:rPr>
          <w:rFonts w:ascii="Times New Roman" w:eastAsia="Cambria" w:hAnsi="Times New Roman" w:cs="Times New Roman"/>
          <w:sz w:val="20"/>
          <w:szCs w:val="20"/>
          <w:lang w:val="en-US"/>
        </w:rPr>
        <w:t xml:space="preserve"> cases is </w:t>
      </w:r>
      <w:r w:rsidR="005B0439" w:rsidRPr="00CE50B7">
        <w:rPr>
          <w:rFonts w:ascii="Times New Roman" w:eastAsia="Cambria" w:hAnsi="Times New Roman" w:cs="Times New Roman"/>
          <w:sz w:val="20"/>
          <w:szCs w:val="20"/>
          <w:lang w:val="en-US"/>
        </w:rPr>
        <w:t xml:space="preserve">still </w:t>
      </w:r>
      <w:r w:rsidR="00706298" w:rsidRPr="00CE50B7">
        <w:rPr>
          <w:rFonts w:ascii="Times New Roman" w:eastAsia="Cambria" w:hAnsi="Times New Roman" w:cs="Times New Roman"/>
          <w:sz w:val="20"/>
          <w:szCs w:val="20"/>
          <w:lang w:val="en-US"/>
        </w:rPr>
        <w:t xml:space="preserve">not </w:t>
      </w:r>
      <w:r w:rsidR="005B0439" w:rsidRPr="00CE50B7">
        <w:rPr>
          <w:rFonts w:ascii="Times New Roman" w:eastAsia="Cambria" w:hAnsi="Times New Roman" w:cs="Times New Roman"/>
          <w:sz w:val="20"/>
          <w:szCs w:val="20"/>
          <w:lang w:val="en-US"/>
        </w:rPr>
        <w:t>known</w:t>
      </w:r>
      <w:r w:rsidR="00C72083" w:rsidRPr="00CE50B7">
        <w:rPr>
          <w:rFonts w:ascii="Times New Roman" w:eastAsia="Cambria" w:hAnsi="Times New Roman" w:cs="Times New Roman"/>
          <w:sz w:val="20"/>
          <w:szCs w:val="20"/>
          <w:lang w:val="en-US"/>
        </w:rPr>
        <w:t xml:space="preserve">, </w:t>
      </w:r>
      <w:r w:rsidR="005B0439" w:rsidRPr="00CE50B7">
        <w:rPr>
          <w:rFonts w:ascii="Times New Roman" w:eastAsia="Cambria" w:hAnsi="Times New Roman" w:cs="Times New Roman"/>
          <w:sz w:val="20"/>
          <w:szCs w:val="20"/>
          <w:lang w:val="en-US"/>
        </w:rPr>
        <w:t>could be intentional for malicious purposes,</w:t>
      </w:r>
      <w:r w:rsidR="002C31B6" w:rsidRPr="00CE50B7">
        <w:rPr>
          <w:rFonts w:ascii="Times New Roman" w:eastAsia="Cambria" w:hAnsi="Times New Roman" w:cs="Times New Roman"/>
          <w:sz w:val="20"/>
          <w:szCs w:val="20"/>
          <w:lang w:val="en-US"/>
        </w:rPr>
        <w:t xml:space="preserve"> or unintentional </w:t>
      </w:r>
      <w:r w:rsidR="00C72083" w:rsidRPr="00CE50B7">
        <w:rPr>
          <w:rFonts w:ascii="Times New Roman" w:eastAsia="Cambria" w:hAnsi="Times New Roman" w:cs="Times New Roman"/>
          <w:sz w:val="20"/>
          <w:szCs w:val="20"/>
          <w:lang w:val="en-US"/>
        </w:rPr>
        <w:t>for economic</w:t>
      </w:r>
      <w:r w:rsidR="00706298" w:rsidRPr="00CE50B7">
        <w:rPr>
          <w:rFonts w:ascii="Times New Roman" w:eastAsia="Cambria" w:hAnsi="Times New Roman" w:cs="Times New Roman"/>
          <w:sz w:val="20"/>
          <w:szCs w:val="20"/>
          <w:lang w:val="en-US"/>
        </w:rPr>
        <w:t xml:space="preserve"> gain </w:t>
      </w:r>
      <w:r w:rsidR="00C72083" w:rsidRPr="00CE50B7">
        <w:rPr>
          <w:rFonts w:ascii="Times New Roman" w:eastAsia="Cambria" w:hAnsi="Times New Roman" w:cs="Times New Roman"/>
          <w:sz w:val="20"/>
          <w:szCs w:val="20"/>
          <w:lang w:val="en-US"/>
        </w:rPr>
        <w:t>or sometimes</w:t>
      </w:r>
      <w:r w:rsidR="00706298" w:rsidRPr="00CE50B7">
        <w:rPr>
          <w:rFonts w:ascii="Times New Roman" w:eastAsia="Cambria" w:hAnsi="Times New Roman" w:cs="Times New Roman"/>
          <w:sz w:val="20"/>
          <w:szCs w:val="20"/>
          <w:lang w:val="en-US"/>
        </w:rPr>
        <w:t xml:space="preserve"> lack of knowledge. This problem of illicit trafficking in the country</w:t>
      </w:r>
      <w:r w:rsidR="00392454" w:rsidRPr="00CE50B7">
        <w:rPr>
          <w:rFonts w:ascii="Times New Roman" w:eastAsia="Cambria" w:hAnsi="Times New Roman" w:cs="Times New Roman"/>
          <w:sz w:val="20"/>
          <w:szCs w:val="20"/>
          <w:lang w:val="en-US"/>
        </w:rPr>
        <w:t xml:space="preserve"> is contributed much by </w:t>
      </w:r>
      <w:r w:rsidR="008B0548" w:rsidRPr="00CE50B7">
        <w:rPr>
          <w:rFonts w:ascii="Times New Roman" w:eastAsia="Cambria" w:hAnsi="Times New Roman" w:cs="Times New Roman"/>
          <w:sz w:val="20"/>
          <w:szCs w:val="20"/>
          <w:lang w:val="en-US"/>
        </w:rPr>
        <w:t>another</w:t>
      </w:r>
      <w:r w:rsidR="00392454" w:rsidRPr="00392454">
        <w:rPr>
          <w:rFonts w:ascii="Times New Roman" w:eastAsia="Cambria" w:hAnsi="Times New Roman" w:cs="Times New Roman"/>
          <w:sz w:val="24"/>
          <w:szCs w:val="24"/>
          <w:lang w:val="en-US"/>
        </w:rPr>
        <w:t xml:space="preserve"> </w:t>
      </w:r>
      <w:r w:rsidR="00392454" w:rsidRPr="00CE50B7">
        <w:rPr>
          <w:rFonts w:ascii="Times New Roman" w:eastAsia="Cambria" w:hAnsi="Times New Roman" w:cs="Times New Roman"/>
          <w:sz w:val="20"/>
          <w:szCs w:val="20"/>
          <w:lang w:val="en-US"/>
        </w:rPr>
        <w:t xml:space="preserve">challenge </w:t>
      </w:r>
      <w:r w:rsidR="008B0548" w:rsidRPr="00CE50B7">
        <w:rPr>
          <w:rFonts w:ascii="Times New Roman" w:eastAsia="Cambria" w:hAnsi="Times New Roman" w:cs="Times New Roman"/>
          <w:sz w:val="20"/>
          <w:szCs w:val="20"/>
          <w:lang w:val="en-US"/>
        </w:rPr>
        <w:t>which is</w:t>
      </w:r>
      <w:r w:rsidR="00392454" w:rsidRPr="00CE50B7">
        <w:rPr>
          <w:rFonts w:ascii="Times New Roman" w:eastAsia="Cambria" w:hAnsi="Times New Roman" w:cs="Times New Roman"/>
          <w:sz w:val="20"/>
          <w:szCs w:val="20"/>
          <w:lang w:val="en-US"/>
        </w:rPr>
        <w:t xml:space="preserve"> the porous borders. </w:t>
      </w:r>
      <w:r w:rsidR="007F55D5" w:rsidRPr="00CE50B7">
        <w:rPr>
          <w:rFonts w:ascii="Times New Roman" w:eastAsia="Cambria" w:hAnsi="Times New Roman" w:cs="Times New Roman"/>
          <w:sz w:val="20"/>
          <w:szCs w:val="20"/>
          <w:lang w:val="en-US"/>
        </w:rPr>
        <w:t xml:space="preserve">The United Republic of Tanzania </w:t>
      </w:r>
      <w:r w:rsidR="00963FAA" w:rsidRPr="00CE50B7">
        <w:rPr>
          <w:rFonts w:ascii="Times New Roman" w:eastAsia="Cambria" w:hAnsi="Times New Roman" w:cs="Times New Roman"/>
          <w:sz w:val="20"/>
          <w:szCs w:val="20"/>
          <w:lang w:val="en-US"/>
        </w:rPr>
        <w:t xml:space="preserve">has extended porous border </w:t>
      </w:r>
      <w:r w:rsidR="007F55D5" w:rsidRPr="00CE50B7">
        <w:rPr>
          <w:rFonts w:ascii="Times New Roman" w:eastAsia="Cambria" w:hAnsi="Times New Roman" w:cs="Times New Roman"/>
          <w:sz w:val="20"/>
          <w:szCs w:val="20"/>
          <w:lang w:val="en-US"/>
        </w:rPr>
        <w:t>shar</w:t>
      </w:r>
      <w:r w:rsidR="00963FAA" w:rsidRPr="00CE50B7">
        <w:rPr>
          <w:rFonts w:ascii="Times New Roman" w:eastAsia="Cambria" w:hAnsi="Times New Roman" w:cs="Times New Roman"/>
          <w:sz w:val="20"/>
          <w:szCs w:val="20"/>
          <w:lang w:val="en-US"/>
        </w:rPr>
        <w:t>ing</w:t>
      </w:r>
      <w:r w:rsidR="007F55D5" w:rsidRPr="00CE50B7">
        <w:rPr>
          <w:rFonts w:ascii="Times New Roman" w:eastAsia="Cambria" w:hAnsi="Times New Roman" w:cs="Times New Roman"/>
          <w:sz w:val="20"/>
          <w:szCs w:val="20"/>
          <w:lang w:val="en-US"/>
        </w:rPr>
        <w:t xml:space="preserve"> with eight (8) countries which are Kenya, Uganda, Rwanda, Burundi, Democratic Republic of Congo, Malawi, Zambia, and Mozambique. Between each country, there are few official borders and the rest are unofficial borders that have no control</w:t>
      </w:r>
      <w:r w:rsidR="00706298" w:rsidRPr="00CE50B7">
        <w:rPr>
          <w:rFonts w:ascii="Times New Roman" w:eastAsia="Cambria" w:hAnsi="Times New Roman" w:cs="Times New Roman"/>
          <w:sz w:val="20"/>
          <w:szCs w:val="20"/>
          <w:lang w:val="en-US"/>
        </w:rPr>
        <w:t xml:space="preserve">. </w:t>
      </w:r>
      <w:r w:rsidR="00963FAA" w:rsidRPr="00CE50B7">
        <w:rPr>
          <w:rFonts w:ascii="Times New Roman" w:eastAsia="Cambria" w:hAnsi="Times New Roman" w:cs="Times New Roman"/>
          <w:sz w:val="20"/>
          <w:szCs w:val="20"/>
          <w:lang w:val="en-US"/>
        </w:rPr>
        <w:t>Like many African countries t</w:t>
      </w:r>
      <w:r w:rsidR="00706298" w:rsidRPr="00CE50B7">
        <w:rPr>
          <w:rFonts w:ascii="Times New Roman" w:eastAsia="Cambria" w:hAnsi="Times New Roman" w:cs="Times New Roman"/>
          <w:sz w:val="20"/>
          <w:szCs w:val="20"/>
          <w:lang w:val="en-US"/>
        </w:rPr>
        <w:t>his</w:t>
      </w:r>
      <w:r w:rsidR="00392454" w:rsidRPr="00CE50B7">
        <w:rPr>
          <w:rFonts w:ascii="Times New Roman" w:eastAsia="Cambria" w:hAnsi="Times New Roman" w:cs="Times New Roman"/>
          <w:sz w:val="20"/>
          <w:szCs w:val="20"/>
          <w:lang w:val="en-US"/>
        </w:rPr>
        <w:t xml:space="preserve"> </w:t>
      </w:r>
      <w:r w:rsidR="00963FAA" w:rsidRPr="00CE50B7">
        <w:rPr>
          <w:rFonts w:ascii="Times New Roman" w:eastAsia="Cambria" w:hAnsi="Times New Roman" w:cs="Times New Roman"/>
          <w:sz w:val="20"/>
          <w:szCs w:val="20"/>
          <w:lang w:val="en-US"/>
        </w:rPr>
        <w:t xml:space="preserve">porous border </w:t>
      </w:r>
      <w:r w:rsidR="00392454" w:rsidRPr="00CE50B7">
        <w:rPr>
          <w:rFonts w:ascii="Times New Roman" w:eastAsia="Cambria" w:hAnsi="Times New Roman" w:cs="Times New Roman"/>
          <w:sz w:val="20"/>
          <w:szCs w:val="20"/>
          <w:lang w:val="en-US"/>
        </w:rPr>
        <w:t xml:space="preserve">makes it difficult to control the movement of radiation sources even in the presence of the regulatory infrastructure. </w:t>
      </w:r>
      <w:r w:rsidR="008B0548" w:rsidRPr="00CE50B7">
        <w:rPr>
          <w:rFonts w:ascii="Times New Roman" w:eastAsia="Cambria" w:hAnsi="Times New Roman" w:cs="Times New Roman"/>
          <w:sz w:val="20"/>
          <w:szCs w:val="20"/>
          <w:lang w:val="en-US"/>
        </w:rPr>
        <w:t>Another</w:t>
      </w:r>
      <w:r w:rsidR="00590616" w:rsidRPr="00CE50B7">
        <w:rPr>
          <w:rFonts w:ascii="Times New Roman" w:eastAsia="Cambria" w:hAnsi="Times New Roman" w:cs="Times New Roman"/>
          <w:sz w:val="20"/>
          <w:szCs w:val="20"/>
          <w:lang w:val="en-US"/>
        </w:rPr>
        <w:t xml:space="preserve"> challenge is the lack of detection equipment at the borders</w:t>
      </w:r>
      <w:r w:rsidR="008B207D" w:rsidRPr="00CE50B7">
        <w:rPr>
          <w:rFonts w:ascii="Times New Roman" w:eastAsia="Cambria" w:hAnsi="Times New Roman" w:cs="Times New Roman"/>
          <w:sz w:val="20"/>
          <w:szCs w:val="20"/>
          <w:lang w:val="en-US"/>
        </w:rPr>
        <w:t xml:space="preserve"> and ports</w:t>
      </w:r>
      <w:r w:rsidR="00590616" w:rsidRPr="00CE50B7">
        <w:rPr>
          <w:rFonts w:ascii="Times New Roman" w:eastAsia="Cambria" w:hAnsi="Times New Roman" w:cs="Times New Roman"/>
          <w:sz w:val="20"/>
          <w:szCs w:val="20"/>
          <w:lang w:val="en-US"/>
        </w:rPr>
        <w:t>. Although the country has numerous borders</w:t>
      </w:r>
      <w:r w:rsidR="008B207D" w:rsidRPr="00CE50B7">
        <w:rPr>
          <w:rFonts w:ascii="Times New Roman" w:eastAsia="Cambria" w:hAnsi="Times New Roman" w:cs="Times New Roman"/>
          <w:sz w:val="20"/>
          <w:szCs w:val="20"/>
          <w:lang w:val="en-US"/>
        </w:rPr>
        <w:t xml:space="preserve"> </w:t>
      </w:r>
      <w:r w:rsidR="008B207D" w:rsidRPr="00CE50B7">
        <w:rPr>
          <w:rFonts w:ascii="Times New Roman" w:eastAsia="Cambria" w:hAnsi="Times New Roman" w:cs="Times New Roman"/>
          <w:sz w:val="20"/>
          <w:szCs w:val="20"/>
          <w:lang w:val="en-US"/>
        </w:rPr>
        <w:lastRenderedPageBreak/>
        <w:t>and ports</w:t>
      </w:r>
      <w:r w:rsidR="00590616" w:rsidRPr="00CE50B7">
        <w:rPr>
          <w:rFonts w:ascii="Times New Roman" w:eastAsia="Cambria" w:hAnsi="Times New Roman" w:cs="Times New Roman"/>
          <w:sz w:val="20"/>
          <w:szCs w:val="20"/>
          <w:lang w:val="en-US"/>
        </w:rPr>
        <w:t xml:space="preserve">, not all of them has the portal monitors for the detection of radioactive materials. </w:t>
      </w:r>
      <w:r w:rsidR="008B207D" w:rsidRPr="00CE50B7">
        <w:rPr>
          <w:rFonts w:ascii="Times New Roman" w:eastAsia="Cambria" w:hAnsi="Times New Roman" w:cs="Times New Roman"/>
          <w:sz w:val="20"/>
          <w:szCs w:val="20"/>
          <w:lang w:val="en-US"/>
        </w:rPr>
        <w:t xml:space="preserve"> The absence of portal monitors can cause the entrance of undetected radioactive materials in the country which are out of regulatory control. </w:t>
      </w:r>
      <w:r w:rsidR="008B0548" w:rsidRPr="00CE50B7">
        <w:rPr>
          <w:rFonts w:ascii="Times New Roman" w:eastAsia="Cambria" w:hAnsi="Times New Roman" w:cs="Times New Roman"/>
          <w:sz w:val="20"/>
          <w:szCs w:val="20"/>
          <w:lang w:val="en-US"/>
        </w:rPr>
        <w:t xml:space="preserve">Also, the </w:t>
      </w:r>
      <w:r w:rsidR="00FC3D9C" w:rsidRPr="00CE50B7">
        <w:rPr>
          <w:rFonts w:ascii="Times New Roman" w:eastAsia="Cambria" w:hAnsi="Times New Roman" w:cs="Times New Roman"/>
          <w:sz w:val="20"/>
          <w:szCs w:val="20"/>
          <w:lang w:val="en-US"/>
        </w:rPr>
        <w:t xml:space="preserve">discovery </w:t>
      </w:r>
      <w:r w:rsidR="008B0548" w:rsidRPr="00CE50B7">
        <w:rPr>
          <w:rFonts w:ascii="Times New Roman" w:eastAsia="Cambria" w:hAnsi="Times New Roman" w:cs="Times New Roman"/>
          <w:sz w:val="20"/>
          <w:szCs w:val="20"/>
          <w:lang w:val="en-US"/>
        </w:rPr>
        <w:t xml:space="preserve">of unregistered sources </w:t>
      </w:r>
      <w:r w:rsidR="00FC3D9C" w:rsidRPr="00CE50B7">
        <w:rPr>
          <w:rFonts w:ascii="Times New Roman" w:eastAsia="Cambria" w:hAnsi="Times New Roman" w:cs="Times New Roman"/>
          <w:sz w:val="20"/>
          <w:szCs w:val="20"/>
          <w:lang w:val="en-US"/>
        </w:rPr>
        <w:t xml:space="preserve">such as orphan </w:t>
      </w:r>
      <w:r w:rsidR="008B0548" w:rsidRPr="00CE50B7">
        <w:rPr>
          <w:rFonts w:ascii="Times New Roman" w:eastAsia="Cambria" w:hAnsi="Times New Roman" w:cs="Times New Roman"/>
          <w:sz w:val="20"/>
          <w:szCs w:val="20"/>
          <w:lang w:val="en-US"/>
        </w:rPr>
        <w:t>sources that are out of regulatory is another</w:t>
      </w:r>
      <w:r w:rsidR="00392454" w:rsidRPr="00CE50B7">
        <w:rPr>
          <w:rFonts w:ascii="Times New Roman" w:eastAsia="Cambria" w:hAnsi="Times New Roman" w:cs="Times New Roman"/>
          <w:sz w:val="20"/>
          <w:szCs w:val="20"/>
          <w:lang w:val="en-US"/>
        </w:rPr>
        <w:t xml:space="preserve"> challenge</w:t>
      </w:r>
      <w:r w:rsidR="000709E5" w:rsidRPr="00CE50B7">
        <w:rPr>
          <w:rFonts w:ascii="Times New Roman" w:eastAsia="Cambria" w:hAnsi="Times New Roman" w:cs="Times New Roman"/>
          <w:sz w:val="20"/>
          <w:szCs w:val="20"/>
          <w:lang w:val="en-US"/>
        </w:rPr>
        <w:t xml:space="preserve"> because</w:t>
      </w:r>
      <w:r w:rsidR="00392454" w:rsidRPr="00CE50B7">
        <w:rPr>
          <w:rFonts w:ascii="Times New Roman" w:eastAsia="Cambria" w:hAnsi="Times New Roman" w:cs="Times New Roman"/>
          <w:sz w:val="20"/>
          <w:szCs w:val="20"/>
          <w:lang w:val="en-US"/>
        </w:rPr>
        <w:t xml:space="preserve"> the</w:t>
      </w:r>
      <w:r w:rsidR="000709E5" w:rsidRPr="00CE50B7">
        <w:rPr>
          <w:rFonts w:ascii="Times New Roman" w:eastAsia="Cambria" w:hAnsi="Times New Roman" w:cs="Times New Roman"/>
          <w:sz w:val="20"/>
          <w:szCs w:val="20"/>
          <w:lang w:val="en-US"/>
        </w:rPr>
        <w:t>y</w:t>
      </w:r>
      <w:r w:rsidR="00392454" w:rsidRPr="00CE50B7">
        <w:rPr>
          <w:rFonts w:ascii="Times New Roman" w:eastAsia="Cambria" w:hAnsi="Times New Roman" w:cs="Times New Roman"/>
          <w:sz w:val="20"/>
          <w:szCs w:val="20"/>
          <w:lang w:val="en-US"/>
        </w:rPr>
        <w:t xml:space="preserve"> are present in the country while their </w:t>
      </w:r>
      <w:r w:rsidR="00C02578" w:rsidRPr="00CE50B7">
        <w:rPr>
          <w:rFonts w:ascii="Times New Roman" w:eastAsia="Cambria" w:hAnsi="Times New Roman" w:cs="Times New Roman"/>
          <w:sz w:val="20"/>
          <w:szCs w:val="20"/>
          <w:lang w:val="en-US"/>
        </w:rPr>
        <w:t xml:space="preserve">presence </w:t>
      </w:r>
      <w:r w:rsidR="00963FAA" w:rsidRPr="00CE50B7">
        <w:rPr>
          <w:rFonts w:ascii="Times New Roman" w:eastAsia="Cambria" w:hAnsi="Times New Roman" w:cs="Times New Roman"/>
          <w:sz w:val="20"/>
          <w:szCs w:val="20"/>
          <w:lang w:val="en-US"/>
        </w:rPr>
        <w:t xml:space="preserve">are not </w:t>
      </w:r>
      <w:r w:rsidR="00392454" w:rsidRPr="00CE50B7">
        <w:rPr>
          <w:rFonts w:ascii="Times New Roman" w:eastAsia="Cambria" w:hAnsi="Times New Roman" w:cs="Times New Roman"/>
          <w:sz w:val="20"/>
          <w:szCs w:val="20"/>
          <w:lang w:val="en-US"/>
        </w:rPr>
        <w:t xml:space="preserve">recognized by the regulatory authorities. </w:t>
      </w:r>
      <w:r w:rsidR="000709E5" w:rsidRPr="00CE50B7">
        <w:rPr>
          <w:rFonts w:ascii="Times New Roman" w:eastAsia="Cambria" w:hAnsi="Times New Roman" w:cs="Times New Roman"/>
          <w:sz w:val="20"/>
          <w:szCs w:val="20"/>
          <w:lang w:val="en-US"/>
        </w:rPr>
        <w:t>The other challenge is the</w:t>
      </w:r>
      <w:r w:rsidR="007C403A" w:rsidRPr="00CE50B7">
        <w:rPr>
          <w:rFonts w:ascii="Times New Roman" w:eastAsia="Cambria" w:hAnsi="Times New Roman" w:cs="Times New Roman"/>
          <w:sz w:val="20"/>
          <w:szCs w:val="20"/>
          <w:lang w:val="en-US"/>
        </w:rPr>
        <w:t xml:space="preserve"> lack of </w:t>
      </w:r>
      <w:r w:rsidR="00407C6B" w:rsidRPr="00CE50B7">
        <w:rPr>
          <w:rFonts w:ascii="Times New Roman" w:eastAsia="Cambria" w:hAnsi="Times New Roman" w:cs="Times New Roman"/>
          <w:sz w:val="20"/>
          <w:szCs w:val="20"/>
          <w:lang w:val="en-US"/>
        </w:rPr>
        <w:t xml:space="preserve">information </w:t>
      </w:r>
      <w:r w:rsidR="00681F81" w:rsidRPr="00CE50B7">
        <w:rPr>
          <w:rFonts w:ascii="Times New Roman" w:eastAsia="Cambria" w:hAnsi="Times New Roman" w:cs="Times New Roman"/>
          <w:sz w:val="20"/>
          <w:szCs w:val="20"/>
          <w:lang w:val="en-US"/>
        </w:rPr>
        <w:t>on country</w:t>
      </w:r>
      <w:r w:rsidR="007C403A" w:rsidRPr="00CE50B7">
        <w:rPr>
          <w:rFonts w:ascii="Times New Roman" w:eastAsia="Cambria" w:hAnsi="Times New Roman" w:cs="Times New Roman"/>
          <w:sz w:val="20"/>
          <w:szCs w:val="20"/>
          <w:lang w:val="en-US"/>
        </w:rPr>
        <w:t xml:space="preserve"> of origin for </w:t>
      </w:r>
      <w:r w:rsidR="00B0585D" w:rsidRPr="00CE50B7">
        <w:rPr>
          <w:rFonts w:ascii="Times New Roman" w:eastAsia="Cambria" w:hAnsi="Times New Roman" w:cs="Times New Roman"/>
          <w:sz w:val="20"/>
          <w:szCs w:val="20"/>
          <w:lang w:val="en-US"/>
        </w:rPr>
        <w:t>the sources intercepted during illicit trafficking</w:t>
      </w:r>
      <w:r w:rsidR="000709E5" w:rsidRPr="00CE50B7">
        <w:rPr>
          <w:rFonts w:ascii="Times New Roman" w:eastAsia="Cambria" w:hAnsi="Times New Roman" w:cs="Times New Roman"/>
          <w:sz w:val="20"/>
          <w:szCs w:val="20"/>
          <w:lang w:val="en-US"/>
        </w:rPr>
        <w:t xml:space="preserve">. This </w:t>
      </w:r>
      <w:r w:rsidR="00B0585D" w:rsidRPr="00CE50B7">
        <w:rPr>
          <w:rFonts w:ascii="Times New Roman" w:eastAsia="Cambria" w:hAnsi="Times New Roman" w:cs="Times New Roman"/>
          <w:sz w:val="20"/>
          <w:szCs w:val="20"/>
          <w:lang w:val="en-US"/>
        </w:rPr>
        <w:t xml:space="preserve">is another radiation safety/security concern. </w:t>
      </w:r>
      <w:r w:rsidR="000709E5" w:rsidRPr="00CE50B7">
        <w:rPr>
          <w:rFonts w:ascii="Times New Roman" w:eastAsia="Cambria" w:hAnsi="Times New Roman" w:cs="Times New Roman"/>
          <w:sz w:val="20"/>
          <w:szCs w:val="20"/>
          <w:lang w:val="en-US"/>
        </w:rPr>
        <w:t xml:space="preserve">Moreover, </w:t>
      </w:r>
      <w:r w:rsidR="00392454" w:rsidRPr="00CE50B7">
        <w:rPr>
          <w:rFonts w:ascii="Times New Roman" w:eastAsia="Cambria" w:hAnsi="Times New Roman" w:cs="Times New Roman"/>
          <w:sz w:val="20"/>
          <w:szCs w:val="20"/>
          <w:lang w:val="en-US"/>
        </w:rPr>
        <w:t>the lack of disposal option</w:t>
      </w:r>
      <w:r w:rsidR="000709E5" w:rsidRPr="00CE50B7">
        <w:rPr>
          <w:rFonts w:ascii="Times New Roman" w:eastAsia="Cambria" w:hAnsi="Times New Roman" w:cs="Times New Roman"/>
          <w:sz w:val="20"/>
          <w:szCs w:val="20"/>
          <w:lang w:val="en-US"/>
        </w:rPr>
        <w:t xml:space="preserve"> for the radioactive materials in the county is another challenge</w:t>
      </w:r>
      <w:r w:rsidR="00392454" w:rsidRPr="00CE50B7">
        <w:rPr>
          <w:rFonts w:ascii="Times New Roman" w:eastAsia="Cambria" w:hAnsi="Times New Roman" w:cs="Times New Roman"/>
          <w:sz w:val="20"/>
          <w:szCs w:val="20"/>
          <w:lang w:val="en-US"/>
        </w:rPr>
        <w:t xml:space="preserve">. </w:t>
      </w:r>
      <w:r w:rsidR="002E40DF" w:rsidRPr="00CE50B7">
        <w:rPr>
          <w:rFonts w:ascii="Times New Roman" w:eastAsia="Cambria" w:hAnsi="Times New Roman" w:cs="Times New Roman"/>
          <w:sz w:val="20"/>
          <w:szCs w:val="20"/>
          <w:lang w:val="en-US"/>
        </w:rPr>
        <w:t xml:space="preserve">Currently the United Republic of Tanzania has not </w:t>
      </w:r>
      <w:r w:rsidR="00407C6B" w:rsidRPr="00CE50B7">
        <w:rPr>
          <w:rFonts w:ascii="Times New Roman" w:eastAsia="Cambria" w:hAnsi="Times New Roman" w:cs="Times New Roman"/>
          <w:sz w:val="20"/>
          <w:szCs w:val="20"/>
          <w:lang w:val="en-US"/>
        </w:rPr>
        <w:t xml:space="preserve">yet </w:t>
      </w:r>
      <w:r w:rsidR="002E40DF" w:rsidRPr="00CE50B7">
        <w:rPr>
          <w:rFonts w:ascii="Times New Roman" w:eastAsia="Cambria" w:hAnsi="Times New Roman" w:cs="Times New Roman"/>
          <w:sz w:val="20"/>
          <w:szCs w:val="20"/>
          <w:lang w:val="en-US"/>
        </w:rPr>
        <w:t xml:space="preserve">decided the disposal option for the conditioned sources which brings the challenges in nuclear and radiological security. </w:t>
      </w:r>
      <w:r w:rsidR="00392454" w:rsidRPr="00CE50B7">
        <w:rPr>
          <w:rFonts w:ascii="Times New Roman" w:eastAsia="Cambria" w:hAnsi="Times New Roman" w:cs="Times New Roman"/>
          <w:sz w:val="20"/>
          <w:szCs w:val="20"/>
          <w:lang w:val="en-US"/>
        </w:rPr>
        <w:t xml:space="preserve">The accumulation of </w:t>
      </w:r>
      <w:r w:rsidR="002E40DF" w:rsidRPr="00CE50B7">
        <w:rPr>
          <w:rFonts w:ascii="Times New Roman" w:eastAsia="Cambria" w:hAnsi="Times New Roman" w:cs="Times New Roman"/>
          <w:sz w:val="20"/>
          <w:szCs w:val="20"/>
          <w:lang w:val="en-US"/>
        </w:rPr>
        <w:t xml:space="preserve">radiation </w:t>
      </w:r>
      <w:r w:rsidR="00F3305F" w:rsidRPr="00CE50B7">
        <w:rPr>
          <w:rFonts w:ascii="Times New Roman" w:eastAsia="Cambria" w:hAnsi="Times New Roman" w:cs="Times New Roman"/>
          <w:sz w:val="20"/>
          <w:szCs w:val="20"/>
          <w:lang w:val="en-US"/>
        </w:rPr>
        <w:t xml:space="preserve">sources in the </w:t>
      </w:r>
      <w:r w:rsidR="00407C6B" w:rsidRPr="00CE50B7">
        <w:rPr>
          <w:rFonts w:ascii="Times New Roman" w:eastAsia="Cambria" w:hAnsi="Times New Roman" w:cs="Times New Roman"/>
          <w:sz w:val="20"/>
          <w:szCs w:val="20"/>
          <w:lang w:val="en-US"/>
        </w:rPr>
        <w:t>Central Radioactive Waste Management Facility (</w:t>
      </w:r>
      <w:r w:rsidR="00F3305F" w:rsidRPr="00CE50B7">
        <w:rPr>
          <w:rFonts w:ascii="Times New Roman" w:eastAsia="Cambria" w:hAnsi="Times New Roman" w:cs="Times New Roman"/>
          <w:sz w:val="20"/>
          <w:szCs w:val="20"/>
          <w:lang w:val="en-US"/>
        </w:rPr>
        <w:t>storage</w:t>
      </w:r>
      <w:r w:rsidR="00407C6B" w:rsidRPr="00CE50B7">
        <w:rPr>
          <w:rFonts w:ascii="Times New Roman" w:eastAsia="Cambria" w:hAnsi="Times New Roman" w:cs="Times New Roman"/>
          <w:sz w:val="20"/>
          <w:szCs w:val="20"/>
          <w:lang w:val="en-US"/>
        </w:rPr>
        <w:t>)</w:t>
      </w:r>
      <w:r w:rsidR="00F3305F" w:rsidRPr="00CE50B7">
        <w:rPr>
          <w:rFonts w:ascii="Times New Roman" w:eastAsia="Cambria" w:hAnsi="Times New Roman" w:cs="Times New Roman"/>
          <w:sz w:val="20"/>
          <w:szCs w:val="20"/>
          <w:lang w:val="en-US"/>
        </w:rPr>
        <w:t xml:space="preserve"> </w:t>
      </w:r>
      <w:r w:rsidR="00392454" w:rsidRPr="00CE50B7">
        <w:rPr>
          <w:rFonts w:ascii="Times New Roman" w:eastAsia="Cambria" w:hAnsi="Times New Roman" w:cs="Times New Roman"/>
          <w:sz w:val="20"/>
          <w:szCs w:val="20"/>
          <w:lang w:val="en-US"/>
        </w:rPr>
        <w:t>even with good storage infrastructure</w:t>
      </w:r>
      <w:r w:rsidR="002E40DF" w:rsidRPr="00CE50B7">
        <w:rPr>
          <w:rFonts w:ascii="Times New Roman" w:eastAsia="Cambria" w:hAnsi="Times New Roman" w:cs="Times New Roman"/>
          <w:sz w:val="20"/>
          <w:szCs w:val="20"/>
          <w:lang w:val="en-US"/>
        </w:rPr>
        <w:t xml:space="preserve"> </w:t>
      </w:r>
      <w:r w:rsidR="00392454" w:rsidRPr="00CE50B7">
        <w:rPr>
          <w:rFonts w:ascii="Times New Roman" w:eastAsia="Cambria" w:hAnsi="Times New Roman" w:cs="Times New Roman"/>
          <w:sz w:val="20"/>
          <w:szCs w:val="20"/>
          <w:lang w:val="en-US"/>
        </w:rPr>
        <w:t xml:space="preserve">is also a problem because </w:t>
      </w:r>
      <w:r w:rsidR="00F3305F" w:rsidRPr="00CE50B7">
        <w:rPr>
          <w:rFonts w:ascii="Times New Roman" w:eastAsia="Cambria" w:hAnsi="Times New Roman" w:cs="Times New Roman"/>
          <w:sz w:val="20"/>
          <w:szCs w:val="20"/>
          <w:lang w:val="en-US"/>
        </w:rPr>
        <w:t xml:space="preserve">it reduce the storage space </w:t>
      </w:r>
      <w:r w:rsidR="00407C6B" w:rsidRPr="00CE50B7">
        <w:rPr>
          <w:rFonts w:ascii="Times New Roman" w:eastAsia="Cambria" w:hAnsi="Times New Roman" w:cs="Times New Roman"/>
          <w:sz w:val="20"/>
          <w:szCs w:val="20"/>
          <w:lang w:val="en-US"/>
        </w:rPr>
        <w:t xml:space="preserve">and cost for </w:t>
      </w:r>
      <w:r w:rsidR="00A14C76" w:rsidRPr="00CE50B7">
        <w:rPr>
          <w:rFonts w:ascii="Times New Roman" w:eastAsia="Cambria" w:hAnsi="Times New Roman" w:cs="Times New Roman"/>
          <w:sz w:val="20"/>
          <w:szCs w:val="20"/>
          <w:lang w:val="en-US"/>
        </w:rPr>
        <w:t xml:space="preserve">the </w:t>
      </w:r>
      <w:r w:rsidR="00407C6B" w:rsidRPr="00CE50B7">
        <w:rPr>
          <w:rFonts w:ascii="Times New Roman" w:eastAsia="Cambria" w:hAnsi="Times New Roman" w:cs="Times New Roman"/>
          <w:sz w:val="20"/>
          <w:szCs w:val="20"/>
          <w:lang w:val="en-US"/>
        </w:rPr>
        <w:t>monitoring</w:t>
      </w:r>
      <w:r w:rsidR="00A14C76" w:rsidRPr="00CE50B7">
        <w:rPr>
          <w:rFonts w:ascii="Times New Roman" w:eastAsia="Cambria" w:hAnsi="Times New Roman" w:cs="Times New Roman"/>
          <w:sz w:val="20"/>
          <w:szCs w:val="20"/>
          <w:lang w:val="en-US"/>
        </w:rPr>
        <w:t xml:space="preserve"> systems. T</w:t>
      </w:r>
      <w:r w:rsidR="00F3305F" w:rsidRPr="00CE50B7">
        <w:rPr>
          <w:rFonts w:ascii="Times New Roman" w:eastAsia="Cambria" w:hAnsi="Times New Roman" w:cs="Times New Roman"/>
          <w:sz w:val="20"/>
          <w:szCs w:val="20"/>
          <w:lang w:val="en-US"/>
        </w:rPr>
        <w:t>he</w:t>
      </w:r>
      <w:r w:rsidR="00495F11" w:rsidRPr="00CE50B7">
        <w:rPr>
          <w:rFonts w:ascii="Times New Roman" w:eastAsia="Cambria" w:hAnsi="Times New Roman" w:cs="Times New Roman"/>
          <w:sz w:val="20"/>
          <w:szCs w:val="20"/>
          <w:lang w:val="en-US"/>
        </w:rPr>
        <w:t xml:space="preserve"> facility after some time</w:t>
      </w:r>
      <w:r w:rsidR="00392454" w:rsidRPr="00CE50B7">
        <w:rPr>
          <w:rFonts w:ascii="Times New Roman" w:eastAsia="Cambria" w:hAnsi="Times New Roman" w:cs="Times New Roman"/>
          <w:sz w:val="20"/>
          <w:szCs w:val="20"/>
          <w:lang w:val="en-US"/>
        </w:rPr>
        <w:t xml:space="preserve"> it will</w:t>
      </w:r>
      <w:r w:rsidR="00495F11" w:rsidRPr="00CE50B7">
        <w:rPr>
          <w:rFonts w:ascii="Times New Roman" w:eastAsia="Cambria" w:hAnsi="Times New Roman" w:cs="Times New Roman"/>
          <w:sz w:val="20"/>
          <w:szCs w:val="20"/>
          <w:lang w:val="en-US"/>
        </w:rPr>
        <w:t xml:space="preserve"> be full i.e. it will reach a time when it </w:t>
      </w:r>
      <w:r w:rsidR="00392454" w:rsidRPr="00CE50B7">
        <w:rPr>
          <w:rFonts w:ascii="Times New Roman" w:eastAsia="Cambria" w:hAnsi="Times New Roman" w:cs="Times New Roman"/>
          <w:sz w:val="20"/>
          <w:szCs w:val="20"/>
          <w:lang w:val="en-US"/>
        </w:rPr>
        <w:t>will no longer</w:t>
      </w:r>
      <w:r w:rsidR="00495F11" w:rsidRPr="00CE50B7">
        <w:rPr>
          <w:rFonts w:ascii="Times New Roman" w:eastAsia="Cambria" w:hAnsi="Times New Roman" w:cs="Times New Roman"/>
          <w:sz w:val="20"/>
          <w:szCs w:val="20"/>
          <w:lang w:val="en-US"/>
        </w:rPr>
        <w:t xml:space="preserve"> be able to accommodate that huge</w:t>
      </w:r>
      <w:r w:rsidR="00392454" w:rsidRPr="00CE50B7">
        <w:rPr>
          <w:rFonts w:ascii="Times New Roman" w:eastAsia="Cambria" w:hAnsi="Times New Roman" w:cs="Times New Roman"/>
          <w:sz w:val="20"/>
          <w:szCs w:val="20"/>
          <w:lang w:val="en-US"/>
        </w:rPr>
        <w:t xml:space="preserve"> amount of sources. Also, the </w:t>
      </w:r>
      <w:r w:rsidR="00C02578" w:rsidRPr="00CE50B7">
        <w:rPr>
          <w:rFonts w:ascii="Times New Roman" w:eastAsia="Cambria" w:hAnsi="Times New Roman" w:cs="Times New Roman"/>
          <w:sz w:val="20"/>
          <w:szCs w:val="20"/>
          <w:lang w:val="en-US"/>
        </w:rPr>
        <w:t>accumulation of a big number of sources in a single facility increases</w:t>
      </w:r>
      <w:r w:rsidR="00392454" w:rsidRPr="00CE50B7">
        <w:rPr>
          <w:rFonts w:ascii="Times New Roman" w:eastAsia="Cambria" w:hAnsi="Times New Roman" w:cs="Times New Roman"/>
          <w:sz w:val="20"/>
          <w:szCs w:val="20"/>
          <w:lang w:val="en-US"/>
        </w:rPr>
        <w:t xml:space="preserve"> the </w:t>
      </w:r>
      <w:r w:rsidR="00A14C76" w:rsidRPr="00CE50B7">
        <w:rPr>
          <w:rFonts w:ascii="Times New Roman" w:eastAsia="Cambria" w:hAnsi="Times New Roman" w:cs="Times New Roman"/>
          <w:sz w:val="20"/>
          <w:szCs w:val="20"/>
          <w:lang w:val="en-US"/>
        </w:rPr>
        <w:t xml:space="preserve">security risk and </w:t>
      </w:r>
      <w:r w:rsidR="00392454" w:rsidRPr="00CE50B7">
        <w:rPr>
          <w:rFonts w:ascii="Times New Roman" w:eastAsia="Cambria" w:hAnsi="Times New Roman" w:cs="Times New Roman"/>
          <w:sz w:val="20"/>
          <w:szCs w:val="20"/>
          <w:lang w:val="en-US"/>
        </w:rPr>
        <w:t xml:space="preserve">dose rate in that </w:t>
      </w:r>
      <w:r w:rsidR="00F3305F" w:rsidRPr="00CE50B7">
        <w:rPr>
          <w:rFonts w:ascii="Times New Roman" w:eastAsia="Cambria" w:hAnsi="Times New Roman" w:cs="Times New Roman"/>
          <w:sz w:val="20"/>
          <w:szCs w:val="20"/>
          <w:lang w:val="en-US"/>
        </w:rPr>
        <w:t>facility</w:t>
      </w:r>
      <w:r w:rsidR="00392454" w:rsidRPr="00CE50B7">
        <w:rPr>
          <w:rFonts w:ascii="Times New Roman" w:eastAsia="Cambria" w:hAnsi="Times New Roman" w:cs="Times New Roman"/>
          <w:sz w:val="20"/>
          <w:szCs w:val="20"/>
          <w:lang w:val="en-US"/>
        </w:rPr>
        <w:t xml:space="preserve">. </w:t>
      </w:r>
    </w:p>
    <w:p w:rsidR="009A0C0C" w:rsidRDefault="009A0C0C" w:rsidP="00A14C76">
      <w:pPr>
        <w:widowControl w:val="0"/>
        <w:autoSpaceDE w:val="0"/>
        <w:autoSpaceDN w:val="0"/>
        <w:spacing w:before="116" w:after="0" w:line="240" w:lineRule="auto"/>
        <w:ind w:right="-64"/>
        <w:jc w:val="both"/>
        <w:rPr>
          <w:rFonts w:ascii="Times New Roman" w:eastAsia="Cambria" w:hAnsi="Times New Roman" w:cs="Times New Roman"/>
          <w:sz w:val="24"/>
          <w:szCs w:val="24"/>
          <w:lang w:val="en-US"/>
        </w:rPr>
      </w:pPr>
    </w:p>
    <w:p w:rsidR="009A0C0C" w:rsidRDefault="009A0C0C" w:rsidP="00A14C76">
      <w:pPr>
        <w:widowControl w:val="0"/>
        <w:autoSpaceDE w:val="0"/>
        <w:autoSpaceDN w:val="0"/>
        <w:spacing w:before="116" w:after="0" w:line="240" w:lineRule="auto"/>
        <w:ind w:right="-64"/>
        <w:jc w:val="both"/>
        <w:rPr>
          <w:rFonts w:ascii="Times New Roman" w:hAnsi="Times New Roman" w:cs="Times New Roman"/>
          <w:sz w:val="24"/>
          <w:szCs w:val="24"/>
          <w:lang w:val="en-US"/>
        </w:rPr>
      </w:pPr>
    </w:p>
    <w:p w:rsidR="00544E87" w:rsidRPr="00544E87" w:rsidRDefault="00B254AC" w:rsidP="00B254AC">
      <w:pPr>
        <w:spacing w:line="240" w:lineRule="auto"/>
        <w:jc w:val="center"/>
        <w:rPr>
          <w:rFonts w:ascii="Times New Roman" w:hAnsi="Times New Roman" w:cs="Times New Roman"/>
          <w:b/>
          <w:color w:val="FF0000"/>
          <w:sz w:val="24"/>
          <w:szCs w:val="24"/>
          <w:lang w:val="en-US"/>
        </w:rPr>
      </w:pPr>
      <w:r>
        <w:rPr>
          <w:noProof/>
        </w:rPr>
        <w:drawing>
          <wp:inline distT="0" distB="0" distL="0" distR="0" wp14:anchorId="719E0D2E" wp14:editId="576C8B1B">
            <wp:extent cx="3867150" cy="2426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71206" cy="2428654"/>
                    </a:xfrm>
                    <a:prstGeom prst="rect">
                      <a:avLst/>
                    </a:prstGeom>
                  </pic:spPr>
                </pic:pic>
              </a:graphicData>
            </a:graphic>
          </wp:inline>
        </w:drawing>
      </w:r>
    </w:p>
    <w:p w:rsidR="00544E87" w:rsidRPr="008B73E6" w:rsidRDefault="00544E87" w:rsidP="00D24F0F">
      <w:pPr>
        <w:spacing w:line="240" w:lineRule="auto"/>
        <w:jc w:val="center"/>
        <w:rPr>
          <w:rFonts w:ascii="Times New Roman" w:hAnsi="Times New Roman" w:cs="Times New Roman"/>
          <w:i/>
          <w:sz w:val="18"/>
          <w:szCs w:val="18"/>
          <w:lang w:val="en-US"/>
        </w:rPr>
      </w:pPr>
      <w:r w:rsidRPr="008B73E6">
        <w:rPr>
          <w:rFonts w:ascii="Times New Roman" w:hAnsi="Times New Roman" w:cs="Times New Roman"/>
          <w:i/>
          <w:sz w:val="18"/>
          <w:szCs w:val="18"/>
          <w:lang w:val="en-US"/>
        </w:rPr>
        <w:t>Fig</w:t>
      </w:r>
      <w:r w:rsidR="00D24F0F" w:rsidRPr="008B73E6">
        <w:rPr>
          <w:rFonts w:ascii="Times New Roman" w:hAnsi="Times New Roman" w:cs="Times New Roman"/>
          <w:i/>
          <w:sz w:val="18"/>
          <w:szCs w:val="18"/>
          <w:lang w:val="en-US"/>
        </w:rPr>
        <w:t>.</w:t>
      </w:r>
      <w:r w:rsidR="00AF3AB6" w:rsidRPr="008B73E6">
        <w:rPr>
          <w:rFonts w:ascii="Times New Roman" w:hAnsi="Times New Roman" w:cs="Times New Roman"/>
          <w:i/>
          <w:sz w:val="18"/>
          <w:szCs w:val="18"/>
          <w:lang w:val="en-US"/>
        </w:rPr>
        <w:t>2</w:t>
      </w:r>
      <w:r w:rsidR="00D24F0F" w:rsidRPr="008B73E6">
        <w:rPr>
          <w:rFonts w:ascii="Times New Roman" w:hAnsi="Times New Roman" w:cs="Times New Roman"/>
          <w:i/>
          <w:sz w:val="18"/>
          <w:szCs w:val="18"/>
          <w:lang w:val="en-US"/>
        </w:rPr>
        <w:t>. Tanzania map with bordering countries</w:t>
      </w:r>
    </w:p>
    <w:p w:rsidR="009A0C0C" w:rsidRDefault="009A0C0C" w:rsidP="002F1364">
      <w:pPr>
        <w:rPr>
          <w:rFonts w:ascii="Times New Roman" w:hAnsi="Times New Roman" w:cs="Times New Roman"/>
          <w:b/>
          <w:sz w:val="24"/>
          <w:szCs w:val="24"/>
        </w:rPr>
      </w:pPr>
    </w:p>
    <w:p w:rsidR="00AF3AB6" w:rsidRPr="00DD1AA7" w:rsidRDefault="00CE50B7" w:rsidP="005711D3">
      <w:pPr>
        <w:pStyle w:val="ListParagraph"/>
        <w:numPr>
          <w:ilvl w:val="0"/>
          <w:numId w:val="2"/>
        </w:numPr>
        <w:spacing w:before="100" w:beforeAutospacing="1" w:after="100" w:afterAutospacing="1" w:line="280" w:lineRule="atLeast"/>
        <w:ind w:hanging="720"/>
        <w:outlineLvl w:val="1"/>
        <w:rPr>
          <w:sz w:val="20"/>
          <w:szCs w:val="20"/>
        </w:rPr>
      </w:pPr>
      <w:r w:rsidRPr="00DD1AA7">
        <w:rPr>
          <w:sz w:val="20"/>
          <w:szCs w:val="20"/>
        </w:rPr>
        <w:t xml:space="preserve">GOOD PRACTICES ASSOCIATED WITH ENSURING THE SAFETY AND   SECURITY OF </w:t>
      </w:r>
      <w:r w:rsidR="00DD1AA7">
        <w:rPr>
          <w:sz w:val="20"/>
          <w:szCs w:val="20"/>
        </w:rPr>
        <w:t xml:space="preserve">  </w:t>
      </w:r>
      <w:r w:rsidRPr="00DD1AA7">
        <w:rPr>
          <w:sz w:val="20"/>
          <w:szCs w:val="20"/>
        </w:rPr>
        <w:t>RADIOACTIVE SOURCES THROUGHOUT THEIR LIFE CYCLE</w:t>
      </w:r>
    </w:p>
    <w:p w:rsidR="00AF3AB6" w:rsidRPr="00CE50B7" w:rsidRDefault="00AF3AB6" w:rsidP="00CE50B7">
      <w:pPr>
        <w:spacing w:after="0" w:line="260" w:lineRule="atLeast"/>
        <w:ind w:firstLine="562"/>
        <w:jc w:val="both"/>
        <w:rPr>
          <w:rFonts w:ascii="Times New Roman" w:hAnsi="Times New Roman" w:cs="Times New Roman"/>
          <w:noProof/>
          <w:sz w:val="24"/>
          <w:szCs w:val="24"/>
        </w:rPr>
      </w:pPr>
      <w:r w:rsidRPr="00CE50B7">
        <w:rPr>
          <w:rFonts w:ascii="Times New Roman" w:eastAsia="Cambria" w:hAnsi="Times New Roman" w:cs="Times New Roman"/>
          <w:sz w:val="20"/>
          <w:szCs w:val="20"/>
        </w:rPr>
        <w:t>T</w:t>
      </w:r>
      <w:r w:rsidRPr="00CE50B7">
        <w:rPr>
          <w:rFonts w:ascii="Times New Roman" w:eastAsia="Cambria" w:hAnsi="Times New Roman" w:cs="Times New Roman"/>
          <w:sz w:val="20"/>
          <w:szCs w:val="20"/>
          <w:lang w:val="en-US"/>
        </w:rPr>
        <w:t xml:space="preserve">he United Republic of Tanzania has established some good practices that aim to ensure the safe and security of radioactive sources. One of those good practices include the </w:t>
      </w:r>
      <w:r w:rsidR="001F295E" w:rsidRPr="00CE50B7">
        <w:rPr>
          <w:rFonts w:ascii="Times New Roman" w:eastAsia="Cambria" w:hAnsi="Times New Roman" w:cs="Times New Roman"/>
          <w:sz w:val="20"/>
          <w:szCs w:val="20"/>
          <w:lang w:val="en-US"/>
        </w:rPr>
        <w:t xml:space="preserve">presence of </w:t>
      </w:r>
      <w:r w:rsidRPr="00CE50B7">
        <w:rPr>
          <w:rFonts w:ascii="Times New Roman" w:eastAsia="Cambria" w:hAnsi="Times New Roman" w:cs="Times New Roman"/>
          <w:sz w:val="20"/>
          <w:szCs w:val="20"/>
          <w:lang w:val="en-US"/>
        </w:rPr>
        <w:t xml:space="preserve">regulatory </w:t>
      </w:r>
      <w:r w:rsidR="009A0C0C" w:rsidRPr="00CE50B7">
        <w:rPr>
          <w:rFonts w:ascii="Times New Roman" w:eastAsia="Cambria" w:hAnsi="Times New Roman" w:cs="Times New Roman"/>
          <w:sz w:val="20"/>
          <w:szCs w:val="20"/>
          <w:lang w:val="en-US"/>
        </w:rPr>
        <w:t>infrastructure</w:t>
      </w:r>
      <w:r w:rsidRPr="00CE50B7">
        <w:rPr>
          <w:rFonts w:ascii="Times New Roman" w:eastAsia="Cambria" w:hAnsi="Times New Roman" w:cs="Times New Roman"/>
          <w:sz w:val="20"/>
          <w:szCs w:val="20"/>
          <w:lang w:val="en-US"/>
        </w:rPr>
        <w:t xml:space="preserve">. With the regulatory body in place i.e. the Tanzania Atomic Energy Commission, the URT has </w:t>
      </w:r>
      <w:r w:rsidR="001F295E" w:rsidRPr="00CE50B7">
        <w:rPr>
          <w:rFonts w:ascii="Times New Roman" w:eastAsia="Cambria" w:hAnsi="Times New Roman" w:cs="Times New Roman"/>
          <w:sz w:val="20"/>
          <w:szCs w:val="20"/>
          <w:lang w:val="en-US"/>
        </w:rPr>
        <w:t>promulgated</w:t>
      </w:r>
      <w:r w:rsidR="00AD5405" w:rsidRPr="00CE50B7">
        <w:rPr>
          <w:rFonts w:ascii="Times New Roman" w:eastAsia="Cambria" w:hAnsi="Times New Roman" w:cs="Times New Roman"/>
          <w:sz w:val="20"/>
          <w:szCs w:val="20"/>
          <w:lang w:val="en-US"/>
        </w:rPr>
        <w:t xml:space="preserve"> </w:t>
      </w:r>
      <w:r w:rsidRPr="00CE50B7">
        <w:rPr>
          <w:rFonts w:ascii="Times New Roman" w:eastAsia="Cambria" w:hAnsi="Times New Roman" w:cs="Times New Roman"/>
          <w:sz w:val="20"/>
          <w:szCs w:val="20"/>
          <w:lang w:val="en-US"/>
        </w:rPr>
        <w:t xml:space="preserve">the Law and </w:t>
      </w:r>
      <w:r w:rsidR="001F295E" w:rsidRPr="00CE50B7">
        <w:rPr>
          <w:rFonts w:ascii="Times New Roman" w:eastAsia="Cambria" w:hAnsi="Times New Roman" w:cs="Times New Roman"/>
          <w:sz w:val="20"/>
          <w:szCs w:val="20"/>
          <w:lang w:val="en-US"/>
        </w:rPr>
        <w:t xml:space="preserve">the associated </w:t>
      </w:r>
      <w:r w:rsidRPr="00CE50B7">
        <w:rPr>
          <w:rFonts w:ascii="Times New Roman" w:eastAsia="Cambria" w:hAnsi="Times New Roman" w:cs="Times New Roman"/>
          <w:sz w:val="20"/>
          <w:szCs w:val="20"/>
          <w:lang w:val="en-US"/>
        </w:rPr>
        <w:t>regulations to address the safety and security of radioactive sources both in-use and disused radioactive sources. The laws and regulations are very important components in ensuring the safety and security of radiation sources at any stage of the life cycle. The atomic energy matters in the URT is governed by:  The Atomic Energy Act, number 7 of 2003</w:t>
      </w:r>
      <w:r w:rsidR="004C11DC" w:rsidRPr="00CE50B7">
        <w:rPr>
          <w:rFonts w:ascii="Times New Roman" w:eastAsia="Cambria" w:hAnsi="Times New Roman" w:cs="Times New Roman"/>
          <w:sz w:val="20"/>
          <w:szCs w:val="20"/>
          <w:lang w:val="en-US"/>
        </w:rPr>
        <w:t xml:space="preserve"> </w:t>
      </w:r>
      <w:r w:rsidR="004C11DC" w:rsidRPr="00CE50B7">
        <w:rPr>
          <w:rFonts w:ascii="Times New Roman" w:eastAsia="Cambria" w:hAnsi="Times New Roman" w:cs="Times New Roman"/>
          <w:sz w:val="20"/>
          <w:szCs w:val="20"/>
          <w:lang w:val="en-US"/>
        </w:rPr>
        <w:fldChar w:fldCharType="begin"/>
      </w:r>
      <w:r w:rsidR="00594D75" w:rsidRPr="00CE50B7">
        <w:rPr>
          <w:rFonts w:ascii="Times New Roman" w:eastAsia="Cambria" w:hAnsi="Times New Roman" w:cs="Times New Roman"/>
          <w:sz w:val="20"/>
          <w:szCs w:val="20"/>
          <w:lang w:val="en-US"/>
        </w:rPr>
        <w:instrText xml:space="preserve"> ADDIN ZOTERO_ITEM CSL_CITATION {"citationID":"r0cDyV8Y","properties":{"formattedCitation":"[4]","plainCitation":"[4]","noteIndex":0},"citationItems":[{"id":303,"uris":["http://zotero.org/users/local/otuCU33O/items/P8UT8Z3W"],"itemData":{"id":303,"type":"document","language":"en","title":"The Atomic Energy Act, number 7 of 2003","URL":"https://www.taec.go.tz/documents/","author":[{"family":"","given":"The United Republic of Tanzania"}],"issued":{"date-parts":[["2003"]]}}}],"schema":"https://github.com/citation-style-language/schema/raw/master/csl-citation.json"} </w:instrText>
      </w:r>
      <w:r w:rsidR="004C11DC" w:rsidRPr="00CE50B7">
        <w:rPr>
          <w:rFonts w:ascii="Times New Roman" w:eastAsia="Cambria" w:hAnsi="Times New Roman" w:cs="Times New Roman"/>
          <w:sz w:val="20"/>
          <w:szCs w:val="20"/>
          <w:lang w:val="en-US"/>
        </w:rPr>
        <w:fldChar w:fldCharType="separate"/>
      </w:r>
      <w:r w:rsidR="00594D75" w:rsidRPr="00CE50B7">
        <w:rPr>
          <w:rFonts w:ascii="Times New Roman" w:hAnsi="Times New Roman" w:cs="Times New Roman"/>
          <w:sz w:val="20"/>
          <w:szCs w:val="20"/>
        </w:rPr>
        <w:t>[4]</w:t>
      </w:r>
      <w:r w:rsidR="004C11DC" w:rsidRPr="00CE50B7">
        <w:rPr>
          <w:rFonts w:ascii="Times New Roman" w:eastAsia="Cambria" w:hAnsi="Times New Roman" w:cs="Times New Roman"/>
          <w:sz w:val="20"/>
          <w:szCs w:val="20"/>
          <w:lang w:val="en-US"/>
        </w:rPr>
        <w:fldChar w:fldCharType="end"/>
      </w:r>
      <w:r w:rsidRPr="00CE50B7">
        <w:rPr>
          <w:rFonts w:ascii="Times New Roman" w:eastAsia="Cambria" w:hAnsi="Times New Roman" w:cs="Times New Roman"/>
          <w:sz w:val="20"/>
          <w:szCs w:val="20"/>
          <w:lang w:val="en-US"/>
        </w:rPr>
        <w:t xml:space="preserve">. Also, there </w:t>
      </w:r>
      <w:r w:rsidR="001F295E" w:rsidRPr="00CE50B7">
        <w:rPr>
          <w:rFonts w:ascii="Times New Roman" w:eastAsia="Cambria" w:hAnsi="Times New Roman" w:cs="Times New Roman"/>
          <w:sz w:val="20"/>
          <w:szCs w:val="20"/>
          <w:lang w:val="en-US"/>
        </w:rPr>
        <w:t xml:space="preserve">are </w:t>
      </w:r>
      <w:r w:rsidRPr="00CE50B7">
        <w:rPr>
          <w:rFonts w:ascii="Times New Roman" w:eastAsia="Cambria" w:hAnsi="Times New Roman" w:cs="Times New Roman"/>
          <w:sz w:val="20"/>
          <w:szCs w:val="20"/>
          <w:lang w:val="en-US"/>
        </w:rPr>
        <w:t xml:space="preserve">three regulations that </w:t>
      </w:r>
      <w:r w:rsidR="001F295E" w:rsidRPr="00CE50B7">
        <w:rPr>
          <w:rFonts w:ascii="Times New Roman" w:eastAsia="Cambria" w:hAnsi="Times New Roman" w:cs="Times New Roman"/>
          <w:sz w:val="20"/>
          <w:szCs w:val="20"/>
          <w:lang w:val="en-US"/>
        </w:rPr>
        <w:t>deal</w:t>
      </w:r>
      <w:r w:rsidRPr="00CE50B7">
        <w:rPr>
          <w:rFonts w:ascii="Times New Roman" w:eastAsia="Cambria" w:hAnsi="Times New Roman" w:cs="Times New Roman"/>
          <w:sz w:val="20"/>
          <w:szCs w:val="20"/>
          <w:lang w:val="en-US"/>
        </w:rPr>
        <w:t xml:space="preserve"> with radiation sources. These include Protection from Ionizing Radiation Regulations, 2004,</w:t>
      </w:r>
      <w:r w:rsidRPr="00856BAC">
        <w:rPr>
          <w:rFonts w:ascii="Times New Roman" w:eastAsia="Cambria" w:hAnsi="Times New Roman" w:cs="Times New Roman"/>
          <w:sz w:val="24"/>
          <w:szCs w:val="24"/>
          <w:lang w:val="en-US"/>
        </w:rPr>
        <w:t xml:space="preserve"> </w:t>
      </w:r>
      <w:r w:rsidRPr="00CE50B7">
        <w:rPr>
          <w:rFonts w:ascii="Times New Roman" w:eastAsia="Cambria" w:hAnsi="Times New Roman" w:cs="Times New Roman"/>
          <w:sz w:val="20"/>
          <w:szCs w:val="20"/>
          <w:lang w:val="en-US"/>
        </w:rPr>
        <w:t>Radioactive Waste Management for the Protection of Human Health and Environment Regulations, 1999, and The Packaging and</w:t>
      </w:r>
      <w:r w:rsidRPr="00C07938">
        <w:rPr>
          <w:rFonts w:ascii="Times New Roman" w:eastAsia="Cambria" w:hAnsi="Times New Roman" w:cs="Times New Roman"/>
          <w:sz w:val="24"/>
          <w:szCs w:val="24"/>
          <w:lang w:val="en-US"/>
        </w:rPr>
        <w:t xml:space="preserve"> </w:t>
      </w:r>
      <w:r w:rsidRPr="00CE50B7">
        <w:rPr>
          <w:rFonts w:ascii="Times New Roman" w:eastAsia="Cambria" w:hAnsi="Times New Roman" w:cs="Times New Roman"/>
          <w:sz w:val="20"/>
          <w:szCs w:val="20"/>
          <w:lang w:val="en-US"/>
        </w:rPr>
        <w:t>Transport</w:t>
      </w:r>
      <w:r w:rsidR="003E03CB" w:rsidRPr="00CE50B7">
        <w:rPr>
          <w:rFonts w:ascii="Times New Roman" w:eastAsia="Cambria" w:hAnsi="Times New Roman" w:cs="Times New Roman"/>
          <w:sz w:val="20"/>
          <w:szCs w:val="20"/>
          <w:lang w:val="en-US"/>
        </w:rPr>
        <w:t xml:space="preserve"> </w:t>
      </w:r>
      <w:r w:rsidRPr="00CE50B7">
        <w:rPr>
          <w:rFonts w:ascii="Times New Roman" w:eastAsia="Cambria" w:hAnsi="Times New Roman" w:cs="Times New Roman"/>
          <w:sz w:val="20"/>
          <w:szCs w:val="20"/>
          <w:lang w:val="en-US"/>
        </w:rPr>
        <w:t>of Radioactive Materials</w:t>
      </w:r>
      <w:r w:rsidR="00623639" w:rsidRPr="00CE50B7">
        <w:rPr>
          <w:rFonts w:ascii="Times New Roman" w:eastAsia="Cambria" w:hAnsi="Times New Roman" w:cs="Times New Roman"/>
          <w:sz w:val="20"/>
          <w:szCs w:val="20"/>
          <w:lang w:val="en-US"/>
        </w:rPr>
        <w:t xml:space="preserve"> </w:t>
      </w:r>
      <w:r w:rsidR="00623639" w:rsidRPr="00CE50B7">
        <w:rPr>
          <w:rFonts w:ascii="Times New Roman" w:eastAsia="Cambria" w:hAnsi="Times New Roman" w:cs="Times New Roman"/>
          <w:sz w:val="20"/>
          <w:szCs w:val="20"/>
          <w:lang w:val="en-US"/>
        </w:rPr>
        <w:fldChar w:fldCharType="begin"/>
      </w:r>
      <w:r w:rsidR="00594D75" w:rsidRPr="00CE50B7">
        <w:rPr>
          <w:rFonts w:ascii="Times New Roman" w:eastAsia="Cambria" w:hAnsi="Times New Roman" w:cs="Times New Roman"/>
          <w:sz w:val="20"/>
          <w:szCs w:val="20"/>
          <w:lang w:val="en-US"/>
        </w:rPr>
        <w:instrText xml:space="preserve"> ADDIN ZOTERO_ITEM CSL_CITATION {"citationID":"BPVve9oy","properties":{"formattedCitation":"[5]\\uc0\\u8211{}[7]","plainCitation":"[5]–[7]","noteIndex":0},"citationItems":[{"id":304,"uris":["http://zotero.org/users/local/otuCU33O/items/M32EDJG7"],"itemData":{"id":304,"type":"document","language":"en","title":"The Atomic Energy (Protection from Ionizing Radiation) Regulations, 2004","URL":"https://www.taec.go.tz/documents/","author":[{"family":"","given":"The United Republic of Tanzania"}],"issued":{"date-parts":[["2004"]]}},"label":"page"},{"id":305,"uris":["http://zotero.org/users/local/otuCU33O/items/GSDB7XRX"],"itemData":{"id":305,"type":"document","language":"en","title":"Radioactive Waste Management for the Protection of Human Health and Environment Regulations, 1999","URL":"https://www.taec.go.tz/documents/","author":[{"family":"","given":"The United Republic of Tanzania"}],"issued":{"date-parts":[["1999"]]}},"label":"page"},{"id":307,"uris":["http://zotero.org/users/local/otuCU33O/items/ARMEUBI8"],"itemData":{"id":307,"type":"document","language":"en","title":"The Packaging and Transport of Radioactive Materials Regulations","URL":"https://www.taec.go.tz/documents/","author":[{"family":"","given":"The United Republic of Tanzania"}],"issued":{"date-parts":[["2011"]]}},"label":"page"}],"schema":"https://github.com/citation-style-language/schema/raw/master/csl-citation.json"} </w:instrText>
      </w:r>
      <w:r w:rsidR="00623639" w:rsidRPr="00CE50B7">
        <w:rPr>
          <w:rFonts w:ascii="Times New Roman" w:eastAsia="Cambria" w:hAnsi="Times New Roman" w:cs="Times New Roman"/>
          <w:sz w:val="20"/>
          <w:szCs w:val="20"/>
          <w:lang w:val="en-US"/>
        </w:rPr>
        <w:fldChar w:fldCharType="separate"/>
      </w:r>
      <w:r w:rsidR="00594D75" w:rsidRPr="00CE50B7">
        <w:rPr>
          <w:rFonts w:ascii="Times New Roman" w:hAnsi="Times New Roman" w:cs="Times New Roman"/>
          <w:sz w:val="20"/>
          <w:szCs w:val="20"/>
        </w:rPr>
        <w:t>[5]–[7]</w:t>
      </w:r>
      <w:r w:rsidR="00623639" w:rsidRPr="00CE50B7">
        <w:rPr>
          <w:rFonts w:ascii="Times New Roman" w:eastAsia="Cambria" w:hAnsi="Times New Roman" w:cs="Times New Roman"/>
          <w:sz w:val="20"/>
          <w:szCs w:val="20"/>
          <w:lang w:val="en-US"/>
        </w:rPr>
        <w:fldChar w:fldCharType="end"/>
      </w:r>
      <w:r w:rsidRPr="00CE50B7">
        <w:rPr>
          <w:rFonts w:ascii="Times New Roman" w:eastAsia="Cambria" w:hAnsi="Times New Roman" w:cs="Times New Roman"/>
          <w:sz w:val="20"/>
          <w:szCs w:val="20"/>
          <w:lang w:val="en-US"/>
        </w:rPr>
        <w:t xml:space="preserve">. </w:t>
      </w:r>
      <w:r w:rsidR="001F295E" w:rsidRPr="00CE50B7">
        <w:rPr>
          <w:rFonts w:ascii="Times New Roman" w:eastAsia="Cambria" w:hAnsi="Times New Roman" w:cs="Times New Roman"/>
          <w:sz w:val="20"/>
          <w:szCs w:val="20"/>
          <w:lang w:val="en-US"/>
        </w:rPr>
        <w:t xml:space="preserve">In addition a regulation of security of radioactive </w:t>
      </w:r>
      <w:r w:rsidR="00405E40" w:rsidRPr="00CE50B7">
        <w:rPr>
          <w:rFonts w:ascii="Times New Roman" w:eastAsia="Cambria" w:hAnsi="Times New Roman" w:cs="Times New Roman"/>
          <w:sz w:val="20"/>
          <w:szCs w:val="20"/>
          <w:lang w:val="en-US"/>
        </w:rPr>
        <w:t>materials</w:t>
      </w:r>
      <w:r w:rsidR="001F295E" w:rsidRPr="00CE50B7">
        <w:rPr>
          <w:rFonts w:ascii="Times New Roman" w:eastAsia="Cambria" w:hAnsi="Times New Roman" w:cs="Times New Roman"/>
          <w:sz w:val="20"/>
          <w:szCs w:val="20"/>
          <w:lang w:val="en-US"/>
        </w:rPr>
        <w:t xml:space="preserve"> are in the final stage to be approved by the government. </w:t>
      </w:r>
      <w:r w:rsidRPr="00CE50B7">
        <w:rPr>
          <w:rFonts w:ascii="Times New Roman" w:eastAsia="Cambria" w:hAnsi="Times New Roman" w:cs="Times New Roman"/>
          <w:sz w:val="20"/>
          <w:szCs w:val="20"/>
          <w:lang w:val="en-US"/>
        </w:rPr>
        <w:t xml:space="preserve">Apart from establishment of regulatory framework, the URT has also established the system of managing the disused sealed radiation sources. In this case the country has established the Central Radioactive Waste Management Facility (CRWMF) to accommodate all the </w:t>
      </w:r>
      <w:r w:rsidR="00D01E1F" w:rsidRPr="00CE50B7">
        <w:rPr>
          <w:rFonts w:ascii="Times New Roman" w:eastAsia="Cambria" w:hAnsi="Times New Roman" w:cs="Times New Roman"/>
          <w:sz w:val="20"/>
          <w:szCs w:val="20"/>
          <w:lang w:val="en-US"/>
        </w:rPr>
        <w:t>d</w:t>
      </w:r>
      <w:r w:rsidR="00405E40" w:rsidRPr="00CE50B7">
        <w:rPr>
          <w:rFonts w:ascii="Times New Roman" w:eastAsia="Cambria" w:hAnsi="Times New Roman" w:cs="Times New Roman"/>
          <w:sz w:val="20"/>
          <w:szCs w:val="20"/>
          <w:lang w:val="en-US"/>
        </w:rPr>
        <w:t xml:space="preserve">isused sealed radiation sources </w:t>
      </w:r>
      <w:r w:rsidRPr="00CE50B7">
        <w:rPr>
          <w:rFonts w:ascii="Times New Roman" w:eastAsia="Cambria" w:hAnsi="Times New Roman" w:cs="Times New Roman"/>
          <w:sz w:val="20"/>
          <w:szCs w:val="20"/>
          <w:lang w:val="en-US"/>
        </w:rPr>
        <w:t xml:space="preserve">that are no longer applicable for its intended use and they have no obligations to be returned to the manufacturer. Moreover, the </w:t>
      </w:r>
      <w:r w:rsidRPr="00CE50B7">
        <w:rPr>
          <w:rFonts w:ascii="Times New Roman" w:eastAsia="Cambria" w:hAnsi="Times New Roman" w:cs="Times New Roman"/>
          <w:sz w:val="20"/>
          <w:szCs w:val="20"/>
          <w:lang w:val="en-US"/>
        </w:rPr>
        <w:lastRenderedPageBreak/>
        <w:t>facility as well takes care of those sources that are found outside the regulatory control such as orphan sources. All of these sources once they found, they are collected and transported to the CRWMF for safe storage purposes. The central radioactive waste management facility acts as a long term storage (LTS) option since the country has no disposal option for the time being</w:t>
      </w:r>
      <w:r w:rsidR="002D0D82" w:rsidRPr="00CE50B7">
        <w:rPr>
          <w:rFonts w:ascii="Times New Roman" w:eastAsia="Cambria" w:hAnsi="Times New Roman" w:cs="Times New Roman"/>
          <w:sz w:val="20"/>
          <w:szCs w:val="20"/>
          <w:lang w:val="en-US"/>
        </w:rPr>
        <w:t xml:space="preserve"> </w:t>
      </w:r>
      <w:r w:rsidR="002D0D82" w:rsidRPr="00CE50B7">
        <w:rPr>
          <w:rFonts w:ascii="Times New Roman" w:eastAsia="Cambria" w:hAnsi="Times New Roman" w:cs="Times New Roman"/>
          <w:sz w:val="20"/>
          <w:szCs w:val="20"/>
          <w:lang w:val="en-US"/>
        </w:rPr>
        <w:fldChar w:fldCharType="begin"/>
      </w:r>
      <w:r w:rsidR="00594D75" w:rsidRPr="00CE50B7">
        <w:rPr>
          <w:rFonts w:ascii="Times New Roman" w:eastAsia="Cambria" w:hAnsi="Times New Roman" w:cs="Times New Roman"/>
          <w:sz w:val="20"/>
          <w:szCs w:val="20"/>
          <w:lang w:val="en-US"/>
        </w:rPr>
        <w:instrText xml:space="preserve"> ADDIN ZOTERO_ITEM CSL_CITATION {"citationID":"bYjFVxhQ","properties":{"formattedCitation":"[6]","plainCitation":"[6]","noteIndex":0},"citationItems":[{"id":305,"uris":["http://zotero.org/users/local/otuCU33O/items/GSDB7XRX"],"itemData":{"id":305,"type":"document","language":"en","title":"Radioactive Waste Management for the Protection of Human Health and Environment Regulations, 1999","URL":"https://www.taec.go.tz/documents/","author":[{"family":"","given":"The United Republic of Tanzania"}],"issued":{"date-parts":[["1999"]]}}}],"schema":"https://github.com/citation-style-language/schema/raw/master/csl-citation.json"} </w:instrText>
      </w:r>
      <w:r w:rsidR="002D0D82" w:rsidRPr="00CE50B7">
        <w:rPr>
          <w:rFonts w:ascii="Times New Roman" w:eastAsia="Cambria" w:hAnsi="Times New Roman" w:cs="Times New Roman"/>
          <w:sz w:val="20"/>
          <w:szCs w:val="20"/>
          <w:lang w:val="en-US"/>
        </w:rPr>
        <w:fldChar w:fldCharType="separate"/>
      </w:r>
      <w:r w:rsidR="00594D75" w:rsidRPr="00CE50B7">
        <w:rPr>
          <w:rFonts w:ascii="Times New Roman" w:hAnsi="Times New Roman" w:cs="Times New Roman"/>
          <w:sz w:val="20"/>
          <w:szCs w:val="20"/>
        </w:rPr>
        <w:t>[6]</w:t>
      </w:r>
      <w:r w:rsidR="002D0D82" w:rsidRPr="00CE50B7">
        <w:rPr>
          <w:rFonts w:ascii="Times New Roman" w:eastAsia="Cambria" w:hAnsi="Times New Roman" w:cs="Times New Roman"/>
          <w:sz w:val="20"/>
          <w:szCs w:val="20"/>
          <w:lang w:val="en-US"/>
        </w:rPr>
        <w:fldChar w:fldCharType="end"/>
      </w:r>
      <w:r w:rsidRPr="00CE50B7">
        <w:rPr>
          <w:rFonts w:ascii="Times New Roman" w:eastAsia="Cambria" w:hAnsi="Times New Roman" w:cs="Times New Roman"/>
          <w:sz w:val="20"/>
          <w:szCs w:val="20"/>
          <w:lang w:val="en-US"/>
        </w:rPr>
        <w:t xml:space="preserve">. Another good practice that the country is doing to manage the radiation sources is </w:t>
      </w:r>
      <w:r w:rsidR="00D2025F" w:rsidRPr="00CE50B7">
        <w:rPr>
          <w:rFonts w:ascii="Times New Roman" w:eastAsia="Cambria" w:hAnsi="Times New Roman" w:cs="Times New Roman"/>
          <w:sz w:val="20"/>
          <w:szCs w:val="20"/>
          <w:lang w:val="en-US"/>
        </w:rPr>
        <w:t xml:space="preserve">to make sure </w:t>
      </w:r>
      <w:r w:rsidRPr="00CE50B7">
        <w:rPr>
          <w:rFonts w:ascii="Times New Roman" w:eastAsia="Cambria" w:hAnsi="Times New Roman" w:cs="Times New Roman"/>
          <w:sz w:val="20"/>
          <w:szCs w:val="20"/>
          <w:lang w:val="en-US"/>
        </w:rPr>
        <w:t>that the</w:t>
      </w:r>
      <w:r w:rsidR="00D2025F" w:rsidRPr="00CE50B7">
        <w:rPr>
          <w:rFonts w:ascii="Times New Roman" w:eastAsia="Cambria" w:hAnsi="Times New Roman" w:cs="Times New Roman"/>
          <w:sz w:val="20"/>
          <w:szCs w:val="20"/>
          <w:lang w:val="en-US"/>
        </w:rPr>
        <w:t xml:space="preserve"> radiation sources that are no longer fit for the intended applications, a</w:t>
      </w:r>
      <w:r w:rsidRPr="00CE50B7">
        <w:rPr>
          <w:rFonts w:ascii="Times New Roman" w:eastAsia="Cambria" w:hAnsi="Times New Roman" w:cs="Times New Roman"/>
          <w:sz w:val="20"/>
          <w:szCs w:val="20"/>
          <w:lang w:val="en-US"/>
        </w:rPr>
        <w:t xml:space="preserve">re </w:t>
      </w:r>
      <w:r w:rsidR="00D2025F" w:rsidRPr="00CE50B7">
        <w:rPr>
          <w:rFonts w:ascii="Times New Roman" w:eastAsia="Cambria" w:hAnsi="Times New Roman" w:cs="Times New Roman"/>
          <w:sz w:val="20"/>
          <w:szCs w:val="20"/>
          <w:lang w:val="en-US"/>
        </w:rPr>
        <w:t xml:space="preserve">returned to the manufacturer. This is achieved by the conditions stated in the regulation in which it becomes </w:t>
      </w:r>
      <w:r w:rsidRPr="00CE50B7">
        <w:rPr>
          <w:rFonts w:ascii="Times New Roman" w:eastAsia="Cambria" w:hAnsi="Times New Roman" w:cs="Times New Roman"/>
          <w:sz w:val="20"/>
          <w:szCs w:val="20"/>
          <w:lang w:val="en-US"/>
        </w:rPr>
        <w:t xml:space="preserve">an obligation for the importer (licensee) to return to the manufacturer </w:t>
      </w:r>
      <w:r w:rsidR="00D2025F" w:rsidRPr="00CE50B7">
        <w:rPr>
          <w:rFonts w:ascii="Times New Roman" w:eastAsia="Cambria" w:hAnsi="Times New Roman" w:cs="Times New Roman"/>
          <w:sz w:val="20"/>
          <w:szCs w:val="20"/>
          <w:lang w:val="en-US"/>
        </w:rPr>
        <w:t>radiation</w:t>
      </w:r>
      <w:r w:rsidRPr="00CE50B7">
        <w:rPr>
          <w:rFonts w:ascii="Times New Roman" w:eastAsia="Cambria" w:hAnsi="Times New Roman" w:cs="Times New Roman"/>
          <w:sz w:val="20"/>
          <w:szCs w:val="20"/>
          <w:lang w:val="en-US"/>
        </w:rPr>
        <w:t xml:space="preserve"> source once it is declared being disused source. </w:t>
      </w:r>
      <w:r w:rsidR="00D01E1F" w:rsidRPr="00CE50B7">
        <w:rPr>
          <w:rFonts w:ascii="Times New Roman" w:eastAsia="Cambria" w:hAnsi="Times New Roman" w:cs="Times New Roman"/>
          <w:sz w:val="20"/>
          <w:szCs w:val="20"/>
          <w:lang w:val="en-US"/>
        </w:rPr>
        <w:t>Figure 3 highlight the</w:t>
      </w:r>
      <w:r w:rsidR="00D01E1F">
        <w:rPr>
          <w:rFonts w:ascii="Times New Roman" w:eastAsia="Cambria" w:hAnsi="Times New Roman" w:cs="Times New Roman"/>
          <w:sz w:val="24"/>
          <w:szCs w:val="24"/>
          <w:lang w:val="en-US"/>
        </w:rPr>
        <w:t xml:space="preserve"> </w:t>
      </w:r>
      <w:r w:rsidR="00D01E1F" w:rsidRPr="00CE50B7">
        <w:rPr>
          <w:rFonts w:ascii="Times New Roman" w:eastAsia="Cambria" w:hAnsi="Times New Roman" w:cs="Times New Roman"/>
          <w:sz w:val="20"/>
          <w:szCs w:val="20"/>
          <w:lang w:val="en-US"/>
        </w:rPr>
        <w:t>legal control of the radioactive materials</w:t>
      </w:r>
      <w:r w:rsidR="00CE50B7">
        <w:rPr>
          <w:rFonts w:ascii="Times New Roman" w:hAnsi="Times New Roman" w:cs="Times New Roman"/>
          <w:noProof/>
          <w:sz w:val="24"/>
          <w:szCs w:val="24"/>
        </w:rPr>
        <w:t>.</w:t>
      </w:r>
      <w:r w:rsidR="00D01E1F" w:rsidRPr="00CE50B7">
        <w:rPr>
          <w:rFonts w:ascii="Times New Roman" w:hAnsi="Times New Roman" w:cs="Times New Roman"/>
          <w:noProof/>
          <w:sz w:val="24"/>
          <w:szCs w:val="24"/>
        </w:rPr>
        <w:t xml:space="preserve"> </w:t>
      </w:r>
    </w:p>
    <w:p w:rsidR="00AF3AB6" w:rsidRPr="00CE50B7" w:rsidRDefault="00AF3AB6" w:rsidP="00AF3AB6">
      <w:pPr>
        <w:spacing w:line="240" w:lineRule="auto"/>
        <w:jc w:val="both"/>
        <w:rPr>
          <w:rFonts w:ascii="Times New Roman" w:hAnsi="Times New Roman" w:cs="Times New Roman"/>
          <w:noProof/>
          <w:sz w:val="24"/>
          <w:szCs w:val="24"/>
        </w:rPr>
      </w:pPr>
    </w:p>
    <w:p w:rsidR="00AF3AB6" w:rsidRDefault="00AF3AB6" w:rsidP="00AF3AB6">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7ED0FA" wp14:editId="0F23C191">
            <wp:extent cx="5661660" cy="3200400"/>
            <wp:effectExtent l="0" t="0" r="723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F3AB6" w:rsidRPr="008B73E6" w:rsidRDefault="000F0BF1" w:rsidP="00C91827">
      <w:pPr>
        <w:numPr>
          <w:ilvl w:val="0"/>
          <w:numId w:val="1"/>
        </w:numPr>
        <w:rPr>
          <w:i/>
          <w:sz w:val="18"/>
          <w:szCs w:val="18"/>
          <w:lang w:val="en-US"/>
        </w:rPr>
      </w:pPr>
      <w:r w:rsidRPr="008B73E6">
        <w:rPr>
          <w:rFonts w:ascii="Times New Roman" w:hAnsi="Times New Roman" w:cs="Times New Roman"/>
          <w:i/>
          <w:sz w:val="18"/>
          <w:szCs w:val="18"/>
        </w:rPr>
        <w:t>Fig.3</w:t>
      </w:r>
      <w:r w:rsidR="00AF3AB6" w:rsidRPr="008B73E6">
        <w:rPr>
          <w:rFonts w:ascii="Times New Roman" w:hAnsi="Times New Roman" w:cs="Times New Roman"/>
          <w:i/>
          <w:sz w:val="18"/>
          <w:szCs w:val="18"/>
        </w:rPr>
        <w:t xml:space="preserve">. </w:t>
      </w:r>
      <w:r w:rsidR="00D01E1F" w:rsidRPr="008B73E6">
        <w:rPr>
          <w:rFonts w:ascii="Times New Roman" w:hAnsi="Times New Roman" w:cs="Times New Roman"/>
          <w:i/>
          <w:sz w:val="18"/>
          <w:szCs w:val="18"/>
        </w:rPr>
        <w:t xml:space="preserve">Atomic Energy Act </w:t>
      </w:r>
      <w:r w:rsidR="00D01E1F" w:rsidRPr="008B73E6">
        <w:rPr>
          <w:i/>
          <w:sz w:val="18"/>
          <w:szCs w:val="18"/>
          <w:lang w:val="en-US"/>
        </w:rPr>
        <w:t xml:space="preserve">No.7 of 2003 </w:t>
      </w:r>
      <w:r w:rsidR="00257D0B" w:rsidRPr="008B73E6">
        <w:rPr>
          <w:rFonts w:ascii="Times New Roman" w:hAnsi="Times New Roman" w:cs="Times New Roman"/>
          <w:i/>
          <w:sz w:val="18"/>
          <w:szCs w:val="18"/>
        </w:rPr>
        <w:t xml:space="preserve"> and </w:t>
      </w:r>
      <w:r w:rsidR="00D01E1F" w:rsidRPr="008B73E6">
        <w:rPr>
          <w:rFonts w:ascii="Times New Roman" w:hAnsi="Times New Roman" w:cs="Times New Roman"/>
          <w:i/>
          <w:sz w:val="18"/>
          <w:szCs w:val="18"/>
        </w:rPr>
        <w:t xml:space="preserve">associated </w:t>
      </w:r>
      <w:r w:rsidR="00AF3AB6" w:rsidRPr="008B73E6">
        <w:rPr>
          <w:rFonts w:ascii="Times New Roman" w:hAnsi="Times New Roman" w:cs="Times New Roman"/>
          <w:i/>
          <w:sz w:val="18"/>
          <w:szCs w:val="18"/>
        </w:rPr>
        <w:t>Regulat</w:t>
      </w:r>
      <w:r w:rsidR="00257D0B" w:rsidRPr="008B73E6">
        <w:rPr>
          <w:rFonts w:ascii="Times New Roman" w:hAnsi="Times New Roman" w:cs="Times New Roman"/>
          <w:i/>
          <w:sz w:val="18"/>
          <w:szCs w:val="18"/>
        </w:rPr>
        <w:t>i</w:t>
      </w:r>
      <w:r w:rsidR="00AF3AB6" w:rsidRPr="008B73E6">
        <w:rPr>
          <w:rFonts w:ascii="Times New Roman" w:hAnsi="Times New Roman" w:cs="Times New Roman"/>
          <w:i/>
          <w:sz w:val="18"/>
          <w:szCs w:val="18"/>
        </w:rPr>
        <w:t>o</w:t>
      </w:r>
      <w:r w:rsidR="00257D0B" w:rsidRPr="008B73E6">
        <w:rPr>
          <w:rFonts w:ascii="Times New Roman" w:hAnsi="Times New Roman" w:cs="Times New Roman"/>
          <w:i/>
          <w:sz w:val="18"/>
          <w:szCs w:val="18"/>
        </w:rPr>
        <w:t>ns</w:t>
      </w:r>
      <w:r w:rsidR="00AF3AB6" w:rsidRPr="008B73E6">
        <w:rPr>
          <w:rFonts w:ascii="Times New Roman" w:hAnsi="Times New Roman" w:cs="Times New Roman"/>
          <w:i/>
          <w:sz w:val="18"/>
          <w:szCs w:val="18"/>
        </w:rPr>
        <w:t xml:space="preserve"> </w:t>
      </w:r>
      <w:r w:rsidR="00257D0B" w:rsidRPr="008B73E6">
        <w:rPr>
          <w:rFonts w:ascii="Times New Roman" w:hAnsi="Times New Roman" w:cs="Times New Roman"/>
          <w:i/>
          <w:sz w:val="18"/>
          <w:szCs w:val="18"/>
        </w:rPr>
        <w:t xml:space="preserve">for the control or radiation sources </w:t>
      </w:r>
      <w:r w:rsidR="00AF3AB6" w:rsidRPr="008B73E6">
        <w:rPr>
          <w:rFonts w:ascii="Times New Roman" w:hAnsi="Times New Roman" w:cs="Times New Roman"/>
          <w:i/>
          <w:sz w:val="18"/>
          <w:szCs w:val="18"/>
        </w:rPr>
        <w:t xml:space="preserve">in Tanzania </w:t>
      </w:r>
    </w:p>
    <w:p w:rsidR="000E36A9" w:rsidRDefault="000E36A9" w:rsidP="000E36A9">
      <w:pPr>
        <w:spacing w:after="0" w:line="260" w:lineRule="atLeast"/>
        <w:ind w:firstLine="562"/>
        <w:jc w:val="both"/>
        <w:rPr>
          <w:rFonts w:ascii="Times New Roman" w:hAnsi="Times New Roman" w:cs="Times New Roman"/>
          <w:sz w:val="20"/>
          <w:szCs w:val="20"/>
        </w:rPr>
      </w:pPr>
    </w:p>
    <w:p w:rsidR="00AF3AB6" w:rsidRPr="00DD1AA7" w:rsidRDefault="00AF3AB6" w:rsidP="000E36A9">
      <w:pPr>
        <w:spacing w:after="0" w:line="260" w:lineRule="atLeast"/>
        <w:ind w:firstLine="562"/>
        <w:jc w:val="both"/>
        <w:rPr>
          <w:rFonts w:ascii="Times New Roman" w:hAnsi="Times New Roman" w:cs="Times New Roman"/>
          <w:sz w:val="20"/>
          <w:szCs w:val="20"/>
        </w:rPr>
      </w:pPr>
      <w:r w:rsidRPr="00DD1AA7">
        <w:rPr>
          <w:rFonts w:ascii="Times New Roman" w:hAnsi="Times New Roman" w:cs="Times New Roman"/>
          <w:sz w:val="20"/>
          <w:szCs w:val="20"/>
        </w:rPr>
        <w:t>Also, the URT recognize international cooperation as useful tool of ensuring safe and security of radiation sources by collaborating with international organizations such as the IAEA and its member states</w:t>
      </w:r>
      <w:r w:rsidR="00D01E1F" w:rsidRPr="00DD1AA7">
        <w:rPr>
          <w:rFonts w:ascii="Times New Roman" w:hAnsi="Times New Roman" w:cs="Times New Roman"/>
          <w:sz w:val="20"/>
          <w:szCs w:val="20"/>
        </w:rPr>
        <w:t>, US DOE and EU</w:t>
      </w:r>
      <w:r w:rsidRPr="00DD1AA7">
        <w:rPr>
          <w:rFonts w:ascii="Times New Roman" w:hAnsi="Times New Roman" w:cs="Times New Roman"/>
          <w:sz w:val="20"/>
          <w:szCs w:val="20"/>
        </w:rPr>
        <w:t xml:space="preserve">. </w:t>
      </w:r>
      <w:r w:rsidR="00B21B8D" w:rsidRPr="00DD1AA7">
        <w:rPr>
          <w:rFonts w:ascii="Times New Roman" w:hAnsi="Times New Roman" w:cs="Times New Roman"/>
          <w:sz w:val="20"/>
          <w:szCs w:val="20"/>
        </w:rPr>
        <w:t>Through these</w:t>
      </w:r>
      <w:r w:rsidR="00864A5B" w:rsidRPr="00DD1AA7">
        <w:rPr>
          <w:rFonts w:ascii="Times New Roman" w:hAnsi="Times New Roman" w:cs="Times New Roman"/>
          <w:sz w:val="20"/>
          <w:szCs w:val="20"/>
        </w:rPr>
        <w:t xml:space="preserve"> </w:t>
      </w:r>
      <w:r w:rsidR="00B21B8D" w:rsidRPr="00DD1AA7">
        <w:rPr>
          <w:rFonts w:ascii="Times New Roman" w:hAnsi="Times New Roman" w:cs="Times New Roman"/>
          <w:sz w:val="20"/>
          <w:szCs w:val="20"/>
        </w:rPr>
        <w:t>cooperation</w:t>
      </w:r>
      <w:r w:rsidR="00864A5B" w:rsidRPr="00DD1AA7">
        <w:rPr>
          <w:rFonts w:ascii="Times New Roman" w:hAnsi="Times New Roman" w:cs="Times New Roman"/>
          <w:sz w:val="20"/>
          <w:szCs w:val="20"/>
        </w:rPr>
        <w:t xml:space="preserve">, the country has the opportunity to gain experience and information that </w:t>
      </w:r>
      <w:r w:rsidR="00B21B8D" w:rsidRPr="00DD1AA7">
        <w:rPr>
          <w:rFonts w:ascii="Times New Roman" w:hAnsi="Times New Roman" w:cs="Times New Roman"/>
          <w:sz w:val="20"/>
          <w:szCs w:val="20"/>
        </w:rPr>
        <w:t xml:space="preserve">can </w:t>
      </w:r>
      <w:r w:rsidR="00864A5B" w:rsidRPr="00DD1AA7">
        <w:rPr>
          <w:rFonts w:ascii="Times New Roman" w:hAnsi="Times New Roman" w:cs="Times New Roman"/>
          <w:sz w:val="20"/>
          <w:szCs w:val="20"/>
        </w:rPr>
        <w:t xml:space="preserve">helps to </w:t>
      </w:r>
      <w:r w:rsidR="00B21B8D" w:rsidRPr="00DD1AA7">
        <w:rPr>
          <w:rFonts w:ascii="Times New Roman" w:hAnsi="Times New Roman" w:cs="Times New Roman"/>
          <w:sz w:val="20"/>
          <w:szCs w:val="20"/>
        </w:rPr>
        <w:t xml:space="preserve">detect and prevent any unauthorized movement of radioactive materials in and outside the county, and hence increase the levels of nuclear and radiation safety around the global. </w:t>
      </w:r>
    </w:p>
    <w:p w:rsidR="00AF3AB6" w:rsidRPr="00716154" w:rsidRDefault="00AF3AB6" w:rsidP="00AF3AB6">
      <w:pPr>
        <w:spacing w:line="240" w:lineRule="auto"/>
        <w:jc w:val="center"/>
        <w:rPr>
          <w:rFonts w:ascii="Times New Roman" w:hAnsi="Times New Roman" w:cs="Times New Roman"/>
          <w:sz w:val="20"/>
          <w:szCs w:val="20"/>
        </w:rPr>
      </w:pPr>
    </w:p>
    <w:p w:rsidR="00A6246D" w:rsidRPr="000E36A9" w:rsidRDefault="000E36A9" w:rsidP="000E36A9">
      <w:pPr>
        <w:pStyle w:val="ListParagraph"/>
        <w:numPr>
          <w:ilvl w:val="0"/>
          <w:numId w:val="2"/>
        </w:numPr>
        <w:spacing w:before="100" w:beforeAutospacing="1" w:after="100" w:afterAutospacing="1" w:line="280" w:lineRule="atLeast"/>
        <w:ind w:hanging="720"/>
        <w:outlineLvl w:val="1"/>
      </w:pPr>
      <w:r w:rsidRPr="000E36A9">
        <w:t>CONCLUSION</w:t>
      </w:r>
    </w:p>
    <w:p w:rsidR="00CB748B" w:rsidRPr="00E56E49" w:rsidRDefault="00A6246D">
      <w:pPr>
        <w:spacing w:line="240" w:lineRule="auto"/>
        <w:jc w:val="both"/>
        <w:rPr>
          <w:rFonts w:ascii="Times New Roman" w:hAnsi="Times New Roman" w:cs="Times New Roman"/>
          <w:b/>
          <w:sz w:val="20"/>
          <w:szCs w:val="20"/>
        </w:rPr>
      </w:pPr>
      <w:r w:rsidRPr="002F1364">
        <w:rPr>
          <w:rFonts w:ascii="Times New Roman" w:hAnsi="Times New Roman" w:cs="Times New Roman"/>
          <w:sz w:val="20"/>
          <w:szCs w:val="20"/>
        </w:rPr>
        <w:t xml:space="preserve">The world has benefited economically and socially through the use of radiation sources </w:t>
      </w:r>
      <w:r w:rsidR="00D01E1F" w:rsidRPr="002F1364">
        <w:rPr>
          <w:rFonts w:ascii="Times New Roman" w:hAnsi="Times New Roman" w:cs="Times New Roman"/>
          <w:sz w:val="20"/>
          <w:szCs w:val="20"/>
        </w:rPr>
        <w:t>in various legi</w:t>
      </w:r>
      <w:r w:rsidR="00C91827" w:rsidRPr="002F1364">
        <w:rPr>
          <w:rFonts w:ascii="Times New Roman" w:hAnsi="Times New Roman" w:cs="Times New Roman"/>
          <w:sz w:val="20"/>
          <w:szCs w:val="20"/>
        </w:rPr>
        <w:t>ti</w:t>
      </w:r>
      <w:r w:rsidR="00D01E1F" w:rsidRPr="002F1364">
        <w:rPr>
          <w:rFonts w:ascii="Times New Roman" w:hAnsi="Times New Roman" w:cs="Times New Roman"/>
          <w:sz w:val="20"/>
          <w:szCs w:val="20"/>
        </w:rPr>
        <w:t>mate applications</w:t>
      </w:r>
      <w:r w:rsidRPr="002F1364">
        <w:rPr>
          <w:rFonts w:ascii="Times New Roman" w:hAnsi="Times New Roman" w:cs="Times New Roman"/>
          <w:sz w:val="20"/>
          <w:szCs w:val="20"/>
        </w:rPr>
        <w:t xml:space="preserve">. </w:t>
      </w:r>
      <w:r w:rsidR="00FB21A4" w:rsidRPr="002F1364">
        <w:rPr>
          <w:rFonts w:ascii="Times New Roman" w:hAnsi="Times New Roman" w:cs="Times New Roman"/>
          <w:sz w:val="20"/>
          <w:szCs w:val="20"/>
        </w:rPr>
        <w:t>However, th</w:t>
      </w:r>
      <w:r w:rsidR="00D01E1F" w:rsidRPr="002F1364">
        <w:rPr>
          <w:rFonts w:ascii="Times New Roman" w:hAnsi="Times New Roman" w:cs="Times New Roman"/>
          <w:sz w:val="20"/>
          <w:szCs w:val="20"/>
        </w:rPr>
        <w:t>e</w:t>
      </w:r>
      <w:r w:rsidR="00FB21A4" w:rsidRPr="002F1364">
        <w:rPr>
          <w:rFonts w:ascii="Times New Roman" w:hAnsi="Times New Roman" w:cs="Times New Roman"/>
          <w:sz w:val="20"/>
          <w:szCs w:val="20"/>
        </w:rPr>
        <w:t xml:space="preserve"> beneficial </w:t>
      </w:r>
      <w:r w:rsidR="00D01E1F" w:rsidRPr="002F1364">
        <w:rPr>
          <w:rFonts w:ascii="Times New Roman" w:hAnsi="Times New Roman" w:cs="Times New Roman"/>
          <w:sz w:val="20"/>
          <w:szCs w:val="20"/>
        </w:rPr>
        <w:t>use</w:t>
      </w:r>
      <w:r w:rsidR="00FB21A4" w:rsidRPr="002F1364">
        <w:rPr>
          <w:rFonts w:ascii="Times New Roman" w:hAnsi="Times New Roman" w:cs="Times New Roman"/>
          <w:sz w:val="20"/>
          <w:szCs w:val="20"/>
        </w:rPr>
        <w:t xml:space="preserve"> of radiation </w:t>
      </w:r>
      <w:r w:rsidR="00C91827" w:rsidRPr="002F1364">
        <w:rPr>
          <w:rFonts w:ascii="Times New Roman" w:hAnsi="Times New Roman" w:cs="Times New Roman"/>
          <w:sz w:val="20"/>
          <w:szCs w:val="20"/>
        </w:rPr>
        <w:t>has a</w:t>
      </w:r>
      <w:r w:rsidR="00FB21A4" w:rsidRPr="002F1364">
        <w:rPr>
          <w:rFonts w:ascii="Times New Roman" w:hAnsi="Times New Roman" w:cs="Times New Roman"/>
          <w:sz w:val="20"/>
          <w:szCs w:val="20"/>
        </w:rPr>
        <w:t xml:space="preserve"> radiological concern to the human health and the environment. This is because of the increasing </w:t>
      </w:r>
      <w:r w:rsidR="000B68B1" w:rsidRPr="002F1364">
        <w:rPr>
          <w:rFonts w:ascii="Times New Roman" w:hAnsi="Times New Roman" w:cs="Times New Roman"/>
          <w:sz w:val="20"/>
          <w:szCs w:val="20"/>
        </w:rPr>
        <w:t xml:space="preserve">use of a </w:t>
      </w:r>
      <w:r w:rsidR="00FB21A4" w:rsidRPr="002F1364">
        <w:rPr>
          <w:rFonts w:ascii="Times New Roman" w:hAnsi="Times New Roman" w:cs="Times New Roman"/>
          <w:sz w:val="20"/>
          <w:szCs w:val="20"/>
        </w:rPr>
        <w:t xml:space="preserve">number of radiation sources </w:t>
      </w:r>
      <w:r w:rsidR="000B68B1" w:rsidRPr="002F1364">
        <w:rPr>
          <w:rFonts w:ascii="Times New Roman" w:hAnsi="Times New Roman" w:cs="Times New Roman"/>
          <w:sz w:val="20"/>
          <w:szCs w:val="20"/>
        </w:rPr>
        <w:t>create challenges on the capacity on</w:t>
      </w:r>
      <w:r w:rsidR="00FB21A4" w:rsidRPr="002F1364">
        <w:rPr>
          <w:rFonts w:ascii="Times New Roman" w:hAnsi="Times New Roman" w:cs="Times New Roman"/>
          <w:sz w:val="20"/>
          <w:szCs w:val="20"/>
        </w:rPr>
        <w:t xml:space="preserve"> the management and control of radiation sources</w:t>
      </w:r>
      <w:r w:rsidR="000B68B1" w:rsidRPr="002F1364">
        <w:rPr>
          <w:rFonts w:ascii="Times New Roman" w:hAnsi="Times New Roman" w:cs="Times New Roman"/>
          <w:sz w:val="20"/>
          <w:szCs w:val="20"/>
        </w:rPr>
        <w:t xml:space="preserve"> taking into consideration that today </w:t>
      </w:r>
      <w:r w:rsidR="004F605B" w:rsidRPr="002F1364">
        <w:rPr>
          <w:rFonts w:ascii="Times New Roman" w:hAnsi="Times New Roman" w:cs="Times New Roman"/>
          <w:sz w:val="20"/>
          <w:szCs w:val="20"/>
        </w:rPr>
        <w:t xml:space="preserve">radioactive materials/sources </w:t>
      </w:r>
      <w:r w:rsidR="000B68B1" w:rsidRPr="002F1364">
        <w:rPr>
          <w:rFonts w:ascii="Times New Roman" w:hAnsi="Times New Roman" w:cs="Times New Roman"/>
          <w:sz w:val="20"/>
          <w:szCs w:val="20"/>
        </w:rPr>
        <w:t>are</w:t>
      </w:r>
      <w:r w:rsidR="004F605B" w:rsidRPr="002F1364">
        <w:rPr>
          <w:rFonts w:ascii="Times New Roman" w:hAnsi="Times New Roman" w:cs="Times New Roman"/>
          <w:sz w:val="20"/>
          <w:szCs w:val="20"/>
        </w:rPr>
        <w:t xml:space="preserve"> target for malicious use, their safety and security is of paramount. </w:t>
      </w:r>
      <w:r w:rsidR="000B68B1" w:rsidRPr="002F1364">
        <w:rPr>
          <w:rFonts w:ascii="Times New Roman" w:hAnsi="Times New Roman" w:cs="Times New Roman"/>
          <w:sz w:val="20"/>
          <w:szCs w:val="20"/>
        </w:rPr>
        <w:t xml:space="preserve">In view of </w:t>
      </w:r>
      <w:r w:rsidR="00C91827" w:rsidRPr="002F1364">
        <w:rPr>
          <w:rFonts w:ascii="Times New Roman" w:hAnsi="Times New Roman" w:cs="Times New Roman"/>
          <w:sz w:val="20"/>
          <w:szCs w:val="20"/>
        </w:rPr>
        <w:t>this regulatory</w:t>
      </w:r>
      <w:r w:rsidR="004F605B" w:rsidRPr="002F1364">
        <w:rPr>
          <w:rFonts w:ascii="Times New Roman" w:hAnsi="Times New Roman" w:cs="Times New Roman"/>
          <w:sz w:val="20"/>
          <w:szCs w:val="20"/>
        </w:rPr>
        <w:t xml:space="preserve"> framework is needed to address the management throughout their life cycle. The United Republic of Tanzania has addresses</w:t>
      </w:r>
      <w:r w:rsidR="00CB748B" w:rsidRPr="002F1364">
        <w:rPr>
          <w:rFonts w:ascii="Times New Roman" w:hAnsi="Times New Roman" w:cs="Times New Roman"/>
          <w:sz w:val="20"/>
          <w:szCs w:val="20"/>
        </w:rPr>
        <w:t xml:space="preserve"> some of </w:t>
      </w:r>
      <w:r w:rsidR="004F605B" w:rsidRPr="002F1364">
        <w:rPr>
          <w:rFonts w:ascii="Times New Roman" w:hAnsi="Times New Roman" w:cs="Times New Roman"/>
          <w:sz w:val="20"/>
          <w:szCs w:val="20"/>
        </w:rPr>
        <w:t xml:space="preserve">these challenges </w:t>
      </w:r>
      <w:r w:rsidR="00CB748B" w:rsidRPr="002F1364">
        <w:rPr>
          <w:rFonts w:ascii="Times New Roman" w:hAnsi="Times New Roman" w:cs="Times New Roman"/>
          <w:sz w:val="20"/>
          <w:szCs w:val="20"/>
        </w:rPr>
        <w:t>including</w:t>
      </w:r>
      <w:r w:rsidR="004F605B" w:rsidRPr="002F1364">
        <w:rPr>
          <w:rFonts w:ascii="Times New Roman" w:hAnsi="Times New Roman" w:cs="Times New Roman"/>
          <w:sz w:val="20"/>
          <w:szCs w:val="20"/>
        </w:rPr>
        <w:t xml:space="preserve"> </w:t>
      </w:r>
      <w:r w:rsidR="00CB748B" w:rsidRPr="002F1364">
        <w:rPr>
          <w:rFonts w:ascii="Times New Roman" w:hAnsi="Times New Roman" w:cs="Times New Roman"/>
          <w:sz w:val="20"/>
          <w:szCs w:val="20"/>
        </w:rPr>
        <w:t>establishing of</w:t>
      </w:r>
      <w:r w:rsidR="004F605B" w:rsidRPr="002F1364">
        <w:rPr>
          <w:rFonts w:ascii="Times New Roman" w:hAnsi="Times New Roman" w:cs="Times New Roman"/>
          <w:sz w:val="20"/>
          <w:szCs w:val="20"/>
        </w:rPr>
        <w:t xml:space="preserve"> the </w:t>
      </w:r>
      <w:r w:rsidR="00CB748B" w:rsidRPr="002F1364">
        <w:rPr>
          <w:rFonts w:ascii="Times New Roman" w:hAnsi="Times New Roman" w:cs="Times New Roman"/>
          <w:sz w:val="20"/>
          <w:szCs w:val="20"/>
        </w:rPr>
        <w:t xml:space="preserve">law and </w:t>
      </w:r>
      <w:r w:rsidR="00C962E2" w:rsidRPr="002F1364">
        <w:rPr>
          <w:rFonts w:ascii="Times New Roman" w:hAnsi="Times New Roman" w:cs="Times New Roman"/>
          <w:sz w:val="20"/>
          <w:szCs w:val="20"/>
        </w:rPr>
        <w:t xml:space="preserve">associated </w:t>
      </w:r>
      <w:r w:rsidR="004F605B" w:rsidRPr="002F1364">
        <w:rPr>
          <w:rFonts w:ascii="Times New Roman" w:hAnsi="Times New Roman" w:cs="Times New Roman"/>
          <w:sz w:val="20"/>
          <w:szCs w:val="20"/>
        </w:rPr>
        <w:t>regulat</w:t>
      </w:r>
      <w:r w:rsidR="00CB748B" w:rsidRPr="002F1364">
        <w:rPr>
          <w:rFonts w:ascii="Times New Roman" w:hAnsi="Times New Roman" w:cs="Times New Roman"/>
          <w:sz w:val="20"/>
          <w:szCs w:val="20"/>
        </w:rPr>
        <w:t>i</w:t>
      </w:r>
      <w:r w:rsidR="004F605B" w:rsidRPr="002F1364">
        <w:rPr>
          <w:rFonts w:ascii="Times New Roman" w:hAnsi="Times New Roman" w:cs="Times New Roman"/>
          <w:sz w:val="20"/>
          <w:szCs w:val="20"/>
        </w:rPr>
        <w:t>o</w:t>
      </w:r>
      <w:r w:rsidR="00CB748B" w:rsidRPr="002F1364">
        <w:rPr>
          <w:rFonts w:ascii="Times New Roman" w:hAnsi="Times New Roman" w:cs="Times New Roman"/>
          <w:sz w:val="20"/>
          <w:szCs w:val="20"/>
        </w:rPr>
        <w:t xml:space="preserve">ns concerning </w:t>
      </w:r>
      <w:r w:rsidR="00C962E2" w:rsidRPr="002F1364">
        <w:rPr>
          <w:rFonts w:ascii="Times New Roman" w:hAnsi="Times New Roman" w:cs="Times New Roman"/>
          <w:sz w:val="20"/>
          <w:szCs w:val="20"/>
        </w:rPr>
        <w:t xml:space="preserve">the </w:t>
      </w:r>
      <w:r w:rsidR="00CB748B" w:rsidRPr="002F1364">
        <w:rPr>
          <w:rFonts w:ascii="Times New Roman" w:hAnsi="Times New Roman" w:cs="Times New Roman"/>
          <w:sz w:val="20"/>
          <w:szCs w:val="20"/>
        </w:rPr>
        <w:t>management of radioactive sources.</w:t>
      </w:r>
      <w:r w:rsidR="004F605B" w:rsidRPr="002F1364">
        <w:rPr>
          <w:rFonts w:ascii="Times New Roman" w:hAnsi="Times New Roman" w:cs="Times New Roman"/>
          <w:sz w:val="20"/>
          <w:szCs w:val="20"/>
        </w:rPr>
        <w:t xml:space="preserve"> </w:t>
      </w:r>
      <w:r w:rsidRPr="002F1364">
        <w:rPr>
          <w:rFonts w:ascii="Times New Roman" w:hAnsi="Times New Roman" w:cs="Times New Roman"/>
          <w:b/>
          <w:sz w:val="20"/>
          <w:szCs w:val="20"/>
        </w:rPr>
        <w:t xml:space="preserve"> </w:t>
      </w:r>
    </w:p>
    <w:p w:rsidR="006512C5" w:rsidRDefault="006512C5" w:rsidP="002F1364">
      <w:pPr>
        <w:spacing w:before="100" w:beforeAutospacing="1" w:after="100" w:afterAutospacing="1" w:line="260" w:lineRule="atLeast"/>
        <w:jc w:val="center"/>
        <w:rPr>
          <w:rFonts w:ascii="Times New Roman" w:hAnsi="Times New Roman" w:cs="Times New Roman"/>
          <w:b/>
          <w:sz w:val="18"/>
          <w:szCs w:val="18"/>
          <w:lang w:val="en-US"/>
        </w:rPr>
      </w:pPr>
    </w:p>
    <w:p w:rsidR="007949F7" w:rsidRPr="005F2684" w:rsidRDefault="007949F7" w:rsidP="002F1364">
      <w:pPr>
        <w:spacing w:before="100" w:beforeAutospacing="1" w:after="100" w:afterAutospacing="1" w:line="260" w:lineRule="atLeast"/>
        <w:jc w:val="center"/>
        <w:rPr>
          <w:rFonts w:ascii="Times New Roman" w:hAnsi="Times New Roman" w:cs="Times New Roman"/>
          <w:b/>
          <w:sz w:val="18"/>
          <w:szCs w:val="18"/>
          <w:lang w:val="en-US"/>
        </w:rPr>
      </w:pPr>
      <w:r w:rsidRPr="005F2684">
        <w:rPr>
          <w:rFonts w:ascii="Times New Roman" w:hAnsi="Times New Roman" w:cs="Times New Roman"/>
          <w:b/>
          <w:sz w:val="18"/>
          <w:szCs w:val="18"/>
          <w:lang w:val="en-US"/>
        </w:rPr>
        <w:t>REFERENCES:</w:t>
      </w:r>
    </w:p>
    <w:p w:rsidR="00594D75" w:rsidRPr="005F2684" w:rsidRDefault="00AE0FEC"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b/>
          <w:sz w:val="18"/>
          <w:szCs w:val="18"/>
          <w:lang w:val="en-US"/>
        </w:rPr>
        <w:fldChar w:fldCharType="begin"/>
      </w:r>
      <w:r w:rsidRPr="005F2684">
        <w:rPr>
          <w:rFonts w:ascii="Times New Roman" w:hAnsi="Times New Roman" w:cs="Times New Roman"/>
          <w:b/>
          <w:sz w:val="18"/>
          <w:szCs w:val="18"/>
          <w:lang w:val="en-US"/>
        </w:rPr>
        <w:instrText xml:space="preserve"> ADDIN ZOTERO_BIBL {"uncited":[],"omitted":[],"custom":[]} CSL_BIBLIOGRAPHY </w:instrText>
      </w:r>
      <w:r w:rsidRPr="005F2684">
        <w:rPr>
          <w:rFonts w:ascii="Times New Roman" w:hAnsi="Times New Roman" w:cs="Times New Roman"/>
          <w:b/>
          <w:sz w:val="18"/>
          <w:szCs w:val="18"/>
          <w:lang w:val="en-US"/>
        </w:rPr>
        <w:fldChar w:fldCharType="separate"/>
      </w:r>
      <w:r w:rsidR="00594D75" w:rsidRPr="005F2684">
        <w:rPr>
          <w:rFonts w:ascii="Times New Roman" w:hAnsi="Times New Roman" w:cs="Times New Roman"/>
          <w:sz w:val="18"/>
          <w:szCs w:val="18"/>
        </w:rPr>
        <w:t>[1]</w:t>
      </w:r>
      <w:r w:rsidR="00594D75" w:rsidRPr="005F2684">
        <w:rPr>
          <w:rFonts w:ascii="Times New Roman" w:hAnsi="Times New Roman" w:cs="Times New Roman"/>
          <w:sz w:val="18"/>
          <w:szCs w:val="18"/>
        </w:rPr>
        <w:tab/>
        <w:t xml:space="preserve">International Atomic Energy Agency, </w:t>
      </w:r>
      <w:r w:rsidR="00594D75" w:rsidRPr="005F2684">
        <w:rPr>
          <w:rFonts w:ascii="Times New Roman" w:hAnsi="Times New Roman" w:cs="Times New Roman"/>
          <w:i/>
          <w:iCs/>
          <w:sz w:val="18"/>
          <w:szCs w:val="18"/>
        </w:rPr>
        <w:t>Management of Disused Sealed Radioactive Sources</w:t>
      </w:r>
      <w:r w:rsidR="00594D75" w:rsidRPr="005F2684">
        <w:rPr>
          <w:rFonts w:ascii="Times New Roman" w:hAnsi="Times New Roman" w:cs="Times New Roman"/>
          <w:sz w:val="18"/>
          <w:szCs w:val="18"/>
        </w:rPr>
        <w:t>. Vienna: IAEA, 2014.</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[2]</w:t>
      </w:r>
      <w:r w:rsidRPr="005F2684">
        <w:rPr>
          <w:rFonts w:ascii="Times New Roman" w:hAnsi="Times New Roman" w:cs="Times New Roman"/>
          <w:sz w:val="18"/>
          <w:szCs w:val="18"/>
        </w:rPr>
        <w:tab/>
        <w:t xml:space="preserve">International Atomic Energy Agency, </w:t>
      </w:r>
      <w:r w:rsidRPr="005F2684">
        <w:rPr>
          <w:rFonts w:ascii="Times New Roman" w:hAnsi="Times New Roman" w:cs="Times New Roman"/>
          <w:i/>
          <w:iCs/>
          <w:sz w:val="18"/>
          <w:szCs w:val="18"/>
        </w:rPr>
        <w:t>Categorization of Radioactive Sources</w:t>
      </w:r>
      <w:r w:rsidRPr="005F2684">
        <w:rPr>
          <w:rFonts w:ascii="Times New Roman" w:hAnsi="Times New Roman" w:cs="Times New Roman"/>
          <w:sz w:val="18"/>
          <w:szCs w:val="18"/>
        </w:rPr>
        <w:t>. Vienna: IAEA, 2005.</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[3]</w:t>
      </w:r>
      <w:r w:rsidRPr="005F2684">
        <w:rPr>
          <w:rFonts w:ascii="Times New Roman" w:hAnsi="Times New Roman" w:cs="Times New Roman"/>
          <w:sz w:val="18"/>
          <w:szCs w:val="18"/>
        </w:rPr>
        <w:tab/>
        <w:t xml:space="preserve">International Atomic Energy Agency, </w:t>
      </w:r>
      <w:r w:rsidRPr="005F2684">
        <w:rPr>
          <w:rFonts w:ascii="Times New Roman" w:hAnsi="Times New Roman" w:cs="Times New Roman"/>
          <w:i/>
          <w:iCs/>
          <w:sz w:val="18"/>
          <w:szCs w:val="18"/>
        </w:rPr>
        <w:t>Radiation Protection and Safety of Radiation Sources: International Basic Safety Standards</w:t>
      </w:r>
      <w:r w:rsidRPr="005F2684">
        <w:rPr>
          <w:rFonts w:ascii="Times New Roman" w:hAnsi="Times New Roman" w:cs="Times New Roman"/>
          <w:sz w:val="18"/>
          <w:szCs w:val="18"/>
        </w:rPr>
        <w:t>. Vienna: IAEA, 2014.</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[4]</w:t>
      </w:r>
      <w:r w:rsidRPr="005F2684">
        <w:rPr>
          <w:rFonts w:ascii="Times New Roman" w:hAnsi="Times New Roman" w:cs="Times New Roman"/>
          <w:sz w:val="18"/>
          <w:szCs w:val="18"/>
        </w:rPr>
        <w:tab/>
        <w:t>The United Republic of Tanzania, “The Atomic Energy Act, number 7 of 2003.” 2003. [Online]. Available: https://www.taec.go.tz/documents/</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[5]</w:t>
      </w:r>
      <w:r w:rsidRPr="005F2684">
        <w:rPr>
          <w:rFonts w:ascii="Times New Roman" w:hAnsi="Times New Roman" w:cs="Times New Roman"/>
          <w:sz w:val="18"/>
          <w:szCs w:val="18"/>
        </w:rPr>
        <w:tab/>
        <w:t>The United Republic of Tanzania, “The Atomic Energy (Protection from Ionizing Radiation) Regulations, 2004.” 2004. [Online]. Available: https://www.taec.go.tz/documents/</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[6]</w:t>
      </w:r>
      <w:r w:rsidRPr="005F2684">
        <w:rPr>
          <w:rFonts w:ascii="Times New Roman" w:hAnsi="Times New Roman" w:cs="Times New Roman"/>
          <w:sz w:val="18"/>
          <w:szCs w:val="18"/>
        </w:rPr>
        <w:tab/>
        <w:t>The United Republic of Tanzania, “Radioactive Waste Management for the Protection of Human Health and Environment Regulations, 1999.” 1999. [Online]. Available: https://www.taec.go.tz/documents/</w:t>
      </w:r>
    </w:p>
    <w:p w:rsidR="00594D75" w:rsidRPr="005F2684" w:rsidRDefault="00594D75" w:rsidP="006512C5">
      <w:pPr>
        <w:pStyle w:val="Bibliography"/>
        <w:spacing w:line="260" w:lineRule="atLeast"/>
        <w:ind w:left="720"/>
        <w:jc w:val="both"/>
        <w:rPr>
          <w:rFonts w:ascii="Times New Roman" w:hAnsi="Times New Roman" w:cs="Times New Roman"/>
          <w:sz w:val="18"/>
          <w:szCs w:val="18"/>
        </w:rPr>
      </w:pPr>
      <w:r w:rsidRPr="005F2684">
        <w:rPr>
          <w:rFonts w:ascii="Times New Roman" w:hAnsi="Times New Roman" w:cs="Times New Roman"/>
          <w:sz w:val="18"/>
          <w:szCs w:val="18"/>
        </w:rPr>
        <w:t>[7]</w:t>
      </w:r>
      <w:r w:rsidRPr="005F2684">
        <w:rPr>
          <w:rFonts w:ascii="Times New Roman" w:hAnsi="Times New Roman" w:cs="Times New Roman"/>
          <w:sz w:val="18"/>
          <w:szCs w:val="18"/>
        </w:rPr>
        <w:tab/>
        <w:t>The United Republic of Tanzania, “The Packaging and Transport of Radioactive Materials Regulations.” 2011. [Online]. Available: https://www.taec.go.tz/documents/</w:t>
      </w:r>
    </w:p>
    <w:p w:rsidR="00AE0FEC" w:rsidRPr="00E24C5C" w:rsidRDefault="00AE0FEC" w:rsidP="006512C5">
      <w:pPr>
        <w:spacing w:after="0" w:line="260" w:lineRule="atLeast"/>
        <w:ind w:left="720"/>
        <w:jc w:val="both"/>
        <w:rPr>
          <w:rFonts w:ascii="Times New Roman" w:hAnsi="Times New Roman" w:cs="Times New Roman"/>
          <w:b/>
          <w:sz w:val="18"/>
          <w:szCs w:val="18"/>
          <w:lang w:val="en-US"/>
        </w:rPr>
      </w:pPr>
      <w:r w:rsidRPr="005F2684">
        <w:rPr>
          <w:rFonts w:ascii="Times New Roman" w:hAnsi="Times New Roman" w:cs="Times New Roman"/>
          <w:b/>
          <w:sz w:val="18"/>
          <w:szCs w:val="18"/>
          <w:lang w:val="en-US"/>
        </w:rPr>
        <w:fldChar w:fldCharType="end"/>
      </w:r>
    </w:p>
    <w:sectPr w:rsidR="00AE0FEC" w:rsidRPr="00E24C5C">
      <w:headerReference w:type="default" r:id="rId16"/>
      <w:footerReference w:type="default" r:id="rId17"/>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93" w:rsidRDefault="00065493" w:rsidP="00BD2AF9">
      <w:pPr>
        <w:spacing w:after="0" w:line="240" w:lineRule="auto"/>
      </w:pPr>
      <w:r>
        <w:separator/>
      </w:r>
    </w:p>
  </w:endnote>
  <w:endnote w:type="continuationSeparator" w:id="0">
    <w:p w:rsidR="00065493" w:rsidRDefault="00065493" w:rsidP="00BD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5738"/>
      <w:docPartObj>
        <w:docPartGallery w:val="Page Numbers (Bottom of Page)"/>
        <w:docPartUnique/>
      </w:docPartObj>
    </w:sdtPr>
    <w:sdtEndPr>
      <w:rPr>
        <w:noProof/>
      </w:rPr>
    </w:sdtEndPr>
    <w:sdtContent>
      <w:p w:rsidR="005F2684" w:rsidRDefault="005F2684">
        <w:pPr>
          <w:pStyle w:val="Footer"/>
          <w:jc w:val="right"/>
        </w:pPr>
        <w:r>
          <w:fldChar w:fldCharType="begin"/>
        </w:r>
        <w:r>
          <w:instrText xml:space="preserve"> PAGE   \* MERGEFORMAT </w:instrText>
        </w:r>
        <w:r>
          <w:fldChar w:fldCharType="separate"/>
        </w:r>
        <w:r w:rsidR="004362E0">
          <w:rPr>
            <w:noProof/>
          </w:rPr>
          <w:t>1</w:t>
        </w:r>
        <w:r>
          <w:rPr>
            <w:noProof/>
          </w:rPr>
          <w:fldChar w:fldCharType="end"/>
        </w:r>
      </w:p>
    </w:sdtContent>
  </w:sdt>
  <w:p w:rsidR="005F2684" w:rsidRDefault="005F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93" w:rsidRDefault="00065493" w:rsidP="00BD2AF9">
      <w:pPr>
        <w:spacing w:after="0" w:line="240" w:lineRule="auto"/>
      </w:pPr>
      <w:r>
        <w:separator/>
      </w:r>
    </w:p>
  </w:footnote>
  <w:footnote w:type="continuationSeparator" w:id="0">
    <w:p w:rsidR="00065493" w:rsidRDefault="00065493" w:rsidP="00BD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1F" w:rsidRDefault="00D01E1F">
    <w:pPr>
      <w:pStyle w:val="Header"/>
      <w:jc w:val="right"/>
    </w:pPr>
  </w:p>
  <w:p w:rsidR="00D01E1F" w:rsidRDefault="00D01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08E"/>
    <w:multiLevelType w:val="hybridMultilevel"/>
    <w:tmpl w:val="6C10306E"/>
    <w:lvl w:ilvl="0" w:tplc="6F022A98">
      <w:start w:val="1"/>
      <w:numFmt w:val="bullet"/>
      <w:lvlText w:val="•"/>
      <w:lvlJc w:val="left"/>
      <w:pPr>
        <w:tabs>
          <w:tab w:val="num" w:pos="720"/>
        </w:tabs>
        <w:ind w:left="720" w:hanging="360"/>
      </w:pPr>
      <w:rPr>
        <w:rFonts w:ascii="Times New Roman" w:hAnsi="Times New Roman" w:hint="default"/>
      </w:rPr>
    </w:lvl>
    <w:lvl w:ilvl="1" w:tplc="7918FE6C" w:tentative="1">
      <w:start w:val="1"/>
      <w:numFmt w:val="bullet"/>
      <w:lvlText w:val="•"/>
      <w:lvlJc w:val="left"/>
      <w:pPr>
        <w:tabs>
          <w:tab w:val="num" w:pos="1440"/>
        </w:tabs>
        <w:ind w:left="1440" w:hanging="360"/>
      </w:pPr>
      <w:rPr>
        <w:rFonts w:ascii="Times New Roman" w:hAnsi="Times New Roman" w:hint="default"/>
      </w:rPr>
    </w:lvl>
    <w:lvl w:ilvl="2" w:tplc="2C8AF498" w:tentative="1">
      <w:start w:val="1"/>
      <w:numFmt w:val="bullet"/>
      <w:lvlText w:val="•"/>
      <w:lvlJc w:val="left"/>
      <w:pPr>
        <w:tabs>
          <w:tab w:val="num" w:pos="2160"/>
        </w:tabs>
        <w:ind w:left="2160" w:hanging="360"/>
      </w:pPr>
      <w:rPr>
        <w:rFonts w:ascii="Times New Roman" w:hAnsi="Times New Roman" w:hint="default"/>
      </w:rPr>
    </w:lvl>
    <w:lvl w:ilvl="3" w:tplc="15DE6C16" w:tentative="1">
      <w:start w:val="1"/>
      <w:numFmt w:val="bullet"/>
      <w:lvlText w:val="•"/>
      <w:lvlJc w:val="left"/>
      <w:pPr>
        <w:tabs>
          <w:tab w:val="num" w:pos="2880"/>
        </w:tabs>
        <w:ind w:left="2880" w:hanging="360"/>
      </w:pPr>
      <w:rPr>
        <w:rFonts w:ascii="Times New Roman" w:hAnsi="Times New Roman" w:hint="default"/>
      </w:rPr>
    </w:lvl>
    <w:lvl w:ilvl="4" w:tplc="0D4EAC90" w:tentative="1">
      <w:start w:val="1"/>
      <w:numFmt w:val="bullet"/>
      <w:lvlText w:val="•"/>
      <w:lvlJc w:val="left"/>
      <w:pPr>
        <w:tabs>
          <w:tab w:val="num" w:pos="3600"/>
        </w:tabs>
        <w:ind w:left="3600" w:hanging="360"/>
      </w:pPr>
      <w:rPr>
        <w:rFonts w:ascii="Times New Roman" w:hAnsi="Times New Roman" w:hint="default"/>
      </w:rPr>
    </w:lvl>
    <w:lvl w:ilvl="5" w:tplc="85C8CDA2" w:tentative="1">
      <w:start w:val="1"/>
      <w:numFmt w:val="bullet"/>
      <w:lvlText w:val="•"/>
      <w:lvlJc w:val="left"/>
      <w:pPr>
        <w:tabs>
          <w:tab w:val="num" w:pos="4320"/>
        </w:tabs>
        <w:ind w:left="4320" w:hanging="360"/>
      </w:pPr>
      <w:rPr>
        <w:rFonts w:ascii="Times New Roman" w:hAnsi="Times New Roman" w:hint="default"/>
      </w:rPr>
    </w:lvl>
    <w:lvl w:ilvl="6" w:tplc="6444ED6E" w:tentative="1">
      <w:start w:val="1"/>
      <w:numFmt w:val="bullet"/>
      <w:lvlText w:val="•"/>
      <w:lvlJc w:val="left"/>
      <w:pPr>
        <w:tabs>
          <w:tab w:val="num" w:pos="5040"/>
        </w:tabs>
        <w:ind w:left="5040" w:hanging="360"/>
      </w:pPr>
      <w:rPr>
        <w:rFonts w:ascii="Times New Roman" w:hAnsi="Times New Roman" w:hint="default"/>
      </w:rPr>
    </w:lvl>
    <w:lvl w:ilvl="7" w:tplc="2E6A15D2" w:tentative="1">
      <w:start w:val="1"/>
      <w:numFmt w:val="bullet"/>
      <w:lvlText w:val="•"/>
      <w:lvlJc w:val="left"/>
      <w:pPr>
        <w:tabs>
          <w:tab w:val="num" w:pos="5760"/>
        </w:tabs>
        <w:ind w:left="5760" w:hanging="360"/>
      </w:pPr>
      <w:rPr>
        <w:rFonts w:ascii="Times New Roman" w:hAnsi="Times New Roman" w:hint="default"/>
      </w:rPr>
    </w:lvl>
    <w:lvl w:ilvl="8" w:tplc="5B2AC2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56C41"/>
    <w:multiLevelType w:val="hybridMultilevel"/>
    <w:tmpl w:val="0F848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9"/>
    <w:rsid w:val="00057AF2"/>
    <w:rsid w:val="00065493"/>
    <w:rsid w:val="000709E5"/>
    <w:rsid w:val="000A0B96"/>
    <w:rsid w:val="000A758E"/>
    <w:rsid w:val="000B1454"/>
    <w:rsid w:val="000B68B1"/>
    <w:rsid w:val="000B79A4"/>
    <w:rsid w:val="000D48A1"/>
    <w:rsid w:val="000E344C"/>
    <w:rsid w:val="000E36A9"/>
    <w:rsid w:val="000F0BF1"/>
    <w:rsid w:val="00116E3A"/>
    <w:rsid w:val="00147E59"/>
    <w:rsid w:val="00193284"/>
    <w:rsid w:val="001A4CD2"/>
    <w:rsid w:val="001C4D68"/>
    <w:rsid w:val="001F295E"/>
    <w:rsid w:val="002064B8"/>
    <w:rsid w:val="002071D3"/>
    <w:rsid w:val="00224549"/>
    <w:rsid w:val="00257D0B"/>
    <w:rsid w:val="00266509"/>
    <w:rsid w:val="002C31B6"/>
    <w:rsid w:val="002C37AD"/>
    <w:rsid w:val="002D0D82"/>
    <w:rsid w:val="002D564A"/>
    <w:rsid w:val="002E40DF"/>
    <w:rsid w:val="002F1364"/>
    <w:rsid w:val="002F516E"/>
    <w:rsid w:val="00344B0C"/>
    <w:rsid w:val="00354323"/>
    <w:rsid w:val="00362182"/>
    <w:rsid w:val="00363131"/>
    <w:rsid w:val="003725C0"/>
    <w:rsid w:val="00386C42"/>
    <w:rsid w:val="00392454"/>
    <w:rsid w:val="0039293E"/>
    <w:rsid w:val="00395B85"/>
    <w:rsid w:val="003E03CB"/>
    <w:rsid w:val="0040265E"/>
    <w:rsid w:val="00405E40"/>
    <w:rsid w:val="00407C6B"/>
    <w:rsid w:val="004362E0"/>
    <w:rsid w:val="0046076F"/>
    <w:rsid w:val="0046465A"/>
    <w:rsid w:val="00464E2C"/>
    <w:rsid w:val="0049325E"/>
    <w:rsid w:val="00495F11"/>
    <w:rsid w:val="004C11DC"/>
    <w:rsid w:val="004E26D3"/>
    <w:rsid w:val="004E6CE4"/>
    <w:rsid w:val="004F2486"/>
    <w:rsid w:val="004F605B"/>
    <w:rsid w:val="00521853"/>
    <w:rsid w:val="00523C4A"/>
    <w:rsid w:val="00530B85"/>
    <w:rsid w:val="00544E87"/>
    <w:rsid w:val="00551539"/>
    <w:rsid w:val="00553272"/>
    <w:rsid w:val="00560A49"/>
    <w:rsid w:val="005711D3"/>
    <w:rsid w:val="00582DE5"/>
    <w:rsid w:val="005902E2"/>
    <w:rsid w:val="00590616"/>
    <w:rsid w:val="00594D75"/>
    <w:rsid w:val="005B0439"/>
    <w:rsid w:val="005D760A"/>
    <w:rsid w:val="005F2684"/>
    <w:rsid w:val="005F505B"/>
    <w:rsid w:val="00623639"/>
    <w:rsid w:val="00627301"/>
    <w:rsid w:val="00642E35"/>
    <w:rsid w:val="00647244"/>
    <w:rsid w:val="006512C5"/>
    <w:rsid w:val="006652C1"/>
    <w:rsid w:val="00681123"/>
    <w:rsid w:val="00681F81"/>
    <w:rsid w:val="006B1B81"/>
    <w:rsid w:val="006F229F"/>
    <w:rsid w:val="006F636C"/>
    <w:rsid w:val="00706298"/>
    <w:rsid w:val="0070745A"/>
    <w:rsid w:val="00751AC3"/>
    <w:rsid w:val="00761FC5"/>
    <w:rsid w:val="00762BF3"/>
    <w:rsid w:val="00765074"/>
    <w:rsid w:val="007949F7"/>
    <w:rsid w:val="007C0626"/>
    <w:rsid w:val="007C403A"/>
    <w:rsid w:val="007D4853"/>
    <w:rsid w:val="007E0892"/>
    <w:rsid w:val="007E4F11"/>
    <w:rsid w:val="007F55D5"/>
    <w:rsid w:val="00826E2E"/>
    <w:rsid w:val="00834C67"/>
    <w:rsid w:val="00852D4A"/>
    <w:rsid w:val="00864A5B"/>
    <w:rsid w:val="00867BBF"/>
    <w:rsid w:val="00885E46"/>
    <w:rsid w:val="008B0548"/>
    <w:rsid w:val="008B207D"/>
    <w:rsid w:val="008B73E6"/>
    <w:rsid w:val="009078B5"/>
    <w:rsid w:val="009456CF"/>
    <w:rsid w:val="009475A0"/>
    <w:rsid w:val="00963FAA"/>
    <w:rsid w:val="00965136"/>
    <w:rsid w:val="009755E7"/>
    <w:rsid w:val="009A0C0C"/>
    <w:rsid w:val="009A4381"/>
    <w:rsid w:val="009D32C4"/>
    <w:rsid w:val="00A14C76"/>
    <w:rsid w:val="00A15E6A"/>
    <w:rsid w:val="00A33541"/>
    <w:rsid w:val="00A467DD"/>
    <w:rsid w:val="00A515ED"/>
    <w:rsid w:val="00A53CB4"/>
    <w:rsid w:val="00A5687F"/>
    <w:rsid w:val="00A6246D"/>
    <w:rsid w:val="00A66E09"/>
    <w:rsid w:val="00A75818"/>
    <w:rsid w:val="00A9726C"/>
    <w:rsid w:val="00AC1D7D"/>
    <w:rsid w:val="00AD5405"/>
    <w:rsid w:val="00AE0E78"/>
    <w:rsid w:val="00AE0FEC"/>
    <w:rsid w:val="00AF3AB6"/>
    <w:rsid w:val="00AF5A02"/>
    <w:rsid w:val="00B0585D"/>
    <w:rsid w:val="00B12FA5"/>
    <w:rsid w:val="00B158FA"/>
    <w:rsid w:val="00B21B8D"/>
    <w:rsid w:val="00B24D5D"/>
    <w:rsid w:val="00B254AC"/>
    <w:rsid w:val="00B263BB"/>
    <w:rsid w:val="00B60F2A"/>
    <w:rsid w:val="00B619E0"/>
    <w:rsid w:val="00B70208"/>
    <w:rsid w:val="00B72C24"/>
    <w:rsid w:val="00B91AFB"/>
    <w:rsid w:val="00BA225D"/>
    <w:rsid w:val="00BB157A"/>
    <w:rsid w:val="00BC3943"/>
    <w:rsid w:val="00BD2AF9"/>
    <w:rsid w:val="00BD5A16"/>
    <w:rsid w:val="00BE71E3"/>
    <w:rsid w:val="00C02578"/>
    <w:rsid w:val="00C64E06"/>
    <w:rsid w:val="00C72083"/>
    <w:rsid w:val="00C74DE7"/>
    <w:rsid w:val="00C826DD"/>
    <w:rsid w:val="00C82CCA"/>
    <w:rsid w:val="00C90803"/>
    <w:rsid w:val="00C91827"/>
    <w:rsid w:val="00C962E2"/>
    <w:rsid w:val="00CB748B"/>
    <w:rsid w:val="00CC292B"/>
    <w:rsid w:val="00CC5432"/>
    <w:rsid w:val="00CC6EDF"/>
    <w:rsid w:val="00CE50B7"/>
    <w:rsid w:val="00D01E1F"/>
    <w:rsid w:val="00D2025F"/>
    <w:rsid w:val="00D24F0F"/>
    <w:rsid w:val="00D666FE"/>
    <w:rsid w:val="00DC44B4"/>
    <w:rsid w:val="00DD1AA7"/>
    <w:rsid w:val="00DD6FA4"/>
    <w:rsid w:val="00DE118D"/>
    <w:rsid w:val="00DE326B"/>
    <w:rsid w:val="00E1261E"/>
    <w:rsid w:val="00E20A86"/>
    <w:rsid w:val="00E24C5C"/>
    <w:rsid w:val="00E56E49"/>
    <w:rsid w:val="00E7577F"/>
    <w:rsid w:val="00E8152E"/>
    <w:rsid w:val="00E82BC1"/>
    <w:rsid w:val="00ED5A26"/>
    <w:rsid w:val="00EF50C7"/>
    <w:rsid w:val="00F04AE3"/>
    <w:rsid w:val="00F3305F"/>
    <w:rsid w:val="00F774C2"/>
    <w:rsid w:val="00FB21A4"/>
    <w:rsid w:val="00FB3962"/>
    <w:rsid w:val="00FC3D9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73B27-1563-4171-AA14-D05D764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4C"/>
    <w:rPr>
      <w:color w:val="0563C1" w:themeColor="hyperlink"/>
      <w:u w:val="single"/>
    </w:rPr>
  </w:style>
  <w:style w:type="paragraph" w:styleId="Header">
    <w:name w:val="header"/>
    <w:basedOn w:val="Normal"/>
    <w:link w:val="HeaderChar"/>
    <w:uiPriority w:val="99"/>
    <w:unhideWhenUsed/>
    <w:rsid w:val="00BD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F9"/>
  </w:style>
  <w:style w:type="paragraph" w:styleId="Footer">
    <w:name w:val="footer"/>
    <w:basedOn w:val="Normal"/>
    <w:link w:val="FooterChar"/>
    <w:uiPriority w:val="99"/>
    <w:unhideWhenUsed/>
    <w:rsid w:val="00BD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F9"/>
  </w:style>
  <w:style w:type="paragraph" w:styleId="Bibliography">
    <w:name w:val="Bibliography"/>
    <w:basedOn w:val="Normal"/>
    <w:next w:val="Normal"/>
    <w:uiPriority w:val="37"/>
    <w:unhideWhenUsed/>
    <w:rsid w:val="007949F7"/>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54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87"/>
    <w:rPr>
      <w:rFonts w:ascii="Tahoma" w:hAnsi="Tahoma" w:cs="Tahoma"/>
      <w:sz w:val="16"/>
      <w:szCs w:val="16"/>
    </w:rPr>
  </w:style>
  <w:style w:type="paragraph" w:styleId="ListParagraph">
    <w:name w:val="List Paragraph"/>
    <w:basedOn w:val="Normal"/>
    <w:uiPriority w:val="34"/>
    <w:qFormat/>
    <w:rsid w:val="00D01E1F"/>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0523">
      <w:bodyDiv w:val="1"/>
      <w:marLeft w:val="0"/>
      <w:marRight w:val="0"/>
      <w:marTop w:val="0"/>
      <w:marBottom w:val="0"/>
      <w:divBdr>
        <w:top w:val="none" w:sz="0" w:space="0" w:color="auto"/>
        <w:left w:val="none" w:sz="0" w:space="0" w:color="auto"/>
        <w:bottom w:val="none" w:sz="0" w:space="0" w:color="auto"/>
        <w:right w:val="none" w:sz="0" w:space="0" w:color="auto"/>
      </w:divBdr>
      <w:divsChild>
        <w:div w:id="18403487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juni.rweyemamu@taec.go.tz"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Sheet2!$A$2:$A$8</c:f>
              <c:strCache>
                <c:ptCount val="7"/>
                <c:pt idx="0">
                  <c:v>Medical</c:v>
                </c:pt>
                <c:pt idx="1">
                  <c:v>Industrial &amp; Road Construction</c:v>
                </c:pt>
                <c:pt idx="2">
                  <c:v>Security Screening</c:v>
                </c:pt>
                <c:pt idx="3">
                  <c:v>Research and Teaching</c:v>
                </c:pt>
                <c:pt idx="4">
                  <c:v>Mineral Exploration and Processing</c:v>
                </c:pt>
                <c:pt idx="5">
                  <c:v>NDT &amp; Well Logging</c:v>
                </c:pt>
                <c:pt idx="6">
                  <c:v>Radiotheraphy</c:v>
                </c:pt>
              </c:strCache>
            </c:strRef>
          </c:cat>
          <c:val>
            <c:numRef>
              <c:f>Sheet2!$B$2:$B$8</c:f>
              <c:numCache>
                <c:formatCode>General</c:formatCode>
                <c:ptCount val="7"/>
                <c:pt idx="0">
                  <c:v>77</c:v>
                </c:pt>
                <c:pt idx="1">
                  <c:v>12</c:v>
                </c:pt>
                <c:pt idx="2">
                  <c:v>6</c:v>
                </c:pt>
                <c:pt idx="3">
                  <c:v>2</c:v>
                </c:pt>
                <c:pt idx="4">
                  <c:v>1</c:v>
                </c:pt>
                <c:pt idx="5">
                  <c:v>1</c:v>
                </c:pt>
                <c:pt idx="6">
                  <c:v>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F600FC-0C62-4384-BFDE-39372A22CD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C506DA1-CC23-486B-9085-F34C287CFA76}">
      <dgm:prSet phldrT="[Text]" custT="1">
        <dgm:style>
          <a:lnRef idx="2">
            <a:schemeClr val="dk1"/>
          </a:lnRef>
          <a:fillRef idx="1">
            <a:schemeClr val="lt1"/>
          </a:fillRef>
          <a:effectRef idx="0">
            <a:schemeClr val="dk1"/>
          </a:effectRef>
          <a:fontRef idx="minor">
            <a:schemeClr val="dk1"/>
          </a:fontRef>
        </dgm:style>
      </dgm:prSet>
      <dgm:spPr>
        <a:xfrm>
          <a:off x="2003213" y="121877"/>
          <a:ext cx="1655233" cy="827616"/>
        </a:xfrm>
        <a:solidFill>
          <a:sysClr val="window" lastClr="FFFFFF"/>
        </a:solidFill>
        <a:ln w="12700" cap="flat" cmpd="sng" algn="ctr">
          <a:solidFill>
            <a:sysClr val="windowText" lastClr="000000"/>
          </a:solidFill>
          <a:prstDash val="solid"/>
          <a:miter lim="800000"/>
        </a:ln>
        <a:effectLst/>
      </dgm:spPr>
      <dgm:t>
        <a:bodyPr/>
        <a:lstStyle/>
        <a:p>
          <a:r>
            <a:rPr lang="en-GB" sz="1000">
              <a:solidFill>
                <a:sysClr val="windowText" lastClr="000000"/>
              </a:solidFill>
              <a:latin typeface="Times New Roman" panose="02020603050405020304" pitchFamily="18" charset="0"/>
              <a:ea typeface="+mn-ea"/>
              <a:cs typeface="Times New Roman" panose="02020603050405020304" pitchFamily="18" charset="0"/>
            </a:rPr>
            <a:t>The Atomic Energy Act, No.7 of 2003</a:t>
          </a:r>
        </a:p>
      </dgm:t>
    </dgm:pt>
    <dgm:pt modelId="{C6A49A0E-2308-4488-84BF-D927A4399B1A}" type="parTrans" cxnId="{A4B21C34-7B41-49E3-97E6-9A8D868FDB66}">
      <dgm:prSet/>
      <dgm:spPr/>
      <dgm:t>
        <a:bodyPr/>
        <a:lstStyle/>
        <a:p>
          <a:endParaRPr lang="en-GB"/>
        </a:p>
      </dgm:t>
    </dgm:pt>
    <dgm:pt modelId="{0A3C459C-F91B-46BC-AA5A-E6BCA3E9F827}" type="sibTrans" cxnId="{A4B21C34-7B41-49E3-97E6-9A8D868FDB66}">
      <dgm:prSet/>
      <dgm:spPr/>
      <dgm:t>
        <a:bodyPr/>
        <a:lstStyle/>
        <a:p>
          <a:endParaRPr lang="en-GB"/>
        </a:p>
      </dgm:t>
    </dgm:pt>
    <dgm:pt modelId="{CCDDAAC8-5167-40EE-9B30-7FAC5760E5D8}">
      <dgm:prSet phldrT="[Text]" custT="1">
        <dgm:style>
          <a:lnRef idx="2">
            <a:schemeClr val="dk1"/>
          </a:lnRef>
          <a:fillRef idx="1">
            <a:schemeClr val="lt1"/>
          </a:fillRef>
          <a:effectRef idx="0">
            <a:schemeClr val="dk1"/>
          </a:effectRef>
          <a:fontRef idx="minor">
            <a:schemeClr val="dk1"/>
          </a:fontRef>
        </dgm:style>
      </dgm:prSet>
      <dgm:spPr>
        <a:xfrm>
          <a:off x="380" y="1611629"/>
          <a:ext cx="1655233" cy="827616"/>
        </a:xfrm>
        <a:solidFill>
          <a:sysClr val="window" lastClr="FFFFFF"/>
        </a:solidFill>
        <a:ln w="12700" cap="flat" cmpd="sng" algn="ctr">
          <a:solidFill>
            <a:sysClr val="windowText" lastClr="000000"/>
          </a:solidFill>
          <a:prstDash val="solid"/>
          <a:miter lim="800000"/>
        </a:ln>
        <a:effectLst/>
      </dgm:spPr>
      <dgm:t>
        <a:bodyPr/>
        <a:lstStyle/>
        <a:p>
          <a:r>
            <a:rPr lang="en-GB" sz="1000">
              <a:solidFill>
                <a:sysClr val="windowText" lastClr="000000"/>
              </a:solidFill>
              <a:latin typeface="Times New Roman" panose="02020603050405020304" pitchFamily="18" charset="0"/>
              <a:ea typeface="+mn-ea"/>
              <a:cs typeface="Times New Roman" panose="02020603050405020304" pitchFamily="18" charset="0"/>
            </a:rPr>
            <a:t>Protection from Ionizing Radiation Regulations</a:t>
          </a:r>
        </a:p>
      </dgm:t>
    </dgm:pt>
    <dgm:pt modelId="{67840294-81E1-4392-8A7A-CC54695A0693}" type="parTrans" cxnId="{A5255C8F-B0E0-4A1C-A0D4-7E0C52CCD6A5}">
      <dgm:prSet>
        <dgm:style>
          <a:lnRef idx="2">
            <a:schemeClr val="dk1"/>
          </a:lnRef>
          <a:fillRef idx="0">
            <a:schemeClr val="dk1"/>
          </a:fillRef>
          <a:effectRef idx="1">
            <a:schemeClr val="dk1"/>
          </a:effectRef>
          <a:fontRef idx="minor">
            <a:schemeClr val="tx1"/>
          </a:fontRef>
        </dgm:style>
      </dgm:prSet>
      <dgm:spPr>
        <a:xfrm>
          <a:off x="827997" y="949494"/>
          <a:ext cx="2002832" cy="662134"/>
        </a:xfrm>
        <a:noFill/>
        <a:ln w="12700" cap="flat" cmpd="sng" algn="ctr">
          <a:solidFill>
            <a:sysClr val="windowText" lastClr="000000"/>
          </a:solidFill>
          <a:prstDash val="solid"/>
          <a:miter lim="800000"/>
        </a:ln>
        <a:effectLst/>
      </dgm:spPr>
      <dgm:t>
        <a:bodyPr/>
        <a:lstStyle/>
        <a:p>
          <a:endParaRPr lang="en-GB"/>
        </a:p>
      </dgm:t>
    </dgm:pt>
    <dgm:pt modelId="{48004A16-EF8D-4EBF-8603-11F40BE2847A}" type="sibTrans" cxnId="{A5255C8F-B0E0-4A1C-A0D4-7E0C52CCD6A5}">
      <dgm:prSet/>
      <dgm:spPr/>
      <dgm:t>
        <a:bodyPr/>
        <a:lstStyle/>
        <a:p>
          <a:endParaRPr lang="en-GB"/>
        </a:p>
      </dgm:t>
    </dgm:pt>
    <dgm:pt modelId="{3C98F51E-D2BA-44BA-BE51-FEAE51120429}">
      <dgm:prSet phldrT="[Text]" custT="1">
        <dgm:style>
          <a:lnRef idx="2">
            <a:schemeClr val="dk1"/>
          </a:lnRef>
          <a:fillRef idx="1">
            <a:schemeClr val="lt1"/>
          </a:fillRef>
          <a:effectRef idx="0">
            <a:schemeClr val="dk1"/>
          </a:effectRef>
          <a:fontRef idx="minor">
            <a:schemeClr val="dk1"/>
          </a:fontRef>
        </dgm:style>
      </dgm:prSet>
      <dgm:spPr>
        <a:xfrm>
          <a:off x="2003213" y="1611629"/>
          <a:ext cx="1655233" cy="1152357"/>
        </a:xfrm>
        <a:solidFill>
          <a:sysClr val="window" lastClr="FFFFFF"/>
        </a:solidFill>
        <a:ln w="12700" cap="flat" cmpd="sng" algn="ctr">
          <a:solidFill>
            <a:sysClr val="windowText" lastClr="000000"/>
          </a:solidFill>
          <a:prstDash val="solid"/>
          <a:miter lim="800000"/>
        </a:ln>
        <a:effectLst/>
      </dgm:spPr>
      <dgm:t>
        <a:bodyPr/>
        <a:lstStyle/>
        <a:p>
          <a:pPr algn="ctr"/>
          <a:r>
            <a:rPr lang="en-GB" sz="1000">
              <a:solidFill>
                <a:sysClr val="windowText" lastClr="000000"/>
              </a:solidFill>
              <a:latin typeface="Times New Roman" panose="02020603050405020304" pitchFamily="18" charset="0"/>
              <a:ea typeface="+mn-ea"/>
              <a:cs typeface="Times New Roman" panose="02020603050405020304" pitchFamily="18" charset="0"/>
            </a:rPr>
            <a:t>Radioactive Waste Management for the Protection of Human Health and Environment Regulations</a:t>
          </a:r>
        </a:p>
      </dgm:t>
    </dgm:pt>
    <dgm:pt modelId="{05EA7F79-632B-4299-BFF5-B031A605FA80}" type="parTrans" cxnId="{3278BA1E-A6DD-4D2F-8825-D4F99CCD5EAE}">
      <dgm:prSet>
        <dgm:style>
          <a:lnRef idx="2">
            <a:schemeClr val="dk1"/>
          </a:lnRef>
          <a:fillRef idx="0">
            <a:schemeClr val="dk1"/>
          </a:fillRef>
          <a:effectRef idx="1">
            <a:schemeClr val="dk1"/>
          </a:effectRef>
          <a:fontRef idx="minor">
            <a:schemeClr val="tx1"/>
          </a:fontRef>
        </dgm:style>
      </dgm:prSet>
      <dgm:spPr>
        <a:xfrm>
          <a:off x="2785110" y="949494"/>
          <a:ext cx="91440" cy="662134"/>
        </a:xfrm>
        <a:noFill/>
        <a:ln w="12700" cap="flat" cmpd="sng" algn="ctr">
          <a:solidFill>
            <a:sysClr val="windowText" lastClr="000000"/>
          </a:solidFill>
          <a:prstDash val="solid"/>
          <a:miter lim="800000"/>
        </a:ln>
        <a:effectLst/>
      </dgm:spPr>
      <dgm:t>
        <a:bodyPr/>
        <a:lstStyle/>
        <a:p>
          <a:endParaRPr lang="en-GB"/>
        </a:p>
      </dgm:t>
    </dgm:pt>
    <dgm:pt modelId="{57E86F9C-0D8C-43C4-8F8B-9500697E1827}" type="sibTrans" cxnId="{3278BA1E-A6DD-4D2F-8825-D4F99CCD5EAE}">
      <dgm:prSet/>
      <dgm:spPr/>
      <dgm:t>
        <a:bodyPr/>
        <a:lstStyle/>
        <a:p>
          <a:endParaRPr lang="en-GB"/>
        </a:p>
      </dgm:t>
    </dgm:pt>
    <dgm:pt modelId="{2053C2A0-F567-44ED-8CA2-28AB2A0143B8}">
      <dgm:prSet phldrT="[Text]" custT="1">
        <dgm:style>
          <a:lnRef idx="2">
            <a:schemeClr val="dk1"/>
          </a:lnRef>
          <a:fillRef idx="1">
            <a:schemeClr val="lt1"/>
          </a:fillRef>
          <a:effectRef idx="0">
            <a:schemeClr val="dk1"/>
          </a:effectRef>
          <a:fontRef idx="minor">
            <a:schemeClr val="dk1"/>
          </a:fontRef>
        </dgm:style>
      </dgm:prSet>
      <dgm:spPr>
        <a:xfrm>
          <a:off x="4006046" y="1611629"/>
          <a:ext cx="1655233" cy="827616"/>
        </a:xfrm>
        <a:solidFill>
          <a:sysClr val="window" lastClr="FFFFFF"/>
        </a:solidFill>
        <a:ln w="12700" cap="flat" cmpd="sng" algn="ctr">
          <a:solidFill>
            <a:sysClr val="windowText" lastClr="000000"/>
          </a:solidFill>
          <a:prstDash val="solid"/>
          <a:miter lim="800000"/>
        </a:ln>
        <a:effectLst/>
      </dgm:spPr>
      <dgm:t>
        <a:bodyPr/>
        <a:lstStyle/>
        <a:p>
          <a:r>
            <a:rPr lang="en-GB" sz="1000">
              <a:solidFill>
                <a:sysClr val="windowText" lastClr="000000"/>
              </a:solidFill>
              <a:latin typeface="Times New Roman" panose="02020603050405020304" pitchFamily="18" charset="0"/>
              <a:ea typeface="+mn-ea"/>
              <a:cs typeface="Times New Roman" panose="02020603050405020304" pitchFamily="18" charset="0"/>
            </a:rPr>
            <a:t>The Packaging and Transport of Radioactive Materials Regulations</a:t>
          </a:r>
        </a:p>
      </dgm:t>
    </dgm:pt>
    <dgm:pt modelId="{A7B09937-D0B3-46A3-BEC4-CADD93149452}" type="parTrans" cxnId="{FDF262B5-68DB-4864-94F9-FFAC0B49499F}">
      <dgm:prSet>
        <dgm:style>
          <a:lnRef idx="2">
            <a:schemeClr val="dk1"/>
          </a:lnRef>
          <a:fillRef idx="0">
            <a:schemeClr val="dk1"/>
          </a:fillRef>
          <a:effectRef idx="1">
            <a:schemeClr val="dk1"/>
          </a:effectRef>
          <a:fontRef idx="minor">
            <a:schemeClr val="tx1"/>
          </a:fontRef>
        </dgm:style>
      </dgm:prSet>
      <dgm:spPr>
        <a:xfrm>
          <a:off x="2830830" y="949494"/>
          <a:ext cx="2002832" cy="662134"/>
        </a:xfrm>
        <a:noFill/>
        <a:ln w="12700" cap="flat" cmpd="sng" algn="ctr">
          <a:solidFill>
            <a:sysClr val="windowText" lastClr="000000"/>
          </a:solidFill>
          <a:prstDash val="solid"/>
          <a:miter lim="800000"/>
        </a:ln>
        <a:effectLst/>
      </dgm:spPr>
      <dgm:t>
        <a:bodyPr/>
        <a:lstStyle/>
        <a:p>
          <a:endParaRPr lang="en-GB"/>
        </a:p>
      </dgm:t>
    </dgm:pt>
    <dgm:pt modelId="{48A0C731-170F-4DA5-90DA-FD19EFEA1BA7}" type="sibTrans" cxnId="{FDF262B5-68DB-4864-94F9-FFAC0B49499F}">
      <dgm:prSet/>
      <dgm:spPr/>
      <dgm:t>
        <a:bodyPr/>
        <a:lstStyle/>
        <a:p>
          <a:endParaRPr lang="en-GB"/>
        </a:p>
      </dgm:t>
    </dgm:pt>
    <dgm:pt modelId="{C666E3DD-5137-4EB4-B27F-01ECA6688CDE}" type="pres">
      <dgm:prSet presAssocID="{95F600FC-0C62-4384-BFDE-39372A22CD41}" presName="hierChild1" presStyleCnt="0">
        <dgm:presLayoutVars>
          <dgm:orgChart val="1"/>
          <dgm:chPref val="1"/>
          <dgm:dir/>
          <dgm:animOne val="branch"/>
          <dgm:animLvl val="lvl"/>
          <dgm:resizeHandles/>
        </dgm:presLayoutVars>
      </dgm:prSet>
      <dgm:spPr/>
      <dgm:t>
        <a:bodyPr/>
        <a:lstStyle/>
        <a:p>
          <a:endParaRPr lang="en-GB"/>
        </a:p>
      </dgm:t>
    </dgm:pt>
    <dgm:pt modelId="{40F72478-ED92-404D-BAE4-39BF67C1113B}" type="pres">
      <dgm:prSet presAssocID="{3C506DA1-CC23-486B-9085-F34C287CFA76}" presName="hierRoot1" presStyleCnt="0">
        <dgm:presLayoutVars>
          <dgm:hierBranch val="init"/>
        </dgm:presLayoutVars>
      </dgm:prSet>
      <dgm:spPr/>
    </dgm:pt>
    <dgm:pt modelId="{B93D1AB9-4729-429D-AD82-1141A5D8C7AB}" type="pres">
      <dgm:prSet presAssocID="{3C506DA1-CC23-486B-9085-F34C287CFA76}" presName="rootComposite1" presStyleCnt="0"/>
      <dgm:spPr/>
    </dgm:pt>
    <dgm:pt modelId="{ADB25FA3-24F2-46DE-8823-4836B0BF874B}" type="pres">
      <dgm:prSet presAssocID="{3C506DA1-CC23-486B-9085-F34C287CFA76}" presName="rootText1" presStyleLbl="node0" presStyleIdx="0" presStyleCnt="1" custLinFactNeighborX="0" custLinFactNeighborY="-38005">
        <dgm:presLayoutVars>
          <dgm:chPref val="3"/>
        </dgm:presLayoutVars>
      </dgm:prSet>
      <dgm:spPr>
        <a:prstGeom prst="rect">
          <a:avLst/>
        </a:prstGeom>
      </dgm:spPr>
      <dgm:t>
        <a:bodyPr/>
        <a:lstStyle/>
        <a:p>
          <a:endParaRPr lang="en-GB"/>
        </a:p>
      </dgm:t>
    </dgm:pt>
    <dgm:pt modelId="{BE0974DC-DEBB-4395-AA0E-EFDCD6A2A279}" type="pres">
      <dgm:prSet presAssocID="{3C506DA1-CC23-486B-9085-F34C287CFA76}" presName="rootConnector1" presStyleLbl="node1" presStyleIdx="0" presStyleCnt="0"/>
      <dgm:spPr/>
      <dgm:t>
        <a:bodyPr/>
        <a:lstStyle/>
        <a:p>
          <a:endParaRPr lang="en-GB"/>
        </a:p>
      </dgm:t>
    </dgm:pt>
    <dgm:pt modelId="{C8E94A2C-9620-455D-86B5-0F340AE9DBDB}" type="pres">
      <dgm:prSet presAssocID="{3C506DA1-CC23-486B-9085-F34C287CFA76}" presName="hierChild2" presStyleCnt="0"/>
      <dgm:spPr/>
    </dgm:pt>
    <dgm:pt modelId="{DDB10464-7CE9-444B-B35B-35EB8CDF803C}" type="pres">
      <dgm:prSet presAssocID="{67840294-81E1-4392-8A7A-CC54695A0693}" presName="Name37" presStyleLbl="parChTrans1D2" presStyleIdx="0" presStyleCnt="3"/>
      <dgm:spPr>
        <a:custGeom>
          <a:avLst/>
          <a:gdLst/>
          <a:ahLst/>
          <a:cxnLst/>
          <a:rect l="0" t="0" r="0" b="0"/>
          <a:pathLst>
            <a:path>
              <a:moveTo>
                <a:pt x="2002832" y="0"/>
              </a:moveTo>
              <a:lnTo>
                <a:pt x="2002832" y="488335"/>
              </a:lnTo>
              <a:lnTo>
                <a:pt x="0" y="488335"/>
              </a:lnTo>
              <a:lnTo>
                <a:pt x="0" y="662134"/>
              </a:lnTo>
            </a:path>
          </a:pathLst>
        </a:custGeom>
      </dgm:spPr>
      <dgm:t>
        <a:bodyPr/>
        <a:lstStyle/>
        <a:p>
          <a:endParaRPr lang="en-GB"/>
        </a:p>
      </dgm:t>
    </dgm:pt>
    <dgm:pt modelId="{A390EBEA-761A-413C-8CD6-B9566414D690}" type="pres">
      <dgm:prSet presAssocID="{CCDDAAC8-5167-40EE-9B30-7FAC5760E5D8}" presName="hierRoot2" presStyleCnt="0">
        <dgm:presLayoutVars>
          <dgm:hierBranch val="init"/>
        </dgm:presLayoutVars>
      </dgm:prSet>
      <dgm:spPr/>
    </dgm:pt>
    <dgm:pt modelId="{18086F87-5F8B-454F-96A2-8ADD11E2D121}" type="pres">
      <dgm:prSet presAssocID="{CCDDAAC8-5167-40EE-9B30-7FAC5760E5D8}" presName="rootComposite" presStyleCnt="0"/>
      <dgm:spPr/>
    </dgm:pt>
    <dgm:pt modelId="{DF9BCEA4-691D-49CD-8055-E7A259A52D0F}" type="pres">
      <dgm:prSet presAssocID="{CCDDAAC8-5167-40EE-9B30-7FAC5760E5D8}" presName="rootText" presStyleLbl="node2" presStyleIdx="0" presStyleCnt="3">
        <dgm:presLayoutVars>
          <dgm:chPref val="3"/>
        </dgm:presLayoutVars>
      </dgm:prSet>
      <dgm:spPr>
        <a:prstGeom prst="rect">
          <a:avLst/>
        </a:prstGeom>
      </dgm:spPr>
      <dgm:t>
        <a:bodyPr/>
        <a:lstStyle/>
        <a:p>
          <a:endParaRPr lang="en-GB"/>
        </a:p>
      </dgm:t>
    </dgm:pt>
    <dgm:pt modelId="{A82287D7-F6B3-4E1F-ADCC-570E1327ED53}" type="pres">
      <dgm:prSet presAssocID="{CCDDAAC8-5167-40EE-9B30-7FAC5760E5D8}" presName="rootConnector" presStyleLbl="node2" presStyleIdx="0" presStyleCnt="3"/>
      <dgm:spPr/>
      <dgm:t>
        <a:bodyPr/>
        <a:lstStyle/>
        <a:p>
          <a:endParaRPr lang="en-GB"/>
        </a:p>
      </dgm:t>
    </dgm:pt>
    <dgm:pt modelId="{09548382-7E60-4E50-89A0-954E8F652C59}" type="pres">
      <dgm:prSet presAssocID="{CCDDAAC8-5167-40EE-9B30-7FAC5760E5D8}" presName="hierChild4" presStyleCnt="0"/>
      <dgm:spPr/>
    </dgm:pt>
    <dgm:pt modelId="{86403E2E-CAC7-4DFB-B45A-D3D6DC868A77}" type="pres">
      <dgm:prSet presAssocID="{CCDDAAC8-5167-40EE-9B30-7FAC5760E5D8}" presName="hierChild5" presStyleCnt="0"/>
      <dgm:spPr/>
    </dgm:pt>
    <dgm:pt modelId="{1D663A82-AE79-49A9-96E3-9AC18C9CBEA1}" type="pres">
      <dgm:prSet presAssocID="{05EA7F79-632B-4299-BFF5-B031A605FA80}" presName="Name37" presStyleLbl="parChTrans1D2" presStyleIdx="1" presStyleCnt="3"/>
      <dgm:spPr>
        <a:custGeom>
          <a:avLst/>
          <a:gdLst/>
          <a:ahLst/>
          <a:cxnLst/>
          <a:rect l="0" t="0" r="0" b="0"/>
          <a:pathLst>
            <a:path>
              <a:moveTo>
                <a:pt x="45720" y="0"/>
              </a:moveTo>
              <a:lnTo>
                <a:pt x="45720" y="662134"/>
              </a:lnTo>
            </a:path>
          </a:pathLst>
        </a:custGeom>
      </dgm:spPr>
      <dgm:t>
        <a:bodyPr/>
        <a:lstStyle/>
        <a:p>
          <a:endParaRPr lang="en-GB"/>
        </a:p>
      </dgm:t>
    </dgm:pt>
    <dgm:pt modelId="{A841C2B1-4BAC-45FF-B483-3447A1790735}" type="pres">
      <dgm:prSet presAssocID="{3C98F51E-D2BA-44BA-BE51-FEAE51120429}" presName="hierRoot2" presStyleCnt="0">
        <dgm:presLayoutVars>
          <dgm:hierBranch val="init"/>
        </dgm:presLayoutVars>
      </dgm:prSet>
      <dgm:spPr/>
    </dgm:pt>
    <dgm:pt modelId="{173482DA-9D17-4AE6-B129-EF0BC589AA0A}" type="pres">
      <dgm:prSet presAssocID="{3C98F51E-D2BA-44BA-BE51-FEAE51120429}" presName="rootComposite" presStyleCnt="0"/>
      <dgm:spPr/>
    </dgm:pt>
    <dgm:pt modelId="{AE3F3E47-E5C8-4782-9A86-55EA1A86745B}" type="pres">
      <dgm:prSet presAssocID="{3C98F51E-D2BA-44BA-BE51-FEAE51120429}" presName="rootText" presStyleLbl="node2" presStyleIdx="1" presStyleCnt="3" custScaleY="139238">
        <dgm:presLayoutVars>
          <dgm:chPref val="3"/>
        </dgm:presLayoutVars>
      </dgm:prSet>
      <dgm:spPr>
        <a:prstGeom prst="rect">
          <a:avLst/>
        </a:prstGeom>
      </dgm:spPr>
      <dgm:t>
        <a:bodyPr/>
        <a:lstStyle/>
        <a:p>
          <a:endParaRPr lang="en-GB"/>
        </a:p>
      </dgm:t>
    </dgm:pt>
    <dgm:pt modelId="{444C400E-F992-4CD3-9CE3-9E6747905F1A}" type="pres">
      <dgm:prSet presAssocID="{3C98F51E-D2BA-44BA-BE51-FEAE51120429}" presName="rootConnector" presStyleLbl="node2" presStyleIdx="1" presStyleCnt="3"/>
      <dgm:spPr/>
      <dgm:t>
        <a:bodyPr/>
        <a:lstStyle/>
        <a:p>
          <a:endParaRPr lang="en-GB"/>
        </a:p>
      </dgm:t>
    </dgm:pt>
    <dgm:pt modelId="{FA38CE40-0782-44B5-8363-57E0E4712E70}" type="pres">
      <dgm:prSet presAssocID="{3C98F51E-D2BA-44BA-BE51-FEAE51120429}" presName="hierChild4" presStyleCnt="0"/>
      <dgm:spPr/>
    </dgm:pt>
    <dgm:pt modelId="{D9B3E587-2CA6-46B0-8651-3539436C7F75}" type="pres">
      <dgm:prSet presAssocID="{3C98F51E-D2BA-44BA-BE51-FEAE51120429}" presName="hierChild5" presStyleCnt="0"/>
      <dgm:spPr/>
    </dgm:pt>
    <dgm:pt modelId="{B6283A6A-3D3B-4391-8A72-7999F1FFEE1F}" type="pres">
      <dgm:prSet presAssocID="{A7B09937-D0B3-46A3-BEC4-CADD93149452}" presName="Name37" presStyleLbl="parChTrans1D2" presStyleIdx="2" presStyleCnt="3"/>
      <dgm:spPr>
        <a:custGeom>
          <a:avLst/>
          <a:gdLst/>
          <a:ahLst/>
          <a:cxnLst/>
          <a:rect l="0" t="0" r="0" b="0"/>
          <a:pathLst>
            <a:path>
              <a:moveTo>
                <a:pt x="0" y="0"/>
              </a:moveTo>
              <a:lnTo>
                <a:pt x="0" y="488335"/>
              </a:lnTo>
              <a:lnTo>
                <a:pt x="2002832" y="488335"/>
              </a:lnTo>
              <a:lnTo>
                <a:pt x="2002832" y="662134"/>
              </a:lnTo>
            </a:path>
          </a:pathLst>
        </a:custGeom>
      </dgm:spPr>
      <dgm:t>
        <a:bodyPr/>
        <a:lstStyle/>
        <a:p>
          <a:endParaRPr lang="en-GB"/>
        </a:p>
      </dgm:t>
    </dgm:pt>
    <dgm:pt modelId="{7F59C0CA-502E-44AF-B14D-C3AAC4EF16E9}" type="pres">
      <dgm:prSet presAssocID="{2053C2A0-F567-44ED-8CA2-28AB2A0143B8}" presName="hierRoot2" presStyleCnt="0">
        <dgm:presLayoutVars>
          <dgm:hierBranch val="init"/>
        </dgm:presLayoutVars>
      </dgm:prSet>
      <dgm:spPr/>
    </dgm:pt>
    <dgm:pt modelId="{E15CA801-FBB8-4AAE-9BD1-B2990050AA73}" type="pres">
      <dgm:prSet presAssocID="{2053C2A0-F567-44ED-8CA2-28AB2A0143B8}" presName="rootComposite" presStyleCnt="0"/>
      <dgm:spPr/>
    </dgm:pt>
    <dgm:pt modelId="{A1084C93-B774-4E8F-9623-376C7148C9E1}" type="pres">
      <dgm:prSet presAssocID="{2053C2A0-F567-44ED-8CA2-28AB2A0143B8}" presName="rootText" presStyleLbl="node2" presStyleIdx="2" presStyleCnt="3" custScaleX="101591">
        <dgm:presLayoutVars>
          <dgm:chPref val="3"/>
        </dgm:presLayoutVars>
      </dgm:prSet>
      <dgm:spPr>
        <a:prstGeom prst="rect">
          <a:avLst/>
        </a:prstGeom>
      </dgm:spPr>
      <dgm:t>
        <a:bodyPr/>
        <a:lstStyle/>
        <a:p>
          <a:endParaRPr lang="en-GB"/>
        </a:p>
      </dgm:t>
    </dgm:pt>
    <dgm:pt modelId="{70EA4E66-0210-4403-852F-395DF2B3F51C}" type="pres">
      <dgm:prSet presAssocID="{2053C2A0-F567-44ED-8CA2-28AB2A0143B8}" presName="rootConnector" presStyleLbl="node2" presStyleIdx="2" presStyleCnt="3"/>
      <dgm:spPr/>
      <dgm:t>
        <a:bodyPr/>
        <a:lstStyle/>
        <a:p>
          <a:endParaRPr lang="en-GB"/>
        </a:p>
      </dgm:t>
    </dgm:pt>
    <dgm:pt modelId="{55BF10B1-394F-4B88-9A6B-EF6DBE3AF1FE}" type="pres">
      <dgm:prSet presAssocID="{2053C2A0-F567-44ED-8CA2-28AB2A0143B8}" presName="hierChild4" presStyleCnt="0"/>
      <dgm:spPr/>
    </dgm:pt>
    <dgm:pt modelId="{FE4DB2C9-AFAC-456F-8BB7-79839CF0304F}" type="pres">
      <dgm:prSet presAssocID="{2053C2A0-F567-44ED-8CA2-28AB2A0143B8}" presName="hierChild5" presStyleCnt="0"/>
      <dgm:spPr/>
    </dgm:pt>
    <dgm:pt modelId="{A7C68A73-7055-4174-86CC-D29E07FFB2DF}" type="pres">
      <dgm:prSet presAssocID="{3C506DA1-CC23-486B-9085-F34C287CFA76}" presName="hierChild3" presStyleCnt="0"/>
      <dgm:spPr/>
    </dgm:pt>
  </dgm:ptLst>
  <dgm:cxnLst>
    <dgm:cxn modelId="{BF82422A-C725-4C33-9490-A4F5D18489A6}" type="presOf" srcId="{2053C2A0-F567-44ED-8CA2-28AB2A0143B8}" destId="{70EA4E66-0210-4403-852F-395DF2B3F51C}" srcOrd="1" destOrd="0" presId="urn:microsoft.com/office/officeart/2005/8/layout/orgChart1"/>
    <dgm:cxn modelId="{A5255C8F-B0E0-4A1C-A0D4-7E0C52CCD6A5}" srcId="{3C506DA1-CC23-486B-9085-F34C287CFA76}" destId="{CCDDAAC8-5167-40EE-9B30-7FAC5760E5D8}" srcOrd="0" destOrd="0" parTransId="{67840294-81E1-4392-8A7A-CC54695A0693}" sibTransId="{48004A16-EF8D-4EBF-8603-11F40BE2847A}"/>
    <dgm:cxn modelId="{A4B21C34-7B41-49E3-97E6-9A8D868FDB66}" srcId="{95F600FC-0C62-4384-BFDE-39372A22CD41}" destId="{3C506DA1-CC23-486B-9085-F34C287CFA76}" srcOrd="0" destOrd="0" parTransId="{C6A49A0E-2308-4488-84BF-D927A4399B1A}" sibTransId="{0A3C459C-F91B-46BC-AA5A-E6BCA3E9F827}"/>
    <dgm:cxn modelId="{6BCF9045-F27B-4142-8220-CE0B88839A53}" type="presOf" srcId="{3C506DA1-CC23-486B-9085-F34C287CFA76}" destId="{BE0974DC-DEBB-4395-AA0E-EFDCD6A2A279}" srcOrd="1" destOrd="0" presId="urn:microsoft.com/office/officeart/2005/8/layout/orgChart1"/>
    <dgm:cxn modelId="{656B4951-9358-4976-9650-13278A31069C}" type="presOf" srcId="{2053C2A0-F567-44ED-8CA2-28AB2A0143B8}" destId="{A1084C93-B774-4E8F-9623-376C7148C9E1}" srcOrd="0" destOrd="0" presId="urn:microsoft.com/office/officeart/2005/8/layout/orgChart1"/>
    <dgm:cxn modelId="{A64DCF9A-5604-42EF-AABC-B3045FB97D9B}" type="presOf" srcId="{A7B09937-D0B3-46A3-BEC4-CADD93149452}" destId="{B6283A6A-3D3B-4391-8A72-7999F1FFEE1F}" srcOrd="0" destOrd="0" presId="urn:microsoft.com/office/officeart/2005/8/layout/orgChart1"/>
    <dgm:cxn modelId="{B69621AB-55F8-495E-A04D-53EE547EAC71}" type="presOf" srcId="{05EA7F79-632B-4299-BFF5-B031A605FA80}" destId="{1D663A82-AE79-49A9-96E3-9AC18C9CBEA1}" srcOrd="0" destOrd="0" presId="urn:microsoft.com/office/officeart/2005/8/layout/orgChart1"/>
    <dgm:cxn modelId="{367F9198-0143-43EF-98F3-38620AC2EC43}" type="presOf" srcId="{3C506DA1-CC23-486B-9085-F34C287CFA76}" destId="{ADB25FA3-24F2-46DE-8823-4836B0BF874B}" srcOrd="0" destOrd="0" presId="urn:microsoft.com/office/officeart/2005/8/layout/orgChart1"/>
    <dgm:cxn modelId="{EA090B12-73E0-4643-A0D2-1FF4B756A7DF}" type="presOf" srcId="{3C98F51E-D2BA-44BA-BE51-FEAE51120429}" destId="{444C400E-F992-4CD3-9CE3-9E6747905F1A}" srcOrd="1" destOrd="0" presId="urn:microsoft.com/office/officeart/2005/8/layout/orgChart1"/>
    <dgm:cxn modelId="{7CD51954-C3F0-404A-9E6B-93102102829E}" type="presOf" srcId="{3C98F51E-D2BA-44BA-BE51-FEAE51120429}" destId="{AE3F3E47-E5C8-4782-9A86-55EA1A86745B}" srcOrd="0" destOrd="0" presId="urn:microsoft.com/office/officeart/2005/8/layout/orgChart1"/>
    <dgm:cxn modelId="{B910D9F9-6DF7-4955-814E-A7A6763CD2A4}" type="presOf" srcId="{CCDDAAC8-5167-40EE-9B30-7FAC5760E5D8}" destId="{DF9BCEA4-691D-49CD-8055-E7A259A52D0F}" srcOrd="0" destOrd="0" presId="urn:microsoft.com/office/officeart/2005/8/layout/orgChart1"/>
    <dgm:cxn modelId="{D81C514C-2244-4C81-B375-FFC5484A4B38}" type="presOf" srcId="{67840294-81E1-4392-8A7A-CC54695A0693}" destId="{DDB10464-7CE9-444B-B35B-35EB8CDF803C}" srcOrd="0" destOrd="0" presId="urn:microsoft.com/office/officeart/2005/8/layout/orgChart1"/>
    <dgm:cxn modelId="{F89E877C-C98E-4F7B-B314-D6B0C7603356}" type="presOf" srcId="{95F600FC-0C62-4384-BFDE-39372A22CD41}" destId="{C666E3DD-5137-4EB4-B27F-01ECA6688CDE}" srcOrd="0" destOrd="0" presId="urn:microsoft.com/office/officeart/2005/8/layout/orgChart1"/>
    <dgm:cxn modelId="{69DC1854-59F8-40D7-8606-35FD8FD00189}" type="presOf" srcId="{CCDDAAC8-5167-40EE-9B30-7FAC5760E5D8}" destId="{A82287D7-F6B3-4E1F-ADCC-570E1327ED53}" srcOrd="1" destOrd="0" presId="urn:microsoft.com/office/officeart/2005/8/layout/orgChart1"/>
    <dgm:cxn modelId="{FDF262B5-68DB-4864-94F9-FFAC0B49499F}" srcId="{3C506DA1-CC23-486B-9085-F34C287CFA76}" destId="{2053C2A0-F567-44ED-8CA2-28AB2A0143B8}" srcOrd="2" destOrd="0" parTransId="{A7B09937-D0B3-46A3-BEC4-CADD93149452}" sibTransId="{48A0C731-170F-4DA5-90DA-FD19EFEA1BA7}"/>
    <dgm:cxn modelId="{3278BA1E-A6DD-4D2F-8825-D4F99CCD5EAE}" srcId="{3C506DA1-CC23-486B-9085-F34C287CFA76}" destId="{3C98F51E-D2BA-44BA-BE51-FEAE51120429}" srcOrd="1" destOrd="0" parTransId="{05EA7F79-632B-4299-BFF5-B031A605FA80}" sibTransId="{57E86F9C-0D8C-43C4-8F8B-9500697E1827}"/>
    <dgm:cxn modelId="{AC529DA4-6F24-4221-A5AF-266A9424B532}" type="presParOf" srcId="{C666E3DD-5137-4EB4-B27F-01ECA6688CDE}" destId="{40F72478-ED92-404D-BAE4-39BF67C1113B}" srcOrd="0" destOrd="0" presId="urn:microsoft.com/office/officeart/2005/8/layout/orgChart1"/>
    <dgm:cxn modelId="{1A92CB78-90A7-428A-B11B-C0AE5EEFF4B4}" type="presParOf" srcId="{40F72478-ED92-404D-BAE4-39BF67C1113B}" destId="{B93D1AB9-4729-429D-AD82-1141A5D8C7AB}" srcOrd="0" destOrd="0" presId="urn:microsoft.com/office/officeart/2005/8/layout/orgChart1"/>
    <dgm:cxn modelId="{7195D62C-B26B-4D6B-921F-E7B033D5C322}" type="presParOf" srcId="{B93D1AB9-4729-429D-AD82-1141A5D8C7AB}" destId="{ADB25FA3-24F2-46DE-8823-4836B0BF874B}" srcOrd="0" destOrd="0" presId="urn:microsoft.com/office/officeart/2005/8/layout/orgChart1"/>
    <dgm:cxn modelId="{3150A73F-BDAA-4BF3-AB54-74F9AFA423DE}" type="presParOf" srcId="{B93D1AB9-4729-429D-AD82-1141A5D8C7AB}" destId="{BE0974DC-DEBB-4395-AA0E-EFDCD6A2A279}" srcOrd="1" destOrd="0" presId="urn:microsoft.com/office/officeart/2005/8/layout/orgChart1"/>
    <dgm:cxn modelId="{1B77A2AD-399C-42F3-B5BF-8AED7491B256}" type="presParOf" srcId="{40F72478-ED92-404D-BAE4-39BF67C1113B}" destId="{C8E94A2C-9620-455D-86B5-0F340AE9DBDB}" srcOrd="1" destOrd="0" presId="urn:microsoft.com/office/officeart/2005/8/layout/orgChart1"/>
    <dgm:cxn modelId="{C581F638-B904-4B7B-B063-423690DC756B}" type="presParOf" srcId="{C8E94A2C-9620-455D-86B5-0F340AE9DBDB}" destId="{DDB10464-7CE9-444B-B35B-35EB8CDF803C}" srcOrd="0" destOrd="0" presId="urn:microsoft.com/office/officeart/2005/8/layout/orgChart1"/>
    <dgm:cxn modelId="{73B96C85-71DE-470F-948C-94530758AD38}" type="presParOf" srcId="{C8E94A2C-9620-455D-86B5-0F340AE9DBDB}" destId="{A390EBEA-761A-413C-8CD6-B9566414D690}" srcOrd="1" destOrd="0" presId="urn:microsoft.com/office/officeart/2005/8/layout/orgChart1"/>
    <dgm:cxn modelId="{A02870D1-BCD0-4425-8A39-B32288C1FA84}" type="presParOf" srcId="{A390EBEA-761A-413C-8CD6-B9566414D690}" destId="{18086F87-5F8B-454F-96A2-8ADD11E2D121}" srcOrd="0" destOrd="0" presId="urn:microsoft.com/office/officeart/2005/8/layout/orgChart1"/>
    <dgm:cxn modelId="{ADB0C06C-E9B8-4534-8D05-4E264C0BAFF7}" type="presParOf" srcId="{18086F87-5F8B-454F-96A2-8ADD11E2D121}" destId="{DF9BCEA4-691D-49CD-8055-E7A259A52D0F}" srcOrd="0" destOrd="0" presId="urn:microsoft.com/office/officeart/2005/8/layout/orgChart1"/>
    <dgm:cxn modelId="{69D61440-B3AE-4CC8-8999-2FE7230D5F6B}" type="presParOf" srcId="{18086F87-5F8B-454F-96A2-8ADD11E2D121}" destId="{A82287D7-F6B3-4E1F-ADCC-570E1327ED53}" srcOrd="1" destOrd="0" presId="urn:microsoft.com/office/officeart/2005/8/layout/orgChart1"/>
    <dgm:cxn modelId="{88CFD5A2-EA5E-4C41-90BB-8DF25377D093}" type="presParOf" srcId="{A390EBEA-761A-413C-8CD6-B9566414D690}" destId="{09548382-7E60-4E50-89A0-954E8F652C59}" srcOrd="1" destOrd="0" presId="urn:microsoft.com/office/officeart/2005/8/layout/orgChart1"/>
    <dgm:cxn modelId="{9B2EAEB4-611A-4F1D-82FB-5C671B998BA1}" type="presParOf" srcId="{A390EBEA-761A-413C-8CD6-B9566414D690}" destId="{86403E2E-CAC7-4DFB-B45A-D3D6DC868A77}" srcOrd="2" destOrd="0" presId="urn:microsoft.com/office/officeart/2005/8/layout/orgChart1"/>
    <dgm:cxn modelId="{4ABF7932-7829-47BF-905F-263B447B363A}" type="presParOf" srcId="{C8E94A2C-9620-455D-86B5-0F340AE9DBDB}" destId="{1D663A82-AE79-49A9-96E3-9AC18C9CBEA1}" srcOrd="2" destOrd="0" presId="urn:microsoft.com/office/officeart/2005/8/layout/orgChart1"/>
    <dgm:cxn modelId="{FE1F762E-8514-46DE-89B7-23071B754B14}" type="presParOf" srcId="{C8E94A2C-9620-455D-86B5-0F340AE9DBDB}" destId="{A841C2B1-4BAC-45FF-B483-3447A1790735}" srcOrd="3" destOrd="0" presId="urn:microsoft.com/office/officeart/2005/8/layout/orgChart1"/>
    <dgm:cxn modelId="{10AA743F-F8F1-4AB9-8A84-B5BB05E1B4E8}" type="presParOf" srcId="{A841C2B1-4BAC-45FF-B483-3447A1790735}" destId="{173482DA-9D17-4AE6-B129-EF0BC589AA0A}" srcOrd="0" destOrd="0" presId="urn:microsoft.com/office/officeart/2005/8/layout/orgChart1"/>
    <dgm:cxn modelId="{7683AA64-4699-44E3-8BF2-02F4CCCCF209}" type="presParOf" srcId="{173482DA-9D17-4AE6-B129-EF0BC589AA0A}" destId="{AE3F3E47-E5C8-4782-9A86-55EA1A86745B}" srcOrd="0" destOrd="0" presId="urn:microsoft.com/office/officeart/2005/8/layout/orgChart1"/>
    <dgm:cxn modelId="{193B7A53-5F6D-4BA8-BDA6-AAD0978F83A9}" type="presParOf" srcId="{173482DA-9D17-4AE6-B129-EF0BC589AA0A}" destId="{444C400E-F992-4CD3-9CE3-9E6747905F1A}" srcOrd="1" destOrd="0" presId="urn:microsoft.com/office/officeart/2005/8/layout/orgChart1"/>
    <dgm:cxn modelId="{FF3C8CE4-0CF4-4A9C-87F5-2257D3B8F56F}" type="presParOf" srcId="{A841C2B1-4BAC-45FF-B483-3447A1790735}" destId="{FA38CE40-0782-44B5-8363-57E0E4712E70}" srcOrd="1" destOrd="0" presId="urn:microsoft.com/office/officeart/2005/8/layout/orgChart1"/>
    <dgm:cxn modelId="{0771AD83-3DA0-4B7D-B2B8-2628A075C8A4}" type="presParOf" srcId="{A841C2B1-4BAC-45FF-B483-3447A1790735}" destId="{D9B3E587-2CA6-46B0-8651-3539436C7F75}" srcOrd="2" destOrd="0" presId="urn:microsoft.com/office/officeart/2005/8/layout/orgChart1"/>
    <dgm:cxn modelId="{83091E1E-6546-4AE2-A960-E3C074B7D113}" type="presParOf" srcId="{C8E94A2C-9620-455D-86B5-0F340AE9DBDB}" destId="{B6283A6A-3D3B-4391-8A72-7999F1FFEE1F}" srcOrd="4" destOrd="0" presId="urn:microsoft.com/office/officeart/2005/8/layout/orgChart1"/>
    <dgm:cxn modelId="{5A55109D-AEED-478E-BFBA-E3EF4DF9EE74}" type="presParOf" srcId="{C8E94A2C-9620-455D-86B5-0F340AE9DBDB}" destId="{7F59C0CA-502E-44AF-B14D-C3AAC4EF16E9}" srcOrd="5" destOrd="0" presId="urn:microsoft.com/office/officeart/2005/8/layout/orgChart1"/>
    <dgm:cxn modelId="{451EC4EF-4A9F-4BEF-A29A-1B40F18EACEA}" type="presParOf" srcId="{7F59C0CA-502E-44AF-B14D-C3AAC4EF16E9}" destId="{E15CA801-FBB8-4AAE-9BD1-B2990050AA73}" srcOrd="0" destOrd="0" presId="urn:microsoft.com/office/officeart/2005/8/layout/orgChart1"/>
    <dgm:cxn modelId="{F3993EED-3971-4CCD-AB56-7C3C299C1C9D}" type="presParOf" srcId="{E15CA801-FBB8-4AAE-9BD1-B2990050AA73}" destId="{A1084C93-B774-4E8F-9623-376C7148C9E1}" srcOrd="0" destOrd="0" presId="urn:microsoft.com/office/officeart/2005/8/layout/orgChart1"/>
    <dgm:cxn modelId="{AC8D1B24-63FB-4831-81C9-19D82EDC0383}" type="presParOf" srcId="{E15CA801-FBB8-4AAE-9BD1-B2990050AA73}" destId="{70EA4E66-0210-4403-852F-395DF2B3F51C}" srcOrd="1" destOrd="0" presId="urn:microsoft.com/office/officeart/2005/8/layout/orgChart1"/>
    <dgm:cxn modelId="{E50FF240-DA80-4892-BA99-A655880219E9}" type="presParOf" srcId="{7F59C0CA-502E-44AF-B14D-C3AAC4EF16E9}" destId="{55BF10B1-394F-4B88-9A6B-EF6DBE3AF1FE}" srcOrd="1" destOrd="0" presId="urn:microsoft.com/office/officeart/2005/8/layout/orgChart1"/>
    <dgm:cxn modelId="{3242A25A-5F95-4A77-8687-FF0362493B0F}" type="presParOf" srcId="{7F59C0CA-502E-44AF-B14D-C3AAC4EF16E9}" destId="{FE4DB2C9-AFAC-456F-8BB7-79839CF0304F}" srcOrd="2" destOrd="0" presId="urn:microsoft.com/office/officeart/2005/8/layout/orgChart1"/>
    <dgm:cxn modelId="{D05A0190-2164-4CB5-88B8-1FCC4BE71E9C}" type="presParOf" srcId="{40F72478-ED92-404D-BAE4-39BF67C1113B}" destId="{A7C68A73-7055-4174-86CC-D29E07FFB2D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83A6A-3D3B-4391-8A72-7999F1FFEE1F}">
      <dsp:nvSpPr>
        <dsp:cNvPr id="0" name=""/>
        <dsp:cNvSpPr/>
      </dsp:nvSpPr>
      <dsp:spPr>
        <a:xfrm>
          <a:off x="2830830" y="952890"/>
          <a:ext cx="1992379" cy="658679"/>
        </a:xfrm>
        <a:custGeom>
          <a:avLst/>
          <a:gdLst/>
          <a:ahLst/>
          <a:cxnLst/>
          <a:rect l="0" t="0" r="0" b="0"/>
          <a:pathLst>
            <a:path>
              <a:moveTo>
                <a:pt x="0" y="0"/>
              </a:moveTo>
              <a:lnTo>
                <a:pt x="0" y="488335"/>
              </a:lnTo>
              <a:lnTo>
                <a:pt x="2002832" y="488335"/>
              </a:lnTo>
              <a:lnTo>
                <a:pt x="2002832" y="662134"/>
              </a:lnTo>
            </a:path>
          </a:pathLst>
        </a:custGeom>
        <a:noFill/>
        <a:ln w="12700" cap="flat" cmpd="sng" algn="ctr">
          <a:solidFill>
            <a:sysClr val="windowText" lastClr="000000"/>
          </a:solidFill>
          <a:prstDash val="solid"/>
          <a:miter lim="800000"/>
        </a:ln>
        <a:effectLst/>
      </dsp:spPr>
      <dsp:style>
        <a:lnRef idx="2">
          <a:schemeClr val="dk1"/>
        </a:lnRef>
        <a:fillRef idx="0">
          <a:schemeClr val="dk1"/>
        </a:fillRef>
        <a:effectRef idx="1">
          <a:schemeClr val="dk1"/>
        </a:effectRef>
        <a:fontRef idx="minor">
          <a:schemeClr val="tx1"/>
        </a:fontRef>
      </dsp:style>
    </dsp:sp>
    <dsp:sp modelId="{1D663A82-AE79-49A9-96E3-9AC18C9CBEA1}">
      <dsp:nvSpPr>
        <dsp:cNvPr id="0" name=""/>
        <dsp:cNvSpPr/>
      </dsp:nvSpPr>
      <dsp:spPr>
        <a:xfrm>
          <a:off x="2772011" y="952890"/>
          <a:ext cx="91440" cy="658679"/>
        </a:xfrm>
        <a:custGeom>
          <a:avLst/>
          <a:gdLst/>
          <a:ahLst/>
          <a:cxnLst/>
          <a:rect l="0" t="0" r="0" b="0"/>
          <a:pathLst>
            <a:path>
              <a:moveTo>
                <a:pt x="45720" y="0"/>
              </a:moveTo>
              <a:lnTo>
                <a:pt x="45720" y="662134"/>
              </a:lnTo>
            </a:path>
          </a:pathLst>
        </a:custGeom>
        <a:noFill/>
        <a:ln w="12700" cap="flat" cmpd="sng" algn="ctr">
          <a:solidFill>
            <a:sysClr val="windowText" lastClr="000000"/>
          </a:solidFill>
          <a:prstDash val="solid"/>
          <a:miter lim="800000"/>
        </a:ln>
        <a:effectLst/>
      </dsp:spPr>
      <dsp:style>
        <a:lnRef idx="2">
          <a:schemeClr val="dk1"/>
        </a:lnRef>
        <a:fillRef idx="0">
          <a:schemeClr val="dk1"/>
        </a:fillRef>
        <a:effectRef idx="1">
          <a:schemeClr val="dk1"/>
        </a:effectRef>
        <a:fontRef idx="minor">
          <a:schemeClr val="tx1"/>
        </a:fontRef>
      </dsp:style>
    </dsp:sp>
    <dsp:sp modelId="{DDB10464-7CE9-444B-B35B-35EB8CDF803C}">
      <dsp:nvSpPr>
        <dsp:cNvPr id="0" name=""/>
        <dsp:cNvSpPr/>
      </dsp:nvSpPr>
      <dsp:spPr>
        <a:xfrm>
          <a:off x="825351" y="952890"/>
          <a:ext cx="2005478" cy="658679"/>
        </a:xfrm>
        <a:custGeom>
          <a:avLst/>
          <a:gdLst/>
          <a:ahLst/>
          <a:cxnLst/>
          <a:rect l="0" t="0" r="0" b="0"/>
          <a:pathLst>
            <a:path>
              <a:moveTo>
                <a:pt x="2002832" y="0"/>
              </a:moveTo>
              <a:lnTo>
                <a:pt x="2002832" y="488335"/>
              </a:lnTo>
              <a:lnTo>
                <a:pt x="0" y="488335"/>
              </a:lnTo>
              <a:lnTo>
                <a:pt x="0" y="662134"/>
              </a:lnTo>
            </a:path>
          </a:pathLst>
        </a:custGeom>
        <a:noFill/>
        <a:ln w="12700" cap="flat" cmpd="sng" algn="ctr">
          <a:solidFill>
            <a:sysClr val="windowText" lastClr="000000"/>
          </a:solidFill>
          <a:prstDash val="solid"/>
          <a:miter lim="800000"/>
        </a:ln>
        <a:effectLst/>
      </dsp:spPr>
      <dsp:style>
        <a:lnRef idx="2">
          <a:schemeClr val="dk1"/>
        </a:lnRef>
        <a:fillRef idx="0">
          <a:schemeClr val="dk1"/>
        </a:fillRef>
        <a:effectRef idx="1">
          <a:schemeClr val="dk1"/>
        </a:effectRef>
        <a:fontRef idx="minor">
          <a:schemeClr val="tx1"/>
        </a:fontRef>
      </dsp:style>
    </dsp:sp>
    <dsp:sp modelId="{ADB25FA3-24F2-46DE-8823-4836B0BF874B}">
      <dsp:nvSpPr>
        <dsp:cNvPr id="0" name=""/>
        <dsp:cNvSpPr/>
      </dsp:nvSpPr>
      <dsp:spPr>
        <a:xfrm>
          <a:off x="2007532" y="129593"/>
          <a:ext cx="1646594" cy="8232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Times New Roman" panose="02020603050405020304" pitchFamily="18" charset="0"/>
              <a:ea typeface="+mn-ea"/>
              <a:cs typeface="Times New Roman" panose="02020603050405020304" pitchFamily="18" charset="0"/>
            </a:rPr>
            <a:t>The Atomic Energy Act, No.7 of 2003</a:t>
          </a:r>
        </a:p>
      </dsp:txBody>
      <dsp:txXfrm>
        <a:off x="2007532" y="129593"/>
        <a:ext cx="1646594" cy="823297"/>
      </dsp:txXfrm>
    </dsp:sp>
    <dsp:sp modelId="{DF9BCEA4-691D-49CD-8055-E7A259A52D0F}">
      <dsp:nvSpPr>
        <dsp:cNvPr id="0" name=""/>
        <dsp:cNvSpPr/>
      </dsp:nvSpPr>
      <dsp:spPr>
        <a:xfrm>
          <a:off x="2054" y="1611569"/>
          <a:ext cx="1646594" cy="8232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Times New Roman" panose="02020603050405020304" pitchFamily="18" charset="0"/>
              <a:ea typeface="+mn-ea"/>
              <a:cs typeface="Times New Roman" panose="02020603050405020304" pitchFamily="18" charset="0"/>
            </a:rPr>
            <a:t>Protection from Ionizing Radiation Regulations</a:t>
          </a:r>
        </a:p>
      </dsp:txBody>
      <dsp:txXfrm>
        <a:off x="2054" y="1611569"/>
        <a:ext cx="1646594" cy="823297"/>
      </dsp:txXfrm>
    </dsp:sp>
    <dsp:sp modelId="{AE3F3E47-E5C8-4782-9A86-55EA1A86745B}">
      <dsp:nvSpPr>
        <dsp:cNvPr id="0" name=""/>
        <dsp:cNvSpPr/>
      </dsp:nvSpPr>
      <dsp:spPr>
        <a:xfrm>
          <a:off x="1994433" y="1611569"/>
          <a:ext cx="1646594" cy="1146342"/>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Times New Roman" panose="02020603050405020304" pitchFamily="18" charset="0"/>
              <a:ea typeface="+mn-ea"/>
              <a:cs typeface="Times New Roman" panose="02020603050405020304" pitchFamily="18" charset="0"/>
            </a:rPr>
            <a:t>Radioactive Waste Management for the Protection of Human Health and Environment Regulations</a:t>
          </a:r>
        </a:p>
      </dsp:txBody>
      <dsp:txXfrm>
        <a:off x="1994433" y="1611569"/>
        <a:ext cx="1646594" cy="1146342"/>
      </dsp:txXfrm>
    </dsp:sp>
    <dsp:sp modelId="{A1084C93-B774-4E8F-9623-376C7148C9E1}">
      <dsp:nvSpPr>
        <dsp:cNvPr id="0" name=""/>
        <dsp:cNvSpPr/>
      </dsp:nvSpPr>
      <dsp:spPr>
        <a:xfrm>
          <a:off x="3986813" y="1611569"/>
          <a:ext cx="1672792" cy="8232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Times New Roman" panose="02020603050405020304" pitchFamily="18" charset="0"/>
              <a:ea typeface="+mn-ea"/>
              <a:cs typeface="Times New Roman" panose="02020603050405020304" pitchFamily="18" charset="0"/>
            </a:rPr>
            <a:t>The Packaging and Transport of Radioactive Materials Regulations</a:t>
          </a:r>
        </a:p>
      </dsp:txBody>
      <dsp:txXfrm>
        <a:off x="3986813" y="1611569"/>
        <a:ext cx="1672792" cy="823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6C61-4D61-4AEE-A6E4-6F29D3DE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2022-03-28T15:30:00Z</cp:lastPrinted>
  <dcterms:created xsi:type="dcterms:W3CDTF">2022-06-14T18:42:00Z</dcterms:created>
  <dcterms:modified xsi:type="dcterms:W3CDTF">2022-06-14T18:42:00Z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id="GsIIRo1u"/&gt;&lt;style id="http://www.zotero.org/styles/ieee"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