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D2A03" w14:textId="51ED921E" w:rsidR="00E20E70" w:rsidRPr="00EE29B9" w:rsidRDefault="00441E83" w:rsidP="00537496">
      <w:pPr>
        <w:pStyle w:val="Titre1"/>
      </w:pPr>
      <w:r w:rsidRPr="00441E83">
        <w:rPr>
          <w:bCs/>
          <w:lang w:val="en-GB"/>
        </w:rPr>
        <w:t>Safety and security interface within the Cameroon centralized storage facility</w:t>
      </w:r>
    </w:p>
    <w:p w14:paraId="529429EE" w14:textId="7B7CD635" w:rsidR="003B5E0E" w:rsidRPr="003B5E0E" w:rsidRDefault="003B5E0E" w:rsidP="00537496">
      <w:pPr>
        <w:pStyle w:val="Sous-titre"/>
      </w:pPr>
    </w:p>
    <w:p w14:paraId="19195FDD" w14:textId="77777777" w:rsidR="00802381" w:rsidRDefault="00802381" w:rsidP="00537496">
      <w:pPr>
        <w:pStyle w:val="Authornameandaffiliation"/>
      </w:pPr>
    </w:p>
    <w:p w14:paraId="7D7F50F0" w14:textId="2A5B7867" w:rsidR="003B5E0E" w:rsidRDefault="00B03E8C" w:rsidP="00537496">
      <w:pPr>
        <w:pStyle w:val="Authornameandaffiliation"/>
      </w:pPr>
      <w:r>
        <w:t>J. F. BEYALA ATEBA</w:t>
      </w:r>
    </w:p>
    <w:p w14:paraId="1850F51C" w14:textId="396141D9" w:rsidR="00FF386F" w:rsidRDefault="00B03E8C" w:rsidP="00537496">
      <w:pPr>
        <w:pStyle w:val="Authornameandaffiliation"/>
      </w:pPr>
      <w:r>
        <w:t>National Radiation Protection Agency (NRPA)</w:t>
      </w:r>
    </w:p>
    <w:p w14:paraId="74D7F8A1" w14:textId="31F1E08A" w:rsidR="00FF386F" w:rsidRDefault="00B03E8C" w:rsidP="00537496">
      <w:pPr>
        <w:pStyle w:val="Authornameandaffiliation"/>
      </w:pPr>
      <w:r>
        <w:t>Yaounde</w:t>
      </w:r>
      <w:r w:rsidR="00FF386F">
        <w:t xml:space="preserve">, </w:t>
      </w:r>
      <w:r>
        <w:t>Cameroon</w:t>
      </w:r>
    </w:p>
    <w:p w14:paraId="1C6A20F1" w14:textId="10F074A6" w:rsidR="00FF386F" w:rsidRDefault="00FF386F" w:rsidP="00537496">
      <w:pPr>
        <w:pStyle w:val="Authornameandaffiliation"/>
      </w:pPr>
      <w:r>
        <w:t xml:space="preserve">Email: </w:t>
      </w:r>
      <w:hyperlink r:id="rId12" w:history="1">
        <w:r w:rsidR="00B03E8C" w:rsidRPr="00854757">
          <w:rPr>
            <w:rStyle w:val="Lienhypertexte"/>
          </w:rPr>
          <w:t>bajeanfelix@yahoo.fr</w:t>
        </w:r>
      </w:hyperlink>
      <w:r w:rsidR="00B03E8C">
        <w:t xml:space="preserve"> </w:t>
      </w:r>
    </w:p>
    <w:p w14:paraId="2E7E78F8" w14:textId="77777777" w:rsidR="00FF386F" w:rsidRDefault="00FF386F" w:rsidP="00537496">
      <w:pPr>
        <w:pStyle w:val="Authornameandaffiliation"/>
      </w:pPr>
    </w:p>
    <w:p w14:paraId="44F39D82" w14:textId="1A717E83" w:rsidR="00FF386F" w:rsidRPr="00FF386F" w:rsidRDefault="00FF386F" w:rsidP="00537496">
      <w:pPr>
        <w:pStyle w:val="Authornameandaffiliation"/>
      </w:pPr>
      <w:r>
        <w:t>A</w:t>
      </w:r>
      <w:r w:rsidRPr="00FF386F">
        <w:t xml:space="preserve">. </w:t>
      </w:r>
      <w:r w:rsidR="00B03E8C">
        <w:t>SIMO</w:t>
      </w:r>
    </w:p>
    <w:p w14:paraId="50EE4EC8" w14:textId="6EA65596" w:rsidR="00FF386F" w:rsidRPr="00FF386F" w:rsidRDefault="00B03E8C" w:rsidP="00537496">
      <w:pPr>
        <w:pStyle w:val="Authornameandaffiliation"/>
      </w:pPr>
      <w:r>
        <w:t>National Radiation Protection Agency (NRPA)</w:t>
      </w:r>
    </w:p>
    <w:p w14:paraId="61511E3A" w14:textId="118D798D" w:rsidR="00FF386F" w:rsidRPr="00FF386F" w:rsidRDefault="00B03E8C" w:rsidP="00537496">
      <w:pPr>
        <w:pStyle w:val="Authornameandaffiliation"/>
      </w:pPr>
      <w:r>
        <w:t>Yaounde</w:t>
      </w:r>
      <w:r w:rsidR="00FF386F" w:rsidRPr="00FF386F">
        <w:t xml:space="preserve">, </w:t>
      </w:r>
      <w:r>
        <w:t>Cameroon</w:t>
      </w:r>
    </w:p>
    <w:p w14:paraId="00019388" w14:textId="77777777" w:rsidR="00FF386F" w:rsidRDefault="00FF386F" w:rsidP="00537496">
      <w:pPr>
        <w:pStyle w:val="Authornameandaffiliation"/>
      </w:pPr>
    </w:p>
    <w:p w14:paraId="57857091" w14:textId="77777777" w:rsidR="00647F33" w:rsidRPr="00647F33" w:rsidRDefault="00647F33" w:rsidP="00537496">
      <w:pPr>
        <w:pStyle w:val="Authornameandaffiliation"/>
        <w:rPr>
          <w:b/>
        </w:rPr>
      </w:pPr>
      <w:r w:rsidRPr="00647F33">
        <w:rPr>
          <w:b/>
        </w:rPr>
        <w:t>Abstract</w:t>
      </w:r>
    </w:p>
    <w:p w14:paraId="353C524E" w14:textId="77777777" w:rsidR="00647F33" w:rsidRDefault="00647F33" w:rsidP="00537496">
      <w:pPr>
        <w:pStyle w:val="Authornameandaffiliation"/>
      </w:pPr>
    </w:p>
    <w:p w14:paraId="662E43B0" w14:textId="09F8CF9A" w:rsidR="00647F33" w:rsidRPr="00BD605C" w:rsidRDefault="00A5121E" w:rsidP="00A5121E">
      <w:pPr>
        <w:pStyle w:val="Abstracttext"/>
        <w:jc w:val="both"/>
      </w:pPr>
      <w:r w:rsidRPr="00A5121E">
        <w:rPr>
          <w:bCs/>
          <w:iCs/>
          <w:lang w:val="en-GB"/>
        </w:rPr>
        <w:t>According to the section 5(3) of the law N° 2019/012 of 19 July 2019 to lay down the general framework for radiological and nuclear safety, nuclear security, civil liability and safeguards enforcement, which states that: “the State shall establish the following nuclear policy principles …recognition of the urgent need to manage radioactive waste in order to protect current and future generations against excessive impacts…”, the Republic of Cameroon has established</w:t>
      </w:r>
      <w:r>
        <w:rPr>
          <w:bCs/>
          <w:iCs/>
          <w:lang w:val="en-GB"/>
        </w:rPr>
        <w:t xml:space="preserve"> with the support of the </w:t>
      </w:r>
      <w:r w:rsidR="005642C1">
        <w:rPr>
          <w:bCs/>
          <w:iCs/>
          <w:lang w:val="en-GB"/>
        </w:rPr>
        <w:t xml:space="preserve">International Atomic Energy Agency (IAEA) and the </w:t>
      </w:r>
      <w:r>
        <w:rPr>
          <w:bCs/>
          <w:iCs/>
          <w:lang w:val="en-GB"/>
        </w:rPr>
        <w:t>Depart</w:t>
      </w:r>
      <w:r w:rsidRPr="00A5121E">
        <w:rPr>
          <w:bCs/>
          <w:iCs/>
          <w:lang w:val="en-GB"/>
        </w:rPr>
        <w:t>ment of Energy of United States of America (DOE/USA) the centralized storage facility for safe and secure management of disused sealed radioactive sources (DSRS). The installation consists of a 40 feet container and a 20 f</w:t>
      </w:r>
      <w:r w:rsidR="000B52D5">
        <w:rPr>
          <w:bCs/>
          <w:iCs/>
          <w:lang w:val="en-GB"/>
        </w:rPr>
        <w:t>ee</w:t>
      </w:r>
      <w:r w:rsidRPr="00A5121E">
        <w:rPr>
          <w:bCs/>
          <w:iCs/>
          <w:lang w:val="en-GB"/>
        </w:rPr>
        <w:t xml:space="preserve">t container. </w:t>
      </w:r>
      <w:r w:rsidRPr="00A5121E">
        <w:rPr>
          <w:lang w:val="en-GB"/>
        </w:rPr>
        <w:t>Safety measures plan</w:t>
      </w:r>
      <w:r w:rsidR="00354E50">
        <w:rPr>
          <w:lang w:val="en-GB"/>
        </w:rPr>
        <w:t>ned</w:t>
      </w:r>
      <w:r w:rsidRPr="00A5121E">
        <w:rPr>
          <w:lang w:val="en-GB"/>
        </w:rPr>
        <w:t xml:space="preserve"> to be taken will allow to dismantle and to load category 3 to 5 DSRS in the P-60 capsule and to transfer the capsule to the lead shield and then the whole will be transferred to the 200l drum for the safe and secure storage.  The 200l drum packages will be locked, sealed and labelled according to the measured dose rates at 1 meter. Security measures are in place and take into account delay and detection measures as well as the response procedure. It can be mentioned that, the planned safety measures will contribute to improve security through the use of adequate seals and lock mechanisms. In addition, the robust and heavy 200l drum </w:t>
      </w:r>
      <w:r w:rsidR="00354E50">
        <w:rPr>
          <w:lang w:val="en-GB"/>
        </w:rPr>
        <w:t xml:space="preserve">which are planned to be </w:t>
      </w:r>
      <w:r w:rsidRPr="00A5121E">
        <w:rPr>
          <w:lang w:val="en-GB"/>
        </w:rPr>
        <w:t>used increase the difficulty for an adversary to remove or sabotage the packages.</w:t>
      </w:r>
    </w:p>
    <w:p w14:paraId="17E7B079" w14:textId="77777777" w:rsidR="00647F33" w:rsidRDefault="00F523CA" w:rsidP="00537496">
      <w:pPr>
        <w:pStyle w:val="Titre2"/>
        <w:numPr>
          <w:ilvl w:val="1"/>
          <w:numId w:val="10"/>
        </w:numPr>
      </w:pPr>
      <w:r>
        <w:t>INTRODUCTION</w:t>
      </w:r>
    </w:p>
    <w:p w14:paraId="7169C931" w14:textId="0AC45EA3" w:rsidR="00C71A16" w:rsidRDefault="00C71A16" w:rsidP="00537496">
      <w:pPr>
        <w:pStyle w:val="Corpsdetexte"/>
        <w:rPr>
          <w:lang w:val="en-US"/>
        </w:rPr>
      </w:pPr>
      <w:r w:rsidRPr="00C71A16">
        <w:rPr>
          <w:lang w:val="en-US"/>
        </w:rPr>
        <w:t xml:space="preserve">The </w:t>
      </w:r>
      <w:r>
        <w:rPr>
          <w:lang w:val="en-US"/>
        </w:rPr>
        <w:t>Republic of Cameroon</w:t>
      </w:r>
      <w:r w:rsidRPr="00C71A16">
        <w:rPr>
          <w:lang w:val="en-US"/>
        </w:rPr>
        <w:t xml:space="preserve"> centralized storage facility </w:t>
      </w:r>
      <w:r>
        <w:rPr>
          <w:lang w:val="en-US"/>
        </w:rPr>
        <w:t>consists of two ISO co</w:t>
      </w:r>
      <w:r w:rsidR="00C86B59">
        <w:rPr>
          <w:lang w:val="en-US"/>
        </w:rPr>
        <w:t xml:space="preserve">ntainers used as source storage </w:t>
      </w:r>
      <w:r>
        <w:rPr>
          <w:lang w:val="en-US"/>
        </w:rPr>
        <w:t xml:space="preserve">room and source conditioning room respectively. An on-site alarm monitoring </w:t>
      </w:r>
      <w:r w:rsidR="00AF6643">
        <w:rPr>
          <w:lang w:val="en-US"/>
        </w:rPr>
        <w:t>station</w:t>
      </w:r>
      <w:r>
        <w:rPr>
          <w:lang w:val="en-US"/>
        </w:rPr>
        <w:t xml:space="preserve"> is also one component of the facility</w:t>
      </w:r>
      <w:r w:rsidRPr="00C71A16">
        <w:rPr>
          <w:lang w:val="en-US"/>
        </w:rPr>
        <w:t xml:space="preserve">. </w:t>
      </w:r>
      <w:r w:rsidR="000068B7">
        <w:rPr>
          <w:lang w:val="en-US"/>
        </w:rPr>
        <w:t xml:space="preserve">The facility has been designed in order to manage disused sealed radioactive sources (DSRS) </w:t>
      </w:r>
      <w:r w:rsidR="00F025A8">
        <w:rPr>
          <w:lang w:val="en-US"/>
        </w:rPr>
        <w:t xml:space="preserve">in </w:t>
      </w:r>
      <w:r w:rsidR="000068B7">
        <w:rPr>
          <w:lang w:val="en-US"/>
        </w:rPr>
        <w:t>safe</w:t>
      </w:r>
      <w:r w:rsidR="00F025A8">
        <w:rPr>
          <w:lang w:val="en-US"/>
        </w:rPr>
        <w:t>ty and security</w:t>
      </w:r>
      <w:r w:rsidR="000068B7">
        <w:rPr>
          <w:lang w:val="en-US"/>
        </w:rPr>
        <w:t xml:space="preserve"> manner.  </w:t>
      </w:r>
      <w:r w:rsidR="000068B7" w:rsidRPr="000068B7">
        <w:t>Safety measures and security measures must be designed and implemented in an integrated manner so that security measures do not compromise safety and safety measures do not compromise security [</w:t>
      </w:r>
      <w:r w:rsidR="00C86B59">
        <w:t>1</w:t>
      </w:r>
      <w:r w:rsidR="000068B7" w:rsidRPr="000068B7">
        <w:t>]</w:t>
      </w:r>
      <w:r w:rsidR="000068B7">
        <w:t>.</w:t>
      </w:r>
    </w:p>
    <w:p w14:paraId="61F8C433" w14:textId="213BFC6E" w:rsidR="00702BE2" w:rsidRPr="00580AF9" w:rsidRDefault="00702BE2" w:rsidP="00702BE2">
      <w:pPr>
        <w:pStyle w:val="Corpsdetexte"/>
        <w:rPr>
          <w:lang w:val="en-US"/>
        </w:rPr>
      </w:pPr>
      <w:r>
        <w:rPr>
          <w:lang w:val="en-US"/>
        </w:rPr>
        <w:t xml:space="preserve">In order </w:t>
      </w:r>
      <w:r w:rsidRPr="00580AF9">
        <w:rPr>
          <w:lang w:val="en-US"/>
        </w:rPr>
        <w:t xml:space="preserve">to reduce and protect </w:t>
      </w:r>
      <w:r>
        <w:rPr>
          <w:lang w:val="en-US"/>
        </w:rPr>
        <w:t>the disused sealed radioactive sources (DSRS)</w:t>
      </w:r>
      <w:r w:rsidRPr="00580AF9">
        <w:rPr>
          <w:lang w:val="en-US"/>
        </w:rPr>
        <w:t xml:space="preserve"> located at </w:t>
      </w:r>
      <w:r>
        <w:rPr>
          <w:lang w:val="en-US"/>
        </w:rPr>
        <w:t>the Centralized storage facility, t</w:t>
      </w:r>
      <w:r w:rsidRPr="000B100F">
        <w:rPr>
          <w:lang w:val="en-US"/>
        </w:rPr>
        <w:t xml:space="preserve">he security enhancements are based on </w:t>
      </w:r>
      <w:r w:rsidRPr="000B100F">
        <w:rPr>
          <w:bCs/>
          <w:lang w:val="en-US"/>
        </w:rPr>
        <w:t>performance objectives from IAEA Nuclear Security Series No. 11</w:t>
      </w:r>
      <w:r w:rsidR="000B52D5">
        <w:rPr>
          <w:bCs/>
          <w:lang w:val="en-US"/>
        </w:rPr>
        <w:t xml:space="preserve"> namely</w:t>
      </w:r>
      <w:r w:rsidRPr="000B100F">
        <w:rPr>
          <w:bCs/>
          <w:lang w:val="en-US"/>
        </w:rPr>
        <w:t xml:space="preserve"> </w:t>
      </w:r>
      <w:r w:rsidRPr="00702BE2">
        <w:rPr>
          <w:bCs/>
          <w:lang w:val="en-US"/>
        </w:rPr>
        <w:t>Security of Radioactive Sources</w:t>
      </w:r>
      <w:r>
        <w:rPr>
          <w:bCs/>
          <w:lang w:val="en-US"/>
        </w:rPr>
        <w:t xml:space="preserve"> [</w:t>
      </w:r>
      <w:r w:rsidR="00C36964">
        <w:rPr>
          <w:bCs/>
          <w:lang w:val="en-US"/>
        </w:rPr>
        <w:t>2</w:t>
      </w:r>
      <w:r>
        <w:rPr>
          <w:bCs/>
          <w:lang w:val="en-US"/>
        </w:rPr>
        <w:t>].</w:t>
      </w:r>
      <w:r w:rsidRPr="000B100F">
        <w:rPr>
          <w:bCs/>
          <w:lang w:val="en-US"/>
        </w:rPr>
        <w:t xml:space="preserve"> </w:t>
      </w:r>
      <w:r w:rsidRPr="00580AF9">
        <w:rPr>
          <w:lang w:val="en-US"/>
        </w:rPr>
        <w:t xml:space="preserve">The security enhancements </w:t>
      </w:r>
      <w:r>
        <w:rPr>
          <w:lang w:val="en-US"/>
        </w:rPr>
        <w:t>have been</w:t>
      </w:r>
      <w:r w:rsidRPr="00580AF9">
        <w:rPr>
          <w:lang w:val="en-US"/>
        </w:rPr>
        <w:t xml:space="preserve"> incorporated into the </w:t>
      </w:r>
      <w:r>
        <w:rPr>
          <w:lang w:val="en-US"/>
        </w:rPr>
        <w:t xml:space="preserve">source storage room, source conditioning room and on-site alarm monitoring </w:t>
      </w:r>
      <w:r w:rsidR="000B52D5">
        <w:rPr>
          <w:lang w:val="en-US"/>
        </w:rPr>
        <w:t>station</w:t>
      </w:r>
      <w:r>
        <w:rPr>
          <w:lang w:val="en-US"/>
        </w:rPr>
        <w:t>.</w:t>
      </w:r>
    </w:p>
    <w:p w14:paraId="13DAB6C4" w14:textId="77777777" w:rsidR="00C71A16" w:rsidRDefault="00C71A16" w:rsidP="00537496">
      <w:pPr>
        <w:pStyle w:val="Corpsdetexte"/>
        <w:rPr>
          <w:lang w:val="en-US"/>
        </w:rPr>
      </w:pPr>
    </w:p>
    <w:p w14:paraId="21F7D90A" w14:textId="77777777" w:rsidR="00580AF9" w:rsidRDefault="00580AF9" w:rsidP="00537496">
      <w:pPr>
        <w:pStyle w:val="Corpsdetexte"/>
        <w:rPr>
          <w:lang w:val="en-US"/>
        </w:rPr>
      </w:pPr>
    </w:p>
    <w:p w14:paraId="378A8DAC" w14:textId="1238E4FA" w:rsidR="003B656C" w:rsidRPr="003B656C" w:rsidRDefault="002E04BC" w:rsidP="002E04BC">
      <w:pPr>
        <w:pStyle w:val="Corpsdetexte"/>
        <w:ind w:firstLine="0"/>
        <w:rPr>
          <w:lang w:val="en-US"/>
        </w:rPr>
      </w:pPr>
      <w:r w:rsidRPr="003B656C">
        <w:rPr>
          <w:lang w:val="en-US"/>
        </w:rPr>
        <w:t xml:space="preserve">2. </w:t>
      </w:r>
      <w:r w:rsidR="00756760" w:rsidRPr="003B656C">
        <w:rPr>
          <w:lang w:val="en-US"/>
        </w:rPr>
        <w:t xml:space="preserve">SECURITY MEASURES </w:t>
      </w:r>
      <w:r w:rsidR="00B80ECA">
        <w:rPr>
          <w:lang w:val="en-US"/>
        </w:rPr>
        <w:t>INCORPORATED</w:t>
      </w:r>
    </w:p>
    <w:p w14:paraId="66D33D5E" w14:textId="77777777" w:rsidR="003B656C" w:rsidRDefault="003B656C" w:rsidP="002E04BC">
      <w:pPr>
        <w:pStyle w:val="Corpsdetexte"/>
        <w:ind w:firstLine="0"/>
        <w:rPr>
          <w:b/>
          <w:lang w:val="en-US"/>
        </w:rPr>
      </w:pPr>
    </w:p>
    <w:p w14:paraId="793C128B" w14:textId="1B058692" w:rsidR="002E04BC" w:rsidRDefault="003B656C" w:rsidP="002E04BC">
      <w:pPr>
        <w:pStyle w:val="Corpsdetexte"/>
        <w:ind w:firstLine="0"/>
        <w:rPr>
          <w:lang w:val="en-US"/>
        </w:rPr>
      </w:pPr>
      <w:r>
        <w:rPr>
          <w:b/>
          <w:lang w:val="en-US"/>
        </w:rPr>
        <w:t>2.1 Security measures w</w:t>
      </w:r>
      <w:r w:rsidR="00B80ECA">
        <w:rPr>
          <w:b/>
          <w:lang w:val="en-US"/>
        </w:rPr>
        <w:t>ithin t</w:t>
      </w:r>
      <w:r w:rsidRPr="003B656C">
        <w:rPr>
          <w:b/>
          <w:lang w:val="en-US"/>
        </w:rPr>
        <w:t xml:space="preserve">he </w:t>
      </w:r>
      <w:r w:rsidR="00B80ECA">
        <w:rPr>
          <w:b/>
          <w:lang w:val="en-US"/>
        </w:rPr>
        <w:t>s</w:t>
      </w:r>
      <w:r w:rsidRPr="003B656C">
        <w:rPr>
          <w:b/>
          <w:lang w:val="en-US"/>
        </w:rPr>
        <w:t xml:space="preserve">ource </w:t>
      </w:r>
      <w:r w:rsidR="00B80ECA">
        <w:rPr>
          <w:b/>
          <w:lang w:val="en-US"/>
        </w:rPr>
        <w:t>s</w:t>
      </w:r>
      <w:r w:rsidRPr="003B656C">
        <w:rPr>
          <w:b/>
          <w:lang w:val="en-US"/>
        </w:rPr>
        <w:t xml:space="preserve">torage </w:t>
      </w:r>
      <w:r w:rsidR="00B80ECA">
        <w:rPr>
          <w:b/>
          <w:lang w:val="en-US"/>
        </w:rPr>
        <w:t>r</w:t>
      </w:r>
      <w:r w:rsidRPr="003B656C">
        <w:rPr>
          <w:b/>
          <w:lang w:val="en-US"/>
        </w:rPr>
        <w:t>oom</w:t>
      </w:r>
      <w:r w:rsidRPr="002E04BC">
        <w:rPr>
          <w:lang w:val="en-US"/>
        </w:rPr>
        <w:t xml:space="preserve"> </w:t>
      </w:r>
    </w:p>
    <w:p w14:paraId="6690C36D" w14:textId="2654C73C" w:rsidR="00735544" w:rsidRPr="00394F42" w:rsidRDefault="002E04BC" w:rsidP="00735544">
      <w:pPr>
        <w:jc w:val="both"/>
        <w:rPr>
          <w:rFonts w:eastAsia="Calibri"/>
          <w:sz w:val="20"/>
          <w:lang w:val="en-US"/>
        </w:rPr>
      </w:pPr>
      <w:r w:rsidRPr="00394F42">
        <w:rPr>
          <w:rFonts w:eastAsia="Calibri"/>
          <w:sz w:val="20"/>
          <w:lang w:val="en-US"/>
        </w:rPr>
        <w:t>The entry door to the storage room (D1) has been equipped with two high security padlocks that must be remove</w:t>
      </w:r>
      <w:r w:rsidR="000B52D5" w:rsidRPr="00394F42">
        <w:rPr>
          <w:rFonts w:eastAsia="Calibri"/>
          <w:sz w:val="20"/>
          <w:lang w:val="en-US"/>
        </w:rPr>
        <w:t>d before the door can be opened</w:t>
      </w:r>
      <w:r w:rsidRPr="00394F42">
        <w:rPr>
          <w:rFonts w:eastAsia="Calibri"/>
          <w:sz w:val="20"/>
          <w:lang w:val="en-US"/>
        </w:rPr>
        <w:t>. Each door ha</w:t>
      </w:r>
      <w:r w:rsidR="00F025A8" w:rsidRPr="00394F42">
        <w:rPr>
          <w:rFonts w:eastAsia="Calibri"/>
          <w:sz w:val="20"/>
          <w:lang w:val="en-US"/>
        </w:rPr>
        <w:t>s</w:t>
      </w:r>
      <w:r w:rsidRPr="00394F42">
        <w:rPr>
          <w:rFonts w:eastAsia="Calibri"/>
          <w:sz w:val="20"/>
          <w:lang w:val="en-US"/>
        </w:rPr>
        <w:t xml:space="preserve"> a balanced magnetic switch installed. </w:t>
      </w:r>
      <w:r w:rsidR="00C07FAD" w:rsidRPr="00394F42">
        <w:rPr>
          <w:rFonts w:eastAsia="Calibri"/>
          <w:sz w:val="20"/>
          <w:lang w:val="en-US"/>
        </w:rPr>
        <w:t>A</w:t>
      </w:r>
      <w:r w:rsidRPr="00394F42">
        <w:rPr>
          <w:rFonts w:eastAsia="Calibri"/>
          <w:sz w:val="20"/>
          <w:lang w:val="en-US"/>
        </w:rPr>
        <w:t xml:space="preserve"> motorized steel security shutter </w:t>
      </w:r>
      <w:r w:rsidR="00005A64" w:rsidRPr="00394F42">
        <w:rPr>
          <w:rFonts w:eastAsia="Calibri"/>
          <w:sz w:val="20"/>
          <w:lang w:val="en-US"/>
        </w:rPr>
        <w:t xml:space="preserve">(D2) </w:t>
      </w:r>
      <w:r w:rsidR="00C07FAD" w:rsidRPr="00394F42">
        <w:rPr>
          <w:rFonts w:eastAsia="Calibri"/>
          <w:sz w:val="20"/>
          <w:lang w:val="en-US"/>
        </w:rPr>
        <w:t>has been installed at opening of the storage room</w:t>
      </w:r>
      <w:r w:rsidRPr="00394F42">
        <w:rPr>
          <w:rFonts w:eastAsia="Calibri"/>
          <w:sz w:val="20"/>
          <w:lang w:val="en-US"/>
        </w:rPr>
        <w:t>.  The door use</w:t>
      </w:r>
      <w:r w:rsidR="00C07FAD" w:rsidRPr="00394F42">
        <w:rPr>
          <w:rFonts w:eastAsia="Calibri"/>
          <w:sz w:val="20"/>
          <w:lang w:val="en-US"/>
        </w:rPr>
        <w:t>s</w:t>
      </w:r>
      <w:r w:rsidRPr="00394F42">
        <w:rPr>
          <w:rFonts w:eastAsia="Calibri"/>
          <w:sz w:val="20"/>
          <w:lang w:val="en-US"/>
        </w:rPr>
        <w:t xml:space="preserve"> an electro-magnetic locking mechanism integrated with access control system.</w:t>
      </w:r>
      <w:r w:rsidR="00DB64D5" w:rsidRPr="00394F42">
        <w:rPr>
          <w:rFonts w:eastAsia="Calibri"/>
          <w:sz w:val="20"/>
          <w:lang w:val="en-US"/>
        </w:rPr>
        <w:t xml:space="preserve"> An area radiation sensor has been installed on the wall near the entry/exit to the source storage room and connected to the intrusion system.</w:t>
      </w:r>
      <w:r w:rsidR="002C7B46">
        <w:rPr>
          <w:rFonts w:eastAsia="Calibri"/>
          <w:sz w:val="20"/>
          <w:lang w:val="en-US"/>
        </w:rPr>
        <w:t xml:space="preserve"> </w:t>
      </w:r>
      <w:r w:rsidR="00005A64" w:rsidRPr="00394F42">
        <w:rPr>
          <w:rFonts w:eastAsia="Calibri"/>
          <w:sz w:val="20"/>
          <w:lang w:val="en-US"/>
        </w:rPr>
        <w:t>O</w:t>
      </w:r>
      <w:r w:rsidR="00756760" w:rsidRPr="00394F42">
        <w:rPr>
          <w:rFonts w:eastAsia="Calibri"/>
          <w:sz w:val="20"/>
          <w:lang w:val="en-US"/>
        </w:rPr>
        <w:t xml:space="preserve">ne (1) biometric fingerprint reader programmed for two authorizations to allow access has been installed at the </w:t>
      </w:r>
      <w:r w:rsidR="00DB64D5" w:rsidRPr="00394F42">
        <w:rPr>
          <w:rFonts w:eastAsia="Calibri"/>
          <w:sz w:val="20"/>
          <w:lang w:val="en-US"/>
        </w:rPr>
        <w:t xml:space="preserve">entrance </w:t>
      </w:r>
      <w:r w:rsidR="00756760" w:rsidRPr="00394F42">
        <w:rPr>
          <w:rFonts w:eastAsia="Calibri"/>
          <w:sz w:val="20"/>
          <w:lang w:val="en-US"/>
        </w:rPr>
        <w:t xml:space="preserve">door. </w:t>
      </w:r>
      <w:r w:rsidR="00AF6643" w:rsidRPr="00394F42">
        <w:rPr>
          <w:rFonts w:eastAsia="Calibri"/>
          <w:sz w:val="20"/>
          <w:lang w:val="en-US"/>
        </w:rPr>
        <w:t xml:space="preserve">Three (3) color </w:t>
      </w:r>
      <w:r w:rsidR="00F11DC0" w:rsidRPr="00394F42">
        <w:rPr>
          <w:rFonts w:eastAsia="Calibri"/>
          <w:sz w:val="20"/>
          <w:lang w:val="en-US"/>
        </w:rPr>
        <w:t>CCTV cameras have been installed. The first one C1 covering the inside of entry door D1 and the shutter door D2 and two others C2 and C3 viewing the stored sources and inside of shutter entry door.</w:t>
      </w:r>
      <w:r w:rsidR="002D6495" w:rsidRPr="00394F42">
        <w:rPr>
          <w:rFonts w:eastAsia="Calibri"/>
          <w:sz w:val="20"/>
          <w:lang w:val="en-US"/>
        </w:rPr>
        <w:t xml:space="preserve"> Three (3) dual technology (passive infrared and microwave) motion sensors have been installed in the storage room and entry area to detect </w:t>
      </w:r>
      <w:r w:rsidR="002D6495" w:rsidRPr="00394F42">
        <w:rPr>
          <w:rFonts w:eastAsia="Calibri"/>
          <w:sz w:val="20"/>
          <w:lang w:val="en-US"/>
        </w:rPr>
        <w:lastRenderedPageBreak/>
        <w:t xml:space="preserve">entry into the room. </w:t>
      </w:r>
      <w:r w:rsidR="004E01CF" w:rsidRPr="00394F42">
        <w:rPr>
          <w:rFonts w:eastAsia="Calibri"/>
          <w:sz w:val="20"/>
          <w:lang w:val="en-US"/>
        </w:rPr>
        <w:t>A fixed duress button, which is resistant to accidental triggering during normal operations has been install</w:t>
      </w:r>
      <w:r w:rsidR="00394F42" w:rsidRPr="00394F42">
        <w:rPr>
          <w:rFonts w:eastAsia="Calibri"/>
          <w:sz w:val="20"/>
          <w:lang w:val="en-US"/>
        </w:rPr>
        <w:t xml:space="preserve">ed in the source storage room. </w:t>
      </w:r>
      <w:r w:rsidR="00FD6B10" w:rsidRPr="00394F42">
        <w:rPr>
          <w:rFonts w:eastAsia="Calibri"/>
          <w:sz w:val="20"/>
          <w:lang w:val="en-US"/>
        </w:rPr>
        <w:t xml:space="preserve">A tamper indicating device has been provided on the source storage rack such that any unauthorized access and removal of the source will trigger an alarm. </w:t>
      </w:r>
      <w:r w:rsidR="00FD6B10" w:rsidRPr="00394F42">
        <w:rPr>
          <w:sz w:val="20"/>
          <w:lang w:val="en-US"/>
        </w:rPr>
        <w:t>A</w:t>
      </w:r>
      <w:r w:rsidR="00FD6B10" w:rsidRPr="00394F42" w:rsidDel="00F87DA7">
        <w:rPr>
          <w:sz w:val="20"/>
          <w:lang w:val="en-US"/>
        </w:rPr>
        <w:t xml:space="preserve">n </w:t>
      </w:r>
      <w:r w:rsidR="00FD6B10" w:rsidRPr="00394F42">
        <w:rPr>
          <w:sz w:val="20"/>
          <w:lang w:val="en-US"/>
        </w:rPr>
        <w:t>a</w:t>
      </w:r>
      <w:r w:rsidR="00FD6B10" w:rsidRPr="00394F42" w:rsidDel="00F87DA7">
        <w:rPr>
          <w:sz w:val="20"/>
          <w:lang w:val="en-US"/>
        </w:rPr>
        <w:t xml:space="preserve">lpha-numeric keypad </w:t>
      </w:r>
      <w:r w:rsidR="0049530F" w:rsidRPr="00394F42">
        <w:rPr>
          <w:sz w:val="20"/>
          <w:lang w:val="en-US"/>
        </w:rPr>
        <w:t xml:space="preserve">has been installed </w:t>
      </w:r>
      <w:r w:rsidR="00FD6B10" w:rsidRPr="00394F42" w:rsidDel="00F87DA7">
        <w:rPr>
          <w:sz w:val="20"/>
          <w:lang w:val="en-US"/>
        </w:rPr>
        <w:t>for arming,</w:t>
      </w:r>
      <w:r w:rsidR="00FD6B10" w:rsidRPr="00394F42">
        <w:rPr>
          <w:sz w:val="20"/>
          <w:lang w:val="en-US"/>
        </w:rPr>
        <w:t xml:space="preserve"> </w:t>
      </w:r>
      <w:r w:rsidR="00FD6B10" w:rsidRPr="00394F42" w:rsidDel="00F87DA7">
        <w:rPr>
          <w:sz w:val="20"/>
          <w:lang w:val="en-US"/>
        </w:rPr>
        <w:t>disarming</w:t>
      </w:r>
      <w:r w:rsidR="00FD6B10" w:rsidRPr="00394F42">
        <w:rPr>
          <w:sz w:val="20"/>
          <w:lang w:val="en-US"/>
        </w:rPr>
        <w:t>,</w:t>
      </w:r>
      <w:r w:rsidR="00FD6B10" w:rsidRPr="00394F42" w:rsidDel="00F87DA7">
        <w:rPr>
          <w:sz w:val="20"/>
          <w:lang w:val="en-US"/>
        </w:rPr>
        <w:t xml:space="preserve"> and alarm monitoring of </w:t>
      </w:r>
      <w:r w:rsidR="00FD6B10" w:rsidRPr="00394F42">
        <w:rPr>
          <w:sz w:val="20"/>
          <w:lang w:val="en-US"/>
        </w:rPr>
        <w:t xml:space="preserve">the </w:t>
      </w:r>
      <w:r w:rsidR="00FD6B10" w:rsidRPr="00394F42" w:rsidDel="00F87DA7">
        <w:rPr>
          <w:sz w:val="20"/>
          <w:lang w:val="en-US"/>
        </w:rPr>
        <w:t xml:space="preserve">security system </w:t>
      </w:r>
      <w:r w:rsidR="0049530F" w:rsidRPr="00394F42">
        <w:rPr>
          <w:bCs/>
          <w:sz w:val="20"/>
          <w:lang w:val="en-US"/>
        </w:rPr>
        <w:t>near source storage r</w:t>
      </w:r>
      <w:r w:rsidR="00FD6B10" w:rsidRPr="00394F42">
        <w:rPr>
          <w:bCs/>
          <w:sz w:val="20"/>
          <w:lang w:val="en-US"/>
        </w:rPr>
        <w:t>oom entry area</w:t>
      </w:r>
      <w:r w:rsidR="00FD6B10" w:rsidRPr="00394F42">
        <w:rPr>
          <w:sz w:val="20"/>
          <w:lang w:val="en-US"/>
        </w:rPr>
        <w:t xml:space="preserve">.  </w:t>
      </w:r>
      <w:r w:rsidR="00735544" w:rsidRPr="00394F42">
        <w:rPr>
          <w:sz w:val="20"/>
          <w:lang w:val="en-US"/>
        </w:rPr>
        <w:t>A steel cage system enclosing the source containers inside of the storage room has been constructed. The access doors are secured with a high security padlock and a tamper indicating device. The cage has been permanently attached to the storage container to prevent easy removal from the storage room.</w:t>
      </w:r>
      <w:r w:rsidR="00452E46" w:rsidRPr="00394F42">
        <w:rPr>
          <w:sz w:val="20"/>
          <w:lang w:val="en-US"/>
        </w:rPr>
        <w:t xml:space="preserve"> </w:t>
      </w:r>
      <w:r w:rsidR="00735544" w:rsidRPr="00394F42">
        <w:rPr>
          <w:sz w:val="20"/>
          <w:lang w:val="en-US"/>
        </w:rPr>
        <w:t>A wall mounted air conditioning unit to protect</w:t>
      </w:r>
      <w:r w:rsidR="00452E46" w:rsidRPr="00394F42">
        <w:rPr>
          <w:sz w:val="20"/>
          <w:lang w:val="en-US"/>
        </w:rPr>
        <w:t xml:space="preserve"> the security equipment in the s</w:t>
      </w:r>
      <w:r w:rsidR="00735544" w:rsidRPr="00394F42">
        <w:rPr>
          <w:sz w:val="20"/>
          <w:lang w:val="en-US"/>
        </w:rPr>
        <w:t xml:space="preserve">ource </w:t>
      </w:r>
      <w:r w:rsidR="00452E46" w:rsidRPr="00394F42">
        <w:rPr>
          <w:sz w:val="20"/>
          <w:lang w:val="en-US"/>
        </w:rPr>
        <w:t>storage r</w:t>
      </w:r>
      <w:r w:rsidR="00735544" w:rsidRPr="00394F42">
        <w:rPr>
          <w:sz w:val="20"/>
          <w:lang w:val="en-US"/>
        </w:rPr>
        <w:t>oom from overheating has been installed.</w:t>
      </w:r>
    </w:p>
    <w:p w14:paraId="7F67BD9B" w14:textId="77777777" w:rsidR="003D7FAF" w:rsidRDefault="003D7FAF" w:rsidP="00735544">
      <w:pPr>
        <w:jc w:val="both"/>
        <w:rPr>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3531"/>
      </w:tblGrid>
      <w:tr w:rsidR="003D7FAF" w14:paraId="79D8BDDB" w14:textId="77777777" w:rsidTr="002C7B46">
        <w:tc>
          <w:tcPr>
            <w:tcW w:w="4508" w:type="dxa"/>
          </w:tcPr>
          <w:p w14:paraId="3A2D6A52" w14:textId="19788106" w:rsidR="003D7FAF" w:rsidRDefault="003D7FAF" w:rsidP="00756760">
            <w:pPr>
              <w:rPr>
                <w:lang w:val="en-US"/>
              </w:rPr>
            </w:pPr>
            <w:r>
              <w:rPr>
                <w:noProof/>
                <w:lang w:eastAsia="en-GB"/>
              </w:rPr>
              <w:drawing>
                <wp:inline distT="0" distB="0" distL="0" distR="0" wp14:anchorId="3EFA78D4" wp14:editId="101407CC">
                  <wp:extent cx="3346450" cy="152812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2122" cy="1562680"/>
                          </a:xfrm>
                          <a:prstGeom prst="rect">
                            <a:avLst/>
                          </a:prstGeom>
                        </pic:spPr>
                      </pic:pic>
                    </a:graphicData>
                  </a:graphic>
                </wp:inline>
              </w:drawing>
            </w:r>
          </w:p>
        </w:tc>
        <w:tc>
          <w:tcPr>
            <w:tcW w:w="4509" w:type="dxa"/>
          </w:tcPr>
          <w:p w14:paraId="7B54A8B2" w14:textId="79E918AC" w:rsidR="003D7FAF" w:rsidRDefault="003D7FAF" w:rsidP="002C7B46">
            <w:pPr>
              <w:jc w:val="center"/>
              <w:rPr>
                <w:lang w:val="en-US"/>
              </w:rPr>
            </w:pPr>
            <w:r w:rsidRPr="003D7FAF">
              <w:rPr>
                <w:noProof/>
                <w:snapToGrid w:val="0"/>
                <w:color w:val="000000"/>
                <w:w w:val="0"/>
                <w:sz w:val="0"/>
                <w:szCs w:val="0"/>
                <w:u w:color="000000"/>
                <w:bdr w:val="none" w:sz="0" w:space="0" w:color="000000"/>
                <w:shd w:val="clear" w:color="000000" w:fill="000000"/>
                <w:lang w:eastAsia="en-GB"/>
              </w:rPr>
              <w:drawing>
                <wp:inline distT="0" distB="0" distL="0" distR="0" wp14:anchorId="7E6478C4" wp14:editId="0459A59F">
                  <wp:extent cx="1643911" cy="924701"/>
                  <wp:effectExtent l="0" t="2540" r="0" b="0"/>
                  <wp:docPr id="8" name="Image 8" descr="C:\Users\HP KDS\Documents\DST\2020\Coordination projet\DSRS\EM\Cameroon\Expert Mission Files\Photos\20200226_09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KDS\Documents\DST\2020\Coordination projet\DSRS\EM\Cameroon\Expert Mission Files\Photos\20200226_0919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668628" cy="938604"/>
                          </a:xfrm>
                          <a:prstGeom prst="rect">
                            <a:avLst/>
                          </a:prstGeom>
                          <a:noFill/>
                          <a:ln>
                            <a:noFill/>
                          </a:ln>
                        </pic:spPr>
                      </pic:pic>
                    </a:graphicData>
                  </a:graphic>
                </wp:inline>
              </w:drawing>
            </w:r>
          </w:p>
        </w:tc>
      </w:tr>
      <w:tr w:rsidR="003D7FAF" w:rsidRPr="002C7B46" w14:paraId="79BF1607" w14:textId="77777777" w:rsidTr="002C7B46">
        <w:tc>
          <w:tcPr>
            <w:tcW w:w="4508" w:type="dxa"/>
          </w:tcPr>
          <w:p w14:paraId="0AF86AE1" w14:textId="56BBAA8C" w:rsidR="003D7FAF" w:rsidRPr="002C7B46" w:rsidRDefault="003D7FAF" w:rsidP="00756760">
            <w:pPr>
              <w:rPr>
                <w:sz w:val="20"/>
                <w:lang w:val="en-US"/>
              </w:rPr>
            </w:pPr>
            <w:r w:rsidRPr="002C7B46">
              <w:rPr>
                <w:sz w:val="20"/>
                <w:lang w:val="en-US"/>
              </w:rPr>
              <w:t>Figure1: Security design within the source storage room</w:t>
            </w:r>
          </w:p>
        </w:tc>
        <w:tc>
          <w:tcPr>
            <w:tcW w:w="4509" w:type="dxa"/>
          </w:tcPr>
          <w:p w14:paraId="7728F800" w14:textId="07EBEAF4" w:rsidR="003D7FAF" w:rsidRPr="002C7B46" w:rsidRDefault="009041B0" w:rsidP="00756760">
            <w:pPr>
              <w:rPr>
                <w:sz w:val="20"/>
                <w:lang w:val="en-US"/>
              </w:rPr>
            </w:pPr>
            <w:r w:rsidRPr="002C7B46">
              <w:rPr>
                <w:sz w:val="20"/>
                <w:lang w:val="en-US"/>
              </w:rPr>
              <w:t>Figure 2: Inside view of the source storage room</w:t>
            </w:r>
          </w:p>
        </w:tc>
      </w:tr>
    </w:tbl>
    <w:p w14:paraId="4B71AF3A" w14:textId="529BA12C" w:rsidR="00580AF9" w:rsidRDefault="003B656C" w:rsidP="00735544">
      <w:pPr>
        <w:pStyle w:val="Corpsdetexte"/>
        <w:ind w:firstLine="0"/>
        <w:rPr>
          <w:b/>
          <w:lang w:val="en-US"/>
        </w:rPr>
      </w:pPr>
      <w:r>
        <w:rPr>
          <w:b/>
          <w:lang w:val="en-US"/>
        </w:rPr>
        <w:t>2.2</w:t>
      </w:r>
      <w:r w:rsidR="00735544">
        <w:rPr>
          <w:b/>
          <w:lang w:val="en-US"/>
        </w:rPr>
        <w:t xml:space="preserve"> </w:t>
      </w:r>
      <w:r>
        <w:rPr>
          <w:b/>
          <w:lang w:val="en-US"/>
        </w:rPr>
        <w:t>Security m</w:t>
      </w:r>
      <w:r w:rsidRPr="003B656C">
        <w:rPr>
          <w:b/>
          <w:lang w:val="en-US"/>
        </w:rPr>
        <w:t xml:space="preserve">easures </w:t>
      </w:r>
      <w:r>
        <w:rPr>
          <w:b/>
          <w:lang w:val="en-US"/>
        </w:rPr>
        <w:t>w</w:t>
      </w:r>
      <w:r w:rsidRPr="003B656C">
        <w:rPr>
          <w:b/>
          <w:lang w:val="en-US"/>
        </w:rPr>
        <w:t xml:space="preserve">ithin </w:t>
      </w:r>
      <w:r>
        <w:rPr>
          <w:b/>
          <w:lang w:val="en-US"/>
        </w:rPr>
        <w:t>t</w:t>
      </w:r>
      <w:r w:rsidR="009041B0">
        <w:rPr>
          <w:b/>
          <w:lang w:val="en-US"/>
        </w:rPr>
        <w:t>he source c</w:t>
      </w:r>
      <w:r w:rsidRPr="003B656C">
        <w:rPr>
          <w:b/>
          <w:lang w:val="en-US"/>
        </w:rPr>
        <w:t xml:space="preserve">onditioning </w:t>
      </w:r>
      <w:r w:rsidR="003D7FAF">
        <w:rPr>
          <w:b/>
          <w:lang w:val="en-US"/>
        </w:rPr>
        <w:t>r</w:t>
      </w:r>
      <w:r w:rsidRPr="003B656C">
        <w:rPr>
          <w:b/>
          <w:lang w:val="en-US"/>
        </w:rPr>
        <w:t>oom</w:t>
      </w:r>
      <w:r w:rsidRPr="00580AF9">
        <w:rPr>
          <w:b/>
          <w:lang w:val="en-US"/>
        </w:rPr>
        <w:t xml:space="preserve"> </w:t>
      </w:r>
    </w:p>
    <w:p w14:paraId="3F6A1C5D" w14:textId="61608708" w:rsidR="007D3FA7" w:rsidRDefault="009B6198" w:rsidP="00EC658A">
      <w:pPr>
        <w:pStyle w:val="Corpsdetexte"/>
        <w:ind w:firstLine="0"/>
        <w:rPr>
          <w:lang w:val="en-US"/>
        </w:rPr>
      </w:pPr>
      <w:r w:rsidRPr="00452E46">
        <w:rPr>
          <w:lang w:val="en-US"/>
        </w:rPr>
        <w:t xml:space="preserve">A steel door (D3) is installed to the conditioning room. </w:t>
      </w:r>
      <w:r w:rsidR="005C38E1" w:rsidRPr="00452E46">
        <w:rPr>
          <w:lang w:val="en-US"/>
        </w:rPr>
        <w:t>A CCTV system with one (1) color CCTV Camera (C4) within the source conditioning room focused on the source and the inside of the entry door and one (1) outdoor CCTV Camera (C5) focused on the exterior entra</w:t>
      </w:r>
      <w:r w:rsidR="0070372A" w:rsidRPr="00452E46">
        <w:rPr>
          <w:lang w:val="en-US"/>
        </w:rPr>
        <w:t>nces to the source s</w:t>
      </w:r>
      <w:r w:rsidR="005C38E1" w:rsidRPr="00452E46">
        <w:rPr>
          <w:lang w:val="en-US"/>
        </w:rPr>
        <w:t xml:space="preserve">torage and source conditioning rooms </w:t>
      </w:r>
      <w:r w:rsidR="00452E46" w:rsidRPr="00452E46">
        <w:rPr>
          <w:lang w:val="en-US"/>
        </w:rPr>
        <w:t xml:space="preserve">are </w:t>
      </w:r>
      <w:r w:rsidR="005C38E1" w:rsidRPr="00452E46">
        <w:rPr>
          <w:lang w:val="en-US"/>
        </w:rPr>
        <w:t>installed.</w:t>
      </w:r>
      <w:r w:rsidR="007D3FA7" w:rsidRPr="00452E46">
        <w:rPr>
          <w:lang w:val="en-US"/>
        </w:rPr>
        <w:t xml:space="preserve"> Two (2) dual technology (passive infrared and microwave) motion sensors are installed in the source conditioning room to detect entry into the room.</w:t>
      </w:r>
      <w:r w:rsidR="00452E46" w:rsidRPr="00452E46">
        <w:rPr>
          <w:lang w:val="en-US"/>
        </w:rPr>
        <w:t xml:space="preserve"> </w:t>
      </w:r>
      <w:r w:rsidR="005C38E1" w:rsidRPr="00452E46">
        <w:rPr>
          <w:lang w:val="en-US"/>
        </w:rPr>
        <w:t>A security grating cage for placement of the sources that are in the conditioning process is installed. The box has a high security padlock and have a device that alarms upon tamper indication.</w:t>
      </w:r>
      <w:r w:rsidR="00452E46">
        <w:rPr>
          <w:lang w:val="en-US"/>
        </w:rPr>
        <w:t xml:space="preserve"> </w:t>
      </w:r>
      <w:r w:rsidR="007D3FA7" w:rsidRPr="00580AF9">
        <w:rPr>
          <w:lang w:val="en-US"/>
        </w:rPr>
        <w:t xml:space="preserve">The door </w:t>
      </w:r>
      <w:r w:rsidR="007D3FA7">
        <w:rPr>
          <w:lang w:val="en-US"/>
        </w:rPr>
        <w:t>is</w:t>
      </w:r>
      <w:r w:rsidR="007D3FA7" w:rsidRPr="00580AF9">
        <w:rPr>
          <w:lang w:val="en-US"/>
        </w:rPr>
        <w:t xml:space="preserve"> equipped with a high-security balanced magnetic switch (BMS)</w:t>
      </w:r>
      <w:r w:rsidR="007D3FA7">
        <w:rPr>
          <w:lang w:val="en-US"/>
        </w:rPr>
        <w:t>.</w:t>
      </w:r>
    </w:p>
    <w:p w14:paraId="4A070811" w14:textId="16271907" w:rsidR="007D3FA7" w:rsidRDefault="007D3FA7" w:rsidP="00580AF9">
      <w:pPr>
        <w:pStyle w:val="Corpsdetexte"/>
        <w:rPr>
          <w:lang w:val="en-US"/>
        </w:rPr>
      </w:pPr>
      <w:r w:rsidRPr="007D3FA7">
        <w:rPr>
          <w:lang w:val="en-US"/>
        </w:rPr>
        <w:t>An alpha-numeric keypad for arming, disarming, and alarm monitoring of the security system is installed</w:t>
      </w:r>
      <w:r>
        <w:rPr>
          <w:lang w:val="en-US"/>
        </w:rPr>
        <w:t>.</w:t>
      </w:r>
    </w:p>
    <w:p w14:paraId="3C677F6E" w14:textId="77777777" w:rsidR="009041B0" w:rsidRDefault="009041B0" w:rsidP="00580AF9">
      <w:pPr>
        <w:pStyle w:val="Corpsdetexte"/>
        <w:rPr>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9041B0" w14:paraId="4B00B6E5" w14:textId="77777777" w:rsidTr="007F1760">
        <w:tc>
          <w:tcPr>
            <w:tcW w:w="4508" w:type="dxa"/>
          </w:tcPr>
          <w:p w14:paraId="2281B3B5" w14:textId="0ADCECA6" w:rsidR="009041B0" w:rsidRDefault="00256D92" w:rsidP="00580AF9">
            <w:pPr>
              <w:pStyle w:val="Corpsdetexte"/>
              <w:ind w:firstLine="0"/>
              <w:rPr>
                <w:b/>
                <w:lang w:val="en-US"/>
              </w:rPr>
            </w:pPr>
            <w:r w:rsidRPr="00256D92">
              <w:rPr>
                <w:rFonts w:ascii="Calibri" w:eastAsia="Calibri" w:hAnsi="Calibri"/>
                <w:noProof/>
                <w:sz w:val="22"/>
                <w:szCs w:val="22"/>
                <w:lang w:eastAsia="en-GB"/>
              </w:rPr>
              <w:drawing>
                <wp:inline distT="0" distB="0" distL="0" distR="0" wp14:anchorId="586F6416" wp14:editId="72F45992">
                  <wp:extent cx="1371600" cy="2002054"/>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85962" cy="2023018"/>
                          </a:xfrm>
                          <a:prstGeom prst="rect">
                            <a:avLst/>
                          </a:prstGeom>
                        </pic:spPr>
                      </pic:pic>
                    </a:graphicData>
                  </a:graphic>
                </wp:inline>
              </w:drawing>
            </w:r>
          </w:p>
        </w:tc>
        <w:tc>
          <w:tcPr>
            <w:tcW w:w="4509" w:type="dxa"/>
          </w:tcPr>
          <w:p w14:paraId="64D7EF35" w14:textId="28206A62" w:rsidR="009041B0" w:rsidRDefault="009041B0" w:rsidP="009041B0">
            <w:pPr>
              <w:pStyle w:val="Corpsdetexte"/>
              <w:ind w:firstLine="0"/>
              <w:jc w:val="center"/>
              <w:rPr>
                <w:b/>
                <w:lang w:val="en-US"/>
              </w:rPr>
            </w:pPr>
            <w:r w:rsidRPr="009041B0">
              <w:rPr>
                <w:b/>
                <w:noProof/>
                <w:lang w:eastAsia="en-GB"/>
              </w:rPr>
              <w:drawing>
                <wp:inline distT="0" distB="0" distL="0" distR="0" wp14:anchorId="4E86FFF8" wp14:editId="12C2C842">
                  <wp:extent cx="2002197" cy="1126236"/>
                  <wp:effectExtent l="0" t="0" r="0" b="0"/>
                  <wp:docPr id="10" name="Image 10" descr="C:\Users\HP KDS\Documents\DST\2020\Coordination projet\DSRS\EM\Cameroon\Expert Mission Files\Photos\20200226_09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KDS\Documents\DST\2020\Coordination projet\DSRS\EM\Cameroon\Expert Mission Files\Photos\20200226_0917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018384" cy="1135341"/>
                          </a:xfrm>
                          <a:prstGeom prst="rect">
                            <a:avLst/>
                          </a:prstGeom>
                          <a:noFill/>
                          <a:ln>
                            <a:noFill/>
                          </a:ln>
                        </pic:spPr>
                      </pic:pic>
                    </a:graphicData>
                  </a:graphic>
                </wp:inline>
              </w:drawing>
            </w:r>
          </w:p>
        </w:tc>
      </w:tr>
      <w:tr w:rsidR="009041B0" w14:paraId="7A26C52E" w14:textId="77777777" w:rsidTr="007F1760">
        <w:tc>
          <w:tcPr>
            <w:tcW w:w="4508" w:type="dxa"/>
          </w:tcPr>
          <w:p w14:paraId="75754595" w14:textId="740EEFB6" w:rsidR="009041B0" w:rsidRPr="009041B0" w:rsidRDefault="009041B0" w:rsidP="00256D92">
            <w:pPr>
              <w:pStyle w:val="Corpsdetexte"/>
              <w:ind w:firstLine="0"/>
              <w:jc w:val="center"/>
              <w:rPr>
                <w:lang w:val="en-US"/>
              </w:rPr>
            </w:pPr>
            <w:r w:rsidRPr="009041B0">
              <w:rPr>
                <w:lang w:val="en-US"/>
              </w:rPr>
              <w:t>Figure</w:t>
            </w:r>
            <w:r>
              <w:rPr>
                <w:lang w:val="en-US"/>
              </w:rPr>
              <w:t xml:space="preserve"> 3</w:t>
            </w:r>
            <w:r w:rsidRPr="009041B0">
              <w:rPr>
                <w:lang w:val="en-US"/>
              </w:rPr>
              <w:t>: Security design within the source storage room</w:t>
            </w:r>
          </w:p>
        </w:tc>
        <w:tc>
          <w:tcPr>
            <w:tcW w:w="4509" w:type="dxa"/>
          </w:tcPr>
          <w:p w14:paraId="2EFB4F87" w14:textId="0A72AFA9" w:rsidR="009041B0" w:rsidRPr="009041B0" w:rsidRDefault="009041B0" w:rsidP="00256D92">
            <w:pPr>
              <w:pStyle w:val="Corpsdetexte"/>
              <w:ind w:firstLine="0"/>
              <w:jc w:val="center"/>
              <w:rPr>
                <w:lang w:val="en-US"/>
              </w:rPr>
            </w:pPr>
            <w:r w:rsidRPr="009041B0">
              <w:rPr>
                <w:lang w:val="en-US"/>
              </w:rPr>
              <w:t>Figure 4: Inside view of the source conditioning room</w:t>
            </w:r>
          </w:p>
        </w:tc>
      </w:tr>
    </w:tbl>
    <w:p w14:paraId="6FD046D0" w14:textId="7F6F4D68" w:rsidR="00580AF9" w:rsidRDefault="00667A49" w:rsidP="002B6FFD">
      <w:pPr>
        <w:pStyle w:val="Corpsdetexte"/>
        <w:ind w:firstLine="0"/>
        <w:rPr>
          <w:b/>
          <w:lang w:val="en-US"/>
        </w:rPr>
      </w:pPr>
      <w:r>
        <w:rPr>
          <w:b/>
          <w:lang w:val="en-US"/>
        </w:rPr>
        <w:t>2.3</w:t>
      </w:r>
      <w:r w:rsidR="007F096E">
        <w:rPr>
          <w:b/>
          <w:lang w:val="en-US"/>
        </w:rPr>
        <w:t>.</w:t>
      </w:r>
      <w:r w:rsidR="00EB013E">
        <w:rPr>
          <w:b/>
          <w:lang w:val="en-US"/>
        </w:rPr>
        <w:t xml:space="preserve"> </w:t>
      </w:r>
      <w:r w:rsidRPr="00667A49">
        <w:rPr>
          <w:b/>
          <w:lang w:val="en-US"/>
        </w:rPr>
        <w:t>Alarm Station</w:t>
      </w:r>
      <w:r w:rsidRPr="00580AF9">
        <w:rPr>
          <w:b/>
          <w:lang w:val="en-US"/>
        </w:rPr>
        <w:t xml:space="preserve"> </w:t>
      </w:r>
    </w:p>
    <w:p w14:paraId="3F4BBF42" w14:textId="100958C3" w:rsidR="00EB3640" w:rsidRDefault="00667A49" w:rsidP="00EC658A">
      <w:pPr>
        <w:pStyle w:val="Corpsdetexte"/>
        <w:ind w:firstLine="0"/>
        <w:rPr>
          <w:lang w:val="en-US"/>
        </w:rPr>
      </w:pPr>
      <w:r w:rsidRPr="00667A49">
        <w:rPr>
          <w:lang w:val="en"/>
        </w:rPr>
        <w:t>Two (2) digital portable radios are available</w:t>
      </w:r>
      <w:r>
        <w:rPr>
          <w:lang w:val="en"/>
        </w:rPr>
        <w:t xml:space="preserve"> for onsite communication</w:t>
      </w:r>
      <w:r w:rsidRPr="00667A49">
        <w:rPr>
          <w:lang w:val="en"/>
        </w:rPr>
        <w:t>. One (1) digital video recorder system with automatic playback capability of pre- and post-alarm events is installed.</w:t>
      </w:r>
      <w:r w:rsidRPr="00667A49">
        <w:t xml:space="preserve"> </w:t>
      </w:r>
      <w:r w:rsidR="004E79D6" w:rsidRPr="00580AF9">
        <w:rPr>
          <w:lang w:val="en-US"/>
        </w:rPr>
        <w:t xml:space="preserve">The CCTV system </w:t>
      </w:r>
      <w:r w:rsidR="004E79D6">
        <w:rPr>
          <w:lang w:val="en-US"/>
        </w:rPr>
        <w:t>installed is</w:t>
      </w:r>
      <w:r w:rsidR="004E79D6" w:rsidRPr="00580AF9">
        <w:rPr>
          <w:lang w:val="en-US"/>
        </w:rPr>
        <w:t xml:space="preserve"> monitored from the guard station and cameras </w:t>
      </w:r>
      <w:r w:rsidR="004E79D6">
        <w:rPr>
          <w:lang w:val="en-US"/>
        </w:rPr>
        <w:t>are</w:t>
      </w:r>
      <w:r w:rsidR="004E79D6" w:rsidRPr="00580AF9">
        <w:rPr>
          <w:lang w:val="en-US"/>
        </w:rPr>
        <w:t xml:space="preserve"> recorded with a minimum of 96 hours per channel</w:t>
      </w:r>
      <w:r w:rsidR="004E79D6">
        <w:rPr>
          <w:lang w:val="en-US"/>
        </w:rPr>
        <w:t>.</w:t>
      </w:r>
      <w:r w:rsidR="00B84142">
        <w:rPr>
          <w:lang w:val="en-US"/>
        </w:rPr>
        <w:t xml:space="preserve"> A</w:t>
      </w:r>
      <w:r w:rsidR="00B84142" w:rsidRPr="00B84142">
        <w:rPr>
          <w:lang w:val="en-US"/>
        </w:rPr>
        <w:t xml:space="preserve"> CCTV system with one (1) color CCTV camera (C6) </w:t>
      </w:r>
      <w:r w:rsidR="00B84142">
        <w:rPr>
          <w:lang w:val="en-US"/>
        </w:rPr>
        <w:t xml:space="preserve">is installed </w:t>
      </w:r>
      <w:r w:rsidR="00B84142" w:rsidRPr="00B84142">
        <w:rPr>
          <w:lang w:val="en-US"/>
        </w:rPr>
        <w:t>within the room focused on the security equipment</w:t>
      </w:r>
      <w:r w:rsidR="00B84142">
        <w:rPr>
          <w:lang w:val="en-US"/>
        </w:rPr>
        <w:t>.</w:t>
      </w:r>
      <w:r w:rsidR="00EE3A18" w:rsidRPr="00EE3A18">
        <w:rPr>
          <w:lang w:val="en-US"/>
        </w:rPr>
        <w:t xml:space="preserve"> </w:t>
      </w:r>
      <w:r w:rsidR="00EE3A18">
        <w:rPr>
          <w:lang w:val="en-US"/>
        </w:rPr>
        <w:t>A</w:t>
      </w:r>
      <w:r w:rsidR="00EE3A18" w:rsidRPr="00580AF9">
        <w:rPr>
          <w:lang w:val="en-US"/>
        </w:rPr>
        <w:t xml:space="preserve">n electro-magnetic locking mechanism </w:t>
      </w:r>
      <w:r w:rsidR="00EE3A18">
        <w:rPr>
          <w:lang w:val="en-US"/>
        </w:rPr>
        <w:t xml:space="preserve">is installed </w:t>
      </w:r>
      <w:r w:rsidR="00452E46">
        <w:rPr>
          <w:lang w:val="en-US"/>
        </w:rPr>
        <w:t>on the door.</w:t>
      </w:r>
      <w:r w:rsidR="007E2CB1" w:rsidRPr="007E2CB1">
        <w:rPr>
          <w:lang w:val="en-US"/>
        </w:rPr>
        <w:t xml:space="preserve">  The door is equipped with high-security balanced magnetic switches (BMS) installed on the inside of the door to prevent tampering. </w:t>
      </w:r>
      <w:r w:rsidR="00CE2568" w:rsidRPr="00CE2568">
        <w:rPr>
          <w:lang w:val="en-US"/>
        </w:rPr>
        <w:t>A</w:t>
      </w:r>
      <w:r w:rsidR="00CE2568">
        <w:rPr>
          <w:lang w:val="en-US"/>
        </w:rPr>
        <w:t xml:space="preserve"> </w:t>
      </w:r>
      <w:r w:rsidR="007E2CB1" w:rsidRPr="00CE2568">
        <w:rPr>
          <w:lang w:val="en-US"/>
        </w:rPr>
        <w:t xml:space="preserve">CCTV monitor has been provided to allow all devices </w:t>
      </w:r>
      <w:r w:rsidR="00EB3640" w:rsidRPr="00CE2568">
        <w:rPr>
          <w:lang w:val="en-US"/>
        </w:rPr>
        <w:t>installed to</w:t>
      </w:r>
      <w:r w:rsidR="007E2CB1" w:rsidRPr="00CE2568">
        <w:rPr>
          <w:lang w:val="en-US"/>
        </w:rPr>
        <w:t xml:space="preserve"> be monitored from this station.  </w:t>
      </w:r>
      <w:r w:rsidR="00EB3640" w:rsidRPr="00EB3640">
        <w:rPr>
          <w:lang w:val="en-US"/>
        </w:rPr>
        <w:t>A high security lock box to store the backup key to the biometric access control system is</w:t>
      </w:r>
      <w:r w:rsidR="00104648">
        <w:rPr>
          <w:lang w:val="en-US"/>
        </w:rPr>
        <w:t xml:space="preserve"> provided</w:t>
      </w:r>
      <w:r w:rsidR="00EB3640" w:rsidRPr="00EB3640">
        <w:rPr>
          <w:lang w:val="en-US"/>
        </w:rPr>
        <w:t>.</w:t>
      </w:r>
    </w:p>
    <w:p w14:paraId="3493C96B" w14:textId="77777777" w:rsidR="00580AF9" w:rsidRDefault="00580AF9" w:rsidP="00580AF9">
      <w:pPr>
        <w:pStyle w:val="Corpsdetexte"/>
        <w:rPr>
          <w:b/>
          <w:lang w:val="en-US"/>
        </w:rPr>
      </w:pPr>
    </w:p>
    <w:p w14:paraId="2A257E9B" w14:textId="7A017F25" w:rsidR="00C71A16" w:rsidRDefault="00C71A16" w:rsidP="00580AF9">
      <w:pPr>
        <w:pStyle w:val="Corpsdetexte"/>
        <w:rPr>
          <w:b/>
          <w:lang w:val="en-US"/>
        </w:rPr>
      </w:pPr>
      <w:r>
        <w:rPr>
          <w:noProof/>
          <w:lang w:eastAsia="en-GB"/>
        </w:rPr>
        <w:drawing>
          <wp:inline distT="0" distB="0" distL="0" distR="0" wp14:anchorId="2677AEF2" wp14:editId="3F3864CE">
            <wp:extent cx="1970161" cy="12763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84247" cy="1285475"/>
                    </a:xfrm>
                    <a:prstGeom prst="rect">
                      <a:avLst/>
                    </a:prstGeom>
                  </pic:spPr>
                </pic:pic>
              </a:graphicData>
            </a:graphic>
          </wp:inline>
        </w:drawing>
      </w:r>
    </w:p>
    <w:p w14:paraId="4C26B096" w14:textId="613C9C4A" w:rsidR="00816062" w:rsidRPr="00F46E8A" w:rsidRDefault="006D4C99" w:rsidP="00580AF9">
      <w:pPr>
        <w:pStyle w:val="Corpsdetexte"/>
        <w:rPr>
          <w:lang w:val="en-US"/>
        </w:rPr>
      </w:pPr>
      <w:r w:rsidRPr="00F46E8A">
        <w:rPr>
          <w:lang w:val="en-US"/>
        </w:rPr>
        <w:t xml:space="preserve">Figure 5: Security design within the </w:t>
      </w:r>
      <w:r w:rsidR="00F46E8A" w:rsidRPr="00F46E8A">
        <w:rPr>
          <w:lang w:val="en-US"/>
        </w:rPr>
        <w:t>alarm monitoring</w:t>
      </w:r>
      <w:r w:rsidRPr="00F46E8A">
        <w:rPr>
          <w:lang w:val="en-US"/>
        </w:rPr>
        <w:t xml:space="preserve"> </w:t>
      </w:r>
      <w:r w:rsidR="00F46E8A">
        <w:rPr>
          <w:lang w:val="en-US"/>
        </w:rPr>
        <w:t>station</w:t>
      </w:r>
    </w:p>
    <w:p w14:paraId="759063F3" w14:textId="7F2AD193" w:rsidR="00CE3EB5" w:rsidRPr="00930782" w:rsidRDefault="00CE3EB5" w:rsidP="00CE3EB5">
      <w:pPr>
        <w:pStyle w:val="Default"/>
        <w:rPr>
          <w:sz w:val="23"/>
          <w:szCs w:val="23"/>
          <w:lang w:val="en-US"/>
        </w:rPr>
      </w:pPr>
    </w:p>
    <w:p w14:paraId="49CD103E" w14:textId="15072F36" w:rsidR="00580AF9" w:rsidRPr="004C3C00" w:rsidRDefault="003B656C" w:rsidP="002B6FFD">
      <w:pPr>
        <w:pStyle w:val="Corpsdetexte"/>
        <w:ind w:firstLine="0"/>
        <w:rPr>
          <w:lang w:val="en-US"/>
        </w:rPr>
      </w:pPr>
      <w:r w:rsidRPr="004C3C00">
        <w:rPr>
          <w:lang w:val="en-US"/>
        </w:rPr>
        <w:t>3. SAFETY MEASURE</w:t>
      </w:r>
      <w:r w:rsidR="001953EB">
        <w:rPr>
          <w:lang w:val="en-US"/>
        </w:rPr>
        <w:t>S</w:t>
      </w:r>
      <w:r w:rsidRPr="004C3C00">
        <w:rPr>
          <w:lang w:val="en-US"/>
        </w:rPr>
        <w:t xml:space="preserve"> TO BE IMPLEMENTED DURING MANAGEMENT OF DSRS</w:t>
      </w:r>
    </w:p>
    <w:p w14:paraId="6145AA3C" w14:textId="77777777" w:rsidR="00812DF9" w:rsidRDefault="00812DF9" w:rsidP="00580AF9">
      <w:pPr>
        <w:pStyle w:val="Corpsdetexte"/>
        <w:rPr>
          <w:highlight w:val="yellow"/>
        </w:rPr>
      </w:pPr>
    </w:p>
    <w:p w14:paraId="2C63B1D9" w14:textId="0F439A15" w:rsidR="000D7AD0" w:rsidRPr="000D7AD0" w:rsidRDefault="00812DF9" w:rsidP="002B6FFD">
      <w:pPr>
        <w:pStyle w:val="Corpsdetexte"/>
        <w:ind w:firstLine="0"/>
        <w:rPr>
          <w:lang w:val="en-US"/>
        </w:rPr>
      </w:pPr>
      <w:r>
        <w:t xml:space="preserve">According the national waste management policy and strategy, </w:t>
      </w:r>
      <w:r w:rsidR="00E607FC">
        <w:t>t</w:t>
      </w:r>
      <w:r>
        <w:t xml:space="preserve">he existing facility allow on to </w:t>
      </w:r>
      <w:r w:rsidR="00E607FC">
        <w:t>manage</w:t>
      </w:r>
      <w:r w:rsidRPr="00812DF9">
        <w:t xml:space="preserve"> category 3 to 5 low activity disused sealed sources and </w:t>
      </w:r>
      <w:r>
        <w:t>to</w:t>
      </w:r>
      <w:r w:rsidRPr="00812DF9">
        <w:t xml:space="preserve"> </w:t>
      </w:r>
      <w:r>
        <w:t>send back</w:t>
      </w:r>
      <w:r w:rsidRPr="00812DF9">
        <w:t xml:space="preserve"> to the suppliers</w:t>
      </w:r>
      <w:r w:rsidR="00FE2982">
        <w:t>,</w:t>
      </w:r>
      <w:r w:rsidRPr="00812DF9">
        <w:t xml:space="preserve"> category 1 to 2 di</w:t>
      </w:r>
      <w:r>
        <w:t>sused sealed sources</w:t>
      </w:r>
      <w:r w:rsidRPr="00812DF9">
        <w:t>.</w:t>
      </w:r>
      <w:r w:rsidR="00E607FC">
        <w:rPr>
          <w:lang w:val="en-US"/>
        </w:rPr>
        <w:t xml:space="preserve"> </w:t>
      </w:r>
      <w:r w:rsidR="00AD6920" w:rsidRPr="000D7AD0">
        <w:rPr>
          <w:lang w:val="en-US"/>
        </w:rPr>
        <w:t xml:space="preserve">Safety management of DSRS </w:t>
      </w:r>
      <w:r w:rsidR="00337332" w:rsidRPr="000D7AD0">
        <w:rPr>
          <w:lang w:val="en-US"/>
        </w:rPr>
        <w:t>requires,</w:t>
      </w:r>
      <w:r w:rsidR="00AD6920" w:rsidRPr="000D7AD0">
        <w:rPr>
          <w:lang w:val="en-US"/>
        </w:rPr>
        <w:t xml:space="preserve"> </w:t>
      </w:r>
      <w:r w:rsidR="00337332" w:rsidRPr="000D7AD0">
        <w:rPr>
          <w:lang w:val="en-US"/>
        </w:rPr>
        <w:t xml:space="preserve">a minimum </w:t>
      </w:r>
      <w:r w:rsidR="000D7AD0" w:rsidRPr="000D7AD0">
        <w:rPr>
          <w:lang w:val="en-US"/>
        </w:rPr>
        <w:t xml:space="preserve">of </w:t>
      </w:r>
      <w:r w:rsidR="00337332" w:rsidRPr="000D7AD0">
        <w:rPr>
          <w:lang w:val="en-US"/>
        </w:rPr>
        <w:t xml:space="preserve">radiation protection </w:t>
      </w:r>
      <w:r w:rsidR="000D7AD0" w:rsidRPr="000D7AD0">
        <w:rPr>
          <w:lang w:val="en-US"/>
        </w:rPr>
        <w:t>equipment</w:t>
      </w:r>
      <w:r w:rsidR="00E607FC">
        <w:rPr>
          <w:lang w:val="en-US"/>
        </w:rPr>
        <w:t>,</w:t>
      </w:r>
      <w:r w:rsidR="00E607FC" w:rsidRPr="00E607FC">
        <w:rPr>
          <w:sz w:val="22"/>
          <w:lang w:val="en-US"/>
        </w:rPr>
        <w:t xml:space="preserve"> </w:t>
      </w:r>
      <w:r w:rsidR="00E607FC">
        <w:rPr>
          <w:lang w:val="en-US"/>
        </w:rPr>
        <w:t>m</w:t>
      </w:r>
      <w:r w:rsidR="00E607FC" w:rsidRPr="00E607FC">
        <w:rPr>
          <w:lang w:val="en-US"/>
        </w:rPr>
        <w:t>iscellaneous and consumables</w:t>
      </w:r>
      <w:r w:rsidR="001953EB">
        <w:rPr>
          <w:lang w:val="en-US"/>
        </w:rPr>
        <w:t>. The main are given below [3]</w:t>
      </w:r>
      <w:r w:rsidR="000D7AD0" w:rsidRPr="000D7AD0">
        <w:rPr>
          <w:lang w:val="en-US"/>
        </w:rPr>
        <w:t>:</w:t>
      </w:r>
    </w:p>
    <w:p w14:paraId="0AEC19FA" w14:textId="52A911D8" w:rsidR="000D7AD0" w:rsidRPr="000D7AD0" w:rsidRDefault="00417AD2" w:rsidP="000D7AD0">
      <w:pPr>
        <w:pStyle w:val="Corpsdetexte"/>
        <w:numPr>
          <w:ilvl w:val="0"/>
          <w:numId w:val="40"/>
        </w:numPr>
        <w:rPr>
          <w:lang w:val="en-US"/>
        </w:rPr>
      </w:pPr>
      <w:r>
        <w:rPr>
          <w:lang w:val="en-US"/>
        </w:rPr>
        <w:t>D</w:t>
      </w:r>
      <w:r w:rsidR="000D7AD0" w:rsidRPr="000D7AD0">
        <w:rPr>
          <w:lang w:val="en-US"/>
        </w:rPr>
        <w:t>ose rate detector with telescopic arm</w:t>
      </w:r>
      <w:r w:rsidR="001953EB">
        <w:rPr>
          <w:lang w:val="en-US"/>
        </w:rPr>
        <w:t>;</w:t>
      </w:r>
    </w:p>
    <w:p w14:paraId="1EAD4D4F" w14:textId="0EAF568E" w:rsidR="000D7AD0" w:rsidRPr="000D7AD0" w:rsidRDefault="000D7AD0" w:rsidP="000D7AD0">
      <w:pPr>
        <w:pStyle w:val="Corpsdetexte"/>
        <w:numPr>
          <w:ilvl w:val="0"/>
          <w:numId w:val="40"/>
        </w:numPr>
        <w:rPr>
          <w:lang w:val="en-US"/>
        </w:rPr>
      </w:pPr>
      <w:r w:rsidRPr="000D7AD0">
        <w:rPr>
          <w:lang w:val="en-US"/>
        </w:rPr>
        <w:t>Alpha, beta, low energy X-ray and gamma-ray contamination monitors</w:t>
      </w:r>
      <w:r w:rsidR="001953EB">
        <w:rPr>
          <w:lang w:val="en-US"/>
        </w:rPr>
        <w:t>;</w:t>
      </w:r>
    </w:p>
    <w:p w14:paraId="797BA018" w14:textId="77984160" w:rsidR="000D7AD0" w:rsidRPr="000D7AD0" w:rsidRDefault="000D7AD0" w:rsidP="000D7AD0">
      <w:pPr>
        <w:pStyle w:val="Corpsdetexte"/>
        <w:numPr>
          <w:ilvl w:val="0"/>
          <w:numId w:val="40"/>
        </w:numPr>
        <w:rPr>
          <w:lang w:val="en-US"/>
        </w:rPr>
      </w:pPr>
      <w:r w:rsidRPr="000D7AD0">
        <w:rPr>
          <w:lang w:val="en-US"/>
        </w:rPr>
        <w:t>Portable Gamma Spectroscopy detection system for isotope identification</w:t>
      </w:r>
      <w:r w:rsidR="001953EB">
        <w:rPr>
          <w:lang w:val="en-US"/>
        </w:rPr>
        <w:t>;</w:t>
      </w:r>
    </w:p>
    <w:p w14:paraId="16B9B51A" w14:textId="2710FE22" w:rsidR="000D7AD0" w:rsidRPr="000D7AD0" w:rsidRDefault="000D7AD0" w:rsidP="000D7AD0">
      <w:pPr>
        <w:pStyle w:val="Corpsdetexte"/>
        <w:numPr>
          <w:ilvl w:val="0"/>
          <w:numId w:val="40"/>
        </w:numPr>
        <w:rPr>
          <w:lang w:val="en-US"/>
        </w:rPr>
      </w:pPr>
      <w:r>
        <w:rPr>
          <w:lang w:val="en-US"/>
        </w:rPr>
        <w:t>T</w:t>
      </w:r>
      <w:r w:rsidRPr="000D7AD0">
        <w:rPr>
          <w:lang w:val="en-US"/>
        </w:rPr>
        <w:t>ongs for the source conditioning capsule manipulation</w:t>
      </w:r>
      <w:r w:rsidR="001953EB">
        <w:rPr>
          <w:lang w:val="en-US"/>
        </w:rPr>
        <w:t>;</w:t>
      </w:r>
      <w:r w:rsidRPr="000D7AD0">
        <w:rPr>
          <w:lang w:val="en-US"/>
        </w:rPr>
        <w:t xml:space="preserve"> </w:t>
      </w:r>
    </w:p>
    <w:p w14:paraId="32963E05" w14:textId="51F21460" w:rsidR="000D7AD0" w:rsidRPr="000D7AD0" w:rsidRDefault="000D7AD0" w:rsidP="000D7AD0">
      <w:pPr>
        <w:pStyle w:val="Corpsdetexte"/>
        <w:numPr>
          <w:ilvl w:val="0"/>
          <w:numId w:val="40"/>
        </w:numPr>
        <w:rPr>
          <w:lang w:val="en-US"/>
        </w:rPr>
      </w:pPr>
      <w:r w:rsidRPr="000D7AD0">
        <w:rPr>
          <w:lang w:val="en-US"/>
        </w:rPr>
        <w:t>lead shields</w:t>
      </w:r>
      <w:r w:rsidR="001953EB">
        <w:rPr>
          <w:lang w:val="en-US"/>
        </w:rPr>
        <w:t>;</w:t>
      </w:r>
      <w:r w:rsidRPr="000D7AD0">
        <w:rPr>
          <w:lang w:val="en-US"/>
        </w:rPr>
        <w:t xml:space="preserve"> </w:t>
      </w:r>
    </w:p>
    <w:p w14:paraId="57AEF70A" w14:textId="4F047F4A" w:rsidR="000D7AD0" w:rsidRPr="000D7AD0" w:rsidRDefault="000D7AD0" w:rsidP="000D7AD0">
      <w:pPr>
        <w:pStyle w:val="Corpsdetexte"/>
        <w:numPr>
          <w:ilvl w:val="0"/>
          <w:numId w:val="40"/>
        </w:numPr>
        <w:rPr>
          <w:lang w:val="en-US"/>
        </w:rPr>
      </w:pPr>
      <w:r w:rsidRPr="000D7AD0">
        <w:rPr>
          <w:lang w:val="en-US"/>
        </w:rPr>
        <w:t>small lead pots for source segregation</w:t>
      </w:r>
      <w:r w:rsidR="001953EB">
        <w:rPr>
          <w:lang w:val="en-US"/>
        </w:rPr>
        <w:t>;</w:t>
      </w:r>
    </w:p>
    <w:p w14:paraId="6E482FD1" w14:textId="7A94209B" w:rsidR="000D7AD0" w:rsidRPr="000D7AD0" w:rsidRDefault="000D7AD0" w:rsidP="000D7AD0">
      <w:pPr>
        <w:pStyle w:val="Corpsdetexte"/>
        <w:numPr>
          <w:ilvl w:val="0"/>
          <w:numId w:val="40"/>
        </w:numPr>
        <w:rPr>
          <w:lang w:val="en-US"/>
        </w:rPr>
      </w:pPr>
      <w:r w:rsidRPr="000D7AD0">
        <w:rPr>
          <w:lang w:val="en-US"/>
        </w:rPr>
        <w:t>mirrors</w:t>
      </w:r>
      <w:r w:rsidR="001953EB">
        <w:rPr>
          <w:lang w:val="en-US"/>
        </w:rPr>
        <w:t>;</w:t>
      </w:r>
    </w:p>
    <w:p w14:paraId="625F686C" w14:textId="22F9A797" w:rsidR="000D7AD0" w:rsidRPr="000D7AD0" w:rsidRDefault="000D7AD0" w:rsidP="000D7AD0">
      <w:pPr>
        <w:pStyle w:val="Corpsdetexte"/>
        <w:numPr>
          <w:ilvl w:val="0"/>
          <w:numId w:val="40"/>
        </w:numPr>
        <w:rPr>
          <w:lang w:val="en-US"/>
        </w:rPr>
      </w:pPr>
      <w:r>
        <w:rPr>
          <w:lang w:val="en-US"/>
        </w:rPr>
        <w:t>OSL dosimeters</w:t>
      </w:r>
      <w:r w:rsidR="001953EB">
        <w:rPr>
          <w:lang w:val="en-US"/>
        </w:rPr>
        <w:t>;</w:t>
      </w:r>
    </w:p>
    <w:p w14:paraId="34A530D2" w14:textId="389CD01C" w:rsidR="005F4354" w:rsidRPr="005F4354" w:rsidRDefault="00417AD2" w:rsidP="00E607FC">
      <w:pPr>
        <w:pStyle w:val="Corpsdetexte"/>
        <w:numPr>
          <w:ilvl w:val="0"/>
          <w:numId w:val="41"/>
        </w:numPr>
        <w:ind w:left="426" w:hanging="284"/>
        <w:rPr>
          <w:lang w:val="en-US"/>
        </w:rPr>
      </w:pPr>
      <w:r>
        <w:rPr>
          <w:lang w:val="en-US"/>
        </w:rPr>
        <w:t xml:space="preserve">Shielding storage containers </w:t>
      </w:r>
      <w:r w:rsidR="005F4354" w:rsidRPr="005F4354">
        <w:rPr>
          <w:lang w:val="en-US"/>
        </w:rPr>
        <w:t>;</w:t>
      </w:r>
    </w:p>
    <w:p w14:paraId="404EBD7C" w14:textId="72E895DD" w:rsidR="005F4354" w:rsidRPr="005F4354" w:rsidRDefault="005F4354" w:rsidP="00E607FC">
      <w:pPr>
        <w:pStyle w:val="Corpsdetexte"/>
        <w:numPr>
          <w:ilvl w:val="0"/>
          <w:numId w:val="41"/>
        </w:numPr>
        <w:ind w:left="426" w:hanging="284"/>
        <w:rPr>
          <w:lang w:val="en-US"/>
        </w:rPr>
      </w:pPr>
      <w:r w:rsidRPr="005F4354">
        <w:rPr>
          <w:lang w:val="en-US"/>
        </w:rPr>
        <w:t>Standard Stainless steel (SS) capsules;</w:t>
      </w:r>
    </w:p>
    <w:p w14:paraId="27C805AE" w14:textId="44C5DB86" w:rsidR="005F4354" w:rsidRDefault="00417AD2" w:rsidP="00E607FC">
      <w:pPr>
        <w:pStyle w:val="Corpsdetexte"/>
        <w:numPr>
          <w:ilvl w:val="0"/>
          <w:numId w:val="41"/>
        </w:numPr>
        <w:ind w:left="426" w:hanging="284"/>
        <w:rPr>
          <w:lang w:val="en-US"/>
        </w:rPr>
      </w:pPr>
      <w:r>
        <w:rPr>
          <w:lang w:val="en-US"/>
        </w:rPr>
        <w:t>200l</w:t>
      </w:r>
      <w:r w:rsidR="005F4354" w:rsidRPr="005F4354">
        <w:rPr>
          <w:lang w:val="en-US"/>
        </w:rPr>
        <w:t xml:space="preserve"> drum;</w:t>
      </w:r>
    </w:p>
    <w:p w14:paraId="1FB3DBA3" w14:textId="43655EFB" w:rsidR="001953EB" w:rsidRPr="005F4354" w:rsidRDefault="001953EB" w:rsidP="00E607FC">
      <w:pPr>
        <w:pStyle w:val="Corpsdetexte"/>
        <w:numPr>
          <w:ilvl w:val="0"/>
          <w:numId w:val="41"/>
        </w:numPr>
        <w:ind w:left="426" w:hanging="284"/>
        <w:rPr>
          <w:lang w:val="en-US"/>
        </w:rPr>
      </w:pPr>
      <w:r>
        <w:rPr>
          <w:lang w:val="en-US"/>
        </w:rPr>
        <w:t>Ect.</w:t>
      </w:r>
    </w:p>
    <w:p w14:paraId="445936C5" w14:textId="5312E6F3" w:rsidR="00C07228" w:rsidRDefault="00AD6920" w:rsidP="00FE2982">
      <w:pPr>
        <w:pStyle w:val="Corpsdetexte"/>
        <w:ind w:firstLine="0"/>
        <w:rPr>
          <w:lang w:val="en-US"/>
        </w:rPr>
      </w:pPr>
      <w:r w:rsidRPr="005447E2">
        <w:rPr>
          <w:lang w:val="en-US"/>
        </w:rPr>
        <w:t xml:space="preserve">Operational measures planned consist in </w:t>
      </w:r>
      <w:r w:rsidR="00FE2982">
        <w:rPr>
          <w:lang w:val="en-US"/>
        </w:rPr>
        <w:t>different</w:t>
      </w:r>
      <w:r w:rsidR="00E607FC" w:rsidRPr="005447E2">
        <w:rPr>
          <w:lang w:val="en-US"/>
        </w:rPr>
        <w:t xml:space="preserve"> steps</w:t>
      </w:r>
      <w:r w:rsidR="00FE2982">
        <w:rPr>
          <w:lang w:val="en-US"/>
        </w:rPr>
        <w:t xml:space="preserve">. </w:t>
      </w:r>
      <w:r w:rsidR="00EE14D4" w:rsidRPr="005447E2">
        <w:rPr>
          <w:lang w:val="en-US"/>
        </w:rPr>
        <w:t xml:space="preserve">First of all, a </w:t>
      </w:r>
      <w:r w:rsidR="00EE14D4" w:rsidRPr="005447E2">
        <w:t xml:space="preserve">wipe test on the source associated equipment must be performed in order to check </w:t>
      </w:r>
      <w:r w:rsidR="005447E2" w:rsidRPr="005447E2">
        <w:t>its</w:t>
      </w:r>
      <w:r w:rsidR="00EE14D4" w:rsidRPr="005447E2">
        <w:t xml:space="preserve"> </w:t>
      </w:r>
      <w:r w:rsidR="00FE2982" w:rsidRPr="005447E2">
        <w:t xml:space="preserve">radioactive contamination </w:t>
      </w:r>
      <w:r w:rsidR="00FE2982">
        <w:t>status</w:t>
      </w:r>
      <w:r w:rsidR="00EE14D4" w:rsidRPr="005447E2">
        <w:t xml:space="preserve">. </w:t>
      </w:r>
      <w:r w:rsidR="005447E2" w:rsidRPr="005447E2">
        <w:t>If the measured value is less than 4 Bq/cm</w:t>
      </w:r>
      <w:r w:rsidR="005447E2" w:rsidRPr="005447E2">
        <w:rPr>
          <w:vertAlign w:val="superscript"/>
        </w:rPr>
        <w:t>2</w:t>
      </w:r>
      <w:r w:rsidR="005447E2" w:rsidRPr="005447E2">
        <w:t xml:space="preserve"> for beta emitter (respectively less than 0.4 Bq/cm</w:t>
      </w:r>
      <w:r w:rsidR="005447E2" w:rsidRPr="005447E2">
        <w:rPr>
          <w:vertAlign w:val="superscript"/>
        </w:rPr>
        <w:t>2</w:t>
      </w:r>
      <w:r w:rsidR="005447E2" w:rsidRPr="005447E2">
        <w:t xml:space="preserve"> for alpha emitter) contamination of the equipment may not be suspected. </w:t>
      </w:r>
      <w:r w:rsidRPr="005447E2">
        <w:rPr>
          <w:lang w:val="en-US"/>
        </w:rPr>
        <w:t xml:space="preserve">The </w:t>
      </w:r>
      <w:r w:rsidR="00EE14D4" w:rsidRPr="005447E2">
        <w:rPr>
          <w:lang w:val="en-US"/>
        </w:rPr>
        <w:t xml:space="preserve">second </w:t>
      </w:r>
      <w:r w:rsidR="00E607FC" w:rsidRPr="005447E2">
        <w:rPr>
          <w:lang w:val="en-US"/>
        </w:rPr>
        <w:t>step</w:t>
      </w:r>
      <w:r w:rsidRPr="005447E2">
        <w:rPr>
          <w:lang w:val="en-US"/>
        </w:rPr>
        <w:t xml:space="preserve"> </w:t>
      </w:r>
      <w:r w:rsidR="00EE14D4" w:rsidRPr="005447E2">
        <w:rPr>
          <w:lang w:val="en-US"/>
        </w:rPr>
        <w:t>is</w:t>
      </w:r>
      <w:r w:rsidRPr="005447E2">
        <w:rPr>
          <w:lang w:val="en-US"/>
        </w:rPr>
        <w:t xml:space="preserve"> the characterization of the source </w:t>
      </w:r>
      <w:r w:rsidR="00EE14D4" w:rsidRPr="005447E2">
        <w:rPr>
          <w:lang w:val="en-US"/>
        </w:rPr>
        <w:t>through the estimation of the source activity</w:t>
      </w:r>
      <w:r w:rsidR="00DF7433">
        <w:rPr>
          <w:lang w:val="en-US"/>
        </w:rPr>
        <w:t xml:space="preserve"> </w:t>
      </w:r>
      <w:r w:rsidR="00FE2982">
        <w:rPr>
          <w:lang w:val="en-US"/>
        </w:rPr>
        <w:t xml:space="preserve">in order </w:t>
      </w:r>
      <w:r w:rsidR="00DF7433">
        <w:rPr>
          <w:lang w:val="en-US"/>
        </w:rPr>
        <w:t>to have total activity to be transferred to the P60 capsule</w:t>
      </w:r>
      <w:r w:rsidR="00EE14D4" w:rsidRPr="00CC2B6C">
        <w:rPr>
          <w:lang w:val="en-US"/>
        </w:rPr>
        <w:t>.</w:t>
      </w:r>
      <w:r w:rsidR="003B656C" w:rsidRPr="00CC2B6C">
        <w:t xml:space="preserve"> The </w:t>
      </w:r>
      <w:r w:rsidR="005447E2" w:rsidRPr="00CC2B6C">
        <w:t>third step</w:t>
      </w:r>
      <w:r w:rsidR="003B656C" w:rsidRPr="00CC2B6C">
        <w:t xml:space="preserve"> </w:t>
      </w:r>
      <w:r w:rsidR="00840200" w:rsidRPr="00CC2B6C">
        <w:t>is</w:t>
      </w:r>
      <w:r w:rsidR="003B656C" w:rsidRPr="00CC2B6C">
        <w:t xml:space="preserve"> the transfer of </w:t>
      </w:r>
      <w:r w:rsidR="00840200" w:rsidRPr="00CC2B6C">
        <w:t>the DSRS</w:t>
      </w:r>
      <w:r w:rsidR="003B656C" w:rsidRPr="00CC2B6C">
        <w:t xml:space="preserve"> from </w:t>
      </w:r>
      <w:r w:rsidR="00840200" w:rsidRPr="00CC2B6C">
        <w:t>their</w:t>
      </w:r>
      <w:r w:rsidR="003B656C" w:rsidRPr="00CC2B6C">
        <w:t xml:space="preserve"> </w:t>
      </w:r>
      <w:r w:rsidR="00840200" w:rsidRPr="00CC2B6C">
        <w:t>respective</w:t>
      </w:r>
      <w:r w:rsidR="003B656C" w:rsidRPr="00CC2B6C">
        <w:t xml:space="preserve"> device</w:t>
      </w:r>
      <w:r w:rsidR="00840200" w:rsidRPr="00CC2B6C">
        <w:t>s</w:t>
      </w:r>
      <w:r w:rsidR="003B656C" w:rsidRPr="00CC2B6C">
        <w:t xml:space="preserve"> to the </w:t>
      </w:r>
      <w:r w:rsidR="00840200" w:rsidRPr="00CC2B6C">
        <w:t xml:space="preserve">P60 capsule which is </w:t>
      </w:r>
      <w:r w:rsidR="00840200" w:rsidRPr="00CC2B6C">
        <w:rPr>
          <w:lang w:val="en-US"/>
        </w:rPr>
        <w:t xml:space="preserve">the special form radioactive material (SFRM) with identification code </w:t>
      </w:r>
      <w:r w:rsidR="00DF7433">
        <w:rPr>
          <w:lang w:val="en-US"/>
        </w:rPr>
        <w:t xml:space="preserve">of </w:t>
      </w:r>
      <w:r w:rsidR="00840200" w:rsidRPr="00CC2B6C">
        <w:rPr>
          <w:lang w:val="en-US"/>
        </w:rPr>
        <w:t>CZ/1031/S-96 made in two varieties, Am1.P60 and Cs7.P60</w:t>
      </w:r>
      <w:r w:rsidR="00DF7433">
        <w:rPr>
          <w:lang w:val="en-US"/>
        </w:rPr>
        <w:t>.</w:t>
      </w:r>
      <w:r w:rsidR="00840200" w:rsidRPr="00CC2B6C">
        <w:rPr>
          <w:lang w:val="en-US"/>
        </w:rPr>
        <w:t xml:space="preserve"> </w:t>
      </w:r>
      <w:r w:rsidR="00FB6994" w:rsidRPr="00FB6994">
        <w:rPr>
          <w:lang w:val="en-US"/>
        </w:rPr>
        <w:t xml:space="preserve">All measurements and observations must be recorded in the Passport Sheet for the special form radioactive material. </w:t>
      </w:r>
    </w:p>
    <w:p w14:paraId="6A638F34" w14:textId="77777777" w:rsidR="00C07228" w:rsidRDefault="00C07228" w:rsidP="003B656C">
      <w:pPr>
        <w:pStyle w:val="Corpsdetexte"/>
        <w:rPr>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3004"/>
        <w:gridCol w:w="3066"/>
      </w:tblGrid>
      <w:tr w:rsidR="00C07228" w14:paraId="406337F5" w14:textId="77777777" w:rsidTr="00104648">
        <w:trPr>
          <w:jc w:val="center"/>
        </w:trPr>
        <w:tc>
          <w:tcPr>
            <w:tcW w:w="3005" w:type="dxa"/>
          </w:tcPr>
          <w:p w14:paraId="23021A5B" w14:textId="0F395E77" w:rsidR="00C07228" w:rsidRDefault="00C07228" w:rsidP="00BE5481">
            <w:pPr>
              <w:pStyle w:val="Corpsdetexte"/>
              <w:ind w:firstLine="0"/>
              <w:jc w:val="center"/>
              <w:rPr>
                <w:lang w:val="en-US"/>
              </w:rPr>
            </w:pPr>
            <w:r w:rsidRPr="00DF7433">
              <w:rPr>
                <w:noProof/>
                <w:lang w:eastAsia="en-GB"/>
              </w:rPr>
              <w:drawing>
                <wp:inline distT="0" distB="0" distL="0" distR="0" wp14:anchorId="26E9B36E" wp14:editId="1E17A13E">
                  <wp:extent cx="1385162" cy="778946"/>
                  <wp:effectExtent l="0" t="1587" r="4127" b="4128"/>
                  <wp:docPr id="5" name="Image 5" descr="C:\Users\HP KDS\Documents\DST\2020\Coordination projet\DSRS\EM\Cameroon\Expert Mission Files\Photos\20200224_11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KDS\Documents\DST\2020\Coordination projet\DSRS\EM\Cameroon\Expert Mission Files\Photos\20200224_1108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413916" cy="795116"/>
                          </a:xfrm>
                          <a:prstGeom prst="rect">
                            <a:avLst/>
                          </a:prstGeom>
                          <a:noFill/>
                          <a:ln>
                            <a:noFill/>
                          </a:ln>
                        </pic:spPr>
                      </pic:pic>
                    </a:graphicData>
                  </a:graphic>
                </wp:inline>
              </w:drawing>
            </w:r>
          </w:p>
        </w:tc>
        <w:tc>
          <w:tcPr>
            <w:tcW w:w="3006" w:type="dxa"/>
          </w:tcPr>
          <w:p w14:paraId="22B9E7B5" w14:textId="145C2B1D" w:rsidR="00C07228" w:rsidRDefault="00C07228" w:rsidP="003B656C">
            <w:pPr>
              <w:pStyle w:val="Corpsdetexte"/>
              <w:ind w:firstLine="0"/>
              <w:rPr>
                <w:lang w:val="en-US"/>
              </w:rPr>
            </w:pPr>
            <w:r w:rsidRPr="00DF7433">
              <w:rPr>
                <w:noProof/>
                <w:lang w:eastAsia="en-GB"/>
              </w:rPr>
              <w:drawing>
                <wp:inline distT="0" distB="0" distL="0" distR="0" wp14:anchorId="2EEEBFEB" wp14:editId="74BAC915">
                  <wp:extent cx="1727412" cy="1416050"/>
                  <wp:effectExtent l="0" t="0" r="6350" b="0"/>
                  <wp:docPr id="6" name="Image 6" descr="C:\Users\HP KDS\Documents\DST\2020\Coordination projet\DSRS\EM\Cameroon\Expert Mission Files\Photos\20200224_11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KDS\Documents\DST\2020\Coordination projet\DSRS\EM\Cameroon\Expert Mission Files\Photos\20200224_11084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4791" cy="1430297"/>
                          </a:xfrm>
                          <a:prstGeom prst="rect">
                            <a:avLst/>
                          </a:prstGeom>
                          <a:noFill/>
                          <a:ln>
                            <a:noFill/>
                          </a:ln>
                        </pic:spPr>
                      </pic:pic>
                    </a:graphicData>
                  </a:graphic>
                </wp:inline>
              </w:drawing>
            </w:r>
          </w:p>
        </w:tc>
        <w:tc>
          <w:tcPr>
            <w:tcW w:w="3006" w:type="dxa"/>
          </w:tcPr>
          <w:p w14:paraId="50FACBA4" w14:textId="2C815F0D" w:rsidR="00C07228" w:rsidRDefault="00C07228" w:rsidP="003B656C">
            <w:pPr>
              <w:pStyle w:val="Corpsdetexte"/>
              <w:ind w:firstLine="0"/>
              <w:rPr>
                <w:lang w:val="en-US"/>
              </w:rPr>
            </w:pPr>
            <w:r w:rsidRPr="00FB6994">
              <w:rPr>
                <w:noProof/>
                <w:snapToGrid w:val="0"/>
                <w:color w:val="000000"/>
                <w:w w:val="0"/>
                <w:sz w:val="0"/>
                <w:szCs w:val="0"/>
                <w:u w:color="000000"/>
                <w:bdr w:val="none" w:sz="0" w:space="0" w:color="000000"/>
                <w:shd w:val="clear" w:color="000000" w:fill="000000"/>
                <w:lang w:eastAsia="en-GB"/>
              </w:rPr>
              <w:drawing>
                <wp:inline distT="0" distB="0" distL="0" distR="0" wp14:anchorId="7A283555" wp14:editId="63EF3DA0">
                  <wp:extent cx="1804117" cy="1466850"/>
                  <wp:effectExtent l="0" t="0" r="571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33326" cy="1490599"/>
                          </a:xfrm>
                          <a:prstGeom prst="rect">
                            <a:avLst/>
                          </a:prstGeom>
                        </pic:spPr>
                      </pic:pic>
                    </a:graphicData>
                  </a:graphic>
                </wp:inline>
              </w:drawing>
            </w:r>
          </w:p>
        </w:tc>
      </w:tr>
      <w:tr w:rsidR="00C07228" w14:paraId="5FCC2DE1" w14:textId="77777777" w:rsidTr="00104648">
        <w:trPr>
          <w:jc w:val="center"/>
        </w:trPr>
        <w:tc>
          <w:tcPr>
            <w:tcW w:w="3005" w:type="dxa"/>
          </w:tcPr>
          <w:p w14:paraId="396682A1" w14:textId="17332099" w:rsidR="00C07228" w:rsidRDefault="00C02649" w:rsidP="00BE5481">
            <w:pPr>
              <w:pStyle w:val="Corpsdetexte"/>
              <w:ind w:firstLine="0"/>
              <w:jc w:val="center"/>
              <w:rPr>
                <w:lang w:val="en-US"/>
              </w:rPr>
            </w:pPr>
            <w:r>
              <w:rPr>
                <w:lang w:val="en-US"/>
              </w:rPr>
              <w:t xml:space="preserve">Figure 6: </w:t>
            </w:r>
            <w:r w:rsidR="00C07228">
              <w:rPr>
                <w:lang w:val="en-US"/>
              </w:rPr>
              <w:t>P60 Capsule</w:t>
            </w:r>
          </w:p>
        </w:tc>
        <w:tc>
          <w:tcPr>
            <w:tcW w:w="3006" w:type="dxa"/>
          </w:tcPr>
          <w:p w14:paraId="2CAE1F0D" w14:textId="17402766" w:rsidR="00C07228" w:rsidRDefault="00C02649" w:rsidP="00BE5481">
            <w:pPr>
              <w:pStyle w:val="Corpsdetexte"/>
              <w:ind w:firstLine="0"/>
              <w:jc w:val="center"/>
              <w:rPr>
                <w:lang w:val="en-US"/>
              </w:rPr>
            </w:pPr>
            <w:r>
              <w:rPr>
                <w:lang w:val="en-US"/>
              </w:rPr>
              <w:t xml:space="preserve">Figure 7: </w:t>
            </w:r>
            <w:r w:rsidR="00C07228">
              <w:rPr>
                <w:lang w:val="en-US"/>
              </w:rPr>
              <w:t>P60 capsule</w:t>
            </w:r>
            <w:r w:rsidR="00BE5481">
              <w:t xml:space="preserve"> without </w:t>
            </w:r>
            <w:r w:rsidR="00BE5481" w:rsidRPr="00BE5481">
              <w:rPr>
                <w:lang w:val="en-US"/>
              </w:rPr>
              <w:t>the threaded cap</w:t>
            </w:r>
          </w:p>
        </w:tc>
        <w:tc>
          <w:tcPr>
            <w:tcW w:w="3006" w:type="dxa"/>
          </w:tcPr>
          <w:p w14:paraId="2EE9F0EB" w14:textId="552D8370" w:rsidR="00C07228" w:rsidRDefault="00C02649" w:rsidP="00BE5481">
            <w:pPr>
              <w:pStyle w:val="Corpsdetexte"/>
              <w:ind w:firstLine="0"/>
              <w:jc w:val="center"/>
              <w:rPr>
                <w:lang w:val="en-US"/>
              </w:rPr>
            </w:pPr>
            <w:r>
              <w:rPr>
                <w:lang w:val="en-US"/>
              </w:rPr>
              <w:t xml:space="preserve">Figure 8: </w:t>
            </w:r>
            <w:r w:rsidR="00BE5481">
              <w:rPr>
                <w:lang w:val="en-US"/>
              </w:rPr>
              <w:t>Passport sheet for SFRM</w:t>
            </w:r>
          </w:p>
        </w:tc>
      </w:tr>
    </w:tbl>
    <w:p w14:paraId="107FBFED" w14:textId="05F5DE2E" w:rsidR="00CC2B6C" w:rsidRDefault="00CC2B6C" w:rsidP="003B656C">
      <w:pPr>
        <w:pStyle w:val="Corpsdetexte"/>
        <w:rPr>
          <w:lang w:val="en-US"/>
        </w:rPr>
      </w:pPr>
    </w:p>
    <w:p w14:paraId="41F28777" w14:textId="780E7A04" w:rsidR="007C1F71" w:rsidRPr="007C1F71" w:rsidRDefault="002F3EFB" w:rsidP="00FE2982">
      <w:pPr>
        <w:pStyle w:val="Corpsdetexte"/>
        <w:ind w:firstLine="0"/>
        <w:rPr>
          <w:lang w:val="en-US"/>
        </w:rPr>
      </w:pPr>
      <w:r>
        <w:rPr>
          <w:lang w:val="en-US"/>
        </w:rPr>
        <w:t>By u</w:t>
      </w:r>
      <w:r w:rsidRPr="002F3EFB">
        <w:rPr>
          <w:lang w:val="en-US"/>
        </w:rPr>
        <w:t xml:space="preserve">sing tongs, </w:t>
      </w:r>
      <w:r>
        <w:rPr>
          <w:lang w:val="en-US"/>
        </w:rPr>
        <w:t xml:space="preserve">DSRS </w:t>
      </w:r>
      <w:r w:rsidR="003F18B8">
        <w:rPr>
          <w:lang w:val="en-US"/>
        </w:rPr>
        <w:t>must</w:t>
      </w:r>
      <w:r>
        <w:rPr>
          <w:lang w:val="en-US"/>
        </w:rPr>
        <w:t xml:space="preserve"> be</w:t>
      </w:r>
      <w:r w:rsidRPr="002F3EFB">
        <w:rPr>
          <w:lang w:val="en-US"/>
        </w:rPr>
        <w:t xml:space="preserve"> transfer</w:t>
      </w:r>
      <w:r>
        <w:rPr>
          <w:lang w:val="en-US"/>
        </w:rPr>
        <w:t>red</w:t>
      </w:r>
      <w:r w:rsidRPr="002F3EFB">
        <w:rPr>
          <w:lang w:val="en-US"/>
        </w:rPr>
        <w:t xml:space="preserve"> into the capsule</w:t>
      </w:r>
      <w:r>
        <w:rPr>
          <w:lang w:val="en-US"/>
        </w:rPr>
        <w:t xml:space="preserve"> according to</w:t>
      </w:r>
      <w:r w:rsidRPr="002F3EFB">
        <w:rPr>
          <w:lang w:val="en-US"/>
        </w:rPr>
        <w:t xml:space="preserve"> the limit of activity</w:t>
      </w:r>
      <w:r w:rsidR="007C1F71">
        <w:rPr>
          <w:lang w:val="en-US"/>
        </w:rPr>
        <w:t xml:space="preserve">, then </w:t>
      </w:r>
      <w:r w:rsidR="007C1F71" w:rsidRPr="002F3EFB">
        <w:rPr>
          <w:lang w:val="en-US"/>
        </w:rPr>
        <w:t xml:space="preserve">capsule </w:t>
      </w:r>
      <w:r w:rsidR="003F18B8">
        <w:rPr>
          <w:lang w:val="en-US"/>
        </w:rPr>
        <w:t>must</w:t>
      </w:r>
      <w:r w:rsidR="007C1F71">
        <w:rPr>
          <w:lang w:val="en-US"/>
        </w:rPr>
        <w:t xml:space="preserve"> be c</w:t>
      </w:r>
      <w:r w:rsidRPr="002F3EFB">
        <w:rPr>
          <w:lang w:val="en-US"/>
        </w:rPr>
        <w:t>lose</w:t>
      </w:r>
      <w:r w:rsidR="007C1F71">
        <w:rPr>
          <w:lang w:val="en-US"/>
        </w:rPr>
        <w:t>d</w:t>
      </w:r>
      <w:r w:rsidRPr="002F3EFB">
        <w:rPr>
          <w:lang w:val="en-US"/>
        </w:rPr>
        <w:t xml:space="preserve"> </w:t>
      </w:r>
      <w:r w:rsidR="007C1F71">
        <w:rPr>
          <w:lang w:val="en-US"/>
        </w:rPr>
        <w:t xml:space="preserve">and the special form certificate duly filled and signed. The P60 capsule containing DSRS must be </w:t>
      </w:r>
      <w:r w:rsidR="007C1F71" w:rsidRPr="007C1F71">
        <w:rPr>
          <w:lang w:val="en-US"/>
        </w:rPr>
        <w:t>transfer</w:t>
      </w:r>
      <w:r w:rsidR="007C1F71">
        <w:rPr>
          <w:lang w:val="en-US"/>
        </w:rPr>
        <w:t>red</w:t>
      </w:r>
      <w:r w:rsidR="007C1F71" w:rsidRPr="007C1F71">
        <w:rPr>
          <w:lang w:val="en-US"/>
        </w:rPr>
        <w:t xml:space="preserve"> to the designated position in the lead shield</w:t>
      </w:r>
      <w:r w:rsidR="007C1F71">
        <w:rPr>
          <w:lang w:val="en-US"/>
        </w:rPr>
        <w:t xml:space="preserve"> which is t</w:t>
      </w:r>
      <w:r w:rsidR="007C1F71" w:rsidRPr="007C1F71">
        <w:rPr>
          <w:lang w:val="en-US"/>
        </w:rPr>
        <w:t>ransfer</w:t>
      </w:r>
      <w:r w:rsidR="007C1F71">
        <w:rPr>
          <w:lang w:val="en-US"/>
        </w:rPr>
        <w:t>red to</w:t>
      </w:r>
      <w:r w:rsidR="007C1F71" w:rsidRPr="007C1F71">
        <w:rPr>
          <w:lang w:val="en-US"/>
        </w:rPr>
        <w:t xml:space="preserve"> the 200</w:t>
      </w:r>
      <w:r w:rsidR="007C1F71">
        <w:rPr>
          <w:lang w:val="en-US"/>
        </w:rPr>
        <w:t>l</w:t>
      </w:r>
      <w:r w:rsidR="007C1F71" w:rsidRPr="007C1F71">
        <w:rPr>
          <w:lang w:val="en-US"/>
        </w:rPr>
        <w:t xml:space="preserve"> concrete </w:t>
      </w:r>
      <w:r w:rsidR="007C1F71">
        <w:rPr>
          <w:lang w:val="en-US"/>
        </w:rPr>
        <w:t>drum</w:t>
      </w:r>
      <w:r w:rsidR="007C1F71" w:rsidRPr="007C1F71">
        <w:rPr>
          <w:lang w:val="en-US"/>
        </w:rPr>
        <w:t xml:space="preserve">. </w:t>
      </w:r>
      <w:r w:rsidR="003F18B8" w:rsidRPr="003F18B8">
        <w:t xml:space="preserve">The drum </w:t>
      </w:r>
      <w:r w:rsidR="003F18B8" w:rsidRPr="003F18B8">
        <w:lastRenderedPageBreak/>
        <w:t xml:space="preserve">is closed and sealed. The ambient dose rates at 1 meter to the drum must be </w:t>
      </w:r>
      <w:r w:rsidR="003F18B8">
        <w:t>recorded</w:t>
      </w:r>
      <w:r w:rsidR="003F18B8" w:rsidRPr="003F18B8">
        <w:t xml:space="preserve"> in order to cat</w:t>
      </w:r>
      <w:r w:rsidR="00FE2982">
        <w:t>egorize the package and to choos</w:t>
      </w:r>
      <w:r w:rsidR="003F18B8" w:rsidRPr="003F18B8">
        <w:t>e the label to be paste</w:t>
      </w:r>
      <w:r w:rsidR="00FE2982">
        <w:t>d</w:t>
      </w:r>
      <w:r w:rsidR="003F18B8" w:rsidRPr="003F18B8">
        <w:t xml:space="preserve"> on it. Thus the last step was the transport of sources contained in the drum to the storage area.</w:t>
      </w:r>
    </w:p>
    <w:p w14:paraId="498E6273" w14:textId="5072B586" w:rsidR="007C1F71" w:rsidRDefault="007C1F71" w:rsidP="007C1F71">
      <w:pPr>
        <w:pStyle w:val="Corpsdetexte"/>
        <w:rPr>
          <w:lang w:val="en-US"/>
        </w:rPr>
      </w:pPr>
    </w:p>
    <w:p w14:paraId="52E72D6C" w14:textId="2C7E4005" w:rsidR="00DF1AFA" w:rsidRPr="002F3EFB" w:rsidRDefault="008A0556" w:rsidP="007C1F71">
      <w:pPr>
        <w:pStyle w:val="Corpsdetexte"/>
        <w:rPr>
          <w:lang w:val="en-US"/>
        </w:rPr>
      </w:pPr>
      <w:r w:rsidRPr="008A0556">
        <w:rPr>
          <w:noProof/>
          <w:lang w:eastAsia="en-GB"/>
        </w:rPr>
        <w:drawing>
          <wp:inline distT="0" distB="0" distL="0" distR="0" wp14:anchorId="026ABA44" wp14:editId="59ACED39">
            <wp:extent cx="1270000" cy="1842635"/>
            <wp:effectExtent l="0" t="0" r="635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81788" cy="1859739"/>
                    </a:xfrm>
                    <a:prstGeom prst="rect">
                      <a:avLst/>
                    </a:prstGeom>
                  </pic:spPr>
                </pic:pic>
              </a:graphicData>
            </a:graphic>
          </wp:inline>
        </w:drawing>
      </w:r>
    </w:p>
    <w:p w14:paraId="68E38EE3" w14:textId="00976D86" w:rsidR="00BF3A3D" w:rsidRDefault="00C02649" w:rsidP="00B72221">
      <w:pPr>
        <w:pStyle w:val="Corpsdetexte"/>
        <w:jc w:val="left"/>
        <w:rPr>
          <w:lang w:val="en-US"/>
        </w:rPr>
      </w:pPr>
      <w:r>
        <w:rPr>
          <w:lang w:val="en-US"/>
        </w:rPr>
        <w:t xml:space="preserve">Figure 9: </w:t>
      </w:r>
      <w:r w:rsidR="006A3A41">
        <w:rPr>
          <w:lang w:val="en-US"/>
        </w:rPr>
        <w:t xml:space="preserve">Empty </w:t>
      </w:r>
      <w:bookmarkStart w:id="0" w:name="_GoBack"/>
      <w:bookmarkEnd w:id="0"/>
      <w:r>
        <w:rPr>
          <w:lang w:val="en-US"/>
        </w:rPr>
        <w:t>200l drum</w:t>
      </w:r>
    </w:p>
    <w:p w14:paraId="143D9ABF" w14:textId="77777777" w:rsidR="00C02649" w:rsidRDefault="00C02649" w:rsidP="00B72221">
      <w:pPr>
        <w:pStyle w:val="Corpsdetexte"/>
        <w:jc w:val="left"/>
        <w:rPr>
          <w:lang w:val="en-US"/>
        </w:rPr>
      </w:pPr>
    </w:p>
    <w:p w14:paraId="6B03B558" w14:textId="6BE2229C" w:rsidR="00CC2B6C" w:rsidRPr="00DF7433" w:rsidRDefault="00FE2982" w:rsidP="00FE2982">
      <w:pPr>
        <w:pStyle w:val="Corpsdetexte"/>
        <w:ind w:firstLine="0"/>
        <w:jc w:val="left"/>
        <w:rPr>
          <w:lang w:val="en-US"/>
        </w:rPr>
      </w:pPr>
      <w:r>
        <w:rPr>
          <w:lang w:val="en-US"/>
        </w:rPr>
        <w:t xml:space="preserve">4. </w:t>
      </w:r>
      <w:r w:rsidR="003F18B8">
        <w:rPr>
          <w:lang w:val="en-US"/>
        </w:rPr>
        <w:t>CONCLUSION</w:t>
      </w:r>
    </w:p>
    <w:p w14:paraId="05E6E572" w14:textId="77777777" w:rsidR="00DF7433" w:rsidRDefault="00DF7433" w:rsidP="003B656C">
      <w:pPr>
        <w:pStyle w:val="Corpsdetexte"/>
        <w:rPr>
          <w:highlight w:val="yellow"/>
          <w:lang w:val="en-US"/>
        </w:rPr>
      </w:pPr>
    </w:p>
    <w:p w14:paraId="149E6F12" w14:textId="58DAD667" w:rsidR="005806C1" w:rsidRPr="00CF1924" w:rsidRDefault="005806C1" w:rsidP="00FE2982">
      <w:pPr>
        <w:pStyle w:val="Corpsdetexte"/>
        <w:ind w:firstLine="0"/>
        <w:rPr>
          <w:lang w:val="en-US"/>
        </w:rPr>
      </w:pPr>
      <w:r w:rsidRPr="00CF1924">
        <w:t xml:space="preserve">Within the Republic of Cameroon centralized storage facility, Safety measures planned to be taken </w:t>
      </w:r>
      <w:r w:rsidRPr="00FE2982">
        <w:t xml:space="preserve">consist </w:t>
      </w:r>
      <w:r w:rsidR="00071E28" w:rsidRPr="00FE2982">
        <w:t>of</w:t>
      </w:r>
      <w:r w:rsidRPr="00FE2982">
        <w:t xml:space="preserve"> dismantling</w:t>
      </w:r>
      <w:r w:rsidRPr="00CF1924">
        <w:t xml:space="preserve"> category 3 to 5 sources from their associated </w:t>
      </w:r>
      <w:r w:rsidR="00071E28" w:rsidRPr="00CF1924">
        <w:t>equipment</w:t>
      </w:r>
      <w:r w:rsidRPr="00CF1924">
        <w:t xml:space="preserve"> and transferring them to the P-60 capsule which must be transferred to the lead shield and then the whole to the 200l drum.  The 200l drum packages must be locked, sealed and labelled according to the measured dose rates at 1 meter. Security measures in place </w:t>
      </w:r>
      <w:r w:rsidR="00CF1924" w:rsidRPr="00CF1924">
        <w:t xml:space="preserve">have been </w:t>
      </w:r>
      <w:r w:rsidR="00CF1924" w:rsidRPr="00CF1924">
        <w:rPr>
          <w:lang w:val="en-US"/>
        </w:rPr>
        <w:t>incorporated into the source storage room and source conditioning room respectively in order to implement nuclear security functions</w:t>
      </w:r>
      <w:r w:rsidR="00581EC1">
        <w:rPr>
          <w:lang w:val="en-US"/>
        </w:rPr>
        <w:t xml:space="preserve"> within the facility</w:t>
      </w:r>
      <w:r w:rsidRPr="00CF1924">
        <w:t xml:space="preserve">. </w:t>
      </w:r>
      <w:r w:rsidR="00CF1924" w:rsidRPr="00CF1924">
        <w:t>T</w:t>
      </w:r>
      <w:r w:rsidRPr="00CF1924">
        <w:t xml:space="preserve">he planned safety measures will contribute to improve security through the use of adequate seals and lock mechanisms. In addition, the robust and heavy 200l drum which are planned to be used increase the difficulty for an adversary to remove or sabotage the packages.   </w:t>
      </w:r>
    </w:p>
    <w:p w14:paraId="73D2DE70" w14:textId="77777777" w:rsidR="003B656C" w:rsidRPr="002E767D" w:rsidRDefault="003B656C" w:rsidP="00580AF9">
      <w:pPr>
        <w:pStyle w:val="Corpsdetexte"/>
        <w:rPr>
          <w:highlight w:val="yellow"/>
          <w:lang w:val="en-US"/>
        </w:rPr>
      </w:pPr>
    </w:p>
    <w:p w14:paraId="0E9FA635" w14:textId="77777777" w:rsidR="00285755" w:rsidRDefault="00285755" w:rsidP="00C86B59">
      <w:pPr>
        <w:pStyle w:val="Otherunnumberedheadings"/>
        <w:jc w:val="left"/>
      </w:pPr>
      <w:r w:rsidRPr="00285755">
        <w:t>ACKNOWLEDGEMENTS</w:t>
      </w:r>
    </w:p>
    <w:p w14:paraId="31C8221B" w14:textId="285DCD86" w:rsidR="00C36964" w:rsidRDefault="00C36964" w:rsidP="002B6FFD">
      <w:pPr>
        <w:pStyle w:val="Corpsdetexte"/>
        <w:ind w:firstLine="0"/>
      </w:pPr>
      <w:r>
        <w:t xml:space="preserve">The authors thank the </w:t>
      </w:r>
      <w:r w:rsidR="002B6FFD">
        <w:t>International Atomic Energy Agency (</w:t>
      </w:r>
      <w:r>
        <w:t>IAEA</w:t>
      </w:r>
      <w:r w:rsidR="002B6FFD">
        <w:t>)</w:t>
      </w:r>
      <w:r>
        <w:t xml:space="preserve"> and the </w:t>
      </w:r>
      <w:r w:rsidR="002B6FFD">
        <w:t>Department of Energy of United State</w:t>
      </w:r>
      <w:r w:rsidR="00267A36">
        <w:t>s</w:t>
      </w:r>
      <w:r w:rsidR="008967C5">
        <w:t xml:space="preserve"> </w:t>
      </w:r>
      <w:r w:rsidR="002B6FFD">
        <w:t>of America (</w:t>
      </w:r>
      <w:r>
        <w:t>DOE/USA</w:t>
      </w:r>
      <w:r w:rsidR="002B6FFD">
        <w:t>)</w:t>
      </w:r>
      <w:r>
        <w:t xml:space="preserve"> for their support </w:t>
      </w:r>
      <w:r w:rsidR="00983438">
        <w:t>in the framework of the</w:t>
      </w:r>
      <w:r>
        <w:t xml:space="preserve"> </w:t>
      </w:r>
      <w:r w:rsidR="00983438">
        <w:t>establishment</w:t>
      </w:r>
      <w:r>
        <w:t xml:space="preserve"> of the Republic of Cameroon centralized storage facility.</w:t>
      </w:r>
    </w:p>
    <w:p w14:paraId="36BF2C66" w14:textId="77777777" w:rsidR="00D26ADA" w:rsidRPr="00285755" w:rsidRDefault="00D26ADA" w:rsidP="00C86B59">
      <w:pPr>
        <w:pStyle w:val="Otherunnumberedheadings"/>
        <w:jc w:val="left"/>
      </w:pPr>
      <w:r>
        <w:t>References</w:t>
      </w:r>
    </w:p>
    <w:p w14:paraId="3923BD55" w14:textId="77777777" w:rsidR="00C86B59" w:rsidRPr="00C86B59" w:rsidRDefault="00C86B59" w:rsidP="00C86B59">
      <w:pPr>
        <w:pStyle w:val="Referencelist"/>
      </w:pPr>
      <w:r w:rsidRPr="00C86B59">
        <w:t>EUROPEAN ATOMIC ENERGY COMMUNITY, FOOD AND AGRICULTURE ORGANIZATION OF THE UNITED NATIONS, INTERNATIONAL ATOMIC ENERGY AGENCY, INTERNATIONAL LABOUR ORGANIZATION, INTERNATIONAL MARITIME ORGANIZATION, OECD NUCLEAR ENERGY AGENCY, PAN AMERICAN HEALTH ORGANIZATION, UNITED NATIONS ENVIRONMENT PROGRAMME, WORLD HEALTH ORGANIZATION, Fundamental Safety Principles, IAEA Safety Standards Series No. SF-1, IAEA, Vienna (2006).</w:t>
      </w:r>
    </w:p>
    <w:p w14:paraId="5794487A" w14:textId="6786E38D" w:rsidR="00C86B59" w:rsidRPr="00C86B59" w:rsidRDefault="00C86B59" w:rsidP="00C86B59">
      <w:pPr>
        <w:pStyle w:val="Referencelist"/>
      </w:pPr>
      <w:r w:rsidRPr="00C86B59">
        <w:t>INTERNATIONAL ATOMIC ENERGY AGENCY</w:t>
      </w:r>
      <w:r w:rsidR="00C36964">
        <w:t>,</w:t>
      </w:r>
      <w:r w:rsidRPr="00C86B59">
        <w:t xml:space="preserve"> </w:t>
      </w:r>
      <w:r w:rsidR="00C36964" w:rsidRPr="00C36964">
        <w:t>Security of Radioactive Sources</w:t>
      </w:r>
      <w:r w:rsidRPr="00C86B59">
        <w:t xml:space="preserve">, </w:t>
      </w:r>
      <w:r w:rsidR="00C36964" w:rsidRPr="00C36964">
        <w:t>Nuclear Security Series No. 11</w:t>
      </w:r>
      <w:r w:rsidRPr="00C86B59">
        <w:t>, IAEA, Vienna (20</w:t>
      </w:r>
      <w:r w:rsidR="00C36964">
        <w:t>09</w:t>
      </w:r>
      <w:r w:rsidRPr="00C86B59">
        <w:t>).</w:t>
      </w:r>
    </w:p>
    <w:p w14:paraId="2032A3C5" w14:textId="31B66D7A" w:rsidR="00046A38" w:rsidRPr="0009619D" w:rsidRDefault="00046A38" w:rsidP="00046A38">
      <w:pPr>
        <w:pStyle w:val="Referencelist"/>
        <w:rPr>
          <w:lang w:val="en-US"/>
        </w:rPr>
      </w:pPr>
      <w:r w:rsidRPr="00046A38">
        <w:t>INTERNATIONAL ATOMIC ENERGY AGENCY,</w:t>
      </w:r>
      <w:r w:rsidRPr="00046A38">
        <w:rPr>
          <w:b/>
          <w:bCs/>
          <w:lang w:val="en-US"/>
        </w:rPr>
        <w:t xml:space="preserve"> </w:t>
      </w:r>
      <w:r w:rsidRPr="00046A38">
        <w:rPr>
          <w:bCs/>
          <w:lang w:val="en-US"/>
        </w:rPr>
        <w:t>Technical manual for</w:t>
      </w:r>
      <w:r w:rsidRPr="00046A38">
        <w:rPr>
          <w:lang w:val="en-US"/>
        </w:rPr>
        <w:t xml:space="preserve"> </w:t>
      </w:r>
      <w:r w:rsidRPr="00046A38">
        <w:rPr>
          <w:bCs/>
          <w:lang w:val="en-US"/>
        </w:rPr>
        <w:t>Conditioning of spent low activity sources, IAEA, Vienna (2019)</w:t>
      </w:r>
      <w:r>
        <w:rPr>
          <w:bCs/>
          <w:lang w:val="en-US"/>
        </w:rPr>
        <w:t>.</w:t>
      </w:r>
    </w:p>
    <w:sectPr w:rsidR="00046A38" w:rsidRPr="0009619D" w:rsidSect="0026525A">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F5590" w14:textId="77777777" w:rsidR="008867E3" w:rsidRDefault="008867E3">
      <w:r>
        <w:separator/>
      </w:r>
    </w:p>
  </w:endnote>
  <w:endnote w:type="continuationSeparator" w:id="0">
    <w:p w14:paraId="779D1650" w14:textId="77777777" w:rsidR="008867E3" w:rsidRDefault="0088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2BEAED91"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6A3A41">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293158">
      <w:rPr>
        <w:noProof/>
        <w:sz w:val="16"/>
      </w:rPr>
      <w:t>CN-295_#319_FullPaper_Beyala Ateba_rev02.docx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AEF7B" w14:textId="77777777" w:rsidR="008867E3" w:rsidRDefault="008867E3">
      <w:r>
        <w:t>___________________________________________________________________________</w:t>
      </w:r>
    </w:p>
  </w:footnote>
  <w:footnote w:type="continuationSeparator" w:id="0">
    <w:p w14:paraId="2EA92966" w14:textId="77777777" w:rsidR="008867E3" w:rsidRDefault="008867E3">
      <w:r>
        <w:t>___________________________________________________________________________</w:t>
      </w:r>
    </w:p>
  </w:footnote>
  <w:footnote w:type="continuationNotice" w:id="1">
    <w:p w14:paraId="3C75E5CA" w14:textId="77777777" w:rsidR="008867E3" w:rsidRDefault="008867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6620" w14:textId="29260AE2" w:rsidR="00CF7AF3" w:rsidRDefault="00CF7AF3" w:rsidP="00CF7AF3">
    <w:pPr>
      <w:pStyle w:val="Runninghead"/>
    </w:pPr>
    <w:r>
      <w:tab/>
    </w:r>
    <w:r w:rsidR="00532A0F">
      <w:t>IAEA-CN-2</w:t>
    </w:r>
    <w:r w:rsidR="002E04BC">
      <w:t>95</w:t>
    </w:r>
    <w:r w:rsidR="00581EC1">
      <w:t xml:space="preserve"> </w:t>
    </w:r>
    <w:r w:rsidR="00581EC1" w:rsidRPr="00581EC1">
      <w:t>#319</w:t>
    </w:r>
  </w:p>
  <w:p w14:paraId="1DE1813F"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F2819C9"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D203F" w14:textId="3835C672" w:rsidR="00E20E70" w:rsidRDefault="00441E83" w:rsidP="00B82FA5">
    <w:pPr>
      <w:pStyle w:val="Runninghead"/>
    </w:pPr>
    <w:r>
      <w:t>Jean Félix BEYALA ATEBA and Augustin SIMO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1"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Titre9"/>
            <w:spacing w:before="0" w:after="10"/>
          </w:pPr>
        </w:p>
      </w:tc>
      <w:tc>
        <w:tcPr>
          <w:tcW w:w="5702" w:type="dxa"/>
          <w:vMerge/>
          <w:vAlign w:val="bottom"/>
        </w:tcPr>
        <w:p w14:paraId="2A0B6A2B" w14:textId="77777777" w:rsidR="00E20E70" w:rsidRDefault="00E20E70">
          <w:pPr>
            <w:pStyle w:val="Titre9"/>
            <w:spacing w:before="0" w:after="10"/>
          </w:pPr>
        </w:p>
      </w:tc>
    </w:tr>
  </w:tbl>
  <w:p w14:paraId="50B524FE"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C"/>
    <w:multiLevelType w:val="multilevel"/>
    <w:tmpl w:val="0000088F"/>
    <w:lvl w:ilvl="0">
      <w:numFmt w:val="bullet"/>
      <w:lvlText w:val=""/>
      <w:lvlJc w:val="left"/>
      <w:pPr>
        <w:ind w:left="460" w:hanging="284"/>
      </w:pPr>
      <w:rPr>
        <w:rFonts w:ascii="Symbol" w:hAnsi="Symbol"/>
        <w:b w:val="0"/>
        <w:sz w:val="24"/>
      </w:rPr>
    </w:lvl>
    <w:lvl w:ilvl="1">
      <w:numFmt w:val="bullet"/>
      <w:lvlText w:val="•"/>
      <w:lvlJc w:val="left"/>
      <w:pPr>
        <w:ind w:left="1339" w:hanging="284"/>
      </w:pPr>
    </w:lvl>
    <w:lvl w:ilvl="2">
      <w:numFmt w:val="bullet"/>
      <w:lvlText w:val="•"/>
      <w:lvlJc w:val="left"/>
      <w:pPr>
        <w:ind w:left="2217" w:hanging="284"/>
      </w:pPr>
    </w:lvl>
    <w:lvl w:ilvl="3">
      <w:numFmt w:val="bullet"/>
      <w:lvlText w:val="•"/>
      <w:lvlJc w:val="left"/>
      <w:pPr>
        <w:ind w:left="3096" w:hanging="284"/>
      </w:pPr>
    </w:lvl>
    <w:lvl w:ilvl="4">
      <w:numFmt w:val="bullet"/>
      <w:lvlText w:val="•"/>
      <w:lvlJc w:val="left"/>
      <w:pPr>
        <w:ind w:left="3974" w:hanging="284"/>
      </w:pPr>
    </w:lvl>
    <w:lvl w:ilvl="5">
      <w:numFmt w:val="bullet"/>
      <w:lvlText w:val="•"/>
      <w:lvlJc w:val="left"/>
      <w:pPr>
        <w:ind w:left="4853" w:hanging="284"/>
      </w:pPr>
    </w:lvl>
    <w:lvl w:ilvl="6">
      <w:numFmt w:val="bullet"/>
      <w:lvlText w:val="•"/>
      <w:lvlJc w:val="left"/>
      <w:pPr>
        <w:ind w:left="5732" w:hanging="284"/>
      </w:pPr>
    </w:lvl>
    <w:lvl w:ilvl="7">
      <w:numFmt w:val="bullet"/>
      <w:lvlText w:val="•"/>
      <w:lvlJc w:val="left"/>
      <w:pPr>
        <w:ind w:left="6610" w:hanging="284"/>
      </w:pPr>
    </w:lvl>
    <w:lvl w:ilvl="8">
      <w:numFmt w:val="bullet"/>
      <w:lvlText w:val="•"/>
      <w:lvlJc w:val="left"/>
      <w:pPr>
        <w:ind w:left="7489" w:hanging="284"/>
      </w:pPr>
    </w:lvl>
  </w:abstractNum>
  <w:abstractNum w:abstractNumId="1">
    <w:nsid w:val="00000433"/>
    <w:multiLevelType w:val="multilevel"/>
    <w:tmpl w:val="000008B6"/>
    <w:lvl w:ilvl="0">
      <w:numFmt w:val="bullet"/>
      <w:lvlText w:val=""/>
      <w:lvlJc w:val="left"/>
      <w:pPr>
        <w:ind w:left="525" w:hanging="284"/>
      </w:pPr>
      <w:rPr>
        <w:rFonts w:ascii="Symbol" w:hAnsi="Symbol"/>
        <w:b w:val="0"/>
        <w:w w:val="99"/>
        <w:sz w:val="22"/>
      </w:rPr>
    </w:lvl>
    <w:lvl w:ilvl="1">
      <w:numFmt w:val="bullet"/>
      <w:lvlText w:val=""/>
      <w:lvlJc w:val="left"/>
      <w:pPr>
        <w:ind w:left="1180" w:hanging="360"/>
      </w:pPr>
      <w:rPr>
        <w:rFonts w:ascii="Symbol" w:hAnsi="Symbol"/>
        <w:b w:val="0"/>
        <w:w w:val="99"/>
        <w:sz w:val="22"/>
      </w:rPr>
    </w:lvl>
    <w:lvl w:ilvl="2">
      <w:numFmt w:val="bullet"/>
      <w:lvlText w:val="•"/>
      <w:lvlJc w:val="left"/>
      <w:pPr>
        <w:ind w:left="2063" w:hanging="360"/>
      </w:pPr>
    </w:lvl>
    <w:lvl w:ilvl="3">
      <w:numFmt w:val="bullet"/>
      <w:lvlText w:val="•"/>
      <w:lvlJc w:val="left"/>
      <w:pPr>
        <w:ind w:left="2946" w:hanging="360"/>
      </w:pPr>
    </w:lvl>
    <w:lvl w:ilvl="4">
      <w:numFmt w:val="bullet"/>
      <w:lvlText w:val="•"/>
      <w:lvlJc w:val="left"/>
      <w:pPr>
        <w:ind w:left="3829" w:hanging="360"/>
      </w:pPr>
    </w:lvl>
    <w:lvl w:ilvl="5">
      <w:numFmt w:val="bullet"/>
      <w:lvlText w:val="•"/>
      <w:lvlJc w:val="left"/>
      <w:pPr>
        <w:ind w:left="4711" w:hanging="360"/>
      </w:pPr>
    </w:lvl>
    <w:lvl w:ilvl="6">
      <w:numFmt w:val="bullet"/>
      <w:lvlText w:val="•"/>
      <w:lvlJc w:val="left"/>
      <w:pPr>
        <w:ind w:left="5594" w:hanging="360"/>
      </w:pPr>
    </w:lvl>
    <w:lvl w:ilvl="7">
      <w:numFmt w:val="bullet"/>
      <w:lvlText w:val="•"/>
      <w:lvlJc w:val="left"/>
      <w:pPr>
        <w:ind w:left="6477" w:hanging="360"/>
      </w:pPr>
    </w:lvl>
    <w:lvl w:ilvl="8">
      <w:numFmt w:val="bullet"/>
      <w:lvlText w:val="•"/>
      <w:lvlJc w:val="left"/>
      <w:pPr>
        <w:ind w:left="7360" w:hanging="360"/>
      </w:pPr>
    </w:lvl>
  </w:abstractNum>
  <w:abstractNum w:abstractNumId="2">
    <w:nsid w:val="0000044A"/>
    <w:multiLevelType w:val="multilevel"/>
    <w:tmpl w:val="000008CD"/>
    <w:lvl w:ilvl="0">
      <w:numFmt w:val="bullet"/>
      <w:lvlText w:val=""/>
      <w:lvlJc w:val="left"/>
      <w:pPr>
        <w:ind w:left="523" w:hanging="284"/>
      </w:pPr>
      <w:rPr>
        <w:rFonts w:ascii="Symbol" w:hAnsi="Symbol"/>
        <w:b w:val="0"/>
        <w:sz w:val="24"/>
      </w:rPr>
    </w:lvl>
    <w:lvl w:ilvl="1">
      <w:numFmt w:val="bullet"/>
      <w:lvlText w:val=""/>
      <w:lvlJc w:val="left"/>
      <w:pPr>
        <w:ind w:left="960" w:hanging="360"/>
      </w:pPr>
      <w:rPr>
        <w:rFonts w:ascii="Symbol" w:hAnsi="Symbol"/>
        <w:b w:val="0"/>
        <w:w w:val="99"/>
        <w:sz w:val="20"/>
      </w:rPr>
    </w:lvl>
    <w:lvl w:ilvl="2">
      <w:numFmt w:val="bullet"/>
      <w:lvlText w:val="•"/>
      <w:lvlJc w:val="left"/>
      <w:pPr>
        <w:ind w:left="1896" w:hanging="360"/>
      </w:pPr>
    </w:lvl>
    <w:lvl w:ilvl="3">
      <w:numFmt w:val="bullet"/>
      <w:lvlText w:val="•"/>
      <w:lvlJc w:val="left"/>
      <w:pPr>
        <w:ind w:left="2832" w:hanging="360"/>
      </w:pPr>
    </w:lvl>
    <w:lvl w:ilvl="4">
      <w:numFmt w:val="bullet"/>
      <w:lvlText w:val="•"/>
      <w:lvlJc w:val="left"/>
      <w:pPr>
        <w:ind w:left="3769" w:hanging="360"/>
      </w:pPr>
    </w:lvl>
    <w:lvl w:ilvl="5">
      <w:numFmt w:val="bullet"/>
      <w:lvlText w:val="•"/>
      <w:lvlJc w:val="left"/>
      <w:pPr>
        <w:ind w:left="4705" w:hanging="360"/>
      </w:pPr>
    </w:lvl>
    <w:lvl w:ilvl="6">
      <w:numFmt w:val="bullet"/>
      <w:lvlText w:val="•"/>
      <w:lvlJc w:val="left"/>
      <w:pPr>
        <w:ind w:left="5641" w:hanging="360"/>
      </w:pPr>
    </w:lvl>
    <w:lvl w:ilvl="7">
      <w:numFmt w:val="bullet"/>
      <w:lvlText w:val="•"/>
      <w:lvlJc w:val="left"/>
      <w:pPr>
        <w:ind w:left="6577" w:hanging="360"/>
      </w:pPr>
    </w:lvl>
    <w:lvl w:ilvl="8">
      <w:numFmt w:val="bullet"/>
      <w:lvlText w:val="•"/>
      <w:lvlJc w:val="left"/>
      <w:pPr>
        <w:ind w:left="7513" w:hanging="360"/>
      </w:pPr>
    </w:lvl>
  </w:abstractNum>
  <w:abstractNum w:abstractNumId="3">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5">
    <w:nsid w:val="112D0FF0"/>
    <w:multiLevelType w:val="hybridMultilevel"/>
    <w:tmpl w:val="23C6B8BA"/>
    <w:lvl w:ilvl="0" w:tplc="BA223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F6446"/>
    <w:multiLevelType w:val="hybridMultilevel"/>
    <w:tmpl w:val="23A4B0AE"/>
    <w:lvl w:ilvl="0" w:tplc="BA223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34F95"/>
    <w:multiLevelType w:val="hybridMultilevel"/>
    <w:tmpl w:val="BBBA792C"/>
    <w:lvl w:ilvl="0" w:tplc="BA223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2">
    <w:nsid w:val="336145B2"/>
    <w:multiLevelType w:val="hybridMultilevel"/>
    <w:tmpl w:val="48B4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61B69"/>
    <w:multiLevelType w:val="hybridMultilevel"/>
    <w:tmpl w:val="9E1AF2BC"/>
    <w:lvl w:ilvl="0" w:tplc="C1DCCBEE">
      <w:start w:val="1"/>
      <w:numFmt w:val="bullet"/>
      <w:lvlText w:val="-"/>
      <w:lvlJc w:val="left"/>
      <w:pPr>
        <w:ind w:left="360"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A918AF"/>
    <w:multiLevelType w:val="hybridMultilevel"/>
    <w:tmpl w:val="C81C69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0">
    <w:nsid w:val="73542438"/>
    <w:multiLevelType w:val="hybridMultilevel"/>
    <w:tmpl w:val="123843D8"/>
    <w:lvl w:ilvl="0" w:tplc="1454549E">
      <w:numFmt w:val="bullet"/>
      <w:lvlText w:val="•"/>
      <w:lvlJc w:val="left"/>
      <w:pPr>
        <w:ind w:left="1080" w:hanging="720"/>
      </w:pPr>
      <w:rPr>
        <w:rFonts w:ascii="Calibri" w:eastAsia="Calibri" w:hAnsi="Calibri"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DEE695B"/>
    <w:multiLevelType w:val="multilevel"/>
    <w:tmpl w:val="201C3DC8"/>
    <w:lvl w:ilvl="0">
      <w:start w:val="1"/>
      <w:numFmt w:val="bullet"/>
      <w:lvlText w:val="-"/>
      <w:lvlJc w:val="left"/>
      <w:pPr>
        <w:ind w:left="460" w:hanging="284"/>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339" w:hanging="284"/>
      </w:pPr>
    </w:lvl>
    <w:lvl w:ilvl="2">
      <w:numFmt w:val="bullet"/>
      <w:lvlText w:val="•"/>
      <w:lvlJc w:val="left"/>
      <w:pPr>
        <w:ind w:left="2217" w:hanging="284"/>
      </w:pPr>
    </w:lvl>
    <w:lvl w:ilvl="3">
      <w:numFmt w:val="bullet"/>
      <w:lvlText w:val="•"/>
      <w:lvlJc w:val="left"/>
      <w:pPr>
        <w:ind w:left="3096" w:hanging="284"/>
      </w:pPr>
    </w:lvl>
    <w:lvl w:ilvl="4">
      <w:numFmt w:val="bullet"/>
      <w:lvlText w:val="•"/>
      <w:lvlJc w:val="left"/>
      <w:pPr>
        <w:ind w:left="3974" w:hanging="284"/>
      </w:pPr>
    </w:lvl>
    <w:lvl w:ilvl="5">
      <w:numFmt w:val="bullet"/>
      <w:lvlText w:val="•"/>
      <w:lvlJc w:val="left"/>
      <w:pPr>
        <w:ind w:left="4853" w:hanging="284"/>
      </w:pPr>
    </w:lvl>
    <w:lvl w:ilvl="6">
      <w:numFmt w:val="bullet"/>
      <w:lvlText w:val="•"/>
      <w:lvlJc w:val="left"/>
      <w:pPr>
        <w:ind w:left="5732" w:hanging="284"/>
      </w:pPr>
    </w:lvl>
    <w:lvl w:ilvl="7">
      <w:numFmt w:val="bullet"/>
      <w:lvlText w:val="•"/>
      <w:lvlJc w:val="left"/>
      <w:pPr>
        <w:ind w:left="6610" w:hanging="284"/>
      </w:pPr>
    </w:lvl>
    <w:lvl w:ilvl="8">
      <w:numFmt w:val="bullet"/>
      <w:lvlText w:val="•"/>
      <w:lvlJc w:val="left"/>
      <w:pPr>
        <w:ind w:left="7489" w:hanging="284"/>
      </w:pPr>
    </w:lvl>
  </w:abstractNum>
  <w:num w:numId="1">
    <w:abstractNumId w:val="15"/>
  </w:num>
  <w:num w:numId="2">
    <w:abstractNumId w:val="8"/>
  </w:num>
  <w:num w:numId="3">
    <w:abstractNumId w:val="19"/>
  </w:num>
  <w:num w:numId="4">
    <w:abstractNumId w:val="19"/>
  </w:num>
  <w:num w:numId="5">
    <w:abstractNumId w:val="19"/>
  </w:num>
  <w:num w:numId="6">
    <w:abstractNumId w:val="11"/>
  </w:num>
  <w:num w:numId="7">
    <w:abstractNumId w:val="16"/>
  </w:num>
  <w:num w:numId="8">
    <w:abstractNumId w:val="21"/>
  </w:num>
  <w:num w:numId="9">
    <w:abstractNumId w:val="4"/>
  </w:num>
  <w:num w:numId="10">
    <w:abstractNumId w:val="1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9"/>
  </w:num>
  <w:num w:numId="12">
    <w:abstractNumId w:val="19"/>
  </w:num>
  <w:num w:numId="13">
    <w:abstractNumId w:val="19"/>
  </w:num>
  <w:num w:numId="14">
    <w:abstractNumId w:val="1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9"/>
  </w:num>
  <w:num w:numId="16">
    <w:abstractNumId w:val="19"/>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9"/>
  </w:num>
  <w:num w:numId="22">
    <w:abstractNumId w:val="7"/>
  </w:num>
  <w:num w:numId="23">
    <w:abstractNumId w:val="3"/>
  </w:num>
  <w:num w:numId="24">
    <w:abstractNumId w:val="18"/>
  </w:num>
  <w:num w:numId="25">
    <w:abstractNumId w:val="19"/>
  </w:num>
  <w:num w:numId="26">
    <w:abstractNumId w:val="19"/>
  </w:num>
  <w:num w:numId="27">
    <w:abstractNumId w:val="19"/>
  </w:num>
  <w:num w:numId="28">
    <w:abstractNumId w:val="19"/>
  </w:num>
  <w:num w:numId="29">
    <w:abstractNumId w:val="19"/>
  </w:num>
  <w:num w:numId="30">
    <w:abstractNumId w:val="14"/>
  </w:num>
  <w:num w:numId="31">
    <w:abstractNumId w:val="14"/>
  </w:num>
  <w:num w:numId="32">
    <w:abstractNumId w:val="19"/>
  </w:num>
  <w:num w:numId="33">
    <w:abstractNumId w:val="12"/>
  </w:num>
  <w:num w:numId="34">
    <w:abstractNumId w:val="20"/>
  </w:num>
  <w:num w:numId="35">
    <w:abstractNumId w:val="5"/>
  </w:num>
  <w:num w:numId="36">
    <w:abstractNumId w:val="10"/>
  </w:num>
  <w:num w:numId="37">
    <w:abstractNumId w:val="17"/>
  </w:num>
  <w:num w:numId="38">
    <w:abstractNumId w:val="9"/>
  </w:num>
  <w:num w:numId="39">
    <w:abstractNumId w:val="0"/>
  </w:num>
  <w:num w:numId="40">
    <w:abstractNumId w:val="22"/>
  </w:num>
  <w:num w:numId="41">
    <w:abstractNumId w:val="13"/>
  </w:num>
  <w:num w:numId="42">
    <w:abstractNumId w:val="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05A64"/>
    <w:rsid w:val="000068B7"/>
    <w:rsid w:val="000229AB"/>
    <w:rsid w:val="0002569A"/>
    <w:rsid w:val="00037321"/>
    <w:rsid w:val="00046A38"/>
    <w:rsid w:val="00071E28"/>
    <w:rsid w:val="00081365"/>
    <w:rsid w:val="0009619D"/>
    <w:rsid w:val="000A0299"/>
    <w:rsid w:val="000A2990"/>
    <w:rsid w:val="000B100F"/>
    <w:rsid w:val="000B52D5"/>
    <w:rsid w:val="000C25A7"/>
    <w:rsid w:val="000D7AD0"/>
    <w:rsid w:val="000F7E94"/>
    <w:rsid w:val="00104648"/>
    <w:rsid w:val="001119D6"/>
    <w:rsid w:val="001308F2"/>
    <w:rsid w:val="001313E8"/>
    <w:rsid w:val="0018771C"/>
    <w:rsid w:val="001953EB"/>
    <w:rsid w:val="001C58F5"/>
    <w:rsid w:val="001D5CEE"/>
    <w:rsid w:val="002071D9"/>
    <w:rsid w:val="00207461"/>
    <w:rsid w:val="00256822"/>
    <w:rsid w:val="00256D92"/>
    <w:rsid w:val="00262911"/>
    <w:rsid w:val="0026525A"/>
    <w:rsid w:val="00267A36"/>
    <w:rsid w:val="00274790"/>
    <w:rsid w:val="00285755"/>
    <w:rsid w:val="00293158"/>
    <w:rsid w:val="002A1F9C"/>
    <w:rsid w:val="002B29C2"/>
    <w:rsid w:val="002B6FFD"/>
    <w:rsid w:val="002C4208"/>
    <w:rsid w:val="002C7B46"/>
    <w:rsid w:val="002D6495"/>
    <w:rsid w:val="002E04BC"/>
    <w:rsid w:val="002E767D"/>
    <w:rsid w:val="002F32D9"/>
    <w:rsid w:val="002F3EFB"/>
    <w:rsid w:val="00311054"/>
    <w:rsid w:val="00331070"/>
    <w:rsid w:val="00337332"/>
    <w:rsid w:val="00352DE1"/>
    <w:rsid w:val="00354E50"/>
    <w:rsid w:val="003728E6"/>
    <w:rsid w:val="00376E2C"/>
    <w:rsid w:val="00394F42"/>
    <w:rsid w:val="003B5E0E"/>
    <w:rsid w:val="003B656C"/>
    <w:rsid w:val="003D255A"/>
    <w:rsid w:val="003D7FAF"/>
    <w:rsid w:val="003F18B8"/>
    <w:rsid w:val="004065B5"/>
    <w:rsid w:val="00416949"/>
    <w:rsid w:val="00417AD2"/>
    <w:rsid w:val="004331A5"/>
    <w:rsid w:val="004370D8"/>
    <w:rsid w:val="00441E83"/>
    <w:rsid w:val="00452E46"/>
    <w:rsid w:val="00472C43"/>
    <w:rsid w:val="0049530F"/>
    <w:rsid w:val="00496E58"/>
    <w:rsid w:val="004C0213"/>
    <w:rsid w:val="004C3C00"/>
    <w:rsid w:val="004E01CF"/>
    <w:rsid w:val="004E79D6"/>
    <w:rsid w:val="005024FF"/>
    <w:rsid w:val="00520A27"/>
    <w:rsid w:val="00532A0F"/>
    <w:rsid w:val="00537496"/>
    <w:rsid w:val="00541306"/>
    <w:rsid w:val="00542DF1"/>
    <w:rsid w:val="005447E2"/>
    <w:rsid w:val="00544ED3"/>
    <w:rsid w:val="005635D8"/>
    <w:rsid w:val="005642C1"/>
    <w:rsid w:val="005806C1"/>
    <w:rsid w:val="00580AF9"/>
    <w:rsid w:val="00581EC1"/>
    <w:rsid w:val="0058477B"/>
    <w:rsid w:val="0058654F"/>
    <w:rsid w:val="00596ACA"/>
    <w:rsid w:val="005C38E1"/>
    <w:rsid w:val="005E39BC"/>
    <w:rsid w:val="005F00A0"/>
    <w:rsid w:val="005F3A77"/>
    <w:rsid w:val="005F4354"/>
    <w:rsid w:val="00600140"/>
    <w:rsid w:val="00626087"/>
    <w:rsid w:val="00647F33"/>
    <w:rsid w:val="00662532"/>
    <w:rsid w:val="00667A49"/>
    <w:rsid w:val="006A3A41"/>
    <w:rsid w:val="006B2274"/>
    <w:rsid w:val="006C1AE5"/>
    <w:rsid w:val="006D4C99"/>
    <w:rsid w:val="00702BE2"/>
    <w:rsid w:val="0070372A"/>
    <w:rsid w:val="00717C6F"/>
    <w:rsid w:val="00735544"/>
    <w:rsid w:val="007445DA"/>
    <w:rsid w:val="00756760"/>
    <w:rsid w:val="0079212D"/>
    <w:rsid w:val="007971C4"/>
    <w:rsid w:val="007B4FD1"/>
    <w:rsid w:val="007C1F71"/>
    <w:rsid w:val="007D29E3"/>
    <w:rsid w:val="007D3FA7"/>
    <w:rsid w:val="007E2CB1"/>
    <w:rsid w:val="007F096E"/>
    <w:rsid w:val="007F1760"/>
    <w:rsid w:val="00802381"/>
    <w:rsid w:val="00812DF9"/>
    <w:rsid w:val="00816062"/>
    <w:rsid w:val="00840200"/>
    <w:rsid w:val="008573E0"/>
    <w:rsid w:val="00857940"/>
    <w:rsid w:val="00883848"/>
    <w:rsid w:val="008867E3"/>
    <w:rsid w:val="00890C25"/>
    <w:rsid w:val="008967C5"/>
    <w:rsid w:val="00897ED5"/>
    <w:rsid w:val="008A0556"/>
    <w:rsid w:val="008A3D9C"/>
    <w:rsid w:val="008B6BB9"/>
    <w:rsid w:val="008E61DA"/>
    <w:rsid w:val="008F6E82"/>
    <w:rsid w:val="009041B0"/>
    <w:rsid w:val="00911543"/>
    <w:rsid w:val="009519C9"/>
    <w:rsid w:val="00961561"/>
    <w:rsid w:val="00983438"/>
    <w:rsid w:val="00991EAB"/>
    <w:rsid w:val="009A751D"/>
    <w:rsid w:val="009B6198"/>
    <w:rsid w:val="009D0B86"/>
    <w:rsid w:val="009D4ACC"/>
    <w:rsid w:val="009E08D7"/>
    <w:rsid w:val="009E0D5B"/>
    <w:rsid w:val="009E1558"/>
    <w:rsid w:val="00A14A86"/>
    <w:rsid w:val="00A33ED3"/>
    <w:rsid w:val="00A427E1"/>
    <w:rsid w:val="00A42898"/>
    <w:rsid w:val="00A433EB"/>
    <w:rsid w:val="00A45FFC"/>
    <w:rsid w:val="00A5121E"/>
    <w:rsid w:val="00A56290"/>
    <w:rsid w:val="00A60032"/>
    <w:rsid w:val="00A962E0"/>
    <w:rsid w:val="00AA518F"/>
    <w:rsid w:val="00AB049C"/>
    <w:rsid w:val="00AB6ACE"/>
    <w:rsid w:val="00AC5A3A"/>
    <w:rsid w:val="00AD6920"/>
    <w:rsid w:val="00AF431A"/>
    <w:rsid w:val="00AF6643"/>
    <w:rsid w:val="00B03E8C"/>
    <w:rsid w:val="00B60B99"/>
    <w:rsid w:val="00B66E85"/>
    <w:rsid w:val="00B72221"/>
    <w:rsid w:val="00B80ECA"/>
    <w:rsid w:val="00B82FA5"/>
    <w:rsid w:val="00B84142"/>
    <w:rsid w:val="00BD1176"/>
    <w:rsid w:val="00BD1400"/>
    <w:rsid w:val="00BD605C"/>
    <w:rsid w:val="00BE2A76"/>
    <w:rsid w:val="00BE3A43"/>
    <w:rsid w:val="00BE5481"/>
    <w:rsid w:val="00BF3A3D"/>
    <w:rsid w:val="00C02649"/>
    <w:rsid w:val="00C07228"/>
    <w:rsid w:val="00C07FAD"/>
    <w:rsid w:val="00C36964"/>
    <w:rsid w:val="00C65E60"/>
    <w:rsid w:val="00C71A16"/>
    <w:rsid w:val="00C86B59"/>
    <w:rsid w:val="00CB4AF0"/>
    <w:rsid w:val="00CC2B6C"/>
    <w:rsid w:val="00CE2568"/>
    <w:rsid w:val="00CE3EB5"/>
    <w:rsid w:val="00CE5A52"/>
    <w:rsid w:val="00CF1924"/>
    <w:rsid w:val="00CF7AF3"/>
    <w:rsid w:val="00D26ADA"/>
    <w:rsid w:val="00D35A78"/>
    <w:rsid w:val="00D555A1"/>
    <w:rsid w:val="00D64DC2"/>
    <w:rsid w:val="00D64E74"/>
    <w:rsid w:val="00D91CF7"/>
    <w:rsid w:val="00DA3823"/>
    <w:rsid w:val="00DA46CA"/>
    <w:rsid w:val="00DB64D5"/>
    <w:rsid w:val="00DD0E52"/>
    <w:rsid w:val="00DD3948"/>
    <w:rsid w:val="00DF1AFA"/>
    <w:rsid w:val="00DF21EB"/>
    <w:rsid w:val="00DF7433"/>
    <w:rsid w:val="00E02276"/>
    <w:rsid w:val="00E15491"/>
    <w:rsid w:val="00E20E70"/>
    <w:rsid w:val="00E25B68"/>
    <w:rsid w:val="00E607FC"/>
    <w:rsid w:val="00E84003"/>
    <w:rsid w:val="00E973C6"/>
    <w:rsid w:val="00E97C2D"/>
    <w:rsid w:val="00EB013E"/>
    <w:rsid w:val="00EB04C0"/>
    <w:rsid w:val="00EB3640"/>
    <w:rsid w:val="00EC10FC"/>
    <w:rsid w:val="00EC27A2"/>
    <w:rsid w:val="00EC658A"/>
    <w:rsid w:val="00EE0041"/>
    <w:rsid w:val="00EE14D4"/>
    <w:rsid w:val="00EE29B9"/>
    <w:rsid w:val="00EE3A18"/>
    <w:rsid w:val="00F004EE"/>
    <w:rsid w:val="00F025A8"/>
    <w:rsid w:val="00F11DC0"/>
    <w:rsid w:val="00F42E23"/>
    <w:rsid w:val="00F45EEE"/>
    <w:rsid w:val="00F46E8A"/>
    <w:rsid w:val="00F51E9C"/>
    <w:rsid w:val="00F523CA"/>
    <w:rsid w:val="00F74A9D"/>
    <w:rsid w:val="00FB5035"/>
    <w:rsid w:val="00FB6994"/>
    <w:rsid w:val="00FD6B10"/>
    <w:rsid w:val="00FE2982"/>
    <w:rsid w:val="00FF1C0C"/>
    <w:rsid w:val="00FF386F"/>
    <w:rsid w:val="00FF48C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95A32"/>
  <w15:docId w15:val="{71FA1C88-5EF2-4B47-9D25-0C55F953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ind w:left="709"/>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character" w:styleId="Lienhypertexte">
    <w:name w:val="Hyperlink"/>
    <w:basedOn w:val="Policepardfaut"/>
    <w:uiPriority w:val="49"/>
    <w:unhideWhenUsed/>
    <w:locked/>
    <w:rsid w:val="00B03E8C"/>
    <w:rPr>
      <w:color w:val="0000FF" w:themeColor="hyperlink"/>
      <w:u w:val="single"/>
    </w:rPr>
  </w:style>
  <w:style w:type="paragraph" w:styleId="Retraitcorpsdetexte2">
    <w:name w:val="Body Text Indent 2"/>
    <w:basedOn w:val="Normal"/>
    <w:link w:val="Retraitcorpsdetexte2Car"/>
    <w:uiPriority w:val="49"/>
    <w:semiHidden/>
    <w:unhideWhenUsed/>
    <w:locked/>
    <w:rsid w:val="00580AF9"/>
    <w:pPr>
      <w:spacing w:after="120" w:line="480" w:lineRule="auto"/>
      <w:ind w:left="283"/>
    </w:pPr>
  </w:style>
  <w:style w:type="character" w:customStyle="1" w:styleId="Retraitcorpsdetexte2Car">
    <w:name w:val="Retrait corps de texte 2 Car"/>
    <w:basedOn w:val="Policepardfaut"/>
    <w:link w:val="Retraitcorpsdetexte2"/>
    <w:uiPriority w:val="49"/>
    <w:semiHidden/>
    <w:rsid w:val="00580AF9"/>
    <w:rPr>
      <w:sz w:val="22"/>
      <w:lang w:eastAsia="en-US"/>
    </w:rPr>
  </w:style>
  <w:style w:type="paragraph" w:customStyle="1" w:styleId="Default">
    <w:name w:val="Default"/>
    <w:rsid w:val="00CE3EB5"/>
    <w:pPr>
      <w:autoSpaceDE w:val="0"/>
      <w:autoSpaceDN w:val="0"/>
      <w:adjustRightInd w:val="0"/>
    </w:pPr>
    <w:rPr>
      <w:rFonts w:eastAsiaTheme="minorHAnsi"/>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yperlink" Target="mailto:bajeanfelix@yahoo.fr"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4HWPYYT6XAN2-2121337104-8393</_dlc_DocId>
    <_dlc_DocIdUrl xmlns="9a0cca68-9885-4579-a121-0ff71e341cd0">
      <Url>https://nsns-new.sg.iaea.org/meetings/_layouts/15/DocIdRedir.aspx?ID=4HWPYYT6XAN2-2121337104-8393</Url>
      <Description>4HWPYYT6XAN2-2121337104-8393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C9053951-862C-42BF-B886-50856CF0AEF5}">
  <ds:schemaRefs>
    <ds:schemaRef ds:uri="http://schemas.microsoft.com/sharepoint/events"/>
  </ds:schemaRefs>
</ds:datastoreItem>
</file>

<file path=customXml/itemProps2.xml><?xml version="1.0" encoding="utf-8"?>
<ds:datastoreItem xmlns:ds="http://schemas.openxmlformats.org/officeDocument/2006/customXml" ds:itemID="{67A277B6-36A2-436B-8C92-9C32115A04DF}">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3.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D817FB-1837-4E6D-A5D5-156D5AC4FB5F}">
  <ds:schemaRefs>
    <ds:schemaRef ds:uri="http://schemas.microsoft.com/sharepoint/v3/contenttype/forms"/>
  </ds:schemaRefs>
</ds:datastoreItem>
</file>

<file path=customXml/itemProps5.xml><?xml version="1.0" encoding="utf-8"?>
<ds:datastoreItem xmlns:ds="http://schemas.openxmlformats.org/officeDocument/2006/customXml" ds:itemID="{4B39CA63-7D71-4F71-9B22-BFAF0957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137</TotalTime>
  <Pages>4</Pages>
  <Words>1667</Words>
  <Characters>9507</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dc:description/>
  <cp:lastModifiedBy>HP KDS</cp:lastModifiedBy>
  <cp:revision>14</cp:revision>
  <cp:lastPrinted>2022-03-10T11:47:00Z</cp:lastPrinted>
  <dcterms:created xsi:type="dcterms:W3CDTF">2022-03-10T11:16:00Z</dcterms:created>
  <dcterms:modified xsi:type="dcterms:W3CDTF">2022-03-11T13:23:00Z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061d8fe4-c58e-48da-b299-db7bcc303392</vt:lpwstr>
  </property>
</Properties>
</file>