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9FE0" w14:textId="532B9730" w:rsidR="008E1BA2" w:rsidRPr="00923933" w:rsidRDefault="00BC3778" w:rsidP="008F56E3">
      <w:pPr>
        <w:pStyle w:val="Heading1"/>
        <w:spacing w:line="360" w:lineRule="auto"/>
        <w:jc w:val="center"/>
        <w:rPr>
          <w:rFonts w:ascii="Times New Roman" w:hAnsi="Times New Roman" w:cs="Times New Roman"/>
          <w:b/>
          <w:bCs/>
          <w:color w:val="auto"/>
          <w:sz w:val="28"/>
          <w:szCs w:val="28"/>
        </w:rPr>
      </w:pPr>
      <w:bookmarkStart w:id="0" w:name="_Hlk72849840"/>
      <w:bookmarkEnd w:id="0"/>
      <w:r w:rsidRPr="00923933">
        <w:rPr>
          <w:rFonts w:ascii="Times New Roman" w:hAnsi="Times New Roman" w:cs="Times New Roman"/>
          <w:b/>
          <w:bCs/>
          <w:color w:val="auto"/>
          <w:sz w:val="28"/>
          <w:szCs w:val="28"/>
        </w:rPr>
        <w:t>ASSESSMENT OF RADIATION DOSE RATE LEVELS AND RADIATION RISK AT THE COBALT -60 UNIT, KOMFO ANOKYE RADIOTHERAPY CENTER, GHANA.</w:t>
      </w:r>
    </w:p>
    <w:p w14:paraId="5B68FEC8" w14:textId="01ACC0AC" w:rsidR="008E1BA2" w:rsidRPr="00091137" w:rsidRDefault="008E1BA2" w:rsidP="008E1BA2">
      <w:pPr>
        <w:autoSpaceDE w:val="0"/>
        <w:autoSpaceDN w:val="0"/>
        <w:adjustRightInd w:val="0"/>
        <w:spacing w:after="0" w:line="360" w:lineRule="auto"/>
        <w:jc w:val="center"/>
        <w:rPr>
          <w:rFonts w:ascii="Times New Roman" w:hAnsi="Times New Roman" w:cs="Times New Roman"/>
          <w:sz w:val="20"/>
          <w:szCs w:val="20"/>
          <w:vertAlign w:val="superscript"/>
        </w:rPr>
      </w:pPr>
      <w:r>
        <w:rPr>
          <w:rFonts w:ascii="Times New Roman" w:hAnsi="Times New Roman" w:cs="Times New Roman"/>
          <w:sz w:val="24"/>
          <w:szCs w:val="24"/>
        </w:rPr>
        <w:t>Addison E. C. D. K.</w:t>
      </w:r>
      <w:r>
        <w:rPr>
          <w:rFonts w:ascii="Times New Roman" w:hAnsi="Times New Roman" w:cs="Times New Roman"/>
          <w:sz w:val="24"/>
          <w:szCs w:val="24"/>
          <w:vertAlign w:val="superscript"/>
        </w:rPr>
        <w:t>1a, 2</w:t>
      </w:r>
      <w:r>
        <w:rPr>
          <w:rFonts w:ascii="Times New Roman" w:hAnsi="Times New Roman" w:cs="Times New Roman"/>
          <w:sz w:val="24"/>
          <w:szCs w:val="24"/>
        </w:rPr>
        <w:t>, R. A. Opoku</w:t>
      </w:r>
      <w:r>
        <w:rPr>
          <w:rFonts w:ascii="Times New Roman" w:hAnsi="Times New Roman" w:cs="Times New Roman"/>
          <w:sz w:val="24"/>
          <w:szCs w:val="24"/>
          <w:vertAlign w:val="superscript"/>
        </w:rPr>
        <w:t>1b</w:t>
      </w:r>
      <w:r w:rsidR="00091137">
        <w:rPr>
          <w:rFonts w:ascii="Times New Roman" w:hAnsi="Times New Roman" w:cs="Times New Roman"/>
          <w:sz w:val="24"/>
          <w:szCs w:val="24"/>
        </w:rPr>
        <w:t>, Addison C.</w:t>
      </w:r>
      <w:r w:rsidR="008149A8">
        <w:rPr>
          <w:rFonts w:ascii="Times New Roman" w:hAnsi="Times New Roman" w:cs="Times New Roman"/>
          <w:sz w:val="24"/>
          <w:szCs w:val="24"/>
        </w:rPr>
        <w:t>E.B.N.</w:t>
      </w:r>
      <w:r w:rsidR="00091137">
        <w:rPr>
          <w:rFonts w:ascii="Times New Roman" w:hAnsi="Times New Roman" w:cs="Times New Roman"/>
          <w:sz w:val="24"/>
          <w:szCs w:val="24"/>
        </w:rPr>
        <w:t xml:space="preserve"> </w:t>
      </w:r>
      <w:r w:rsidR="00091137">
        <w:rPr>
          <w:rFonts w:ascii="Times New Roman" w:hAnsi="Times New Roman" w:cs="Times New Roman"/>
          <w:sz w:val="24"/>
          <w:szCs w:val="24"/>
          <w:vertAlign w:val="superscript"/>
        </w:rPr>
        <w:t>2c</w:t>
      </w:r>
      <w:r w:rsidR="00091137">
        <w:rPr>
          <w:rFonts w:ascii="Times New Roman" w:hAnsi="Times New Roman" w:cs="Times New Roman"/>
          <w:sz w:val="24"/>
          <w:szCs w:val="24"/>
        </w:rPr>
        <w:t xml:space="preserve">, </w:t>
      </w:r>
      <w:proofErr w:type="spellStart"/>
      <w:r w:rsidR="00091137">
        <w:rPr>
          <w:rFonts w:ascii="Times New Roman" w:hAnsi="Times New Roman" w:cs="Times New Roman"/>
          <w:sz w:val="24"/>
          <w:szCs w:val="24"/>
        </w:rPr>
        <w:t>Aniagyei</w:t>
      </w:r>
      <w:proofErr w:type="spellEnd"/>
      <w:r w:rsidR="00091137">
        <w:rPr>
          <w:rFonts w:ascii="Times New Roman" w:hAnsi="Times New Roman" w:cs="Times New Roman"/>
          <w:sz w:val="24"/>
          <w:szCs w:val="24"/>
        </w:rPr>
        <w:t xml:space="preserve"> W.I .</w:t>
      </w:r>
      <w:r w:rsidR="00091137">
        <w:rPr>
          <w:rFonts w:ascii="Times New Roman" w:hAnsi="Times New Roman" w:cs="Times New Roman"/>
          <w:sz w:val="24"/>
          <w:szCs w:val="24"/>
          <w:vertAlign w:val="superscript"/>
        </w:rPr>
        <w:t>2d</w:t>
      </w:r>
    </w:p>
    <w:p w14:paraId="66033783" w14:textId="77777777" w:rsidR="008E1BA2" w:rsidRPr="00AE4B3F" w:rsidRDefault="008E1BA2" w:rsidP="008E1BA2">
      <w:pPr>
        <w:pStyle w:val="ListParagraph"/>
        <w:numPr>
          <w:ilvl w:val="0"/>
          <w:numId w:val="1"/>
        </w:numPr>
        <w:autoSpaceDE w:val="0"/>
        <w:autoSpaceDN w:val="0"/>
        <w:adjustRightInd w:val="0"/>
        <w:spacing w:after="0" w:line="360" w:lineRule="auto"/>
        <w:jc w:val="center"/>
        <w:rPr>
          <w:rFonts w:ascii="Times New Roman" w:hAnsi="Times New Roman" w:cs="Times New Roman"/>
          <w:sz w:val="24"/>
          <w:szCs w:val="24"/>
        </w:rPr>
      </w:pPr>
      <w:r w:rsidRPr="00AE4B3F">
        <w:rPr>
          <w:rFonts w:ascii="Times New Roman" w:hAnsi="Times New Roman" w:cs="Times New Roman"/>
          <w:sz w:val="24"/>
          <w:szCs w:val="24"/>
        </w:rPr>
        <w:t>Physics Department, Kwame Nkrumah University of Science and Technology, Kumasi, Ghana.</w:t>
      </w:r>
    </w:p>
    <w:p w14:paraId="24759C45" w14:textId="77777777" w:rsidR="008E1BA2" w:rsidRPr="00AE4B3F" w:rsidRDefault="008E1BA2" w:rsidP="008E1BA2">
      <w:pPr>
        <w:pStyle w:val="ListParagraph"/>
        <w:numPr>
          <w:ilvl w:val="0"/>
          <w:numId w:val="1"/>
        </w:num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Oncology Directorate, Komfo Anokye Teaching Hospital, Kumasi, Ghana.</w:t>
      </w:r>
    </w:p>
    <w:p w14:paraId="4EF8CA53" w14:textId="66CB10BB" w:rsidR="008E1BA2" w:rsidRPr="00AE4B3F" w:rsidRDefault="008E1BA2" w:rsidP="008E1BA2">
      <w:pPr>
        <w:autoSpaceDE w:val="0"/>
        <w:autoSpaceDN w:val="0"/>
        <w:adjustRightInd w:val="0"/>
        <w:spacing w:after="0" w:line="360" w:lineRule="auto"/>
        <w:jc w:val="center"/>
        <w:rPr>
          <w:rFonts w:ascii="Times New Roman" w:hAnsi="Times New Roman" w:cs="Times New Roman"/>
          <w:sz w:val="24"/>
          <w:szCs w:val="24"/>
        </w:rPr>
      </w:pPr>
      <w:proofErr w:type="spellStart"/>
      <w:proofErr w:type="gramStart"/>
      <w:r w:rsidRPr="00AE4B3F">
        <w:rPr>
          <w:rFonts w:ascii="Times New Roman" w:hAnsi="Times New Roman" w:cs="Times New Roman"/>
          <w:sz w:val="24"/>
          <w:szCs w:val="24"/>
          <w:vertAlign w:val="superscript"/>
        </w:rPr>
        <w:t>a</w:t>
      </w:r>
      <w:proofErr w:type="spellEnd"/>
      <w:proofErr w:type="gramEnd"/>
      <w:r w:rsidR="00BC3778">
        <w:rPr>
          <w:rFonts w:ascii="Times New Roman" w:hAnsi="Times New Roman" w:cs="Times New Roman"/>
          <w:sz w:val="24"/>
          <w:szCs w:val="24"/>
          <w:vertAlign w:val="superscript"/>
        </w:rPr>
        <w:t xml:space="preserve"> </w:t>
      </w:r>
      <w:r w:rsidRPr="00AE4B3F">
        <w:rPr>
          <w:rFonts w:ascii="Times New Roman" w:hAnsi="Times New Roman" w:cs="Times New Roman"/>
          <w:sz w:val="24"/>
          <w:szCs w:val="24"/>
        </w:rPr>
        <w:t xml:space="preserve">Email: </w:t>
      </w:r>
      <w:hyperlink r:id="rId8" w:history="1">
        <w:r w:rsidRPr="00BA587D">
          <w:rPr>
            <w:rStyle w:val="Hyperlink"/>
            <w:rFonts w:ascii="Times New Roman" w:hAnsi="Times New Roman" w:cs="Times New Roman"/>
            <w:sz w:val="24"/>
            <w:szCs w:val="24"/>
          </w:rPr>
          <w:t>ektaddison@gmail.com</w:t>
        </w:r>
      </w:hyperlink>
    </w:p>
    <w:p w14:paraId="3976A207" w14:textId="561BE93F" w:rsidR="008E1BA2" w:rsidRDefault="008E1BA2" w:rsidP="008E1BA2">
      <w:pPr>
        <w:autoSpaceDE w:val="0"/>
        <w:autoSpaceDN w:val="0"/>
        <w:adjustRightInd w:val="0"/>
        <w:spacing w:after="0" w:line="360" w:lineRule="auto"/>
        <w:jc w:val="center"/>
        <w:rPr>
          <w:rStyle w:val="Hyperlink"/>
          <w:rFonts w:ascii="Times New Roman" w:hAnsi="Times New Roman" w:cs="Times New Roman"/>
          <w:sz w:val="24"/>
          <w:szCs w:val="24"/>
        </w:rPr>
      </w:pPr>
      <w:r w:rsidRPr="00AE4B3F">
        <w:rPr>
          <w:rFonts w:ascii="Times New Roman" w:hAnsi="Times New Roman" w:cs="Times New Roman"/>
          <w:sz w:val="24"/>
          <w:szCs w:val="24"/>
          <w:vertAlign w:val="superscript"/>
        </w:rPr>
        <w:t>b</w:t>
      </w:r>
      <w:r w:rsidR="00BC3778">
        <w:rPr>
          <w:rFonts w:ascii="Times New Roman" w:hAnsi="Times New Roman" w:cs="Times New Roman"/>
          <w:sz w:val="24"/>
          <w:szCs w:val="24"/>
          <w:vertAlign w:val="superscript"/>
        </w:rPr>
        <w:t xml:space="preserve"> </w:t>
      </w:r>
      <w:r w:rsidRPr="00AE4B3F">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Pr="00BA587D">
          <w:rPr>
            <w:rStyle w:val="Hyperlink"/>
            <w:rFonts w:ascii="Times New Roman" w:hAnsi="Times New Roman" w:cs="Times New Roman"/>
            <w:sz w:val="24"/>
            <w:szCs w:val="24"/>
          </w:rPr>
          <w:t>opokuasamoahrichard@gmail.com</w:t>
        </w:r>
      </w:hyperlink>
    </w:p>
    <w:p w14:paraId="508574B9" w14:textId="603D2DC5" w:rsidR="00091137" w:rsidRDefault="00091137" w:rsidP="00091137">
      <w:pPr>
        <w:autoSpaceDE w:val="0"/>
        <w:autoSpaceDN w:val="0"/>
        <w:adjustRightInd w:val="0"/>
        <w:spacing w:after="0" w:line="360" w:lineRule="auto"/>
        <w:jc w:val="center"/>
        <w:rPr>
          <w:rStyle w:val="Hyperlink"/>
          <w:rFonts w:ascii="Times New Roman" w:hAnsi="Times New Roman" w:cs="Times New Roman"/>
          <w:sz w:val="24"/>
          <w:szCs w:val="24"/>
        </w:rPr>
      </w:pPr>
      <w:r>
        <w:rPr>
          <w:rFonts w:ascii="Times New Roman" w:hAnsi="Times New Roman" w:cs="Times New Roman"/>
          <w:sz w:val="24"/>
          <w:szCs w:val="24"/>
          <w:vertAlign w:val="superscript"/>
        </w:rPr>
        <w:t xml:space="preserve">c </w:t>
      </w:r>
      <w:r w:rsidRPr="00AE4B3F">
        <w:rPr>
          <w:rFonts w:ascii="Times New Roman" w:hAnsi="Times New Roman" w:cs="Times New Roman"/>
          <w:sz w:val="24"/>
          <w:szCs w:val="24"/>
        </w:rPr>
        <w:t xml:space="preserve">Email: </w:t>
      </w:r>
      <w:hyperlink r:id="rId10" w:history="1">
        <w:r w:rsidR="008149A8" w:rsidRPr="00DD0AB2">
          <w:rPr>
            <w:rStyle w:val="Hyperlink"/>
            <w:rFonts w:ascii="Times New Roman" w:hAnsi="Times New Roman" w:cs="Times New Roman"/>
            <w:sz w:val="24"/>
            <w:szCs w:val="24"/>
          </w:rPr>
          <w:t>Clementaddison96@gmail.com</w:t>
        </w:r>
      </w:hyperlink>
    </w:p>
    <w:p w14:paraId="5744A3F2" w14:textId="062708C0" w:rsidR="00091137" w:rsidRPr="00AE4B3F" w:rsidRDefault="00091137" w:rsidP="0009113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d </w:t>
      </w:r>
      <w:r w:rsidRPr="00AE4B3F">
        <w:rPr>
          <w:rFonts w:ascii="Times New Roman" w:hAnsi="Times New Roman" w:cs="Times New Roman"/>
          <w:sz w:val="24"/>
          <w:szCs w:val="24"/>
        </w:rPr>
        <w:t xml:space="preserve">Email: </w:t>
      </w:r>
      <w:hyperlink r:id="rId11" w:history="1">
        <w:r w:rsidRPr="001579B7">
          <w:rPr>
            <w:rStyle w:val="Hyperlink"/>
            <w:rFonts w:ascii="Times New Roman" w:hAnsi="Times New Roman" w:cs="Times New Roman"/>
            <w:sz w:val="24"/>
            <w:szCs w:val="24"/>
          </w:rPr>
          <w:t>wilmaaniagyei@gmail.com</w:t>
        </w:r>
      </w:hyperlink>
    </w:p>
    <w:p w14:paraId="6744D8F9" w14:textId="77777777" w:rsidR="00091137" w:rsidRPr="00AE4B3F" w:rsidRDefault="00091137" w:rsidP="00091137">
      <w:pPr>
        <w:autoSpaceDE w:val="0"/>
        <w:autoSpaceDN w:val="0"/>
        <w:adjustRightInd w:val="0"/>
        <w:spacing w:after="0" w:line="360" w:lineRule="auto"/>
        <w:jc w:val="center"/>
        <w:rPr>
          <w:rFonts w:ascii="Times New Roman" w:hAnsi="Times New Roman" w:cs="Times New Roman"/>
          <w:sz w:val="24"/>
          <w:szCs w:val="24"/>
        </w:rPr>
      </w:pPr>
    </w:p>
    <w:p w14:paraId="07CFF8B9" w14:textId="77777777" w:rsidR="00091137" w:rsidRPr="00AE4B3F" w:rsidRDefault="00091137" w:rsidP="008E1BA2">
      <w:pPr>
        <w:autoSpaceDE w:val="0"/>
        <w:autoSpaceDN w:val="0"/>
        <w:adjustRightInd w:val="0"/>
        <w:spacing w:after="0" w:line="360" w:lineRule="auto"/>
        <w:jc w:val="center"/>
        <w:rPr>
          <w:rFonts w:ascii="Times New Roman" w:hAnsi="Times New Roman" w:cs="Times New Roman"/>
          <w:sz w:val="24"/>
          <w:szCs w:val="24"/>
        </w:rPr>
      </w:pPr>
    </w:p>
    <w:p w14:paraId="1732B226" w14:textId="77777777" w:rsidR="008E1BA2" w:rsidRPr="00BC3778" w:rsidRDefault="008E1BA2" w:rsidP="00464B9A">
      <w:pPr>
        <w:pStyle w:val="Heading2"/>
        <w:spacing w:line="360" w:lineRule="auto"/>
        <w:rPr>
          <w:rFonts w:ascii="Times New Roman" w:hAnsi="Times New Roman" w:cs="Times New Roman"/>
          <w:b/>
          <w:bCs/>
          <w:color w:val="auto"/>
          <w:sz w:val="28"/>
          <w:szCs w:val="28"/>
        </w:rPr>
      </w:pPr>
      <w:r w:rsidRPr="00BC3778">
        <w:rPr>
          <w:rFonts w:ascii="Times New Roman" w:hAnsi="Times New Roman" w:cs="Times New Roman"/>
          <w:b/>
          <w:bCs/>
          <w:color w:val="auto"/>
          <w:sz w:val="28"/>
          <w:szCs w:val="28"/>
        </w:rPr>
        <w:t>Abstract</w:t>
      </w:r>
    </w:p>
    <w:p w14:paraId="67A82EBC" w14:textId="18F44B29" w:rsidR="002A526C" w:rsidRPr="00506DE8" w:rsidRDefault="009644A5" w:rsidP="00464B9A">
      <w:pPr>
        <w:spacing w:line="360" w:lineRule="auto"/>
        <w:jc w:val="both"/>
        <w:rPr>
          <w:rFonts w:ascii="Times New Roman" w:hAnsi="Times New Roman" w:cs="Times New Roman"/>
          <w:sz w:val="24"/>
          <w:szCs w:val="24"/>
        </w:rPr>
      </w:pPr>
      <w:r w:rsidRPr="00506DE8">
        <w:rPr>
          <w:rFonts w:ascii="Times New Roman" w:hAnsi="Times New Roman" w:cs="Times New Roman"/>
          <w:sz w:val="24"/>
          <w:szCs w:val="24"/>
        </w:rPr>
        <w:t xml:space="preserve">A study to estimate the Annual Effective Dose Equivalent (AEDE) and Excess Lifetime Cancer Risk (ELCR) due to the existence of the artificial cobalt-60 radioactive source producing ionizing radiation levels within the radiotherapy facility in Komfo Anokye </w:t>
      </w:r>
      <w:r w:rsidR="002F619C" w:rsidRPr="00506DE8">
        <w:rPr>
          <w:rFonts w:ascii="Times New Roman" w:hAnsi="Times New Roman" w:cs="Times New Roman"/>
          <w:sz w:val="24"/>
          <w:szCs w:val="24"/>
        </w:rPr>
        <w:t xml:space="preserve">Teaching Hospital (KATH), Ghana. The study was conducted using a portable </w:t>
      </w:r>
      <w:r w:rsidR="002F619C" w:rsidRPr="00506DE8">
        <w:rPr>
          <w:rFonts w:ascii="Times New Roman" w:eastAsia="Arial" w:hAnsi="Times New Roman" w:cs="Times New Roman"/>
          <w:bCs/>
          <w:sz w:val="24"/>
          <w:szCs w:val="24"/>
        </w:rPr>
        <w:t>OD-01 Ionization Chamber Survey Meter.</w:t>
      </w:r>
      <w:r w:rsidR="00BF5FCF" w:rsidRPr="00506DE8">
        <w:rPr>
          <w:rFonts w:ascii="Times New Roman" w:eastAsia="Arial" w:hAnsi="Times New Roman" w:cs="Times New Roman"/>
          <w:bCs/>
          <w:sz w:val="24"/>
          <w:szCs w:val="24"/>
        </w:rPr>
        <w:t xml:space="preserve"> </w:t>
      </w:r>
      <w:r w:rsidR="00D217E7" w:rsidRPr="00506DE8">
        <w:rPr>
          <w:rFonts w:ascii="Times New Roman" w:hAnsi="Times New Roman" w:cs="Times New Roman"/>
          <w:bCs/>
          <w:sz w:val="24"/>
          <w:szCs w:val="24"/>
        </w:rPr>
        <w:t xml:space="preserve">Varying measurement of absorbed dose rate (ADR) in </w:t>
      </w:r>
      <w:r w:rsidR="005C6824">
        <w:rPr>
          <w:rFonts w:ascii="Times New Roman" w:hAnsi="Times New Roman" w:cs="Times New Roman"/>
          <w:bCs/>
          <w:sz w:val="24"/>
          <w:szCs w:val="24"/>
        </w:rPr>
        <w:t xml:space="preserve">the </w:t>
      </w:r>
      <w:r w:rsidR="00D217E7" w:rsidRPr="00506DE8">
        <w:rPr>
          <w:rFonts w:ascii="Times New Roman" w:hAnsi="Times New Roman" w:cs="Times New Roman"/>
          <w:bCs/>
          <w:sz w:val="24"/>
          <w:szCs w:val="24"/>
        </w:rPr>
        <w:t>air between 5</w:t>
      </w:r>
      <w:r w:rsidR="00CA0376">
        <w:rPr>
          <w:rFonts w:ascii="Times New Roman" w:hAnsi="Times New Roman" w:cs="Times New Roman"/>
          <w:bCs/>
          <w:sz w:val="24"/>
          <w:szCs w:val="24"/>
        </w:rPr>
        <w:t xml:space="preserve"> </w:t>
      </w:r>
      <w:r w:rsidR="00D217E7" w:rsidRPr="00506DE8">
        <w:rPr>
          <w:rFonts w:ascii="Times New Roman" w:hAnsi="Times New Roman" w:cs="Times New Roman"/>
          <w:bCs/>
          <w:sz w:val="24"/>
          <w:szCs w:val="24"/>
        </w:rPr>
        <w:t>m and 40</w:t>
      </w:r>
      <w:r w:rsidR="00CA0376">
        <w:rPr>
          <w:rFonts w:ascii="Times New Roman" w:hAnsi="Times New Roman" w:cs="Times New Roman"/>
          <w:bCs/>
          <w:sz w:val="24"/>
          <w:szCs w:val="24"/>
        </w:rPr>
        <w:t xml:space="preserve"> </w:t>
      </w:r>
      <w:r w:rsidR="00D217E7" w:rsidRPr="00506DE8">
        <w:rPr>
          <w:rFonts w:ascii="Times New Roman" w:hAnsi="Times New Roman" w:cs="Times New Roman"/>
          <w:bCs/>
          <w:sz w:val="24"/>
          <w:szCs w:val="24"/>
        </w:rPr>
        <w:t>m was carried out within the cobalt 60 bunker around the radioactive source and fifteen locations within the radiotherapy facility.</w:t>
      </w:r>
      <w:r w:rsidR="00154E90" w:rsidRPr="00506DE8">
        <w:rPr>
          <w:rFonts w:ascii="Times New Roman" w:hAnsi="Times New Roman" w:cs="Times New Roman"/>
          <w:bCs/>
          <w:sz w:val="24"/>
          <w:szCs w:val="24"/>
        </w:rPr>
        <w:t xml:space="preserve"> </w:t>
      </w:r>
      <w:r w:rsidR="00BF5FCF" w:rsidRPr="00506DE8">
        <w:rPr>
          <w:rFonts w:ascii="Times New Roman" w:hAnsi="Times New Roman" w:cs="Times New Roman"/>
          <w:sz w:val="24"/>
          <w:szCs w:val="24"/>
        </w:rPr>
        <w:t xml:space="preserve">The estimated Absorbed Dose Rate in </w:t>
      </w:r>
      <w:r w:rsidR="005C6824">
        <w:rPr>
          <w:rFonts w:ascii="Times New Roman" w:hAnsi="Times New Roman" w:cs="Times New Roman"/>
          <w:sz w:val="24"/>
          <w:szCs w:val="24"/>
        </w:rPr>
        <w:t xml:space="preserve">the </w:t>
      </w:r>
      <w:r w:rsidR="00BF5FCF" w:rsidRPr="00506DE8">
        <w:rPr>
          <w:rFonts w:ascii="Times New Roman" w:hAnsi="Times New Roman" w:cs="Times New Roman"/>
          <w:sz w:val="24"/>
          <w:szCs w:val="24"/>
        </w:rPr>
        <w:t xml:space="preserve">air within the cobalt-60 bunker from 5 m to 40 m around the Cobalt-60 source was 0.299 ± 0.001 to 0.977 ± 0.005 </w:t>
      </w:r>
      <w:proofErr w:type="spellStart"/>
      <w:r w:rsidR="00BF5FCF" w:rsidRPr="00506DE8">
        <w:rPr>
          <w:rFonts w:ascii="Times New Roman" w:hAnsi="Times New Roman" w:cs="Times New Roman"/>
          <w:bCs/>
          <w:sz w:val="24"/>
          <w:szCs w:val="24"/>
        </w:rPr>
        <w:t>μSv</w:t>
      </w:r>
      <w:proofErr w:type="spellEnd"/>
      <w:r w:rsidR="00BF5FCF" w:rsidRPr="00506DE8">
        <w:rPr>
          <w:rFonts w:ascii="Times New Roman" w:hAnsi="Times New Roman" w:cs="Times New Roman"/>
          <w:bCs/>
          <w:sz w:val="24"/>
          <w:szCs w:val="24"/>
        </w:rPr>
        <w:t xml:space="preserve">/h with an average of </w:t>
      </w:r>
      <w:r w:rsidR="00BF5FCF" w:rsidRPr="00506DE8">
        <w:rPr>
          <w:rFonts w:ascii="Times New Roman" w:hAnsi="Times New Roman" w:cs="Times New Roman"/>
          <w:sz w:val="24"/>
          <w:szCs w:val="24"/>
        </w:rPr>
        <w:t xml:space="preserve">0.498 ± 0.005 </w:t>
      </w:r>
      <w:proofErr w:type="spellStart"/>
      <w:r w:rsidR="00BF5FCF" w:rsidRPr="00506DE8">
        <w:rPr>
          <w:rFonts w:ascii="Times New Roman" w:hAnsi="Times New Roman" w:cs="Times New Roman"/>
          <w:bCs/>
          <w:sz w:val="24"/>
          <w:szCs w:val="24"/>
        </w:rPr>
        <w:t>μSv</w:t>
      </w:r>
      <w:proofErr w:type="spellEnd"/>
      <w:r w:rsidR="00BF5FCF" w:rsidRPr="00506DE8">
        <w:rPr>
          <w:rFonts w:ascii="Times New Roman" w:hAnsi="Times New Roman" w:cs="Times New Roman"/>
          <w:bCs/>
          <w:sz w:val="24"/>
          <w:szCs w:val="24"/>
        </w:rPr>
        <w:t>/h.</w:t>
      </w:r>
      <w:r w:rsidR="00F14142" w:rsidRPr="00506DE8">
        <w:rPr>
          <w:rFonts w:ascii="Times New Roman" w:hAnsi="Times New Roman" w:cs="Times New Roman"/>
          <w:bCs/>
          <w:sz w:val="24"/>
          <w:szCs w:val="24"/>
        </w:rPr>
        <w:t xml:space="preserve"> The estimated </w:t>
      </w:r>
      <w:r w:rsidR="005C6824">
        <w:rPr>
          <w:rFonts w:ascii="Times New Roman" w:hAnsi="Times New Roman" w:cs="Times New Roman"/>
          <w:bCs/>
          <w:sz w:val="24"/>
          <w:szCs w:val="24"/>
        </w:rPr>
        <w:t>a</w:t>
      </w:r>
      <w:r w:rsidR="00F14142" w:rsidRPr="00506DE8">
        <w:rPr>
          <w:rFonts w:ascii="Times New Roman" w:hAnsi="Times New Roman" w:cs="Times New Roman"/>
          <w:bCs/>
          <w:sz w:val="24"/>
          <w:szCs w:val="24"/>
        </w:rPr>
        <w:t>nnual effective dose equivalent within the Co-60 bunker ranged 1.100 mSv/</w:t>
      </w:r>
      <w:proofErr w:type="spellStart"/>
      <w:r w:rsidR="00F14142" w:rsidRPr="00506DE8">
        <w:rPr>
          <w:rFonts w:ascii="Times New Roman" w:hAnsi="Times New Roman" w:cs="Times New Roman"/>
          <w:bCs/>
          <w:sz w:val="24"/>
          <w:szCs w:val="24"/>
        </w:rPr>
        <w:t>yr</w:t>
      </w:r>
      <w:proofErr w:type="spellEnd"/>
      <w:r w:rsidR="00F14142" w:rsidRPr="00506DE8">
        <w:rPr>
          <w:rFonts w:ascii="Times New Roman" w:hAnsi="Times New Roman" w:cs="Times New Roman"/>
          <w:bCs/>
          <w:sz w:val="24"/>
          <w:szCs w:val="24"/>
        </w:rPr>
        <w:t xml:space="preserve"> to 3.595 mSv/</w:t>
      </w:r>
      <w:proofErr w:type="spellStart"/>
      <w:r w:rsidR="00F14142" w:rsidRPr="00506DE8">
        <w:rPr>
          <w:rFonts w:ascii="Times New Roman" w:hAnsi="Times New Roman" w:cs="Times New Roman"/>
          <w:bCs/>
          <w:sz w:val="24"/>
          <w:szCs w:val="24"/>
        </w:rPr>
        <w:t>yr</w:t>
      </w:r>
      <w:proofErr w:type="spellEnd"/>
      <w:r w:rsidR="00F14142" w:rsidRPr="00506DE8">
        <w:rPr>
          <w:rFonts w:ascii="Times New Roman" w:hAnsi="Times New Roman" w:cs="Times New Roman"/>
          <w:bCs/>
          <w:sz w:val="24"/>
          <w:szCs w:val="24"/>
        </w:rPr>
        <w:t xml:space="preserve"> around the cobalt-60 source. Radiation dose levels of </w:t>
      </w:r>
      <w:r w:rsidR="00F14142" w:rsidRPr="00506DE8">
        <w:rPr>
          <w:rFonts w:ascii="Times New Roman" w:hAnsi="Times New Roman" w:cs="Times New Roman"/>
          <w:sz w:val="24"/>
          <w:szCs w:val="24"/>
        </w:rPr>
        <w:t xml:space="preserve">0.268 </w:t>
      </w:r>
      <w:r w:rsidR="00F14142" w:rsidRPr="00506DE8">
        <w:rPr>
          <w:rFonts w:ascii="Times New Roman" w:hAnsi="Times New Roman" w:cs="Times New Roman"/>
          <w:bCs/>
          <w:sz w:val="24"/>
          <w:szCs w:val="24"/>
        </w:rPr>
        <w:t xml:space="preserve">± 0.008 </w:t>
      </w:r>
      <w:proofErr w:type="spellStart"/>
      <w:r w:rsidR="00F14142" w:rsidRPr="00506DE8">
        <w:rPr>
          <w:rFonts w:ascii="Times New Roman" w:hAnsi="Times New Roman" w:cs="Times New Roman"/>
          <w:bCs/>
          <w:sz w:val="24"/>
          <w:szCs w:val="24"/>
        </w:rPr>
        <w:t>μSv</w:t>
      </w:r>
      <w:proofErr w:type="spellEnd"/>
      <w:r w:rsidR="00F14142" w:rsidRPr="00506DE8">
        <w:rPr>
          <w:rFonts w:ascii="Times New Roman" w:hAnsi="Times New Roman" w:cs="Times New Roman"/>
          <w:bCs/>
          <w:sz w:val="24"/>
          <w:szCs w:val="24"/>
        </w:rPr>
        <w:t xml:space="preserve">/h to 0.678 ± 0.005 </w:t>
      </w:r>
      <w:proofErr w:type="spellStart"/>
      <w:r w:rsidR="00F14142" w:rsidRPr="00506DE8">
        <w:rPr>
          <w:rFonts w:ascii="Times New Roman" w:hAnsi="Times New Roman" w:cs="Times New Roman"/>
          <w:bCs/>
          <w:sz w:val="24"/>
          <w:szCs w:val="24"/>
        </w:rPr>
        <w:t>μSv</w:t>
      </w:r>
      <w:proofErr w:type="spellEnd"/>
      <w:r w:rsidR="00F14142" w:rsidRPr="00506DE8">
        <w:rPr>
          <w:rFonts w:ascii="Times New Roman" w:hAnsi="Times New Roman" w:cs="Times New Roman"/>
          <w:bCs/>
          <w:sz w:val="24"/>
          <w:szCs w:val="24"/>
        </w:rPr>
        <w:t xml:space="preserve">/h with an average of 0.440 ± 0.004 </w:t>
      </w:r>
      <w:proofErr w:type="spellStart"/>
      <w:r w:rsidR="00F14142" w:rsidRPr="00506DE8">
        <w:rPr>
          <w:rFonts w:ascii="Times New Roman" w:hAnsi="Times New Roman" w:cs="Times New Roman"/>
          <w:bCs/>
          <w:sz w:val="24"/>
          <w:szCs w:val="24"/>
        </w:rPr>
        <w:t>μSv</w:t>
      </w:r>
      <w:proofErr w:type="spellEnd"/>
      <w:r w:rsidR="00F14142" w:rsidRPr="00506DE8">
        <w:rPr>
          <w:rFonts w:ascii="Times New Roman" w:hAnsi="Times New Roman" w:cs="Times New Roman"/>
          <w:bCs/>
          <w:sz w:val="24"/>
          <w:szCs w:val="24"/>
        </w:rPr>
        <w:t>/h was measured around the selected fifteen locations.</w:t>
      </w:r>
      <w:r w:rsidR="00ED4058" w:rsidRPr="00506DE8">
        <w:rPr>
          <w:rFonts w:ascii="Times New Roman" w:hAnsi="Times New Roman" w:cs="Times New Roman"/>
          <w:bCs/>
          <w:sz w:val="24"/>
          <w:szCs w:val="24"/>
        </w:rPr>
        <w:t xml:space="preserve"> Comparably, values </w:t>
      </w:r>
      <w:proofErr w:type="gramStart"/>
      <w:r w:rsidR="00ED4058" w:rsidRPr="00506DE8">
        <w:rPr>
          <w:rFonts w:ascii="Times New Roman" w:hAnsi="Times New Roman" w:cs="Times New Roman"/>
          <w:bCs/>
          <w:sz w:val="24"/>
          <w:szCs w:val="24"/>
        </w:rPr>
        <w:t>of  3.85</w:t>
      </w:r>
      <w:proofErr w:type="gramEnd"/>
      <w:r w:rsidR="00ED4058" w:rsidRPr="00506DE8">
        <w:rPr>
          <w:rFonts w:ascii="Times New Roman" w:hAnsi="Times New Roman" w:cs="Times New Roman"/>
          <w:bCs/>
          <w:sz w:val="24"/>
          <w:szCs w:val="24"/>
        </w:rPr>
        <w:t xml:space="preserve"> </w:t>
      </w:r>
      <w:r w:rsidR="00E45FE8" w:rsidRPr="00E45FE8">
        <w:rPr>
          <w:rFonts w:ascii="Times New Roman" w:hAnsi="Times New Roman" w:cs="Times New Roman"/>
          <w:bCs/>
          <w:noProof/>
          <w:position w:val="-4"/>
          <w:sz w:val="24"/>
          <w:szCs w:val="24"/>
        </w:rPr>
        <w:object w:dxaOrig="180" w:dyaOrig="200" w14:anchorId="6555E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95pt;height:11.05pt;mso-width-percent:0;mso-height-percent:0;mso-width-percent:0;mso-height-percent:0" o:ole="">
            <v:imagedata r:id="rId12" o:title=""/>
          </v:shape>
          <o:OLEObject Type="Embed" ProgID="Equation.3" ShapeID="_x0000_i1026" DrawAspect="Content" ObjectID="_1693505242" r:id="rId13"/>
        </w:object>
      </w:r>
      <w:r w:rsidR="00ED4058" w:rsidRPr="00506DE8">
        <w:rPr>
          <w:rFonts w:ascii="Times New Roman" w:hAnsi="Times New Roman" w:cs="Times New Roman"/>
          <w:bCs/>
          <w:sz w:val="24"/>
          <w:szCs w:val="24"/>
        </w:rPr>
        <w:t>10</w:t>
      </w:r>
      <w:r w:rsidR="00ED4058" w:rsidRPr="00506DE8">
        <w:rPr>
          <w:rFonts w:ascii="Times New Roman" w:hAnsi="Times New Roman" w:cs="Times New Roman"/>
          <w:bCs/>
          <w:sz w:val="24"/>
          <w:szCs w:val="24"/>
          <w:vertAlign w:val="superscript"/>
        </w:rPr>
        <w:t>-3</w:t>
      </w:r>
      <w:r w:rsidR="00ED4058" w:rsidRPr="00506DE8">
        <w:rPr>
          <w:rFonts w:ascii="Times New Roman" w:hAnsi="Times New Roman" w:cs="Times New Roman"/>
          <w:bCs/>
          <w:sz w:val="24"/>
          <w:szCs w:val="24"/>
        </w:rPr>
        <w:t xml:space="preserve"> to 12.58</w:t>
      </w:r>
      <w:r w:rsidR="00E45FE8" w:rsidRPr="00E45FE8">
        <w:rPr>
          <w:rFonts w:ascii="Times New Roman" w:hAnsi="Times New Roman" w:cs="Times New Roman"/>
          <w:bCs/>
          <w:noProof/>
          <w:position w:val="-4"/>
          <w:sz w:val="24"/>
          <w:szCs w:val="24"/>
        </w:rPr>
        <w:object w:dxaOrig="180" w:dyaOrig="200" w14:anchorId="2C03A8E4">
          <v:shape id="_x0000_i1025" type="#_x0000_t75" alt="" style="width:8.95pt;height:11.05pt;mso-width-percent:0;mso-height-percent:0;mso-width-percent:0;mso-height-percent:0" o:ole="">
            <v:imagedata r:id="rId14" o:title=""/>
          </v:shape>
          <o:OLEObject Type="Embed" ProgID="Equation.3" ShapeID="_x0000_i1025" DrawAspect="Content" ObjectID="_1693505243" r:id="rId15"/>
        </w:object>
      </w:r>
      <w:r w:rsidR="00ED4058" w:rsidRPr="00506DE8">
        <w:rPr>
          <w:rFonts w:ascii="Times New Roman" w:hAnsi="Times New Roman" w:cs="Times New Roman"/>
          <w:bCs/>
          <w:sz w:val="24"/>
          <w:szCs w:val="24"/>
        </w:rPr>
        <w:t>10</w:t>
      </w:r>
      <w:r w:rsidR="00ED4058" w:rsidRPr="00506DE8">
        <w:rPr>
          <w:rFonts w:ascii="Times New Roman" w:hAnsi="Times New Roman" w:cs="Times New Roman"/>
          <w:bCs/>
          <w:sz w:val="24"/>
          <w:szCs w:val="24"/>
          <w:vertAlign w:val="superscript"/>
        </w:rPr>
        <w:t>-3</w:t>
      </w:r>
      <w:r w:rsidR="00ED4058" w:rsidRPr="00506DE8">
        <w:rPr>
          <w:rFonts w:ascii="Times New Roman" w:hAnsi="Times New Roman" w:cs="Times New Roman"/>
          <w:bCs/>
          <w:sz w:val="24"/>
          <w:szCs w:val="24"/>
        </w:rPr>
        <w:t xml:space="preserve"> and  3.45 × 10</w:t>
      </w:r>
      <w:r w:rsidR="00ED4058" w:rsidRPr="00506DE8">
        <w:rPr>
          <w:rFonts w:ascii="Times New Roman" w:hAnsi="Times New Roman" w:cs="Times New Roman"/>
          <w:bCs/>
          <w:sz w:val="24"/>
          <w:szCs w:val="24"/>
          <w:vertAlign w:val="superscript"/>
        </w:rPr>
        <w:t xml:space="preserve">-3 </w:t>
      </w:r>
      <w:r w:rsidR="00ED4058" w:rsidRPr="00506DE8">
        <w:rPr>
          <w:rFonts w:ascii="Times New Roman" w:hAnsi="Times New Roman" w:cs="Times New Roman"/>
          <w:bCs/>
          <w:sz w:val="24"/>
          <w:szCs w:val="24"/>
        </w:rPr>
        <w:t>to 8.73 × 10</w:t>
      </w:r>
      <w:r w:rsidR="00ED4058" w:rsidRPr="00506DE8">
        <w:rPr>
          <w:rFonts w:ascii="Times New Roman" w:hAnsi="Times New Roman" w:cs="Times New Roman"/>
          <w:bCs/>
          <w:sz w:val="24"/>
          <w:szCs w:val="24"/>
          <w:vertAlign w:val="superscript"/>
        </w:rPr>
        <w:t xml:space="preserve">-3 </w:t>
      </w:r>
      <w:r w:rsidR="00ED4058" w:rsidRPr="00506DE8">
        <w:rPr>
          <w:rFonts w:ascii="Times New Roman" w:hAnsi="Times New Roman" w:cs="Times New Roman"/>
          <w:bCs/>
          <w:sz w:val="24"/>
          <w:szCs w:val="24"/>
        </w:rPr>
        <w:t>for</w:t>
      </w:r>
      <w:r w:rsidR="00F14142" w:rsidRPr="00506DE8">
        <w:rPr>
          <w:rFonts w:ascii="Times New Roman" w:hAnsi="Times New Roman" w:cs="Times New Roman"/>
          <w:bCs/>
          <w:sz w:val="24"/>
          <w:szCs w:val="24"/>
        </w:rPr>
        <w:t xml:space="preserve"> </w:t>
      </w:r>
      <w:r w:rsidR="00ED4058" w:rsidRPr="00506DE8">
        <w:rPr>
          <w:rFonts w:ascii="Times New Roman" w:hAnsi="Times New Roman" w:cs="Times New Roman"/>
          <w:bCs/>
          <w:sz w:val="24"/>
          <w:szCs w:val="24"/>
        </w:rPr>
        <w:t>E</w:t>
      </w:r>
      <w:r w:rsidR="00F14142" w:rsidRPr="00506DE8">
        <w:rPr>
          <w:rFonts w:ascii="Times New Roman" w:hAnsi="Times New Roman" w:cs="Times New Roman"/>
          <w:bCs/>
          <w:sz w:val="24"/>
          <w:szCs w:val="24"/>
        </w:rPr>
        <w:t xml:space="preserve">xcess </w:t>
      </w:r>
      <w:r w:rsidR="00ED4058" w:rsidRPr="00506DE8">
        <w:rPr>
          <w:rFonts w:ascii="Times New Roman" w:hAnsi="Times New Roman" w:cs="Times New Roman"/>
          <w:bCs/>
          <w:sz w:val="24"/>
          <w:szCs w:val="24"/>
        </w:rPr>
        <w:t>L</w:t>
      </w:r>
      <w:r w:rsidR="00F14142" w:rsidRPr="00506DE8">
        <w:rPr>
          <w:rFonts w:ascii="Times New Roman" w:hAnsi="Times New Roman" w:cs="Times New Roman"/>
          <w:bCs/>
          <w:sz w:val="24"/>
          <w:szCs w:val="24"/>
        </w:rPr>
        <w:t xml:space="preserve">ifetime </w:t>
      </w:r>
      <w:r w:rsidR="00ED4058" w:rsidRPr="00506DE8">
        <w:rPr>
          <w:rFonts w:ascii="Times New Roman" w:hAnsi="Times New Roman" w:cs="Times New Roman"/>
          <w:bCs/>
          <w:sz w:val="24"/>
          <w:szCs w:val="24"/>
        </w:rPr>
        <w:t>C</w:t>
      </w:r>
      <w:r w:rsidR="00F14142" w:rsidRPr="00506DE8">
        <w:rPr>
          <w:rFonts w:ascii="Times New Roman" w:hAnsi="Times New Roman" w:cs="Times New Roman"/>
          <w:bCs/>
          <w:sz w:val="24"/>
          <w:szCs w:val="24"/>
        </w:rPr>
        <w:t xml:space="preserve">ancer </w:t>
      </w:r>
      <w:r w:rsidR="00ED4058" w:rsidRPr="00506DE8">
        <w:rPr>
          <w:rFonts w:ascii="Times New Roman" w:hAnsi="Times New Roman" w:cs="Times New Roman"/>
          <w:bCs/>
          <w:sz w:val="24"/>
          <w:szCs w:val="24"/>
        </w:rPr>
        <w:t>R</w:t>
      </w:r>
      <w:r w:rsidR="00F14142" w:rsidRPr="00506DE8">
        <w:rPr>
          <w:rFonts w:ascii="Times New Roman" w:hAnsi="Times New Roman" w:cs="Times New Roman"/>
          <w:bCs/>
          <w:sz w:val="24"/>
          <w:szCs w:val="24"/>
        </w:rPr>
        <w:t>isks were</w:t>
      </w:r>
      <w:r w:rsidR="00ED4058" w:rsidRPr="00506DE8">
        <w:rPr>
          <w:rFonts w:ascii="Times New Roman" w:hAnsi="Times New Roman" w:cs="Times New Roman"/>
          <w:bCs/>
          <w:sz w:val="24"/>
          <w:szCs w:val="24"/>
        </w:rPr>
        <w:t xml:space="preserve"> estimated within the cobalt and the fifteen locations within the facility respectively.</w:t>
      </w:r>
      <w:r w:rsidR="00AD05F5" w:rsidRPr="00506DE8">
        <w:rPr>
          <w:rFonts w:ascii="Times New Roman" w:hAnsi="Times New Roman" w:cs="Times New Roman"/>
          <w:bCs/>
          <w:sz w:val="24"/>
          <w:szCs w:val="24"/>
        </w:rPr>
        <w:t xml:space="preserve"> </w:t>
      </w:r>
      <w:r w:rsidR="00AD05F5" w:rsidRPr="00123247">
        <w:rPr>
          <w:rFonts w:ascii="Times New Roman" w:hAnsi="Times New Roman" w:cs="Times New Roman"/>
          <w:bCs/>
          <w:sz w:val="24"/>
          <w:szCs w:val="24"/>
        </w:rPr>
        <w:t>The absorbed dose values at 5</w:t>
      </w:r>
      <w:r w:rsidR="00CA0376" w:rsidRPr="00123247">
        <w:rPr>
          <w:rFonts w:ascii="Times New Roman" w:hAnsi="Times New Roman" w:cs="Times New Roman"/>
          <w:bCs/>
          <w:sz w:val="24"/>
          <w:szCs w:val="24"/>
        </w:rPr>
        <w:t xml:space="preserve"> </w:t>
      </w:r>
      <w:r w:rsidR="00CB0436" w:rsidRPr="00123247">
        <w:rPr>
          <w:rFonts w:ascii="Times New Roman" w:hAnsi="Times New Roman" w:cs="Times New Roman"/>
          <w:bCs/>
          <w:sz w:val="24"/>
          <w:szCs w:val="24"/>
        </w:rPr>
        <w:t>m</w:t>
      </w:r>
      <w:r w:rsidR="00AD05F5" w:rsidRPr="00123247">
        <w:rPr>
          <w:rFonts w:ascii="Times New Roman" w:hAnsi="Times New Roman" w:cs="Times New Roman"/>
          <w:bCs/>
          <w:sz w:val="24"/>
          <w:szCs w:val="24"/>
        </w:rPr>
        <w:t>, 10</w:t>
      </w:r>
      <w:r w:rsidR="00CA0376" w:rsidRPr="00123247">
        <w:rPr>
          <w:rFonts w:ascii="Times New Roman" w:hAnsi="Times New Roman" w:cs="Times New Roman"/>
          <w:bCs/>
          <w:sz w:val="24"/>
          <w:szCs w:val="24"/>
        </w:rPr>
        <w:t xml:space="preserve"> </w:t>
      </w:r>
      <w:r w:rsidR="00CB0436" w:rsidRPr="00123247">
        <w:rPr>
          <w:rFonts w:ascii="Times New Roman" w:hAnsi="Times New Roman" w:cs="Times New Roman"/>
          <w:bCs/>
          <w:sz w:val="24"/>
          <w:szCs w:val="24"/>
        </w:rPr>
        <w:t>m</w:t>
      </w:r>
      <w:r w:rsidR="005C6824">
        <w:rPr>
          <w:rFonts w:ascii="Times New Roman" w:hAnsi="Times New Roman" w:cs="Times New Roman"/>
          <w:bCs/>
          <w:sz w:val="24"/>
          <w:szCs w:val="24"/>
        </w:rPr>
        <w:t>,</w:t>
      </w:r>
      <w:r w:rsidR="00CA0376" w:rsidRPr="00123247">
        <w:rPr>
          <w:rFonts w:ascii="Times New Roman" w:hAnsi="Times New Roman" w:cs="Times New Roman"/>
          <w:bCs/>
          <w:sz w:val="24"/>
          <w:szCs w:val="24"/>
        </w:rPr>
        <w:t xml:space="preserve"> and </w:t>
      </w:r>
      <w:r w:rsidR="00AD05F5" w:rsidRPr="00123247">
        <w:rPr>
          <w:rFonts w:ascii="Times New Roman" w:hAnsi="Times New Roman" w:cs="Times New Roman"/>
          <w:bCs/>
          <w:sz w:val="24"/>
          <w:szCs w:val="24"/>
        </w:rPr>
        <w:t>15</w:t>
      </w:r>
      <w:r w:rsidR="00CA0376" w:rsidRPr="00123247">
        <w:rPr>
          <w:rFonts w:ascii="Times New Roman" w:hAnsi="Times New Roman" w:cs="Times New Roman"/>
          <w:bCs/>
          <w:sz w:val="24"/>
          <w:szCs w:val="24"/>
        </w:rPr>
        <w:t xml:space="preserve"> </w:t>
      </w:r>
      <w:r w:rsidR="00AD05F5" w:rsidRPr="00123247">
        <w:rPr>
          <w:rFonts w:ascii="Times New Roman" w:hAnsi="Times New Roman" w:cs="Times New Roman"/>
          <w:bCs/>
          <w:sz w:val="24"/>
          <w:szCs w:val="24"/>
        </w:rPr>
        <w:t>m</w:t>
      </w:r>
      <w:r w:rsidR="00CB0436" w:rsidRPr="00123247">
        <w:rPr>
          <w:rFonts w:ascii="Times New Roman" w:hAnsi="Times New Roman" w:cs="Times New Roman"/>
          <w:bCs/>
          <w:sz w:val="24"/>
          <w:szCs w:val="24"/>
        </w:rPr>
        <w:t xml:space="preserve"> within the Co-60 bunker and the location Co-60 bunker as part of the locations in the facility </w:t>
      </w:r>
      <w:r w:rsidR="00AD05F5" w:rsidRPr="00123247">
        <w:rPr>
          <w:rFonts w:ascii="Times New Roman" w:hAnsi="Times New Roman" w:cs="Times New Roman"/>
          <w:bCs/>
          <w:sz w:val="24"/>
          <w:szCs w:val="24"/>
        </w:rPr>
        <w:t xml:space="preserve">exceeded the permissible limit of 0.57 as recommended by ICRP. The </w:t>
      </w:r>
      <w:r w:rsidR="00CB0436" w:rsidRPr="00123247">
        <w:rPr>
          <w:rFonts w:ascii="Times New Roman" w:hAnsi="Times New Roman" w:cs="Times New Roman"/>
          <w:bCs/>
          <w:sz w:val="24"/>
          <w:szCs w:val="24"/>
        </w:rPr>
        <w:t xml:space="preserve">AEDE and </w:t>
      </w:r>
      <w:r w:rsidR="00AD05F5" w:rsidRPr="00123247">
        <w:rPr>
          <w:rFonts w:ascii="Times New Roman" w:hAnsi="Times New Roman" w:cs="Times New Roman"/>
          <w:bCs/>
          <w:sz w:val="24"/>
          <w:szCs w:val="24"/>
        </w:rPr>
        <w:t>ELCR</w:t>
      </w:r>
      <w:r w:rsidR="00CB0436" w:rsidRPr="00123247">
        <w:rPr>
          <w:rFonts w:ascii="Times New Roman" w:hAnsi="Times New Roman" w:cs="Times New Roman"/>
          <w:bCs/>
          <w:sz w:val="24"/>
          <w:szCs w:val="24"/>
        </w:rPr>
        <w:t xml:space="preserve"> values were within the permissible limits as recommended by ICRP. </w:t>
      </w:r>
      <w:r w:rsidR="000F4311" w:rsidRPr="00123247">
        <w:rPr>
          <w:rFonts w:ascii="Times New Roman" w:hAnsi="Times New Roman" w:cs="Times New Roman"/>
          <w:bCs/>
          <w:sz w:val="24"/>
          <w:szCs w:val="24"/>
        </w:rPr>
        <w:t>The implication of the AEDE and ELCR data obtained is th</w:t>
      </w:r>
      <w:r w:rsidR="000F4311" w:rsidRPr="00506DE8">
        <w:rPr>
          <w:rFonts w:ascii="Times New Roman" w:hAnsi="Times New Roman" w:cs="Times New Roman"/>
          <w:bCs/>
          <w:sz w:val="24"/>
          <w:szCs w:val="24"/>
        </w:rPr>
        <w:t xml:space="preserve">at the Cobalt-60 unit and its surrounding is radiation safe but the probability of staff </w:t>
      </w:r>
      <w:r w:rsidR="00C47D42">
        <w:rPr>
          <w:rFonts w:ascii="Times New Roman" w:hAnsi="Times New Roman" w:cs="Times New Roman"/>
          <w:bCs/>
          <w:sz w:val="24"/>
          <w:szCs w:val="24"/>
        </w:rPr>
        <w:t>within occupational exposure</w:t>
      </w:r>
      <w:r w:rsidR="000F4311" w:rsidRPr="00506DE8">
        <w:rPr>
          <w:rFonts w:ascii="Times New Roman" w:hAnsi="Times New Roman" w:cs="Times New Roman"/>
          <w:bCs/>
          <w:sz w:val="24"/>
          <w:szCs w:val="24"/>
        </w:rPr>
        <w:t xml:space="preserve"> developing cancer</w:t>
      </w:r>
      <w:r w:rsidR="00506DE8" w:rsidRPr="00506DE8">
        <w:rPr>
          <w:rFonts w:ascii="Times New Roman" w:hAnsi="Times New Roman" w:cs="Times New Roman"/>
          <w:bCs/>
          <w:sz w:val="24"/>
          <w:szCs w:val="24"/>
        </w:rPr>
        <w:t xml:space="preserve"> from the </w:t>
      </w:r>
      <w:r w:rsidR="00C47D42">
        <w:rPr>
          <w:rFonts w:ascii="Times New Roman" w:hAnsi="Times New Roman" w:cs="Times New Roman"/>
          <w:bCs/>
          <w:sz w:val="24"/>
          <w:szCs w:val="24"/>
        </w:rPr>
        <w:t xml:space="preserve">Absorbed dose and </w:t>
      </w:r>
      <w:r w:rsidR="00506DE8" w:rsidRPr="00506DE8">
        <w:rPr>
          <w:rFonts w:ascii="Times New Roman" w:hAnsi="Times New Roman" w:cs="Times New Roman"/>
          <w:bCs/>
          <w:sz w:val="24"/>
          <w:szCs w:val="24"/>
        </w:rPr>
        <w:t>background ionizing radiation is high</w:t>
      </w:r>
      <w:r w:rsidR="000F4311" w:rsidRPr="00506DE8">
        <w:rPr>
          <w:rFonts w:ascii="Times New Roman" w:hAnsi="Times New Roman" w:cs="Times New Roman"/>
          <w:bCs/>
          <w:sz w:val="24"/>
          <w:szCs w:val="24"/>
        </w:rPr>
        <w:t xml:space="preserve"> over a lifetime</w:t>
      </w:r>
      <w:r w:rsidR="00C47D42">
        <w:rPr>
          <w:rFonts w:ascii="Times New Roman" w:hAnsi="Times New Roman" w:cs="Times New Roman"/>
          <w:bCs/>
          <w:sz w:val="24"/>
          <w:szCs w:val="24"/>
        </w:rPr>
        <w:t>.</w:t>
      </w:r>
      <w:r w:rsidR="000F4311" w:rsidRPr="00506DE8">
        <w:rPr>
          <w:rFonts w:ascii="Times New Roman" w:hAnsi="Times New Roman" w:cs="Times New Roman"/>
          <w:bCs/>
          <w:sz w:val="24"/>
          <w:szCs w:val="24"/>
        </w:rPr>
        <w:t xml:space="preserve"> It is nonetheless suggested that </w:t>
      </w:r>
      <w:r w:rsidR="009872E4" w:rsidRPr="00506DE8">
        <w:rPr>
          <w:rFonts w:ascii="Times New Roman" w:hAnsi="Times New Roman" w:cs="Times New Roman"/>
          <w:bCs/>
          <w:sz w:val="24"/>
          <w:szCs w:val="24"/>
        </w:rPr>
        <w:t xml:space="preserve">absorbed dose level </w:t>
      </w:r>
      <w:r w:rsidR="000F4311" w:rsidRPr="00506DE8">
        <w:rPr>
          <w:rFonts w:ascii="Times New Roman" w:hAnsi="Times New Roman" w:cs="Times New Roman"/>
          <w:bCs/>
          <w:sz w:val="24"/>
          <w:szCs w:val="24"/>
        </w:rPr>
        <w:t>monitoring</w:t>
      </w:r>
      <w:r w:rsidR="009872E4" w:rsidRPr="00506DE8">
        <w:rPr>
          <w:rFonts w:ascii="Times New Roman" w:hAnsi="Times New Roman" w:cs="Times New Roman"/>
          <w:bCs/>
          <w:sz w:val="24"/>
          <w:szCs w:val="24"/>
        </w:rPr>
        <w:t xml:space="preserve"> and assessment of the </w:t>
      </w:r>
      <w:r w:rsidR="004676CD" w:rsidRPr="00506DE8">
        <w:rPr>
          <w:rFonts w:ascii="Times New Roman" w:hAnsi="Times New Roman" w:cs="Times New Roman"/>
          <w:bCs/>
          <w:sz w:val="24"/>
          <w:szCs w:val="24"/>
        </w:rPr>
        <w:t>R</w:t>
      </w:r>
      <w:r w:rsidR="004676CD">
        <w:rPr>
          <w:rFonts w:ascii="Times New Roman" w:hAnsi="Times New Roman" w:cs="Times New Roman"/>
          <w:bCs/>
          <w:sz w:val="24"/>
          <w:szCs w:val="24"/>
        </w:rPr>
        <w:t xml:space="preserve">adiation Therapy Technologist </w:t>
      </w:r>
      <w:r w:rsidR="00CA0376">
        <w:rPr>
          <w:rFonts w:ascii="Times New Roman" w:hAnsi="Times New Roman" w:cs="Times New Roman"/>
          <w:bCs/>
          <w:sz w:val="24"/>
          <w:szCs w:val="24"/>
        </w:rPr>
        <w:t>(RTT)</w:t>
      </w:r>
      <w:r w:rsidR="006E5608" w:rsidRPr="00506DE8">
        <w:rPr>
          <w:rFonts w:ascii="Times New Roman" w:hAnsi="Times New Roman" w:cs="Times New Roman"/>
          <w:bCs/>
          <w:sz w:val="24"/>
          <w:szCs w:val="24"/>
        </w:rPr>
        <w:t xml:space="preserve"> and other staff around the unit </w:t>
      </w:r>
      <w:r w:rsidR="009872E4" w:rsidRPr="00506DE8">
        <w:rPr>
          <w:rFonts w:ascii="Times New Roman" w:hAnsi="Times New Roman" w:cs="Times New Roman"/>
          <w:bCs/>
          <w:sz w:val="24"/>
          <w:szCs w:val="24"/>
        </w:rPr>
        <w:lastRenderedPageBreak/>
        <w:t>be checked</w:t>
      </w:r>
      <w:r w:rsidR="006E5608" w:rsidRPr="00506DE8">
        <w:rPr>
          <w:rFonts w:ascii="Times New Roman" w:hAnsi="Times New Roman" w:cs="Times New Roman"/>
          <w:bCs/>
          <w:sz w:val="24"/>
          <w:szCs w:val="24"/>
        </w:rPr>
        <w:t xml:space="preserve"> from time to time. It is also suggested the </w:t>
      </w:r>
      <w:r w:rsidR="00C47D42">
        <w:rPr>
          <w:rFonts w:ascii="Times New Roman" w:hAnsi="Times New Roman" w:cs="Times New Roman"/>
          <w:bCs/>
          <w:sz w:val="24"/>
          <w:szCs w:val="24"/>
        </w:rPr>
        <w:t>Occupational Staff</w:t>
      </w:r>
      <w:r w:rsidR="002A526C" w:rsidRPr="00506DE8">
        <w:rPr>
          <w:rFonts w:ascii="Times New Roman" w:hAnsi="Times New Roman" w:cs="Times New Roman"/>
          <w:bCs/>
          <w:sz w:val="24"/>
          <w:szCs w:val="24"/>
        </w:rPr>
        <w:t xml:space="preserve"> </w:t>
      </w:r>
      <w:r w:rsidR="00C47D42">
        <w:rPr>
          <w:rFonts w:ascii="Times New Roman" w:hAnsi="Times New Roman" w:cs="Times New Roman"/>
          <w:bCs/>
          <w:sz w:val="24"/>
          <w:szCs w:val="24"/>
        </w:rPr>
        <w:t xml:space="preserve">such as </w:t>
      </w:r>
      <w:r w:rsidR="00CA0376">
        <w:rPr>
          <w:rFonts w:ascii="Times New Roman" w:hAnsi="Times New Roman" w:cs="Times New Roman"/>
          <w:bCs/>
          <w:sz w:val="24"/>
          <w:szCs w:val="24"/>
        </w:rPr>
        <w:t>RTTs</w:t>
      </w:r>
      <w:r w:rsidR="00C47D42">
        <w:rPr>
          <w:rFonts w:ascii="Times New Roman" w:hAnsi="Times New Roman" w:cs="Times New Roman"/>
          <w:bCs/>
          <w:sz w:val="24"/>
          <w:szCs w:val="24"/>
        </w:rPr>
        <w:t xml:space="preserve"> spend </w:t>
      </w:r>
      <w:r w:rsidR="006E5608" w:rsidRPr="00506DE8">
        <w:rPr>
          <w:rFonts w:ascii="Times New Roman" w:hAnsi="Times New Roman" w:cs="Times New Roman"/>
          <w:bCs/>
          <w:sz w:val="24"/>
          <w:szCs w:val="24"/>
        </w:rPr>
        <w:t>mi</w:t>
      </w:r>
      <w:r w:rsidR="002A526C" w:rsidRPr="00506DE8">
        <w:rPr>
          <w:rFonts w:ascii="Times New Roman" w:hAnsi="Times New Roman" w:cs="Times New Roman"/>
          <w:bCs/>
          <w:sz w:val="24"/>
          <w:szCs w:val="24"/>
        </w:rPr>
        <w:t>n</w:t>
      </w:r>
      <w:r w:rsidR="006E5608" w:rsidRPr="00506DE8">
        <w:rPr>
          <w:rFonts w:ascii="Times New Roman" w:hAnsi="Times New Roman" w:cs="Times New Roman"/>
          <w:bCs/>
          <w:sz w:val="24"/>
          <w:szCs w:val="24"/>
        </w:rPr>
        <w:t>im</w:t>
      </w:r>
      <w:r w:rsidR="00C47D42">
        <w:rPr>
          <w:rFonts w:ascii="Times New Roman" w:hAnsi="Times New Roman" w:cs="Times New Roman"/>
          <w:bCs/>
          <w:sz w:val="24"/>
          <w:szCs w:val="24"/>
        </w:rPr>
        <w:t>al</w:t>
      </w:r>
      <w:r w:rsidR="002A526C" w:rsidRPr="00506DE8">
        <w:rPr>
          <w:rFonts w:ascii="Times New Roman" w:hAnsi="Times New Roman" w:cs="Times New Roman"/>
          <w:bCs/>
          <w:sz w:val="24"/>
          <w:szCs w:val="24"/>
        </w:rPr>
        <w:t xml:space="preserve"> time in the bunker. </w:t>
      </w:r>
      <w:r w:rsidR="006E5608" w:rsidRPr="00506DE8">
        <w:rPr>
          <w:rFonts w:ascii="Times New Roman" w:hAnsi="Times New Roman" w:cs="Times New Roman"/>
          <w:bCs/>
          <w:sz w:val="24"/>
          <w:szCs w:val="24"/>
        </w:rPr>
        <w:t xml:space="preserve"> </w:t>
      </w:r>
    </w:p>
    <w:p w14:paraId="57F61A5E" w14:textId="11C5674E" w:rsidR="002A526C" w:rsidRPr="00506DE8" w:rsidRDefault="00362408" w:rsidP="00464B9A">
      <w:pPr>
        <w:spacing w:line="360" w:lineRule="auto"/>
        <w:jc w:val="both"/>
        <w:rPr>
          <w:rFonts w:ascii="Times New Roman" w:hAnsi="Times New Roman" w:cs="Times New Roman"/>
          <w:sz w:val="24"/>
          <w:szCs w:val="24"/>
        </w:rPr>
      </w:pPr>
      <w:r w:rsidRPr="00506DE8">
        <w:rPr>
          <w:rFonts w:ascii="Times New Roman" w:hAnsi="Times New Roman" w:cs="Times New Roman"/>
          <w:bCs/>
          <w:sz w:val="24"/>
          <w:szCs w:val="24"/>
        </w:rPr>
        <w:t>This research verifi</w:t>
      </w:r>
      <w:r w:rsidR="00CA0376">
        <w:rPr>
          <w:rFonts w:ascii="Times New Roman" w:hAnsi="Times New Roman" w:cs="Times New Roman"/>
          <w:bCs/>
          <w:sz w:val="24"/>
          <w:szCs w:val="24"/>
        </w:rPr>
        <w:t>ed</w:t>
      </w:r>
      <w:r w:rsidRPr="00506DE8">
        <w:rPr>
          <w:rFonts w:ascii="Times New Roman" w:hAnsi="Times New Roman" w:cs="Times New Roman"/>
          <w:bCs/>
          <w:sz w:val="24"/>
          <w:szCs w:val="24"/>
        </w:rPr>
        <w:t xml:space="preserve"> the safety of the cobalt-60 radioactive sources and the concept of the determination </w:t>
      </w:r>
      <w:r w:rsidRPr="00506DE8">
        <w:rPr>
          <w:rFonts w:ascii="Times New Roman" w:eastAsia="Arial" w:hAnsi="Times New Roman" w:cs="Times New Roman"/>
          <w:bCs/>
          <w:sz w:val="24"/>
          <w:szCs w:val="24"/>
        </w:rPr>
        <w:t>of the Annual Effective Dose Equivalent (AEDE)</w:t>
      </w:r>
      <w:r w:rsidRPr="00506DE8">
        <w:rPr>
          <w:rFonts w:ascii="Times New Roman" w:hAnsi="Times New Roman" w:cs="Times New Roman"/>
          <w:bCs/>
          <w:sz w:val="24"/>
          <w:szCs w:val="24"/>
        </w:rPr>
        <w:t xml:space="preserve"> </w:t>
      </w:r>
      <w:r w:rsidRPr="00506DE8">
        <w:rPr>
          <w:rFonts w:ascii="Times New Roman" w:eastAsia="Arial" w:hAnsi="Times New Roman" w:cs="Times New Roman"/>
          <w:bCs/>
          <w:sz w:val="24"/>
          <w:szCs w:val="24"/>
        </w:rPr>
        <w:t xml:space="preserve">and Excess Lifetime Cancer Risk (ELCR) </w:t>
      </w:r>
      <w:r w:rsidRPr="00506DE8">
        <w:rPr>
          <w:rFonts w:ascii="Times New Roman" w:hAnsi="Times New Roman" w:cs="Times New Roman"/>
          <w:bCs/>
          <w:sz w:val="24"/>
          <w:szCs w:val="24"/>
        </w:rPr>
        <w:t>contribut</w:t>
      </w:r>
      <w:r w:rsidR="002A526C" w:rsidRPr="00506DE8">
        <w:rPr>
          <w:rFonts w:ascii="Times New Roman" w:hAnsi="Times New Roman" w:cs="Times New Roman"/>
          <w:bCs/>
          <w:sz w:val="24"/>
          <w:szCs w:val="24"/>
        </w:rPr>
        <w:t>ing</w:t>
      </w:r>
      <w:r w:rsidRPr="00506DE8">
        <w:rPr>
          <w:rFonts w:ascii="Times New Roman" w:hAnsi="Times New Roman" w:cs="Times New Roman"/>
          <w:bCs/>
          <w:sz w:val="24"/>
          <w:szCs w:val="24"/>
        </w:rPr>
        <w:t xml:space="preserve"> to checking the occupational and public exposures within the facility. </w:t>
      </w:r>
    </w:p>
    <w:p w14:paraId="1F915C98" w14:textId="655F0B11" w:rsidR="008E1BA2" w:rsidRPr="00506DE8" w:rsidRDefault="00AA391B" w:rsidP="00464B9A">
      <w:pPr>
        <w:spacing w:line="360" w:lineRule="auto"/>
        <w:jc w:val="both"/>
        <w:rPr>
          <w:rFonts w:ascii="Times New Roman" w:hAnsi="Times New Roman" w:cs="Times New Roman"/>
          <w:sz w:val="24"/>
          <w:szCs w:val="24"/>
        </w:rPr>
      </w:pPr>
      <w:r w:rsidRPr="00506DE8">
        <w:rPr>
          <w:rFonts w:ascii="Times New Roman" w:hAnsi="Times New Roman" w:cs="Times New Roman"/>
          <w:b/>
          <w:sz w:val="24"/>
          <w:szCs w:val="24"/>
        </w:rPr>
        <w:t>Keywords: A</w:t>
      </w:r>
      <w:r w:rsidR="00C47D42">
        <w:rPr>
          <w:rFonts w:ascii="Times New Roman" w:hAnsi="Times New Roman" w:cs="Times New Roman"/>
          <w:b/>
          <w:sz w:val="24"/>
          <w:szCs w:val="24"/>
        </w:rPr>
        <w:t xml:space="preserve">nnual </w:t>
      </w:r>
      <w:r w:rsidRPr="00506DE8">
        <w:rPr>
          <w:rFonts w:ascii="Times New Roman" w:hAnsi="Times New Roman" w:cs="Times New Roman"/>
          <w:b/>
          <w:sz w:val="24"/>
          <w:szCs w:val="24"/>
        </w:rPr>
        <w:t>E</w:t>
      </w:r>
      <w:r w:rsidR="00C47D42">
        <w:rPr>
          <w:rFonts w:ascii="Times New Roman" w:hAnsi="Times New Roman" w:cs="Times New Roman"/>
          <w:b/>
          <w:sz w:val="24"/>
          <w:szCs w:val="24"/>
        </w:rPr>
        <w:t xml:space="preserve">ffective </w:t>
      </w:r>
      <w:r w:rsidRPr="00506DE8">
        <w:rPr>
          <w:rFonts w:ascii="Times New Roman" w:hAnsi="Times New Roman" w:cs="Times New Roman"/>
          <w:b/>
          <w:sz w:val="24"/>
          <w:szCs w:val="24"/>
        </w:rPr>
        <w:t>D</w:t>
      </w:r>
      <w:r w:rsidR="00C47D42">
        <w:rPr>
          <w:rFonts w:ascii="Times New Roman" w:hAnsi="Times New Roman" w:cs="Times New Roman"/>
          <w:b/>
          <w:sz w:val="24"/>
          <w:szCs w:val="24"/>
        </w:rPr>
        <w:t xml:space="preserve">ose </w:t>
      </w:r>
      <w:r w:rsidRPr="00506DE8">
        <w:rPr>
          <w:rFonts w:ascii="Times New Roman" w:hAnsi="Times New Roman" w:cs="Times New Roman"/>
          <w:b/>
          <w:sz w:val="24"/>
          <w:szCs w:val="24"/>
        </w:rPr>
        <w:t>E</w:t>
      </w:r>
      <w:r w:rsidR="00C47D42">
        <w:rPr>
          <w:rFonts w:ascii="Times New Roman" w:hAnsi="Times New Roman" w:cs="Times New Roman"/>
          <w:b/>
          <w:sz w:val="24"/>
          <w:szCs w:val="24"/>
        </w:rPr>
        <w:t>quivalent</w:t>
      </w:r>
      <w:r w:rsidRPr="00506DE8">
        <w:rPr>
          <w:rFonts w:ascii="Times New Roman" w:hAnsi="Times New Roman" w:cs="Times New Roman"/>
          <w:b/>
          <w:sz w:val="24"/>
          <w:szCs w:val="24"/>
        </w:rPr>
        <w:t>, E</w:t>
      </w:r>
      <w:r w:rsidR="00C47D42">
        <w:rPr>
          <w:rFonts w:ascii="Times New Roman" w:hAnsi="Times New Roman" w:cs="Times New Roman"/>
          <w:b/>
          <w:sz w:val="24"/>
          <w:szCs w:val="24"/>
        </w:rPr>
        <w:t xml:space="preserve">xcess </w:t>
      </w:r>
      <w:r w:rsidRPr="00506DE8">
        <w:rPr>
          <w:rFonts w:ascii="Times New Roman" w:hAnsi="Times New Roman" w:cs="Times New Roman"/>
          <w:b/>
          <w:sz w:val="24"/>
          <w:szCs w:val="24"/>
        </w:rPr>
        <w:t>L</w:t>
      </w:r>
      <w:r w:rsidR="00C47D42">
        <w:rPr>
          <w:rFonts w:ascii="Times New Roman" w:hAnsi="Times New Roman" w:cs="Times New Roman"/>
          <w:b/>
          <w:sz w:val="24"/>
          <w:szCs w:val="24"/>
        </w:rPr>
        <w:t xml:space="preserve">ifetime </w:t>
      </w:r>
      <w:r w:rsidRPr="00506DE8">
        <w:rPr>
          <w:rFonts w:ascii="Times New Roman" w:hAnsi="Times New Roman" w:cs="Times New Roman"/>
          <w:b/>
          <w:sz w:val="24"/>
          <w:szCs w:val="24"/>
        </w:rPr>
        <w:t>C</w:t>
      </w:r>
      <w:r w:rsidR="00C47D42">
        <w:rPr>
          <w:rFonts w:ascii="Times New Roman" w:hAnsi="Times New Roman" w:cs="Times New Roman"/>
          <w:b/>
          <w:sz w:val="24"/>
          <w:szCs w:val="24"/>
        </w:rPr>
        <w:t>ancer Risk</w:t>
      </w:r>
      <w:r w:rsidRPr="00506DE8">
        <w:rPr>
          <w:rFonts w:ascii="Times New Roman" w:hAnsi="Times New Roman" w:cs="Times New Roman"/>
          <w:b/>
          <w:sz w:val="24"/>
          <w:szCs w:val="24"/>
        </w:rPr>
        <w:t>, Cobalt-60 source</w:t>
      </w:r>
      <w:r w:rsidR="00506DE8" w:rsidRPr="00506DE8">
        <w:rPr>
          <w:rFonts w:ascii="Times New Roman" w:hAnsi="Times New Roman" w:cs="Times New Roman"/>
          <w:b/>
          <w:sz w:val="24"/>
          <w:szCs w:val="24"/>
        </w:rPr>
        <w:t>,</w:t>
      </w:r>
      <w:r w:rsidR="001A19B9">
        <w:rPr>
          <w:rFonts w:ascii="Times New Roman" w:hAnsi="Times New Roman" w:cs="Times New Roman"/>
          <w:b/>
          <w:sz w:val="24"/>
          <w:szCs w:val="24"/>
        </w:rPr>
        <w:t xml:space="preserve"> Absorbed Dose Rate </w:t>
      </w:r>
      <w:r w:rsidR="00C47D42">
        <w:rPr>
          <w:rFonts w:ascii="Times New Roman" w:hAnsi="Times New Roman" w:cs="Times New Roman"/>
          <w:b/>
          <w:sz w:val="24"/>
          <w:szCs w:val="24"/>
        </w:rPr>
        <w:t>(ADR),</w:t>
      </w:r>
      <w:r w:rsidR="00506DE8" w:rsidRPr="00506DE8">
        <w:rPr>
          <w:rFonts w:ascii="Times New Roman" w:hAnsi="Times New Roman" w:cs="Times New Roman"/>
          <w:b/>
          <w:sz w:val="24"/>
          <w:szCs w:val="24"/>
        </w:rPr>
        <w:t xml:space="preserve"> Background Ionizing Radiation</w:t>
      </w:r>
      <w:r w:rsidR="00FF5C98">
        <w:rPr>
          <w:rFonts w:ascii="Times New Roman" w:hAnsi="Times New Roman" w:cs="Times New Roman"/>
          <w:b/>
          <w:sz w:val="24"/>
          <w:szCs w:val="24"/>
        </w:rPr>
        <w:t xml:space="preserve"> </w:t>
      </w:r>
      <w:r w:rsidR="00506DE8" w:rsidRPr="00506DE8">
        <w:rPr>
          <w:rFonts w:ascii="Times New Roman" w:hAnsi="Times New Roman" w:cs="Times New Roman"/>
          <w:b/>
          <w:sz w:val="24"/>
          <w:szCs w:val="24"/>
        </w:rPr>
        <w:t>(BIR)</w:t>
      </w:r>
    </w:p>
    <w:p w14:paraId="269A06FE" w14:textId="77777777" w:rsidR="008E1BA2" w:rsidRDefault="008E1BA2" w:rsidP="008E1BA2">
      <w:pPr>
        <w:autoSpaceDE w:val="0"/>
        <w:autoSpaceDN w:val="0"/>
        <w:adjustRightInd w:val="0"/>
        <w:spacing w:after="0" w:line="360" w:lineRule="auto"/>
        <w:jc w:val="both"/>
        <w:rPr>
          <w:rFonts w:ascii="Times New Roman" w:hAnsi="Times New Roman" w:cs="Times New Roman"/>
          <w:b/>
          <w:sz w:val="24"/>
          <w:szCs w:val="24"/>
        </w:rPr>
      </w:pPr>
    </w:p>
    <w:p w14:paraId="7E0AF498" w14:textId="77777777" w:rsidR="008E1BA2" w:rsidRDefault="008E1BA2" w:rsidP="008E1BA2">
      <w:pPr>
        <w:autoSpaceDE w:val="0"/>
        <w:autoSpaceDN w:val="0"/>
        <w:adjustRightInd w:val="0"/>
        <w:spacing w:after="0" w:line="360" w:lineRule="auto"/>
        <w:jc w:val="both"/>
        <w:rPr>
          <w:rFonts w:ascii="Times New Roman" w:hAnsi="Times New Roman" w:cs="Times New Roman"/>
          <w:b/>
          <w:sz w:val="24"/>
          <w:szCs w:val="24"/>
        </w:rPr>
      </w:pPr>
    </w:p>
    <w:p w14:paraId="5D9AD478" w14:textId="3C2FF9BC" w:rsidR="008E1BA2" w:rsidRDefault="008E1BA2" w:rsidP="008E1BA2">
      <w:pPr>
        <w:autoSpaceDE w:val="0"/>
        <w:autoSpaceDN w:val="0"/>
        <w:adjustRightInd w:val="0"/>
        <w:spacing w:after="0" w:line="360" w:lineRule="auto"/>
        <w:jc w:val="both"/>
        <w:rPr>
          <w:rFonts w:ascii="Times New Roman" w:hAnsi="Times New Roman" w:cs="Times New Roman"/>
          <w:b/>
          <w:sz w:val="24"/>
          <w:szCs w:val="24"/>
        </w:rPr>
      </w:pPr>
    </w:p>
    <w:p w14:paraId="178C7811" w14:textId="02E6E4B1"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EE01CD6" w14:textId="26BF22F9"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0DAD8426" w14:textId="54B3698A"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01E4B4C5" w14:textId="3DF790AE"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D763602" w14:textId="1B02D08F"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607ABA8" w14:textId="7F511E39"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6017ADF" w14:textId="61D3BB1D"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12BE3C47" w14:textId="271B231F"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71F1FFF" w14:textId="601B5B44"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1489338C" w14:textId="6E8B2E4A"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C7BC211" w14:textId="62D109AC"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086D034C" w14:textId="59243F18"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E95564E" w14:textId="221CDF54"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48B0700F" w14:textId="33C7C16C"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11541B23" w14:textId="62A1CB74"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740714C1" w14:textId="4EB4145E"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D7E357C" w14:textId="1DD6BFFF"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2906D7B" w14:textId="09C4EB58"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2853268" w14:textId="2AEBBCC3"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30B55DC8" w14:textId="38DB8C6F"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9A762CD" w14:textId="05864292"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0AB48454" w14:textId="4A454137"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5DE3A562" w14:textId="014C889B"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70215A47" w14:textId="4A9149EF"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42CE29AB" w14:textId="7A2168C6"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6EBD6418" w14:textId="72B5E9C5"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47D630EA" w14:textId="77777777" w:rsidR="00300F2C" w:rsidRDefault="00300F2C" w:rsidP="008E1BA2">
      <w:pPr>
        <w:autoSpaceDE w:val="0"/>
        <w:autoSpaceDN w:val="0"/>
        <w:adjustRightInd w:val="0"/>
        <w:spacing w:after="0" w:line="360" w:lineRule="auto"/>
        <w:jc w:val="both"/>
        <w:rPr>
          <w:rFonts w:ascii="Times New Roman" w:hAnsi="Times New Roman" w:cs="Times New Roman"/>
          <w:b/>
          <w:sz w:val="24"/>
          <w:szCs w:val="24"/>
        </w:rPr>
      </w:pPr>
    </w:p>
    <w:p w14:paraId="17D5DC0F" w14:textId="4432EEF8" w:rsidR="008E1BA2" w:rsidRPr="00897597" w:rsidRDefault="00BC3778" w:rsidP="00897597">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897597">
        <w:rPr>
          <w:rFonts w:ascii="Times New Roman" w:hAnsi="Times New Roman" w:cs="Times New Roman"/>
          <w:b/>
          <w:sz w:val="28"/>
          <w:szCs w:val="28"/>
        </w:rPr>
        <w:t>INTRODUCTION</w:t>
      </w:r>
    </w:p>
    <w:p w14:paraId="29F0E9DE" w14:textId="06F9681B" w:rsidR="00D6237D" w:rsidRPr="00300F2C" w:rsidRDefault="00A14B06" w:rsidP="00464B9A">
      <w:pPr>
        <w:autoSpaceDE w:val="0"/>
        <w:autoSpaceDN w:val="0"/>
        <w:adjustRightInd w:val="0"/>
        <w:spacing w:after="0" w:line="360" w:lineRule="auto"/>
        <w:rPr>
          <w:rFonts w:ascii="Times New Roman" w:hAnsi="Times New Roman" w:cs="Times New Roman"/>
          <w:bCs/>
          <w:sz w:val="24"/>
          <w:szCs w:val="24"/>
        </w:rPr>
      </w:pPr>
      <w:r w:rsidRPr="00300F2C">
        <w:rPr>
          <w:rFonts w:ascii="Times New Roman" w:hAnsi="Times New Roman" w:cs="Times New Roman"/>
          <w:sz w:val="24"/>
          <w:szCs w:val="24"/>
        </w:rPr>
        <w:t>Emeka (2003)</w:t>
      </w:r>
      <w:r w:rsidR="00B00ACE" w:rsidRPr="00300F2C">
        <w:rPr>
          <w:rFonts w:ascii="Times New Roman" w:hAnsi="Times New Roman" w:cs="Times New Roman"/>
          <w:sz w:val="24"/>
          <w:szCs w:val="24"/>
        </w:rPr>
        <w:t xml:space="preserve"> in </w:t>
      </w:r>
      <w:r w:rsidR="002C3B28" w:rsidRPr="00300F2C">
        <w:rPr>
          <w:rFonts w:ascii="Times New Roman" w:hAnsi="Times New Roman" w:cs="Times New Roman"/>
          <w:sz w:val="24"/>
          <w:szCs w:val="24"/>
        </w:rPr>
        <w:fldChar w:fldCharType="begin" w:fldLock="1"/>
      </w:r>
      <w:r w:rsidR="001C1FF4" w:rsidRPr="00300F2C">
        <w:rPr>
          <w:rFonts w:ascii="Times New Roman" w:hAnsi="Times New Roman" w:cs="Times New Roman"/>
          <w:sz w:val="24"/>
          <w:szCs w:val="24"/>
        </w:rPr>
        <w:instrText>ADDIN CSL_CITATION {"citationItems":[{"id":"ITEM-1","itemData":{"DOI":"10.5923/j.jnpp.20160604.03","author":[{"dropping-particle":"","family":"Harb","given":"S.","non-dropping-particle":"","parse-names":false,"suffix":""}],"container-title":"Journal of Nuclear and Particle Physics","id":"ITEM-1","issue":"4","issued":{"date-parts":[["2016"]]},"page":"88-93","title":"Evaluation of Radiation doses and Radiation Risk in Teaching Sohag Hospital, Egypt","type":"article-journal","volume":"6"},"uris":["http://www.mendeley.com/documents/?uuid=02bd10a2-6d62-3e9e-b9e9-9481871b498f"]}],"mendeley":{"formattedCitation":"(Harb 2016)","plainTextFormattedCitation":"(Harb 2016)","previouslyFormattedCitation":"(Harb 2016)"},"properties":{"noteIndex":0},"schema":"https://github.com/citation-style-language/schema/raw/master/csl-citation.json"}</w:instrText>
      </w:r>
      <w:r w:rsidR="002C3B28" w:rsidRPr="00300F2C">
        <w:rPr>
          <w:rFonts w:ascii="Times New Roman" w:hAnsi="Times New Roman" w:cs="Times New Roman"/>
          <w:sz w:val="24"/>
          <w:szCs w:val="24"/>
        </w:rPr>
        <w:fldChar w:fldCharType="separate"/>
      </w:r>
      <w:r w:rsidR="002C3B28" w:rsidRPr="00300F2C">
        <w:rPr>
          <w:rFonts w:ascii="Times New Roman" w:hAnsi="Times New Roman" w:cs="Times New Roman"/>
          <w:noProof/>
          <w:sz w:val="24"/>
          <w:szCs w:val="24"/>
        </w:rPr>
        <w:t>(Harb 2016)</w:t>
      </w:r>
      <w:r w:rsidR="002C3B28" w:rsidRPr="00300F2C">
        <w:rPr>
          <w:rFonts w:ascii="Times New Roman" w:hAnsi="Times New Roman" w:cs="Times New Roman"/>
          <w:sz w:val="24"/>
          <w:szCs w:val="24"/>
        </w:rPr>
        <w:fldChar w:fldCharType="end"/>
      </w:r>
      <w:r w:rsidR="002C3B28" w:rsidRPr="00300F2C">
        <w:rPr>
          <w:rFonts w:ascii="Times New Roman" w:hAnsi="Times New Roman" w:cs="Times New Roman"/>
          <w:sz w:val="24"/>
          <w:szCs w:val="24"/>
        </w:rPr>
        <w:t xml:space="preserve"> stated that radiation in </w:t>
      </w:r>
      <w:r w:rsidR="00B00ACE" w:rsidRPr="00300F2C">
        <w:rPr>
          <w:rFonts w:ascii="Times New Roman" w:hAnsi="Times New Roman" w:cs="Times New Roman"/>
          <w:sz w:val="24"/>
          <w:szCs w:val="24"/>
        </w:rPr>
        <w:t>hospitals originate</w:t>
      </w:r>
      <w:r w:rsidR="005C6824">
        <w:rPr>
          <w:rFonts w:ascii="Times New Roman" w:hAnsi="Times New Roman" w:cs="Times New Roman"/>
          <w:sz w:val="24"/>
          <w:szCs w:val="24"/>
        </w:rPr>
        <w:t>s</w:t>
      </w:r>
      <w:r w:rsidR="00B00ACE" w:rsidRPr="00300F2C">
        <w:rPr>
          <w:rFonts w:ascii="Times New Roman" w:hAnsi="Times New Roman" w:cs="Times New Roman"/>
          <w:sz w:val="24"/>
          <w:szCs w:val="24"/>
        </w:rPr>
        <w:t xml:space="preserve"> from t</w:t>
      </w:r>
      <w:r w:rsidR="00123247">
        <w:rPr>
          <w:rFonts w:ascii="Times New Roman" w:hAnsi="Times New Roman" w:cs="Times New Roman"/>
          <w:sz w:val="24"/>
          <w:szCs w:val="24"/>
        </w:rPr>
        <w:t>wo</w:t>
      </w:r>
      <w:r w:rsidR="00B00ACE" w:rsidRPr="00300F2C">
        <w:rPr>
          <w:rFonts w:ascii="Times New Roman" w:hAnsi="Times New Roman" w:cs="Times New Roman"/>
          <w:sz w:val="24"/>
          <w:szCs w:val="24"/>
        </w:rPr>
        <w:t xml:space="preserve"> main sources</w:t>
      </w:r>
      <w:r w:rsidR="002C3B28" w:rsidRPr="00300F2C">
        <w:rPr>
          <w:rFonts w:ascii="Times New Roman" w:hAnsi="Times New Roman" w:cs="Times New Roman"/>
          <w:sz w:val="24"/>
          <w:szCs w:val="24"/>
        </w:rPr>
        <w:t>;</w:t>
      </w:r>
      <w:r w:rsidR="00B00ACE" w:rsidRPr="00300F2C">
        <w:rPr>
          <w:rFonts w:ascii="Times New Roman" w:hAnsi="Times New Roman" w:cs="Times New Roman"/>
          <w:sz w:val="24"/>
          <w:szCs w:val="24"/>
        </w:rPr>
        <w:t xml:space="preserve"> medical exposures, </w:t>
      </w:r>
      <w:r w:rsidR="00123247">
        <w:rPr>
          <w:rFonts w:ascii="Times New Roman" w:hAnsi="Times New Roman" w:cs="Times New Roman"/>
          <w:sz w:val="24"/>
          <w:szCs w:val="24"/>
        </w:rPr>
        <w:t xml:space="preserve"> and </w:t>
      </w:r>
      <w:r w:rsidR="00B00ACE" w:rsidRPr="00300F2C">
        <w:rPr>
          <w:rFonts w:ascii="Times New Roman" w:hAnsi="Times New Roman" w:cs="Times New Roman"/>
          <w:sz w:val="24"/>
          <w:szCs w:val="24"/>
        </w:rPr>
        <w:t>cosmic</w:t>
      </w:r>
      <w:r w:rsidR="00123247">
        <w:rPr>
          <w:rFonts w:ascii="Times New Roman" w:hAnsi="Times New Roman" w:cs="Times New Roman"/>
          <w:sz w:val="24"/>
          <w:szCs w:val="24"/>
        </w:rPr>
        <w:t xml:space="preserve"> radiation, </w:t>
      </w:r>
      <w:r w:rsidR="00B00ACE" w:rsidRPr="00300F2C">
        <w:rPr>
          <w:rFonts w:ascii="Times New Roman" w:hAnsi="Times New Roman" w:cs="Times New Roman"/>
          <w:sz w:val="24"/>
          <w:szCs w:val="24"/>
        </w:rPr>
        <w:t>terrestrial radiation</w:t>
      </w:r>
      <w:r w:rsidR="00123247">
        <w:rPr>
          <w:rFonts w:ascii="Times New Roman" w:hAnsi="Times New Roman" w:cs="Times New Roman"/>
          <w:sz w:val="24"/>
          <w:szCs w:val="24"/>
        </w:rPr>
        <w:t>,</w:t>
      </w:r>
      <w:r w:rsidR="00B00ACE" w:rsidRPr="00300F2C">
        <w:rPr>
          <w:rFonts w:ascii="Times New Roman" w:hAnsi="Times New Roman" w:cs="Times New Roman"/>
          <w:sz w:val="24"/>
          <w:szCs w:val="24"/>
        </w:rPr>
        <w:t xml:space="preserve"> and radioactivity from the background</w:t>
      </w:r>
      <w:r w:rsidR="002C3B28" w:rsidRPr="00300F2C">
        <w:rPr>
          <w:rFonts w:ascii="Times New Roman" w:hAnsi="Times New Roman" w:cs="Times New Roman"/>
          <w:sz w:val="24"/>
          <w:szCs w:val="24"/>
        </w:rPr>
        <w:t>.</w:t>
      </w:r>
      <w:r w:rsidR="003859EE" w:rsidRPr="00300F2C">
        <w:rPr>
          <w:rFonts w:ascii="Times New Roman" w:hAnsi="Times New Roman" w:cs="Times New Roman"/>
          <w:sz w:val="24"/>
          <w:szCs w:val="24"/>
        </w:rPr>
        <w:t xml:space="preserve"> This implies that individuals around such areas are continually exposed to ionizing radiation spontaneously</w:t>
      </w:r>
      <w:r w:rsidR="008E1D15" w:rsidRPr="00300F2C">
        <w:rPr>
          <w:rFonts w:ascii="Times New Roman" w:hAnsi="Times New Roman" w:cs="Times New Roman"/>
          <w:sz w:val="24"/>
          <w:szCs w:val="24"/>
        </w:rPr>
        <w:t xml:space="preserve"> which cannot be avoided</w:t>
      </w:r>
      <w:r w:rsidR="003859EE" w:rsidRPr="00300F2C">
        <w:rPr>
          <w:rFonts w:ascii="Times New Roman" w:hAnsi="Times New Roman" w:cs="Times New Roman"/>
          <w:sz w:val="24"/>
          <w:szCs w:val="24"/>
        </w:rPr>
        <w:t>.</w:t>
      </w:r>
      <w:r w:rsidR="008E1D15" w:rsidRPr="00300F2C">
        <w:rPr>
          <w:rFonts w:ascii="Times New Roman" w:hAnsi="Times New Roman" w:cs="Times New Roman"/>
          <w:sz w:val="24"/>
          <w:szCs w:val="24"/>
        </w:rPr>
        <w:t xml:space="preserve"> The Background ionizing</w:t>
      </w:r>
      <w:r w:rsidR="00123247">
        <w:rPr>
          <w:rFonts w:ascii="Times New Roman" w:hAnsi="Times New Roman" w:cs="Times New Roman"/>
          <w:sz w:val="24"/>
          <w:szCs w:val="24"/>
        </w:rPr>
        <w:t xml:space="preserve"> </w:t>
      </w:r>
      <w:r w:rsidR="008E1D15" w:rsidRPr="00300F2C">
        <w:rPr>
          <w:rFonts w:ascii="Times New Roman" w:hAnsi="Times New Roman" w:cs="Times New Roman"/>
          <w:sz w:val="24"/>
          <w:szCs w:val="24"/>
        </w:rPr>
        <w:t>radiation emanates from both natural and man-made sources. Cosmic, terrestrial</w:t>
      </w:r>
      <w:r w:rsidR="005C6824">
        <w:rPr>
          <w:rFonts w:ascii="Times New Roman" w:hAnsi="Times New Roman" w:cs="Times New Roman"/>
          <w:sz w:val="24"/>
          <w:szCs w:val="24"/>
        </w:rPr>
        <w:t>,</w:t>
      </w:r>
      <w:r w:rsidR="008E1D15" w:rsidRPr="00300F2C">
        <w:rPr>
          <w:rFonts w:ascii="Times New Roman" w:hAnsi="Times New Roman" w:cs="Times New Roman"/>
          <w:sz w:val="24"/>
          <w:szCs w:val="24"/>
        </w:rPr>
        <w:t xml:space="preserve"> and radioactivity from long</w:t>
      </w:r>
      <w:r w:rsidR="005C6824">
        <w:rPr>
          <w:rFonts w:ascii="Times New Roman" w:hAnsi="Times New Roman" w:cs="Times New Roman"/>
          <w:sz w:val="24"/>
          <w:szCs w:val="24"/>
        </w:rPr>
        <w:t>-</w:t>
      </w:r>
      <w:r w:rsidR="008E1D15" w:rsidRPr="00300F2C">
        <w:rPr>
          <w:rFonts w:ascii="Times New Roman" w:hAnsi="Times New Roman" w:cs="Times New Roman"/>
          <w:sz w:val="24"/>
          <w:szCs w:val="24"/>
        </w:rPr>
        <w:t>lived radionuclides</w:t>
      </w:r>
      <w:r w:rsidR="00F40CED" w:rsidRPr="00300F2C">
        <w:rPr>
          <w:rFonts w:ascii="Times New Roman" w:hAnsi="Times New Roman" w:cs="Times New Roman"/>
          <w:sz w:val="24"/>
          <w:szCs w:val="24"/>
        </w:rPr>
        <w:t xml:space="preserve"> from the earth</w:t>
      </w:r>
      <w:r w:rsidR="005C6824">
        <w:rPr>
          <w:rFonts w:ascii="Times New Roman" w:hAnsi="Times New Roman" w:cs="Times New Roman"/>
          <w:sz w:val="24"/>
          <w:szCs w:val="24"/>
        </w:rPr>
        <w:t>'s</w:t>
      </w:r>
      <w:r w:rsidR="00F40CED" w:rsidRPr="00300F2C">
        <w:rPr>
          <w:rFonts w:ascii="Times New Roman" w:hAnsi="Times New Roman" w:cs="Times New Roman"/>
          <w:sz w:val="24"/>
          <w:szCs w:val="24"/>
        </w:rPr>
        <w:t xml:space="preserve"> crust and everywhere in the environment</w:t>
      </w:r>
      <w:r w:rsidR="008E1D15" w:rsidRPr="00300F2C">
        <w:rPr>
          <w:rFonts w:ascii="Times New Roman" w:hAnsi="Times New Roman" w:cs="Times New Roman"/>
          <w:sz w:val="24"/>
          <w:szCs w:val="24"/>
        </w:rPr>
        <w:t xml:space="preserve"> make up the natural sources of ionizing radiation</w:t>
      </w:r>
      <w:r w:rsidR="00F40CED" w:rsidRPr="00300F2C">
        <w:rPr>
          <w:rFonts w:ascii="Times New Roman" w:hAnsi="Times New Roman" w:cs="Times New Roman"/>
          <w:sz w:val="24"/>
          <w:szCs w:val="24"/>
        </w:rPr>
        <w:t xml:space="preserve"> and</w:t>
      </w:r>
      <w:r w:rsidR="00137C10" w:rsidRPr="00300F2C">
        <w:rPr>
          <w:rFonts w:ascii="Times New Roman" w:hAnsi="Times New Roman" w:cs="Times New Roman"/>
          <w:sz w:val="24"/>
          <w:szCs w:val="24"/>
        </w:rPr>
        <w:t xml:space="preserve"> has been established</w:t>
      </w:r>
      <w:r w:rsidR="001C1FF4" w:rsidRPr="00300F2C">
        <w:rPr>
          <w:rFonts w:ascii="Times New Roman" w:hAnsi="Times New Roman" w:cs="Times New Roman"/>
          <w:sz w:val="24"/>
          <w:szCs w:val="24"/>
        </w:rPr>
        <w:t xml:space="preserve"> by </w:t>
      </w:r>
      <w:r w:rsidR="001C1FF4" w:rsidRPr="00300F2C">
        <w:rPr>
          <w:rFonts w:ascii="Times New Roman" w:hAnsi="Times New Roman" w:cs="Times New Roman"/>
          <w:sz w:val="24"/>
          <w:szCs w:val="24"/>
        </w:rPr>
        <w:fldChar w:fldCharType="begin" w:fldLock="1"/>
      </w:r>
      <w:r w:rsidR="00FB036A" w:rsidRPr="00300F2C">
        <w:rPr>
          <w:rFonts w:ascii="Times New Roman" w:hAnsi="Times New Roman" w:cs="Times New Roman"/>
          <w:sz w:val="24"/>
          <w:szCs w:val="24"/>
        </w:rPr>
        <w:instrText>ADDIN CSL_CITATION {"citationItems":[{"id":"ITEM-1","itemData":{"author":[{"dropping-particle":"","family":"L.Bamidele","given":"","non-dropping-particle":"","parse-names":false,"suffix":""}],"container-title":"Medwell Journals","id":"ITEM-1","issue":"4-6","issued":{"date-parts":[["2013"]]},"page":"79-82","title":"Measurement of Ionizing Radiation Level in an High Altitude Town of Imesi-Ile, Osun State, Southwestern, Nigeria","type":"article-journal","volume":"7"},"uris":["http://www.mendeley.com/documents/?uuid=ad96beac-eba7-4b0b-af8e-40637434921d"]}],"mendeley":{"formattedCitation":"(L.Bamidele 2013)","manualFormatting":"(Bamidele 2013)","plainTextFormattedCitation":"(L.Bamidele 2013)","previouslyFormattedCitation":"(L.Bamidele 2013)"},"properties":{"noteIndex":0},"schema":"https://github.com/citation-style-language/schema/raw/master/csl-citation.json"}</w:instrText>
      </w:r>
      <w:r w:rsidR="001C1FF4" w:rsidRPr="00300F2C">
        <w:rPr>
          <w:rFonts w:ascii="Times New Roman" w:hAnsi="Times New Roman" w:cs="Times New Roman"/>
          <w:sz w:val="24"/>
          <w:szCs w:val="24"/>
        </w:rPr>
        <w:fldChar w:fldCharType="separate"/>
      </w:r>
      <w:r w:rsidR="001C1FF4" w:rsidRPr="00300F2C">
        <w:rPr>
          <w:rFonts w:ascii="Times New Roman" w:hAnsi="Times New Roman" w:cs="Times New Roman"/>
          <w:noProof/>
          <w:sz w:val="24"/>
          <w:szCs w:val="24"/>
        </w:rPr>
        <w:t>(Bamidele 2013)</w:t>
      </w:r>
      <w:r w:rsidR="001C1FF4" w:rsidRPr="00300F2C">
        <w:rPr>
          <w:rFonts w:ascii="Times New Roman" w:hAnsi="Times New Roman" w:cs="Times New Roman"/>
          <w:sz w:val="24"/>
          <w:szCs w:val="24"/>
        </w:rPr>
        <w:fldChar w:fldCharType="end"/>
      </w:r>
      <w:r w:rsidR="001C1FF4" w:rsidRPr="00300F2C">
        <w:rPr>
          <w:rFonts w:ascii="Times New Roman" w:hAnsi="Times New Roman" w:cs="Times New Roman"/>
          <w:sz w:val="24"/>
          <w:szCs w:val="24"/>
        </w:rPr>
        <w:t xml:space="preserve"> </w:t>
      </w:r>
      <w:r w:rsidR="00137C10" w:rsidRPr="00300F2C">
        <w:rPr>
          <w:rFonts w:ascii="Times New Roman" w:hAnsi="Times New Roman" w:cs="Times New Roman"/>
          <w:sz w:val="24"/>
          <w:szCs w:val="24"/>
        </w:rPr>
        <w:t xml:space="preserve">to have some considerable exposure on </w:t>
      </w:r>
      <w:r w:rsidR="00F40CED" w:rsidRPr="00300F2C">
        <w:rPr>
          <w:rFonts w:ascii="Times New Roman" w:hAnsi="Times New Roman" w:cs="Times New Roman"/>
          <w:sz w:val="24"/>
          <w:szCs w:val="24"/>
        </w:rPr>
        <w:t>humans</w:t>
      </w:r>
      <w:r w:rsidR="008E1D15" w:rsidRPr="00300F2C">
        <w:rPr>
          <w:rFonts w:ascii="Times New Roman" w:hAnsi="Times New Roman" w:cs="Times New Roman"/>
          <w:sz w:val="24"/>
          <w:szCs w:val="24"/>
        </w:rPr>
        <w:t>.</w:t>
      </w:r>
      <w:r w:rsidR="00F40CED" w:rsidRPr="00300F2C">
        <w:rPr>
          <w:rFonts w:ascii="Times New Roman" w:hAnsi="Times New Roman" w:cs="Times New Roman"/>
          <w:sz w:val="24"/>
          <w:szCs w:val="24"/>
        </w:rPr>
        <w:t xml:space="preserve"> </w:t>
      </w:r>
      <w:r w:rsidR="00EF7318" w:rsidRPr="00300F2C">
        <w:rPr>
          <w:rFonts w:ascii="Times New Roman" w:hAnsi="Times New Roman" w:cs="Times New Roman"/>
          <w:sz w:val="24"/>
          <w:szCs w:val="24"/>
        </w:rPr>
        <w:t>Man-made sources of ionizing radiation are produced artificially for nuclear reactors and medical purposes and the background ionizing radiation from these sources can cause significant effect</w:t>
      </w:r>
      <w:r w:rsidR="005C6824">
        <w:rPr>
          <w:rFonts w:ascii="Times New Roman" w:hAnsi="Times New Roman" w:cs="Times New Roman"/>
          <w:sz w:val="24"/>
          <w:szCs w:val="24"/>
        </w:rPr>
        <w:t>s</w:t>
      </w:r>
      <w:r w:rsidR="00EF7318" w:rsidRPr="00300F2C">
        <w:rPr>
          <w:rFonts w:ascii="Times New Roman" w:hAnsi="Times New Roman" w:cs="Times New Roman"/>
          <w:sz w:val="24"/>
          <w:szCs w:val="24"/>
        </w:rPr>
        <w:t xml:space="preserve"> especially on humans within medial exposure</w:t>
      </w:r>
      <w:r w:rsidR="003859EE" w:rsidRPr="00300F2C">
        <w:rPr>
          <w:rFonts w:ascii="Times New Roman" w:hAnsi="Times New Roman" w:cs="Times New Roman"/>
          <w:sz w:val="24"/>
          <w:szCs w:val="24"/>
        </w:rPr>
        <w:t xml:space="preserve"> </w:t>
      </w:r>
      <w:r w:rsidR="00FB036A" w:rsidRPr="00300F2C">
        <w:rPr>
          <w:rFonts w:ascii="Times New Roman" w:hAnsi="Times New Roman" w:cs="Times New Roman"/>
          <w:sz w:val="24"/>
          <w:szCs w:val="24"/>
        </w:rPr>
        <w:t xml:space="preserve">which can be stochastic and non-stochastic effects </w:t>
      </w:r>
      <w:r w:rsidR="00FB036A" w:rsidRPr="00300F2C">
        <w:rPr>
          <w:rFonts w:ascii="Times New Roman" w:hAnsi="Times New Roman" w:cs="Times New Roman"/>
          <w:sz w:val="24"/>
          <w:szCs w:val="24"/>
        </w:rPr>
        <w:fldChar w:fldCharType="begin" w:fldLock="1"/>
      </w:r>
      <w:r w:rsidR="00B90EDF" w:rsidRPr="00300F2C">
        <w:rPr>
          <w:rFonts w:ascii="Times New Roman" w:hAnsi="Times New Roman" w:cs="Times New Roman"/>
          <w:sz w:val="24"/>
          <w:szCs w:val="24"/>
        </w:rPr>
        <w:instrText>ADDIN CSL_CITATION {"citationItems":[{"id":"ITEM-1","itemData":{"author":[{"dropping-particle":"","family":"Niu","given":"Shengli","non-dropping-particle":"","parse-names":false,"suffix":""}],"id":"ITEM-1","issued":{"date-parts":[["2011"]]},"title":"Radiation protection of workers","type":"article-journal"},"uris":["http://www.mendeley.com/documents/?uuid=94102410-9d40-3f71-bf9b-0bae09a918d7"]}],"mendeley":{"formattedCitation":"(Niu 2011)","plainTextFormattedCitation":"(Niu 2011)","previouslyFormattedCitation":"(Niu 2011)"},"properties":{"noteIndex":0},"schema":"https://github.com/citation-style-language/schema/raw/master/csl-citation.json"}</w:instrText>
      </w:r>
      <w:r w:rsidR="00FB036A" w:rsidRPr="00300F2C">
        <w:rPr>
          <w:rFonts w:ascii="Times New Roman" w:hAnsi="Times New Roman" w:cs="Times New Roman"/>
          <w:sz w:val="24"/>
          <w:szCs w:val="24"/>
        </w:rPr>
        <w:fldChar w:fldCharType="separate"/>
      </w:r>
      <w:r w:rsidR="00FB036A" w:rsidRPr="00300F2C">
        <w:rPr>
          <w:rFonts w:ascii="Times New Roman" w:hAnsi="Times New Roman" w:cs="Times New Roman"/>
          <w:noProof/>
          <w:sz w:val="24"/>
          <w:szCs w:val="24"/>
        </w:rPr>
        <w:t>(Niu 2011)</w:t>
      </w:r>
      <w:r w:rsidR="00FB036A" w:rsidRPr="00300F2C">
        <w:rPr>
          <w:rFonts w:ascii="Times New Roman" w:hAnsi="Times New Roman" w:cs="Times New Roman"/>
          <w:sz w:val="24"/>
          <w:szCs w:val="24"/>
        </w:rPr>
        <w:fldChar w:fldCharType="end"/>
      </w:r>
      <w:r w:rsidR="003859EE" w:rsidRPr="00300F2C">
        <w:rPr>
          <w:rFonts w:ascii="Times New Roman" w:hAnsi="Times New Roman" w:cs="Times New Roman"/>
          <w:sz w:val="24"/>
          <w:szCs w:val="24"/>
        </w:rPr>
        <w:t xml:space="preserve">. Radioactive sources </w:t>
      </w:r>
      <w:r w:rsidR="00FB036A" w:rsidRPr="00300F2C">
        <w:rPr>
          <w:rFonts w:ascii="Times New Roman" w:hAnsi="Times New Roman" w:cs="Times New Roman"/>
          <w:sz w:val="24"/>
          <w:szCs w:val="24"/>
        </w:rPr>
        <w:t>such as Cobalt -60, iridium-192, caesium-137, strontium-90</w:t>
      </w:r>
      <w:r w:rsidR="005C6824">
        <w:rPr>
          <w:rFonts w:ascii="Times New Roman" w:hAnsi="Times New Roman" w:cs="Times New Roman"/>
          <w:sz w:val="24"/>
          <w:szCs w:val="24"/>
        </w:rPr>
        <w:t>,</w:t>
      </w:r>
      <w:r w:rsidR="00FB036A" w:rsidRPr="00300F2C">
        <w:rPr>
          <w:rFonts w:ascii="Times New Roman" w:hAnsi="Times New Roman" w:cs="Times New Roman"/>
          <w:sz w:val="24"/>
          <w:szCs w:val="24"/>
        </w:rPr>
        <w:t xml:space="preserve"> and americium-241 </w:t>
      </w:r>
      <w:r w:rsidR="003859EE" w:rsidRPr="00300F2C">
        <w:rPr>
          <w:rFonts w:ascii="Times New Roman" w:hAnsi="Times New Roman" w:cs="Times New Roman"/>
          <w:sz w:val="24"/>
          <w:szCs w:val="24"/>
        </w:rPr>
        <w:t xml:space="preserve">are used </w:t>
      </w:r>
      <w:r w:rsidR="00FB036A" w:rsidRPr="00300F2C">
        <w:rPr>
          <w:rFonts w:ascii="Times New Roman" w:hAnsi="Times New Roman" w:cs="Times New Roman"/>
          <w:sz w:val="24"/>
          <w:szCs w:val="24"/>
        </w:rPr>
        <w:t xml:space="preserve">in </w:t>
      </w:r>
      <w:r w:rsidR="003859EE" w:rsidRPr="00300F2C">
        <w:rPr>
          <w:rFonts w:ascii="Times New Roman" w:hAnsi="Times New Roman" w:cs="Times New Roman"/>
          <w:sz w:val="24"/>
          <w:szCs w:val="24"/>
        </w:rPr>
        <w:t>medicine</w:t>
      </w:r>
      <w:r w:rsidR="00FB036A" w:rsidRPr="00300F2C">
        <w:rPr>
          <w:rFonts w:ascii="Times New Roman" w:hAnsi="Times New Roman" w:cs="Times New Roman"/>
          <w:sz w:val="24"/>
          <w:szCs w:val="24"/>
        </w:rPr>
        <w:t xml:space="preserve"> for radiotherapy purposes.</w:t>
      </w:r>
      <w:r w:rsidR="00B90EDF" w:rsidRPr="00300F2C">
        <w:rPr>
          <w:rFonts w:ascii="Times New Roman" w:hAnsi="Times New Roman" w:cs="Times New Roman"/>
          <w:sz w:val="24"/>
          <w:szCs w:val="24"/>
        </w:rPr>
        <w:t xml:space="preserve"> In the sources and effects of ionizing radiation report by   </w:t>
      </w:r>
      <w:r w:rsidR="00FB036A" w:rsidRPr="00300F2C">
        <w:rPr>
          <w:rFonts w:ascii="Times New Roman" w:hAnsi="Times New Roman" w:cs="Times New Roman"/>
          <w:sz w:val="24"/>
          <w:szCs w:val="24"/>
        </w:rPr>
        <w:t xml:space="preserve"> </w:t>
      </w:r>
      <w:r w:rsidR="003859EE" w:rsidRPr="00300F2C">
        <w:rPr>
          <w:rFonts w:ascii="Times New Roman" w:hAnsi="Times New Roman" w:cs="Times New Roman"/>
          <w:sz w:val="24"/>
          <w:szCs w:val="24"/>
        </w:rPr>
        <w:t xml:space="preserve"> </w:t>
      </w:r>
      <w:r w:rsidR="00B90EDF" w:rsidRPr="00300F2C">
        <w:rPr>
          <w:rFonts w:ascii="Times New Roman" w:hAnsi="Times New Roman" w:cs="Times New Roman"/>
          <w:sz w:val="24"/>
          <w:szCs w:val="24"/>
        </w:rPr>
        <w:fldChar w:fldCharType="begin" w:fldLock="1"/>
      </w:r>
      <w:r w:rsidR="00814B2C" w:rsidRPr="00300F2C">
        <w:rPr>
          <w:rFonts w:ascii="Times New Roman" w:hAnsi="Times New Roman" w:cs="Times New Roman"/>
          <w:sz w:val="24"/>
          <w:szCs w:val="24"/>
        </w:rPr>
        <w:instrText>ADDIN CSL_CITATION {"citationItems":[{"id":"ITEM-1","itemData":{"DOI":"10.1093/oxfordjournals.rpd.a079988","ISBN":"9789211422740","ISSN":"01448420","author":[{"dropping-particle":"","family":"UNSCEAR","given":"","non-dropping-particle":"","parse-names":false,"suffix":""}],"id":"ITEM-1","issued":{"date-parts":[["2008"]]},"publisher-place":"New York","title":"Sources and Effects of Ionizing Radiation United Nations Scientific Committee on the Effects of Atomic Radiation UNSCEAR 2008 Report","type":"report"},"uris":["http://www.mendeley.com/documents/?uuid=4d7ffd38-e2bf-4ce6-b7c5-9696c5d4e71f"]}],"mendeley":{"formattedCitation":"(UNSCEAR 2008)","plainTextFormattedCitation":"(UNSCEAR 2008)","previouslyFormattedCitation":"(UNSCEAR 2008)"},"properties":{"noteIndex":0},"schema":"https://github.com/citation-style-language/schema/raw/master/csl-citation.json"}</w:instrText>
      </w:r>
      <w:r w:rsidR="00B90EDF" w:rsidRPr="00300F2C">
        <w:rPr>
          <w:rFonts w:ascii="Times New Roman" w:hAnsi="Times New Roman" w:cs="Times New Roman"/>
          <w:sz w:val="24"/>
          <w:szCs w:val="24"/>
        </w:rPr>
        <w:fldChar w:fldCharType="separate"/>
      </w:r>
      <w:r w:rsidR="00B90EDF" w:rsidRPr="00300F2C">
        <w:rPr>
          <w:rFonts w:ascii="Times New Roman" w:hAnsi="Times New Roman" w:cs="Times New Roman"/>
          <w:noProof/>
          <w:sz w:val="24"/>
          <w:szCs w:val="24"/>
        </w:rPr>
        <w:t>(UNSCEAR 2008)</w:t>
      </w:r>
      <w:r w:rsidR="00B90EDF" w:rsidRPr="00300F2C">
        <w:rPr>
          <w:rFonts w:ascii="Times New Roman" w:hAnsi="Times New Roman" w:cs="Times New Roman"/>
          <w:sz w:val="24"/>
          <w:szCs w:val="24"/>
        </w:rPr>
        <w:fldChar w:fldCharType="end"/>
      </w:r>
      <w:r w:rsidR="005C6824">
        <w:rPr>
          <w:rFonts w:ascii="Times New Roman" w:hAnsi="Times New Roman" w:cs="Times New Roman"/>
          <w:sz w:val="24"/>
          <w:szCs w:val="24"/>
        </w:rPr>
        <w:t>,</w:t>
      </w:r>
      <w:r w:rsidR="00B90EDF" w:rsidRPr="00300F2C">
        <w:rPr>
          <w:rFonts w:ascii="Times New Roman" w:hAnsi="Times New Roman" w:cs="Times New Roman"/>
          <w:sz w:val="24"/>
          <w:szCs w:val="24"/>
        </w:rPr>
        <w:t xml:space="preserve"> it was clearly stated that the global estimated average dose of background ionizing radiation received by humans is about 0.274</w:t>
      </w:r>
      <w:r w:rsidR="00CA0376">
        <w:rPr>
          <w:rFonts w:ascii="Times New Roman" w:hAnsi="Times New Roman" w:cs="Times New Roman"/>
          <w:sz w:val="24"/>
          <w:szCs w:val="24"/>
        </w:rPr>
        <w:t xml:space="preserve"> </w:t>
      </w:r>
      <w:r w:rsidR="00B90EDF" w:rsidRPr="00300F2C">
        <w:rPr>
          <w:rFonts w:ascii="Times New Roman" w:hAnsi="Times New Roman" w:cs="Times New Roman"/>
          <w:sz w:val="24"/>
          <w:szCs w:val="24"/>
        </w:rPr>
        <w:t>µ</w:t>
      </w:r>
      <w:proofErr w:type="spellStart"/>
      <w:r w:rsidR="00B90EDF" w:rsidRPr="00300F2C">
        <w:rPr>
          <w:rFonts w:ascii="Times New Roman" w:hAnsi="Times New Roman" w:cs="Times New Roman"/>
          <w:sz w:val="24"/>
          <w:szCs w:val="24"/>
        </w:rPr>
        <w:t>Sv</w:t>
      </w:r>
      <w:proofErr w:type="spellEnd"/>
      <w:r w:rsidR="00B90EDF" w:rsidRPr="00300F2C">
        <w:rPr>
          <w:rFonts w:ascii="Times New Roman" w:hAnsi="Times New Roman" w:cs="Times New Roman"/>
          <w:sz w:val="24"/>
          <w:szCs w:val="24"/>
        </w:rPr>
        <w:t>/</w:t>
      </w:r>
      <w:proofErr w:type="spellStart"/>
      <w:r w:rsidR="00B90EDF" w:rsidRPr="00300F2C">
        <w:rPr>
          <w:rFonts w:ascii="Times New Roman" w:hAnsi="Times New Roman" w:cs="Times New Roman"/>
          <w:sz w:val="24"/>
          <w:szCs w:val="24"/>
        </w:rPr>
        <w:t>hr</w:t>
      </w:r>
      <w:proofErr w:type="spellEnd"/>
      <w:r w:rsidR="00B90EDF" w:rsidRPr="00300F2C">
        <w:rPr>
          <w:rFonts w:ascii="Times New Roman" w:hAnsi="Times New Roman" w:cs="Times New Roman"/>
          <w:sz w:val="24"/>
          <w:szCs w:val="24"/>
        </w:rPr>
        <w:t>, of which 80% comes from nature, while the remaining 20% results from exposure to man-made radiation sources.</w:t>
      </w:r>
      <w:r w:rsidR="009E0E7D" w:rsidRPr="00300F2C">
        <w:rPr>
          <w:rFonts w:ascii="Times New Roman" w:hAnsi="Times New Roman" w:cs="Times New Roman"/>
          <w:sz w:val="24"/>
          <w:szCs w:val="24"/>
        </w:rPr>
        <w:t xml:space="preserve"> One of the known harmful effects of ionizing radiation is cancer. </w:t>
      </w:r>
      <w:r w:rsidR="009E0E7D" w:rsidRPr="00300F2C">
        <w:rPr>
          <w:rFonts w:ascii="Times New Roman" w:hAnsi="Times New Roman" w:cs="Times New Roman"/>
          <w:bCs/>
          <w:sz w:val="24"/>
          <w:szCs w:val="24"/>
        </w:rPr>
        <w:t xml:space="preserve">It </w:t>
      </w:r>
      <w:r w:rsidR="00BE5DC8" w:rsidRPr="00300F2C">
        <w:rPr>
          <w:rFonts w:ascii="Times New Roman" w:hAnsi="Times New Roman" w:cs="Times New Roman"/>
          <w:bCs/>
          <w:sz w:val="24"/>
          <w:szCs w:val="24"/>
        </w:rPr>
        <w:t>is known to be the</w:t>
      </w:r>
      <w:r w:rsidR="00EE7769" w:rsidRPr="00300F2C">
        <w:rPr>
          <w:rFonts w:ascii="Times New Roman" w:hAnsi="Times New Roman" w:cs="Times New Roman"/>
          <w:sz w:val="24"/>
          <w:szCs w:val="24"/>
        </w:rPr>
        <w:t xml:space="preserve"> top-tier source of death and leading public health problem </w:t>
      </w:r>
      <w:r w:rsidR="00EE7769" w:rsidRPr="00300F2C">
        <w:rPr>
          <w:rFonts w:ascii="Times New Roman" w:hAnsi="Times New Roman" w:cs="Times New Roman"/>
          <w:sz w:val="24"/>
          <w:szCs w:val="24"/>
        </w:rPr>
        <w:fldChar w:fldCharType="begin" w:fldLock="1"/>
      </w:r>
      <w:r w:rsidR="00090941" w:rsidRPr="00300F2C">
        <w:rPr>
          <w:rFonts w:ascii="Times New Roman" w:hAnsi="Times New Roman" w:cs="Times New Roman"/>
          <w:sz w:val="24"/>
          <w:szCs w:val="24"/>
        </w:rPr>
        <w:instrText>ADDIN CSL_CITATION {"citationItems":[{"id":"ITEM-1","itemData":{"ISSN":"00309982","PMID":"29479104","abstract":"Current practices in radiation therapy required high doses of radiation to be delivered with increased accuracy. Treatment planning task is exercised till an optimum dose distribution is achieved. The present reported work was performed to compare the various aspects of the cobalt-60 radiation beam therapy with fixed source-surface distance 70cm incident normally. This study was conducted in May 2012 at the Department of Radiation Physics of MD Anderson Cancer Centre, University of Texas, Houston, United States. Radiation doses were calculated in a solid phantom as well as in water phantom at different square field sizes and depths. It was noted that the rate of absorbed dose increased with the increase in the field size and decreased with the increase in depths. The rate of absorbed dose was found to be directly proportional to the increase in the square field size and inversely proportional to the increase in depth. Moreover, the solid phantom demonstrated more absorbed doses as compared to the water phantom.","author":[{"dropping-particle":"","family":"Akram","given":"Muhammad","non-dropping-particle":"","parse-names":false,"suffix":""},{"dropping-particle":"","family":"Zulkafal","given":"Hafiz Muhibb Ullah","non-dropping-particle":"","parse-names":false,"suffix":""},{"dropping-particle":"","family":"Altaf","given":"Saima","non-dropping-particle":"","parse-names":false,"suffix":""},{"dropping-particle":"","family":"Iqbal","given":"Khalid","non-dropping-particle":"","parse-names":false,"suffix":""},{"dropping-particle":"","family":"Khan","given":"Muhammad Afzal","non-dropping-particle":"","parse-names":false,"suffix":""},{"dropping-particle":"","family":"Buzdar","given":"Saeed Ahmed","non-dropping-particle":"","parse-names":false,"suffix":""}],"container-title":"Journal of the Pakistan Medical Association","id":"ITEM-1","issue":"2","issued":{"date-parts":[["2018"]]},"page":"264-267","title":"Radiation absorbed dose for cobalt-60 gamma source in phantoms for different materials","type":"article-journal","volume":"68"},"uris":["http://www.mendeley.com/documents/?uuid=50f6597e-9af4-43cc-9a47-2166deae9b2c"]}],"mendeley":{"formattedCitation":"(Akram et al. 2018)","plainTextFormattedCitation":"(Akram et al. 2018)","previouslyFormattedCitation":"(Akram et al. 2018)"},"properties":{"noteIndex":0},"schema":"https://github.com/citation-style-language/schema/raw/master/csl-citation.json"}</w:instrText>
      </w:r>
      <w:r w:rsidR="00EE7769" w:rsidRPr="00300F2C">
        <w:rPr>
          <w:rFonts w:ascii="Times New Roman" w:hAnsi="Times New Roman" w:cs="Times New Roman"/>
          <w:sz w:val="24"/>
          <w:szCs w:val="24"/>
        </w:rPr>
        <w:fldChar w:fldCharType="separate"/>
      </w:r>
      <w:r w:rsidR="00EE7769" w:rsidRPr="00300F2C">
        <w:rPr>
          <w:rFonts w:ascii="Times New Roman" w:hAnsi="Times New Roman" w:cs="Times New Roman"/>
          <w:noProof/>
          <w:sz w:val="24"/>
          <w:szCs w:val="24"/>
        </w:rPr>
        <w:t>(Akram et al. 2018)</w:t>
      </w:r>
      <w:r w:rsidR="00EE7769" w:rsidRPr="00300F2C">
        <w:rPr>
          <w:rFonts w:ascii="Times New Roman" w:hAnsi="Times New Roman" w:cs="Times New Roman"/>
          <w:sz w:val="24"/>
          <w:szCs w:val="24"/>
        </w:rPr>
        <w:fldChar w:fldCharType="end"/>
      </w:r>
      <w:r w:rsidR="00EE7769" w:rsidRPr="00300F2C">
        <w:rPr>
          <w:rFonts w:ascii="Times New Roman" w:hAnsi="Times New Roman" w:cs="Times New Roman"/>
          <w:sz w:val="24"/>
          <w:szCs w:val="24"/>
        </w:rPr>
        <w:t>.</w:t>
      </w:r>
      <w:r w:rsidR="00090941" w:rsidRPr="00300F2C">
        <w:rPr>
          <w:rFonts w:ascii="Times New Roman" w:hAnsi="Times New Roman" w:cs="Times New Roman"/>
          <w:sz w:val="24"/>
          <w:szCs w:val="24"/>
        </w:rPr>
        <w:t xml:space="preserve"> </w:t>
      </w:r>
      <w:r w:rsidR="00090941" w:rsidRPr="00123247">
        <w:rPr>
          <w:rFonts w:ascii="Times New Roman" w:hAnsi="Times New Roman" w:cs="Times New Roman"/>
          <w:sz w:val="24"/>
          <w:szCs w:val="24"/>
        </w:rPr>
        <w:t xml:space="preserve">In a research study by </w:t>
      </w:r>
      <w:proofErr w:type="spellStart"/>
      <w:r w:rsidR="0039344E" w:rsidRPr="00123247">
        <w:rPr>
          <w:rFonts w:ascii="Times New Roman" w:hAnsi="Times New Roman" w:cs="Times New Roman"/>
          <w:sz w:val="24"/>
          <w:szCs w:val="24"/>
        </w:rPr>
        <w:t>Ferlay</w:t>
      </w:r>
      <w:proofErr w:type="spellEnd"/>
      <w:r w:rsidR="0039344E" w:rsidRPr="00123247">
        <w:rPr>
          <w:rFonts w:ascii="Times New Roman" w:hAnsi="Times New Roman" w:cs="Times New Roman"/>
          <w:sz w:val="24"/>
          <w:szCs w:val="24"/>
        </w:rPr>
        <w:t xml:space="preserve">, </w:t>
      </w:r>
      <w:r w:rsidR="00090941" w:rsidRPr="00123247">
        <w:rPr>
          <w:rFonts w:ascii="Times New Roman" w:hAnsi="Times New Roman" w:cs="Times New Roman"/>
          <w:sz w:val="24"/>
          <w:szCs w:val="24"/>
        </w:rPr>
        <w:fldChar w:fldCharType="begin" w:fldLock="1"/>
      </w:r>
      <w:r w:rsidR="00090941" w:rsidRPr="00123247">
        <w:rPr>
          <w:rFonts w:ascii="Times New Roman" w:hAnsi="Times New Roman" w:cs="Times New Roman"/>
          <w:sz w:val="24"/>
          <w:szCs w:val="24"/>
        </w:rPr>
        <w:instrText>ADDIN CSL_CITATION {"citationItems":[{"id":"ITEM-1","itemData":{"DOI":"10.1002/ijc.25516","ISSN":"00207136","PMID":"21351269","abstract":"Estimates of the worldwide incidence and mortality from 27 cancers in 2008 have been prepared for 182 countries as part of the GLOBOCAN series published by the International Agency for Research on Cancer. In this article, we present the results for 20 world regions, summarizing the global patterns for the eight most common cancers. Overall, an estimated 12.7 million new cancer cases and 7.6 million cancer deaths occur in 2008, with 56% of new cancer cases and 63% of the cancer deaths occurring in the less developed regions of the world. The most commonly diagnosed cancers worldwide are lung (1.61 million, 12.7% of the total), breast (1.38 million, 10.9%) and colorectal cancers (1.23 million, 9.7%). The most common causes of cancer death are lung cancer (1.38 million, 18.2% of the total), stomach cancer (738,000 deaths, 9.7%) and liver cancer (696,000 deaths, 9.2%). Cancer is neither rare anywhere in the world, nor mainly confined to high-resource countries. Striking differences in the patterns of cancer from region to region are observed. © 2010 UICC.","author":[{"dropping-particle":"","family":"Ferlay","given":"Jacques","non-dropping-particle":"","parse-names":false,"suffix":""},{"dropping-particle":"","family":"Shin","given":"Hai Rim","non-dropping-particle":"","parse-names":false,"suffix":""},{"dropping-particle":"","family":"Bray","given":"Freddie","non-dropping-particle":"","parse-names":false,"suffix":""},{"dropping-particle":"","family":"Forman","given":"David","non-dropping-particle":"","parse-names":false,"suffix":""},{"dropping-particle":"","family":"Mathers","given":"Colin","non-dropping-particle":"","parse-names":false,"suffix":""},{"dropping-particle":"","family":"Parkin","given":"Donald Maxwell","non-dropping-particle":"","parse-names":false,"suffix":""}],"container-title":"International Journal of Cancer","id":"ITEM-1","issue":"12","issued":{"date-parts":[["2010"]]},"page":"2893-2917","title":"Estimates of worldwide burden of cancer in 2008: GLOBOCAN 2008","type":"article-journal","volume":"127"},"uris":["http://www.mendeley.com/documents/?uuid=c9591ade-ba03-498f-8d80-4074b9133233"]}],"mendeley":{"formattedCitation":"(Ferlay et al. 2010)","plainTextFormattedCitation":"(Ferlay et al. 2010)","previouslyFormattedCitation":"(Ferlay et al. 2010)"},"properties":{"noteIndex":0},"schema":"https://github.com/citation-style-language/schema/raw/master/csl-citation.json"}</w:instrText>
      </w:r>
      <w:r w:rsidR="00090941" w:rsidRPr="00123247">
        <w:rPr>
          <w:rFonts w:ascii="Times New Roman" w:hAnsi="Times New Roman" w:cs="Times New Roman"/>
          <w:sz w:val="24"/>
          <w:szCs w:val="24"/>
        </w:rPr>
        <w:fldChar w:fldCharType="separate"/>
      </w:r>
      <w:r w:rsidR="00090941" w:rsidRPr="00123247">
        <w:rPr>
          <w:rFonts w:ascii="Times New Roman" w:hAnsi="Times New Roman" w:cs="Times New Roman"/>
          <w:noProof/>
          <w:sz w:val="24"/>
          <w:szCs w:val="24"/>
        </w:rPr>
        <w:t>(Ferlay et al. 2010)</w:t>
      </w:r>
      <w:r w:rsidR="00090941" w:rsidRPr="00123247">
        <w:rPr>
          <w:rFonts w:ascii="Times New Roman" w:hAnsi="Times New Roman" w:cs="Times New Roman"/>
          <w:sz w:val="24"/>
          <w:szCs w:val="24"/>
        </w:rPr>
        <w:fldChar w:fldCharType="end"/>
      </w:r>
      <w:r w:rsidR="00090941" w:rsidRPr="00123247">
        <w:rPr>
          <w:rFonts w:ascii="Times New Roman" w:hAnsi="Times New Roman" w:cs="Times New Roman"/>
          <w:sz w:val="24"/>
          <w:szCs w:val="24"/>
        </w:rPr>
        <w:t xml:space="preserve"> and </w:t>
      </w:r>
      <w:r w:rsidR="0039344E" w:rsidRPr="00123247">
        <w:rPr>
          <w:rFonts w:ascii="Times New Roman" w:hAnsi="Times New Roman" w:cs="Times New Roman"/>
          <w:sz w:val="24"/>
          <w:szCs w:val="24"/>
        </w:rPr>
        <w:t xml:space="preserve">Jemal </w:t>
      </w:r>
      <w:r w:rsidR="00090941" w:rsidRPr="00123247">
        <w:rPr>
          <w:rFonts w:ascii="Times New Roman" w:hAnsi="Times New Roman" w:cs="Times New Roman"/>
          <w:sz w:val="24"/>
          <w:szCs w:val="24"/>
        </w:rPr>
        <w:fldChar w:fldCharType="begin" w:fldLock="1"/>
      </w:r>
      <w:r w:rsidR="00B57904" w:rsidRPr="00123247">
        <w:rPr>
          <w:rFonts w:ascii="Times New Roman" w:hAnsi="Times New Roman" w:cs="Times New Roman"/>
          <w:sz w:val="24"/>
          <w:szCs w:val="24"/>
        </w:rPr>
        <w:instrText>ADDIN CSL_CITATION {"citationItems":[{"id":"ITEM-1","itemData":{"DOI":"10.3322/caac.20107.Available","ISBN":"0007-9235 (Print)\\r0007-9235 (Linking)","ISSN":"0007-9235","PMID":"10200776","abstract":"Statistics are given for global patterns of cancer incidence and mortality for males and females in 23 regions of the world.","author":[{"dropping-particle":"","family":"Jemal","given":"Ahmedin","non-dropping-particle":"","parse-names":false,"suffix":""},{"dropping-particle":"","family":"Bray","given":"Freddie","non-dropping-particle":"","parse-names":false,"suffix":""},{"dropping-particle":"","family":"Ferlay","given":"Jacques","non-dropping-particle":"","parse-names":false,"suffix":""}],"container-title":"CA Cancer J Clin","id":"ITEM-1","issue":"2","issued":{"date-parts":[["1999"]]},"page":"1,33-64","title":"Global Cancer Statistics: 2011","type":"article-journal","volume":"49"},"uris":["http://www.mendeley.com/documents/?uuid=89927ab2-3f03-4cd3-af16-7de1773e6239"]}],"mendeley":{"formattedCitation":"(Jemal, Bray, and Ferlay 1999)","plainTextFormattedCitation":"(Jemal, Bray, and Ferlay 1999)","previouslyFormattedCitation":"(Jemal, Bray, and Ferlay 1999)"},"properties":{"noteIndex":0},"schema":"https://github.com/citation-style-language/schema/raw/master/csl-citation.json"}</w:instrText>
      </w:r>
      <w:r w:rsidR="00090941" w:rsidRPr="00123247">
        <w:rPr>
          <w:rFonts w:ascii="Times New Roman" w:hAnsi="Times New Roman" w:cs="Times New Roman"/>
          <w:sz w:val="24"/>
          <w:szCs w:val="24"/>
        </w:rPr>
        <w:fldChar w:fldCharType="separate"/>
      </w:r>
      <w:r w:rsidR="00090941" w:rsidRPr="00123247">
        <w:rPr>
          <w:rFonts w:ascii="Times New Roman" w:hAnsi="Times New Roman" w:cs="Times New Roman"/>
          <w:noProof/>
          <w:sz w:val="24"/>
          <w:szCs w:val="24"/>
        </w:rPr>
        <w:t>(Jemal, Bray, and Ferlay 1999)</w:t>
      </w:r>
      <w:r w:rsidR="00090941" w:rsidRPr="00123247">
        <w:rPr>
          <w:rFonts w:ascii="Times New Roman" w:hAnsi="Times New Roman" w:cs="Times New Roman"/>
          <w:sz w:val="24"/>
          <w:szCs w:val="24"/>
        </w:rPr>
        <w:fldChar w:fldCharType="end"/>
      </w:r>
      <w:r w:rsidR="0039344E" w:rsidRPr="00123247">
        <w:rPr>
          <w:rFonts w:ascii="Times New Roman" w:hAnsi="Times New Roman" w:cs="Times New Roman"/>
          <w:sz w:val="24"/>
          <w:szCs w:val="24"/>
        </w:rPr>
        <w:t xml:space="preserve">, </w:t>
      </w:r>
      <w:r w:rsidR="00090941" w:rsidRPr="00123247">
        <w:rPr>
          <w:rFonts w:ascii="Times New Roman" w:hAnsi="Times New Roman" w:cs="Times New Roman"/>
          <w:sz w:val="24"/>
          <w:szCs w:val="24"/>
        </w:rPr>
        <w:t>it was estimated that 20 million new cancer cases may be expected globally in 2020.</w:t>
      </w:r>
      <w:r w:rsidR="0053452B" w:rsidRPr="00123247">
        <w:rPr>
          <w:rFonts w:ascii="Times New Roman" w:hAnsi="Times New Roman" w:cs="Times New Roman"/>
          <w:sz w:val="24"/>
          <w:szCs w:val="24"/>
        </w:rPr>
        <w:t xml:space="preserve"> Following this study, 19.3 million new cancer cases </w:t>
      </w:r>
      <w:r w:rsidR="00B57904" w:rsidRPr="00123247">
        <w:rPr>
          <w:rFonts w:ascii="Times New Roman" w:hAnsi="Times New Roman" w:cs="Times New Roman"/>
          <w:sz w:val="24"/>
          <w:szCs w:val="24"/>
        </w:rPr>
        <w:t>w</w:t>
      </w:r>
      <w:r w:rsidR="005C6824">
        <w:rPr>
          <w:rFonts w:ascii="Times New Roman" w:hAnsi="Times New Roman" w:cs="Times New Roman"/>
          <w:sz w:val="24"/>
          <w:szCs w:val="24"/>
        </w:rPr>
        <w:t>ere</w:t>
      </w:r>
      <w:r w:rsidR="00B57904" w:rsidRPr="00123247">
        <w:rPr>
          <w:rFonts w:ascii="Times New Roman" w:hAnsi="Times New Roman" w:cs="Times New Roman"/>
          <w:sz w:val="24"/>
          <w:szCs w:val="24"/>
        </w:rPr>
        <w:t xml:space="preserve"> </w:t>
      </w:r>
      <w:r w:rsidR="0053452B" w:rsidRPr="00123247">
        <w:rPr>
          <w:rFonts w:ascii="Times New Roman" w:hAnsi="Times New Roman" w:cs="Times New Roman"/>
          <w:sz w:val="24"/>
          <w:szCs w:val="24"/>
        </w:rPr>
        <w:t xml:space="preserve">estimated in the year 2020 </w:t>
      </w:r>
      <w:r w:rsidR="00B57904" w:rsidRPr="00123247">
        <w:rPr>
          <w:rFonts w:ascii="Times New Roman" w:hAnsi="Times New Roman" w:cs="Times New Roman"/>
          <w:sz w:val="24"/>
          <w:szCs w:val="24"/>
        </w:rPr>
        <w:t>with female breast cancer as the most frequent</w:t>
      </w:r>
      <w:r w:rsidR="005C6824">
        <w:rPr>
          <w:rFonts w:ascii="Times New Roman" w:hAnsi="Times New Roman" w:cs="Times New Roman"/>
          <w:sz w:val="24"/>
          <w:szCs w:val="24"/>
        </w:rPr>
        <w:t>ly</w:t>
      </w:r>
      <w:r w:rsidR="00B57904" w:rsidRPr="00123247">
        <w:rPr>
          <w:rFonts w:ascii="Times New Roman" w:hAnsi="Times New Roman" w:cs="Times New Roman"/>
          <w:sz w:val="24"/>
          <w:szCs w:val="24"/>
        </w:rPr>
        <w:t xml:space="preserve"> diagnosed cancer and lung cancer remaining the principal cause of cancer death </w:t>
      </w:r>
      <w:r w:rsidR="00B57904" w:rsidRPr="00123247">
        <w:rPr>
          <w:rFonts w:ascii="Times New Roman" w:hAnsi="Times New Roman" w:cs="Times New Roman"/>
          <w:sz w:val="24"/>
          <w:szCs w:val="24"/>
        </w:rPr>
        <w:fldChar w:fldCharType="begin" w:fldLock="1"/>
      </w:r>
      <w:r w:rsidR="009B6B59" w:rsidRPr="00123247">
        <w:rPr>
          <w:rFonts w:ascii="Times New Roman" w:hAnsi="Times New Roman" w:cs="Times New Roman"/>
          <w:sz w:val="24"/>
          <w:szCs w:val="24"/>
        </w:rPr>
        <w:instrText>ADDIN CSL_CITATION {"citationItems":[{"id":"ITEM-1","itemData":{"DOI":"10.3322/caac.21660","ISSN":"0007-9235","PMID":"33538338","abstract":"This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2-fold to 3-fold higher in transitioned versus transitioning countries for both sexes, whereas mortality varied &lt;2-fold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Clinicians","id":"ITEM-1","issue":"0","issued":{"date-parts":[["2021"]]},"page":"1-41","title":"Global cancer statistics 2020: GLOBOCAN estimates of incidence and mortality worldwide for 36 cancers in 185 countries","type":"article-journal","volume":"0"},"uris":["http://www.mendeley.com/documents/?uuid=1fdcfbed-d133-443d-a40c-6b69c78b695f"]}],"mendeley":{"formattedCitation":"(Sung et al. 2021)","plainTextFormattedCitation":"(Sung et al. 2021)","previouslyFormattedCitation":"(Sung et al. 2021)"},"properties":{"noteIndex":0},"schema":"https://github.com/citation-style-language/schema/raw/master/csl-citation.json"}</w:instrText>
      </w:r>
      <w:r w:rsidR="00B57904" w:rsidRPr="00123247">
        <w:rPr>
          <w:rFonts w:ascii="Times New Roman" w:hAnsi="Times New Roman" w:cs="Times New Roman"/>
          <w:sz w:val="24"/>
          <w:szCs w:val="24"/>
        </w:rPr>
        <w:fldChar w:fldCharType="separate"/>
      </w:r>
      <w:r w:rsidR="00B57904" w:rsidRPr="00123247">
        <w:rPr>
          <w:rFonts w:ascii="Times New Roman" w:hAnsi="Times New Roman" w:cs="Times New Roman"/>
          <w:noProof/>
          <w:sz w:val="24"/>
          <w:szCs w:val="24"/>
        </w:rPr>
        <w:t>(Sung et al. 2021)</w:t>
      </w:r>
      <w:r w:rsidR="00B57904" w:rsidRPr="00123247">
        <w:rPr>
          <w:rFonts w:ascii="Times New Roman" w:hAnsi="Times New Roman" w:cs="Times New Roman"/>
          <w:sz w:val="24"/>
          <w:szCs w:val="24"/>
        </w:rPr>
        <w:fldChar w:fldCharType="end"/>
      </w:r>
      <w:r w:rsidR="00B57904" w:rsidRPr="00123247">
        <w:rPr>
          <w:rFonts w:ascii="Times New Roman" w:hAnsi="Times New Roman" w:cs="Times New Roman"/>
          <w:sz w:val="24"/>
          <w:szCs w:val="24"/>
        </w:rPr>
        <w:t>.</w:t>
      </w:r>
      <w:r w:rsidR="009B6B59" w:rsidRPr="00300F2C">
        <w:rPr>
          <w:rFonts w:ascii="Times New Roman" w:hAnsi="Times New Roman" w:cs="Times New Roman"/>
          <w:sz w:val="24"/>
          <w:szCs w:val="24"/>
        </w:rPr>
        <w:t xml:space="preserve"> Through research, methods were discovered which can solve this public health problem.</w:t>
      </w:r>
      <w:r w:rsidR="00B57904" w:rsidRPr="00300F2C">
        <w:rPr>
          <w:rFonts w:ascii="Times New Roman" w:hAnsi="Times New Roman" w:cs="Times New Roman"/>
          <w:sz w:val="24"/>
          <w:szCs w:val="24"/>
        </w:rPr>
        <w:t xml:space="preserve"> </w:t>
      </w:r>
      <w:r w:rsidR="009B6B59" w:rsidRPr="00300F2C">
        <w:rPr>
          <w:rFonts w:ascii="Times New Roman" w:hAnsi="Times New Roman" w:cs="Times New Roman"/>
          <w:sz w:val="24"/>
          <w:szCs w:val="24"/>
        </w:rPr>
        <w:fldChar w:fldCharType="begin" w:fldLock="1"/>
      </w:r>
      <w:r w:rsidR="002E18E0" w:rsidRPr="00300F2C">
        <w:rPr>
          <w:rFonts w:ascii="Times New Roman" w:hAnsi="Times New Roman" w:cs="Times New Roman"/>
          <w:sz w:val="24"/>
          <w:szCs w:val="24"/>
        </w:rPr>
        <w:instrText>ADDIN CSL_CITATION {"citationItems":[{"id":"ITEM-1","itemData":{"DOI":"10.4103/0971-6203.51931","author":[{"dropping-particle":"","family":"Ravichandran","given":"R","non-dropping-particle":"","parse-names":false,"suffix":""}],"container-title":"Journal of Medical Physics","id":"ITEM-1","issue":"2","issued":{"date-parts":[["2009"]]},"page":"63-65","title":"Has the time come for doing away with Cobalt-60 teletherapy for cancer treatments","type":"article-journal","volume":"34"},"uris":["http://www.mendeley.com/documents/?uuid=b5ae9063-ef63-467a-aefa-c9eda4233627"]}],"mendeley":{"formattedCitation":"(Ravichandran 2009)","plainTextFormattedCitation":"(Ravichandran 2009)","previouslyFormattedCitation":"(Ravichandran 2009)"},"properties":{"noteIndex":0},"schema":"https://github.com/citation-style-language/schema/raw/master/csl-citation.json"}</w:instrText>
      </w:r>
      <w:r w:rsidR="009B6B59" w:rsidRPr="00300F2C">
        <w:rPr>
          <w:rFonts w:ascii="Times New Roman" w:hAnsi="Times New Roman" w:cs="Times New Roman"/>
          <w:sz w:val="24"/>
          <w:szCs w:val="24"/>
        </w:rPr>
        <w:fldChar w:fldCharType="separate"/>
      </w:r>
      <w:r w:rsidR="009B6B59" w:rsidRPr="00300F2C">
        <w:rPr>
          <w:rFonts w:ascii="Times New Roman" w:hAnsi="Times New Roman" w:cs="Times New Roman"/>
          <w:noProof/>
          <w:sz w:val="24"/>
          <w:szCs w:val="24"/>
        </w:rPr>
        <w:t>(Ravichandran 2009)</w:t>
      </w:r>
      <w:r w:rsidR="009B6B59" w:rsidRPr="00300F2C">
        <w:rPr>
          <w:rFonts w:ascii="Times New Roman" w:hAnsi="Times New Roman" w:cs="Times New Roman"/>
          <w:sz w:val="24"/>
          <w:szCs w:val="24"/>
        </w:rPr>
        <w:fldChar w:fldCharType="end"/>
      </w:r>
      <w:r w:rsidR="009B6B59" w:rsidRPr="00300F2C">
        <w:rPr>
          <w:rFonts w:ascii="Times New Roman" w:hAnsi="Times New Roman" w:cs="Times New Roman"/>
          <w:sz w:val="24"/>
          <w:szCs w:val="24"/>
        </w:rPr>
        <w:t xml:space="preserve"> research stipulated that 60% of patients require radiotherapy, which is a major modality of cancer treatment as a palliative or curative intent. Cobalt-60 </w:t>
      </w:r>
      <w:r w:rsidR="00FF1878" w:rsidRPr="00300F2C">
        <w:rPr>
          <w:rFonts w:ascii="Times New Roman" w:hAnsi="Times New Roman" w:cs="Times New Roman"/>
          <w:sz w:val="24"/>
          <w:szCs w:val="24"/>
        </w:rPr>
        <w:t xml:space="preserve">is </w:t>
      </w:r>
      <w:r w:rsidR="00F50F9F" w:rsidRPr="00300F2C">
        <w:rPr>
          <w:rFonts w:ascii="Times New Roman" w:hAnsi="Times New Roman" w:cs="Times New Roman"/>
          <w:sz w:val="24"/>
          <w:szCs w:val="24"/>
        </w:rPr>
        <w:t>a</w:t>
      </w:r>
      <w:r w:rsidR="00FF1878" w:rsidRPr="00300F2C">
        <w:rPr>
          <w:rFonts w:ascii="Times New Roman" w:hAnsi="Times New Roman" w:cs="Times New Roman"/>
          <w:sz w:val="24"/>
          <w:szCs w:val="24"/>
        </w:rPr>
        <w:t xml:space="preserve"> teletherapy machine that is easy to handle</w:t>
      </w:r>
      <w:r w:rsidR="00F50F9F" w:rsidRPr="00300F2C">
        <w:rPr>
          <w:rFonts w:ascii="Times New Roman" w:hAnsi="Times New Roman" w:cs="Times New Roman"/>
          <w:sz w:val="24"/>
          <w:szCs w:val="24"/>
        </w:rPr>
        <w:t>, has the advantage of reduced maintenance running costs and downtime as compared to linear accelerators.  As Co-60 decays, gamma radiation is emitted which is used to treat cancer in radiation therapy</w:t>
      </w:r>
      <w:r w:rsidR="005C6824">
        <w:rPr>
          <w:rFonts w:ascii="Times New Roman" w:hAnsi="Times New Roman" w:cs="Times New Roman"/>
          <w:sz w:val="24"/>
          <w:szCs w:val="24"/>
        </w:rPr>
        <w:t>,</w:t>
      </w:r>
      <w:r w:rsidR="0057146C" w:rsidRPr="00300F2C">
        <w:rPr>
          <w:rFonts w:ascii="Times New Roman" w:hAnsi="Times New Roman" w:cs="Times New Roman"/>
          <w:sz w:val="24"/>
          <w:szCs w:val="24"/>
        </w:rPr>
        <w:t xml:space="preserve"> and its </w:t>
      </w:r>
      <w:r w:rsidR="0039344E">
        <w:rPr>
          <w:rFonts w:ascii="Times New Roman" w:hAnsi="Times New Roman" w:cs="Times New Roman"/>
          <w:sz w:val="24"/>
          <w:szCs w:val="24"/>
        </w:rPr>
        <w:t>scatter</w:t>
      </w:r>
      <w:r w:rsidR="0057146C" w:rsidRPr="00300F2C">
        <w:rPr>
          <w:rFonts w:ascii="Times New Roman" w:hAnsi="Times New Roman" w:cs="Times New Roman"/>
          <w:sz w:val="24"/>
          <w:szCs w:val="24"/>
        </w:rPr>
        <w:t xml:space="preserve"> radiation might have effects on individuals working around such units over a long period</w:t>
      </w:r>
      <w:r w:rsidR="00F50F9F" w:rsidRPr="00300F2C">
        <w:rPr>
          <w:rFonts w:ascii="Times New Roman" w:hAnsi="Times New Roman" w:cs="Times New Roman"/>
          <w:sz w:val="24"/>
          <w:szCs w:val="24"/>
        </w:rPr>
        <w:t>.</w:t>
      </w:r>
      <w:r w:rsidR="00814B2C" w:rsidRPr="00300F2C">
        <w:rPr>
          <w:rFonts w:ascii="Times New Roman" w:hAnsi="Times New Roman" w:cs="Times New Roman"/>
          <w:sz w:val="24"/>
          <w:szCs w:val="24"/>
        </w:rPr>
        <w:t xml:space="preserve"> Some of the hospital workers in clerical department, nurses, and cleaners also work around these radioactive sources and are indirectly exposed to these radiations. Long-term exposure to such radiation can later cause free radical formation cancer, chromosomal transformation, potential hereditary effects in the offspring of persons exposed to such radiation.</w:t>
      </w:r>
      <w:r w:rsidR="00F50F9F" w:rsidRPr="00300F2C">
        <w:rPr>
          <w:rFonts w:ascii="Times New Roman" w:hAnsi="Times New Roman" w:cs="Times New Roman"/>
          <w:sz w:val="24"/>
          <w:szCs w:val="24"/>
        </w:rPr>
        <w:t xml:space="preserve"> </w:t>
      </w:r>
      <w:r w:rsidR="007E1E2D" w:rsidRPr="00300F2C">
        <w:rPr>
          <w:rFonts w:ascii="Times New Roman" w:hAnsi="Times New Roman" w:cs="Times New Roman"/>
          <w:sz w:val="24"/>
          <w:szCs w:val="24"/>
        </w:rPr>
        <w:t xml:space="preserve">Given the fact that they are exposed to some </w:t>
      </w:r>
      <w:r w:rsidR="007E1E2D" w:rsidRPr="00300F2C">
        <w:rPr>
          <w:rFonts w:ascii="Times New Roman" w:hAnsi="Times New Roman" w:cs="Times New Roman"/>
          <w:sz w:val="24"/>
          <w:szCs w:val="24"/>
        </w:rPr>
        <w:lastRenderedPageBreak/>
        <w:t xml:space="preserve">amount of radiation, there is therefore the need for assessment of the radiation level and its impact due to its biological effects on tissues. Ionization following release of charged particles and free radicals due to interaction between energetic ionizing radiation and biological tissues causes DNA alteration </w:t>
      </w:r>
      <w:r w:rsidR="007E1E2D" w:rsidRPr="00300F2C">
        <w:rPr>
          <w:rFonts w:ascii="Times New Roman" w:hAnsi="Times New Roman" w:cs="Times New Roman"/>
          <w:sz w:val="24"/>
          <w:szCs w:val="24"/>
        </w:rPr>
        <w:fldChar w:fldCharType="begin" w:fldLock="1"/>
      </w:r>
      <w:r w:rsidR="007E1E2D" w:rsidRPr="00300F2C">
        <w:rPr>
          <w:rFonts w:ascii="Times New Roman" w:hAnsi="Times New Roman" w:cs="Times New Roman"/>
          <w:sz w:val="24"/>
          <w:szCs w:val="24"/>
        </w:rPr>
        <w:instrText>ADDIN CSL_CITATION {"citationItems":[{"id":"ITEM-1","itemData":{"DOI":"10.9734/bjmmr/2014/7180","author":[{"dropping-particle":"","family":"Emelue","given":"H.","non-dropping-particle":"","parse-names":false,"suffix":""}],"container-title":"British Journal of Medicine and Medical Research","id":"ITEM-1","issue":"13","issued":{"date-parts":[["2014"]]},"page":"2590-2598","title":"Excess Lifetime Cancer Risk due to Gamma Radiation in and Around Warri Refining and Petrochemical Company in Niger Delta, Nigeria","type":"article-journal","volume":"4"},"uris":["http://www.mendeley.com/documents/?uuid=37d06efd-77ee-48aa-9878-9ee4ef061a69"]}],"mendeley":{"formattedCitation":"(Emelue 2014)","plainTextFormattedCitation":"(Emelue 2014)"},"properties":{"noteIndex":0},"schema":"https://github.com/citation-style-language/schema/raw/master/csl-citation.json"}</w:instrText>
      </w:r>
      <w:r w:rsidR="007E1E2D" w:rsidRPr="00300F2C">
        <w:rPr>
          <w:rFonts w:ascii="Times New Roman" w:hAnsi="Times New Roman" w:cs="Times New Roman"/>
          <w:sz w:val="24"/>
          <w:szCs w:val="24"/>
        </w:rPr>
        <w:fldChar w:fldCharType="separate"/>
      </w:r>
      <w:r w:rsidR="007E1E2D" w:rsidRPr="00300F2C">
        <w:rPr>
          <w:rFonts w:ascii="Times New Roman" w:hAnsi="Times New Roman" w:cs="Times New Roman"/>
          <w:noProof/>
          <w:sz w:val="24"/>
          <w:szCs w:val="24"/>
        </w:rPr>
        <w:t>(Emelue 2014)</w:t>
      </w:r>
      <w:r w:rsidR="007E1E2D" w:rsidRPr="00300F2C">
        <w:rPr>
          <w:rFonts w:ascii="Times New Roman" w:hAnsi="Times New Roman" w:cs="Times New Roman"/>
          <w:sz w:val="24"/>
          <w:szCs w:val="24"/>
        </w:rPr>
        <w:fldChar w:fldCharType="end"/>
      </w:r>
      <w:r w:rsidR="007E1E2D" w:rsidRPr="00300F2C">
        <w:rPr>
          <w:rFonts w:ascii="Times New Roman" w:hAnsi="Times New Roman" w:cs="Times New Roman"/>
          <w:sz w:val="24"/>
          <w:szCs w:val="24"/>
        </w:rPr>
        <w:t xml:space="preserve">. </w:t>
      </w:r>
    </w:p>
    <w:p w14:paraId="17F63C84" w14:textId="70E58042" w:rsidR="00D83FF0" w:rsidRPr="00300F2C" w:rsidRDefault="00D83FF0" w:rsidP="00464B9A">
      <w:pPr>
        <w:autoSpaceDE w:val="0"/>
        <w:autoSpaceDN w:val="0"/>
        <w:adjustRightInd w:val="0"/>
        <w:spacing w:after="0" w:line="360" w:lineRule="auto"/>
        <w:rPr>
          <w:rFonts w:ascii="Times New Roman" w:hAnsi="Times New Roman" w:cs="Times New Roman"/>
          <w:sz w:val="24"/>
          <w:szCs w:val="24"/>
        </w:rPr>
      </w:pPr>
      <w:r w:rsidRPr="00300F2C">
        <w:rPr>
          <w:rFonts w:ascii="Times New Roman" w:hAnsi="Times New Roman" w:cs="Times New Roman"/>
          <w:sz w:val="24"/>
          <w:szCs w:val="24"/>
        </w:rPr>
        <w:t xml:space="preserve">This present study is aimed at assessing and measuring the background radiation absorbed dose rate in air in the Cobalt-60 bunker and some selected locations within the oncology department.  The measured dose rate is </w:t>
      </w:r>
      <w:r w:rsidR="0058038E" w:rsidRPr="00300F2C">
        <w:rPr>
          <w:rFonts w:ascii="Times New Roman" w:hAnsi="Times New Roman" w:cs="Times New Roman"/>
          <w:sz w:val="24"/>
          <w:szCs w:val="24"/>
        </w:rPr>
        <w:t>further</w:t>
      </w:r>
      <w:r w:rsidRPr="00300F2C">
        <w:rPr>
          <w:rFonts w:ascii="Times New Roman" w:hAnsi="Times New Roman" w:cs="Times New Roman"/>
          <w:sz w:val="24"/>
          <w:szCs w:val="24"/>
        </w:rPr>
        <w:t xml:space="preserve"> used to calculate the annual effective dose equivalent (AEDE) received by workers</w:t>
      </w:r>
      <w:r w:rsidR="0058038E" w:rsidRPr="00300F2C">
        <w:rPr>
          <w:rFonts w:ascii="Times New Roman" w:hAnsi="Times New Roman" w:cs="Times New Roman"/>
          <w:sz w:val="24"/>
          <w:szCs w:val="24"/>
        </w:rPr>
        <w:t xml:space="preserve"> and </w:t>
      </w:r>
      <w:r w:rsidRPr="00300F2C">
        <w:rPr>
          <w:rFonts w:ascii="Times New Roman" w:hAnsi="Times New Roman" w:cs="Times New Roman"/>
          <w:sz w:val="24"/>
          <w:szCs w:val="24"/>
        </w:rPr>
        <w:t xml:space="preserve">visitors </w:t>
      </w:r>
      <w:r w:rsidR="0058038E" w:rsidRPr="00300F2C">
        <w:rPr>
          <w:rFonts w:ascii="Times New Roman" w:hAnsi="Times New Roman" w:cs="Times New Roman"/>
          <w:sz w:val="24"/>
          <w:szCs w:val="24"/>
        </w:rPr>
        <w:t>within the study area.</w:t>
      </w:r>
      <w:r w:rsidRPr="00300F2C">
        <w:rPr>
          <w:rFonts w:ascii="Times New Roman" w:hAnsi="Times New Roman" w:cs="Times New Roman"/>
          <w:sz w:val="24"/>
          <w:szCs w:val="24"/>
        </w:rPr>
        <w:t xml:space="preserve"> The excess lifetime cancer risk (ELCR) associated with the exposure is also </w:t>
      </w:r>
      <w:r w:rsidR="0058038E" w:rsidRPr="00300F2C">
        <w:rPr>
          <w:rFonts w:ascii="Times New Roman" w:hAnsi="Times New Roman" w:cs="Times New Roman"/>
          <w:sz w:val="24"/>
          <w:szCs w:val="24"/>
        </w:rPr>
        <w:t>estimated</w:t>
      </w:r>
      <w:r w:rsidRPr="00300F2C">
        <w:rPr>
          <w:rFonts w:ascii="Times New Roman" w:hAnsi="Times New Roman" w:cs="Times New Roman"/>
          <w:sz w:val="24"/>
          <w:szCs w:val="24"/>
        </w:rPr>
        <w:t xml:space="preserve">. The result </w:t>
      </w:r>
      <w:r w:rsidR="0058038E" w:rsidRPr="00300F2C">
        <w:rPr>
          <w:rFonts w:ascii="Times New Roman" w:hAnsi="Times New Roman" w:cs="Times New Roman"/>
          <w:sz w:val="24"/>
          <w:szCs w:val="24"/>
        </w:rPr>
        <w:t>acquired</w:t>
      </w:r>
      <w:r w:rsidRPr="00300F2C">
        <w:rPr>
          <w:rFonts w:ascii="Times New Roman" w:hAnsi="Times New Roman" w:cs="Times New Roman"/>
          <w:sz w:val="24"/>
          <w:szCs w:val="24"/>
        </w:rPr>
        <w:t xml:space="preserve"> from this study is compared with the standard recommended value to know the radiological health </w:t>
      </w:r>
      <w:r w:rsidR="0058038E" w:rsidRPr="00300F2C">
        <w:rPr>
          <w:rFonts w:ascii="Times New Roman" w:hAnsi="Times New Roman" w:cs="Times New Roman"/>
          <w:sz w:val="24"/>
          <w:szCs w:val="24"/>
        </w:rPr>
        <w:t>effects</w:t>
      </w:r>
      <w:r w:rsidRPr="00300F2C">
        <w:rPr>
          <w:rFonts w:ascii="Times New Roman" w:hAnsi="Times New Roman" w:cs="Times New Roman"/>
          <w:sz w:val="24"/>
          <w:szCs w:val="24"/>
        </w:rPr>
        <w:t xml:space="preserve">. The result will also serve as radiation baseline data for the area since there has not been any radiological study of the area. </w:t>
      </w:r>
    </w:p>
    <w:p w14:paraId="04BDC513" w14:textId="4753C911" w:rsidR="003B7AF4" w:rsidRDefault="00BE5DC8" w:rsidP="00464B9A">
      <w:pPr>
        <w:autoSpaceDE w:val="0"/>
        <w:autoSpaceDN w:val="0"/>
        <w:adjustRightInd w:val="0"/>
        <w:spacing w:after="0" w:line="360" w:lineRule="auto"/>
        <w:rPr>
          <w:rFonts w:ascii="Times New Roman" w:hAnsi="Times New Roman" w:cs="Times New Roman"/>
          <w:sz w:val="24"/>
          <w:szCs w:val="24"/>
        </w:rPr>
      </w:pPr>
      <w:r w:rsidRPr="00EE7769">
        <w:rPr>
          <w:rFonts w:ascii="Times New Roman" w:hAnsi="Times New Roman" w:cs="Times New Roman"/>
          <w:sz w:val="24"/>
          <w:szCs w:val="24"/>
        </w:rPr>
        <w:t xml:space="preserve"> </w:t>
      </w:r>
    </w:p>
    <w:p w14:paraId="265798CC" w14:textId="77777777" w:rsidR="008E1BA2" w:rsidRPr="004E0A41" w:rsidRDefault="008E1BA2" w:rsidP="00464B9A">
      <w:pPr>
        <w:autoSpaceDE w:val="0"/>
        <w:autoSpaceDN w:val="0"/>
        <w:adjustRightInd w:val="0"/>
        <w:spacing w:after="0" w:line="360" w:lineRule="auto"/>
        <w:rPr>
          <w:rFonts w:ascii="Times New Roman" w:hAnsi="Times New Roman" w:cs="Times New Roman"/>
          <w:sz w:val="24"/>
          <w:szCs w:val="24"/>
        </w:rPr>
      </w:pPr>
    </w:p>
    <w:p w14:paraId="098D8801" w14:textId="35451927" w:rsidR="008E1BA2" w:rsidRPr="00897597" w:rsidRDefault="008E1BA2" w:rsidP="00464B9A">
      <w:pPr>
        <w:pStyle w:val="ListParagraph"/>
        <w:numPr>
          <w:ilvl w:val="0"/>
          <w:numId w:val="2"/>
        </w:numPr>
        <w:spacing w:line="360" w:lineRule="auto"/>
        <w:ind w:right="6"/>
        <w:rPr>
          <w:rFonts w:ascii="Times New Roman" w:hAnsi="Times New Roman" w:cs="Times New Roman"/>
          <w:b/>
          <w:sz w:val="24"/>
          <w:szCs w:val="24"/>
        </w:rPr>
      </w:pPr>
      <w:r w:rsidRPr="00897597">
        <w:rPr>
          <w:rFonts w:ascii="Times New Roman" w:hAnsi="Times New Roman" w:cs="Times New Roman"/>
          <w:b/>
          <w:sz w:val="24"/>
          <w:szCs w:val="24"/>
        </w:rPr>
        <w:t>MATERIALS AND METHOD</w:t>
      </w:r>
      <w:r w:rsidR="00605052" w:rsidRPr="00897597">
        <w:rPr>
          <w:rFonts w:ascii="Times New Roman" w:hAnsi="Times New Roman" w:cs="Times New Roman"/>
          <w:b/>
          <w:sz w:val="24"/>
          <w:szCs w:val="24"/>
        </w:rPr>
        <w:t xml:space="preserve"> OF MEASUREMENT</w:t>
      </w:r>
    </w:p>
    <w:p w14:paraId="2080B5F5" w14:textId="237C94C9" w:rsidR="00895562" w:rsidRPr="00EE59BE" w:rsidRDefault="00642364" w:rsidP="00464B9A">
      <w:pPr>
        <w:autoSpaceDE w:val="0"/>
        <w:autoSpaceDN w:val="0"/>
        <w:adjustRightInd w:val="0"/>
        <w:spacing w:after="0" w:line="360" w:lineRule="auto"/>
        <w:rPr>
          <w:rFonts w:ascii="Times New Roman" w:hAnsi="Times New Roman" w:cs="Times New Roman"/>
          <w:sz w:val="24"/>
          <w:szCs w:val="24"/>
        </w:rPr>
      </w:pPr>
      <w:r w:rsidRPr="00EE59BE">
        <w:rPr>
          <w:rFonts w:ascii="Times New Roman" w:hAnsi="Times New Roman" w:cs="Times New Roman"/>
          <w:sz w:val="24"/>
          <w:szCs w:val="24"/>
        </w:rPr>
        <w:t>A portable</w:t>
      </w:r>
      <w:r w:rsidR="005B200F" w:rsidRPr="00EE59BE">
        <w:rPr>
          <w:rFonts w:ascii="Times New Roman" w:hAnsi="Times New Roman" w:cs="Times New Roman"/>
          <w:sz w:val="24"/>
          <w:szCs w:val="24"/>
        </w:rPr>
        <w:t xml:space="preserve"> </w:t>
      </w:r>
      <w:r w:rsidR="003472CA" w:rsidRPr="00EE59BE">
        <w:rPr>
          <w:rFonts w:ascii="Times New Roman" w:hAnsi="Times New Roman" w:cs="Times New Roman"/>
          <w:sz w:val="24"/>
          <w:szCs w:val="24"/>
        </w:rPr>
        <w:t>OD-01</w:t>
      </w:r>
      <w:r w:rsidRPr="00EE59BE">
        <w:rPr>
          <w:rFonts w:ascii="Times New Roman" w:hAnsi="Times New Roman" w:cs="Times New Roman"/>
          <w:sz w:val="24"/>
          <w:szCs w:val="24"/>
        </w:rPr>
        <w:t xml:space="preserve"> survey meter was used </w:t>
      </w:r>
      <w:r w:rsidR="005B200F" w:rsidRPr="00EE59BE">
        <w:rPr>
          <w:rFonts w:ascii="Times New Roman" w:hAnsi="Times New Roman" w:cs="Times New Roman"/>
          <w:sz w:val="24"/>
          <w:szCs w:val="24"/>
        </w:rPr>
        <w:t xml:space="preserve">to measure </w:t>
      </w:r>
      <w:r w:rsidR="005C6824">
        <w:rPr>
          <w:rFonts w:ascii="Times New Roman" w:hAnsi="Times New Roman" w:cs="Times New Roman"/>
          <w:sz w:val="24"/>
          <w:szCs w:val="24"/>
        </w:rPr>
        <w:t xml:space="preserve">the </w:t>
      </w:r>
      <w:r w:rsidR="005B200F" w:rsidRPr="00EE59BE">
        <w:rPr>
          <w:rFonts w:ascii="Times New Roman" w:hAnsi="Times New Roman" w:cs="Times New Roman"/>
          <w:sz w:val="24"/>
          <w:szCs w:val="24"/>
        </w:rPr>
        <w:t xml:space="preserve">Absorbed dose rate in </w:t>
      </w:r>
      <w:proofErr w:type="spellStart"/>
      <w:r w:rsidR="005B200F" w:rsidRPr="00EE59BE">
        <w:rPr>
          <w:rFonts w:ascii="Times New Roman" w:hAnsi="Times New Roman" w:cs="Times New Roman"/>
          <w:sz w:val="24"/>
          <w:szCs w:val="24"/>
        </w:rPr>
        <w:t>μSv</w:t>
      </w:r>
      <w:proofErr w:type="spellEnd"/>
      <w:r w:rsidR="005B200F" w:rsidRPr="00EE59BE">
        <w:rPr>
          <w:rFonts w:ascii="Times New Roman" w:hAnsi="Times New Roman" w:cs="Times New Roman"/>
          <w:sz w:val="24"/>
          <w:szCs w:val="24"/>
        </w:rPr>
        <w:t xml:space="preserve">/h </w:t>
      </w:r>
      <w:r w:rsidR="00A03737" w:rsidRPr="00EE59BE">
        <w:rPr>
          <w:rFonts w:ascii="Times New Roman" w:hAnsi="Times New Roman" w:cs="Times New Roman"/>
          <w:sz w:val="24"/>
          <w:szCs w:val="24"/>
        </w:rPr>
        <w:t>recorded around and within the Cobalt-60 unit</w:t>
      </w:r>
      <w:r w:rsidR="00895562" w:rsidRPr="00EE59BE">
        <w:rPr>
          <w:rFonts w:ascii="Times New Roman" w:hAnsi="Times New Roman" w:cs="Times New Roman"/>
          <w:sz w:val="24"/>
          <w:szCs w:val="24"/>
        </w:rPr>
        <w:t xml:space="preserve"> at the Oncology directorate of Komfo Anokye Teaching Hospital</w:t>
      </w:r>
      <w:r w:rsidR="00A03737" w:rsidRPr="00EE59BE">
        <w:rPr>
          <w:rFonts w:ascii="Times New Roman" w:hAnsi="Times New Roman" w:cs="Times New Roman"/>
          <w:sz w:val="24"/>
          <w:szCs w:val="24"/>
        </w:rPr>
        <w:t xml:space="preserve">. The survey meter is a compact device consisting of </w:t>
      </w:r>
      <w:r w:rsidR="005C6824">
        <w:rPr>
          <w:rFonts w:ascii="Times New Roman" w:hAnsi="Times New Roman" w:cs="Times New Roman"/>
          <w:sz w:val="24"/>
          <w:szCs w:val="24"/>
        </w:rPr>
        <w:t xml:space="preserve">a </w:t>
      </w:r>
      <w:r w:rsidR="00A03737" w:rsidRPr="00EE59BE">
        <w:rPr>
          <w:rFonts w:ascii="Times New Roman" w:hAnsi="Times New Roman" w:cs="Times New Roman"/>
          <w:sz w:val="24"/>
          <w:szCs w:val="24"/>
        </w:rPr>
        <w:t>display and control unit, probe, device support, 0.7 m of connecting cable and USB cable</w:t>
      </w:r>
      <w:r w:rsidR="005C6824">
        <w:rPr>
          <w:rFonts w:ascii="Times New Roman" w:hAnsi="Times New Roman" w:cs="Times New Roman"/>
          <w:sz w:val="24"/>
          <w:szCs w:val="24"/>
        </w:rPr>
        <w:t>,</w:t>
      </w:r>
      <w:r w:rsidR="00A03737" w:rsidRPr="00EE59BE">
        <w:rPr>
          <w:rFonts w:ascii="Times New Roman" w:hAnsi="Times New Roman" w:cs="Times New Roman"/>
          <w:sz w:val="24"/>
          <w:szCs w:val="24"/>
        </w:rPr>
        <w:t xml:space="preserve"> and software for measurement evaluation via personal computer (PC). It measures </w:t>
      </w:r>
      <w:r w:rsidR="0039344E">
        <w:rPr>
          <w:rFonts w:ascii="Times New Roman" w:hAnsi="Times New Roman" w:cs="Times New Roman"/>
          <w:sz w:val="24"/>
          <w:szCs w:val="24"/>
        </w:rPr>
        <w:t>photons</w:t>
      </w:r>
      <w:r w:rsidR="00A03737" w:rsidRPr="00EE59BE">
        <w:rPr>
          <w:rFonts w:ascii="Times New Roman" w:hAnsi="Times New Roman" w:cs="Times New Roman"/>
          <w:sz w:val="24"/>
          <w:szCs w:val="24"/>
        </w:rPr>
        <w:t xml:space="preserve"> up to 15 MeV and beta radiation of energies from 6 keV up to 2 MeV. It also measures </w:t>
      </w:r>
      <w:r w:rsidR="005C6824">
        <w:rPr>
          <w:rFonts w:ascii="Times New Roman" w:hAnsi="Times New Roman" w:cs="Times New Roman"/>
          <w:sz w:val="24"/>
          <w:szCs w:val="24"/>
        </w:rPr>
        <w:t xml:space="preserve">the </w:t>
      </w:r>
      <w:r w:rsidR="00A03737" w:rsidRPr="00EE59BE">
        <w:rPr>
          <w:rFonts w:ascii="Times New Roman" w:hAnsi="Times New Roman" w:cs="Times New Roman"/>
          <w:sz w:val="24"/>
          <w:szCs w:val="24"/>
        </w:rPr>
        <w:t xml:space="preserve">equivalent dose rate in the range of 0 </w:t>
      </w:r>
      <w:proofErr w:type="spellStart"/>
      <w:r w:rsidR="00A03737" w:rsidRPr="00EE59BE">
        <w:rPr>
          <w:rFonts w:ascii="Times New Roman" w:hAnsi="Times New Roman" w:cs="Times New Roman"/>
          <w:sz w:val="24"/>
          <w:szCs w:val="24"/>
        </w:rPr>
        <w:t>μSv</w:t>
      </w:r>
      <w:proofErr w:type="spellEnd"/>
      <w:r w:rsidR="00A03737" w:rsidRPr="00EE59BE">
        <w:rPr>
          <w:rFonts w:ascii="Times New Roman" w:hAnsi="Times New Roman" w:cs="Times New Roman"/>
          <w:sz w:val="24"/>
          <w:szCs w:val="24"/>
        </w:rPr>
        <w:t xml:space="preserve">/h to 2000 mSv/h and dose in the range of 0 </w:t>
      </w:r>
      <w:proofErr w:type="spellStart"/>
      <w:r w:rsidR="00A03737" w:rsidRPr="00EE59BE">
        <w:rPr>
          <w:rFonts w:ascii="Times New Roman" w:hAnsi="Times New Roman" w:cs="Times New Roman"/>
          <w:sz w:val="24"/>
          <w:szCs w:val="24"/>
        </w:rPr>
        <w:t>μSv</w:t>
      </w:r>
      <w:proofErr w:type="spellEnd"/>
      <w:r w:rsidR="00A03737" w:rsidRPr="00EE59BE">
        <w:rPr>
          <w:rFonts w:ascii="Times New Roman" w:hAnsi="Times New Roman" w:cs="Times New Roman"/>
          <w:sz w:val="24"/>
          <w:szCs w:val="24"/>
        </w:rPr>
        <w:t xml:space="preserve"> to 2000 </w:t>
      </w:r>
      <w:proofErr w:type="spellStart"/>
      <w:r w:rsidR="00A03737" w:rsidRPr="00EE59BE">
        <w:rPr>
          <w:rFonts w:ascii="Times New Roman" w:hAnsi="Times New Roman" w:cs="Times New Roman"/>
          <w:sz w:val="24"/>
          <w:szCs w:val="24"/>
        </w:rPr>
        <w:t>μSv</w:t>
      </w:r>
      <w:proofErr w:type="spellEnd"/>
      <w:r w:rsidR="005B200F" w:rsidRPr="00EE59BE">
        <w:rPr>
          <w:rFonts w:ascii="Times New Roman" w:hAnsi="Times New Roman" w:cs="Times New Roman"/>
          <w:sz w:val="24"/>
          <w:szCs w:val="24"/>
        </w:rPr>
        <w:t xml:space="preserve"> </w:t>
      </w:r>
      <w:r w:rsidRPr="00EE59BE">
        <w:rPr>
          <w:rFonts w:ascii="Times New Roman" w:hAnsi="Times New Roman" w:cs="Times New Roman"/>
          <w:sz w:val="24"/>
          <w:szCs w:val="24"/>
        </w:rPr>
        <w:t>employing air opened ionization chamber</w:t>
      </w:r>
      <w:r w:rsidR="003113DD" w:rsidRPr="00EE59BE">
        <w:rPr>
          <w:rFonts w:ascii="Times New Roman" w:hAnsi="Times New Roman" w:cs="Times New Roman"/>
          <w:b/>
          <w:sz w:val="24"/>
          <w:szCs w:val="24"/>
        </w:rPr>
        <w:t xml:space="preserve">. </w:t>
      </w:r>
      <w:r w:rsidR="003113DD" w:rsidRPr="00EE59BE">
        <w:rPr>
          <w:rFonts w:ascii="Times New Roman" w:hAnsi="Times New Roman" w:cs="Times New Roman"/>
          <w:sz w:val="24"/>
          <w:szCs w:val="24"/>
        </w:rPr>
        <w:t xml:space="preserve">The meter was calibrated in a beta radiation field according to ISO 6980 and photon radiation fields according to ISO 4037-1 (homogeneous radiation field) by STEP </w:t>
      </w:r>
      <w:proofErr w:type="spellStart"/>
      <w:r w:rsidR="003113DD" w:rsidRPr="00EE59BE">
        <w:rPr>
          <w:rFonts w:ascii="Times New Roman" w:hAnsi="Times New Roman" w:cs="Times New Roman"/>
          <w:sz w:val="24"/>
          <w:szCs w:val="24"/>
        </w:rPr>
        <w:t>Sensortechnik</w:t>
      </w:r>
      <w:proofErr w:type="spellEnd"/>
      <w:r w:rsidR="003113DD" w:rsidRPr="00EE59BE">
        <w:rPr>
          <w:rFonts w:ascii="Times New Roman" w:hAnsi="Times New Roman" w:cs="Times New Roman"/>
          <w:sz w:val="24"/>
          <w:szCs w:val="24"/>
        </w:rPr>
        <w:t xml:space="preserve"> und </w:t>
      </w:r>
      <w:proofErr w:type="spellStart"/>
      <w:r w:rsidR="003113DD" w:rsidRPr="00EE59BE">
        <w:rPr>
          <w:rFonts w:ascii="Times New Roman" w:hAnsi="Times New Roman" w:cs="Times New Roman"/>
          <w:sz w:val="24"/>
          <w:szCs w:val="24"/>
        </w:rPr>
        <w:t>Elektronik</w:t>
      </w:r>
      <w:proofErr w:type="spellEnd"/>
      <w:r w:rsidR="003113DD" w:rsidRPr="00EE59BE">
        <w:rPr>
          <w:rFonts w:ascii="Times New Roman" w:hAnsi="Times New Roman" w:cs="Times New Roman"/>
          <w:sz w:val="24"/>
          <w:szCs w:val="24"/>
        </w:rPr>
        <w:t xml:space="preserve"> </w:t>
      </w:r>
      <w:proofErr w:type="spellStart"/>
      <w:r w:rsidR="003113DD" w:rsidRPr="00EE59BE">
        <w:rPr>
          <w:rFonts w:ascii="Times New Roman" w:hAnsi="Times New Roman" w:cs="Times New Roman"/>
          <w:sz w:val="24"/>
          <w:szCs w:val="24"/>
        </w:rPr>
        <w:t>Pockau</w:t>
      </w:r>
      <w:proofErr w:type="spellEnd"/>
      <w:r w:rsidR="003113DD" w:rsidRPr="00EE59BE">
        <w:rPr>
          <w:rFonts w:ascii="Times New Roman" w:hAnsi="Times New Roman" w:cs="Times New Roman"/>
          <w:sz w:val="24"/>
          <w:szCs w:val="24"/>
        </w:rPr>
        <w:t xml:space="preserve"> GmbH, </w:t>
      </w:r>
      <w:proofErr w:type="spellStart"/>
      <w:r w:rsidR="003113DD" w:rsidRPr="00EE59BE">
        <w:rPr>
          <w:rFonts w:ascii="Times New Roman" w:hAnsi="Times New Roman" w:cs="Times New Roman"/>
          <w:sz w:val="24"/>
          <w:szCs w:val="24"/>
        </w:rPr>
        <w:t>Siedlungsstraße</w:t>
      </w:r>
      <w:proofErr w:type="spellEnd"/>
      <w:r w:rsidR="003113DD" w:rsidRPr="00EE59BE">
        <w:rPr>
          <w:rFonts w:ascii="Times New Roman" w:hAnsi="Times New Roman" w:cs="Times New Roman"/>
          <w:sz w:val="24"/>
          <w:szCs w:val="24"/>
        </w:rPr>
        <w:t xml:space="preserve"> 5-7, D-09509 </w:t>
      </w:r>
      <w:proofErr w:type="spellStart"/>
      <w:r w:rsidR="003113DD" w:rsidRPr="00EE59BE">
        <w:rPr>
          <w:rFonts w:ascii="Times New Roman" w:hAnsi="Times New Roman" w:cs="Times New Roman"/>
          <w:sz w:val="24"/>
          <w:szCs w:val="24"/>
        </w:rPr>
        <w:t>Pockau</w:t>
      </w:r>
      <w:proofErr w:type="spellEnd"/>
      <w:r w:rsidR="003113DD" w:rsidRPr="00EE59BE">
        <w:rPr>
          <w:rFonts w:ascii="Times New Roman" w:hAnsi="Times New Roman" w:cs="Times New Roman"/>
          <w:sz w:val="24"/>
          <w:szCs w:val="24"/>
        </w:rPr>
        <w:t>.</w:t>
      </w:r>
    </w:p>
    <w:p w14:paraId="5C5F02D8" w14:textId="700DF1CF" w:rsidR="00895562" w:rsidRPr="00EE59BE" w:rsidRDefault="00895562" w:rsidP="00464B9A">
      <w:pPr>
        <w:autoSpaceDE w:val="0"/>
        <w:autoSpaceDN w:val="0"/>
        <w:adjustRightInd w:val="0"/>
        <w:spacing w:after="0" w:line="360" w:lineRule="auto"/>
        <w:rPr>
          <w:rFonts w:ascii="Times New Roman" w:hAnsi="Times New Roman" w:cs="Times New Roman"/>
          <w:sz w:val="24"/>
          <w:szCs w:val="24"/>
        </w:rPr>
      </w:pPr>
      <w:r w:rsidRPr="00EE59BE">
        <w:rPr>
          <w:rFonts w:ascii="Times New Roman" w:hAnsi="Times New Roman" w:cs="Times New Roman"/>
          <w:sz w:val="24"/>
          <w:szCs w:val="24"/>
        </w:rPr>
        <w:t xml:space="preserve">At different distances away from the radioactive source (Cobalt-60 teletherapy machine), ten (10) readings were taken </w:t>
      </w:r>
      <w:r w:rsidRPr="00123247">
        <w:rPr>
          <w:rFonts w:ascii="Times New Roman" w:hAnsi="Times New Roman" w:cs="Times New Roman"/>
          <w:sz w:val="24"/>
          <w:szCs w:val="24"/>
        </w:rPr>
        <w:t>within</w:t>
      </w:r>
      <w:r w:rsidR="00123247" w:rsidRPr="00123247">
        <w:rPr>
          <w:rFonts w:ascii="Times New Roman" w:hAnsi="Times New Roman" w:cs="Times New Roman"/>
          <w:sz w:val="24"/>
          <w:szCs w:val="24"/>
        </w:rPr>
        <w:t xml:space="preserve"> a time interval of </w:t>
      </w:r>
      <w:r w:rsidRPr="00123247">
        <w:rPr>
          <w:rFonts w:ascii="Times New Roman" w:hAnsi="Times New Roman" w:cs="Times New Roman"/>
          <w:sz w:val="24"/>
          <w:szCs w:val="24"/>
        </w:rPr>
        <w:t>2 minutes in air</w:t>
      </w:r>
      <w:r w:rsidRPr="00EE59BE">
        <w:rPr>
          <w:rFonts w:ascii="Times New Roman" w:hAnsi="Times New Roman" w:cs="Times New Roman"/>
          <w:sz w:val="24"/>
          <w:szCs w:val="24"/>
        </w:rPr>
        <w:t xml:space="preserve"> at different positions in each location when the beam was OFF and the average value was considered to be the gamma dose rate at that distance. </w:t>
      </w:r>
      <w:r w:rsidR="007740D9" w:rsidRPr="00EE59BE">
        <w:rPr>
          <w:rFonts w:ascii="Times New Roman" w:hAnsi="Times New Roman" w:cs="Times New Roman"/>
          <w:sz w:val="24"/>
          <w:szCs w:val="24"/>
        </w:rPr>
        <w:t xml:space="preserve">Background Ionizing Radiation (from the Cobalt-60 source) </w:t>
      </w:r>
      <w:r w:rsidRPr="00EE59BE">
        <w:rPr>
          <w:rFonts w:ascii="Times New Roman" w:hAnsi="Times New Roman" w:cs="Times New Roman"/>
          <w:sz w:val="24"/>
          <w:szCs w:val="24"/>
        </w:rPr>
        <w:t xml:space="preserve">of </w:t>
      </w:r>
      <w:r w:rsidR="007740D9" w:rsidRPr="00EE59BE">
        <w:rPr>
          <w:rFonts w:ascii="Times New Roman" w:hAnsi="Times New Roman" w:cs="Times New Roman"/>
          <w:sz w:val="24"/>
          <w:szCs w:val="24"/>
        </w:rPr>
        <w:t xml:space="preserve">fifteen </w:t>
      </w:r>
      <w:r w:rsidRPr="00EE59BE">
        <w:rPr>
          <w:rFonts w:ascii="Times New Roman" w:hAnsi="Times New Roman" w:cs="Times New Roman"/>
          <w:sz w:val="24"/>
          <w:szCs w:val="24"/>
        </w:rPr>
        <w:t>(1</w:t>
      </w:r>
      <w:r w:rsidR="007740D9" w:rsidRPr="00EE59BE">
        <w:rPr>
          <w:rFonts w:ascii="Times New Roman" w:hAnsi="Times New Roman" w:cs="Times New Roman"/>
          <w:sz w:val="24"/>
          <w:szCs w:val="24"/>
        </w:rPr>
        <w:t>5</w:t>
      </w:r>
      <w:r w:rsidRPr="00EE59BE">
        <w:rPr>
          <w:rFonts w:ascii="Times New Roman" w:hAnsi="Times New Roman" w:cs="Times New Roman"/>
          <w:sz w:val="24"/>
          <w:szCs w:val="24"/>
        </w:rPr>
        <w:t>)</w:t>
      </w:r>
      <w:r w:rsidR="007740D9" w:rsidRPr="00EE59BE">
        <w:rPr>
          <w:rFonts w:ascii="Times New Roman" w:hAnsi="Times New Roman" w:cs="Times New Roman"/>
          <w:sz w:val="24"/>
          <w:szCs w:val="24"/>
        </w:rPr>
        <w:t xml:space="preserve"> selected</w:t>
      </w:r>
      <w:r w:rsidRPr="00EE59BE">
        <w:rPr>
          <w:rFonts w:ascii="Times New Roman" w:hAnsi="Times New Roman" w:cs="Times New Roman"/>
          <w:sz w:val="24"/>
          <w:szCs w:val="24"/>
        </w:rPr>
        <w:t xml:space="preserve"> locations in the </w:t>
      </w:r>
      <w:r w:rsidR="007740D9" w:rsidRPr="00EE59BE">
        <w:rPr>
          <w:rFonts w:ascii="Times New Roman" w:hAnsi="Times New Roman" w:cs="Times New Roman"/>
          <w:sz w:val="24"/>
          <w:szCs w:val="24"/>
        </w:rPr>
        <w:t>oncology department</w:t>
      </w:r>
      <w:r w:rsidRPr="00EE59BE">
        <w:rPr>
          <w:rFonts w:ascii="Times New Roman" w:hAnsi="Times New Roman" w:cs="Times New Roman"/>
          <w:sz w:val="24"/>
          <w:szCs w:val="24"/>
        </w:rPr>
        <w:t xml:space="preserve"> w</w:t>
      </w:r>
      <w:r w:rsidR="005C6824">
        <w:rPr>
          <w:rFonts w:ascii="Times New Roman" w:hAnsi="Times New Roman" w:cs="Times New Roman"/>
          <w:sz w:val="24"/>
          <w:szCs w:val="24"/>
        </w:rPr>
        <w:t>as</w:t>
      </w:r>
      <w:r w:rsidRPr="00EE59BE">
        <w:rPr>
          <w:rFonts w:ascii="Times New Roman" w:hAnsi="Times New Roman" w:cs="Times New Roman"/>
          <w:sz w:val="24"/>
          <w:szCs w:val="24"/>
        </w:rPr>
        <w:t xml:space="preserve"> also </w:t>
      </w:r>
      <w:r w:rsidR="007740D9" w:rsidRPr="00EE59BE">
        <w:rPr>
          <w:rFonts w:ascii="Times New Roman" w:hAnsi="Times New Roman" w:cs="Times New Roman"/>
          <w:sz w:val="24"/>
          <w:szCs w:val="24"/>
        </w:rPr>
        <w:t>measured</w:t>
      </w:r>
      <w:r w:rsidRPr="00EE59BE">
        <w:rPr>
          <w:rFonts w:ascii="Times New Roman" w:hAnsi="Times New Roman" w:cs="Times New Roman"/>
          <w:sz w:val="24"/>
          <w:szCs w:val="24"/>
        </w:rPr>
        <w:t xml:space="preserve"> </w:t>
      </w:r>
      <w:r w:rsidR="007740D9" w:rsidRPr="00EE59BE">
        <w:rPr>
          <w:rFonts w:ascii="Times New Roman" w:hAnsi="Times New Roman" w:cs="Times New Roman"/>
          <w:sz w:val="24"/>
          <w:szCs w:val="24"/>
        </w:rPr>
        <w:t>using</w:t>
      </w:r>
      <w:r w:rsidRPr="00EE59BE">
        <w:rPr>
          <w:rFonts w:ascii="Times New Roman" w:hAnsi="Times New Roman" w:cs="Times New Roman"/>
          <w:sz w:val="24"/>
          <w:szCs w:val="24"/>
        </w:rPr>
        <w:t xml:space="preserve"> the portable OD-01 survey meter. The selected locations within the facility were the </w:t>
      </w:r>
      <w:r w:rsidR="007740D9" w:rsidRPr="00EE59BE">
        <w:rPr>
          <w:rFonts w:ascii="Times New Roman" w:hAnsi="Times New Roman" w:cs="Times New Roman"/>
          <w:sz w:val="24"/>
          <w:szCs w:val="24"/>
        </w:rPr>
        <w:t xml:space="preserve">Nuclear medicine bunker, </w:t>
      </w:r>
      <w:r w:rsidR="00B46DC4" w:rsidRPr="00EE59BE">
        <w:rPr>
          <w:rFonts w:ascii="Times New Roman" w:hAnsi="Times New Roman" w:cs="Times New Roman"/>
          <w:sz w:val="24"/>
          <w:szCs w:val="24"/>
        </w:rPr>
        <w:t>S</w:t>
      </w:r>
      <w:r w:rsidR="007740D9" w:rsidRPr="00EE59BE">
        <w:rPr>
          <w:rFonts w:ascii="Times New Roman" w:hAnsi="Times New Roman" w:cs="Times New Roman"/>
          <w:sz w:val="24"/>
          <w:szCs w:val="24"/>
        </w:rPr>
        <w:t xml:space="preserve">imulator room area, </w:t>
      </w:r>
      <w:r w:rsidR="00B46DC4" w:rsidRPr="00EE59BE">
        <w:rPr>
          <w:rFonts w:ascii="Times New Roman" w:hAnsi="Times New Roman" w:cs="Times New Roman"/>
          <w:sz w:val="24"/>
          <w:szCs w:val="24"/>
        </w:rPr>
        <w:t>A</w:t>
      </w:r>
      <w:r w:rsidR="007740D9" w:rsidRPr="00EE59BE">
        <w:rPr>
          <w:rFonts w:ascii="Times New Roman" w:hAnsi="Times New Roman" w:cs="Times New Roman"/>
          <w:sz w:val="24"/>
          <w:szCs w:val="24"/>
        </w:rPr>
        <w:t xml:space="preserve">dministration area, </w:t>
      </w:r>
      <w:r w:rsidR="00B46DC4" w:rsidRPr="00EE59BE">
        <w:rPr>
          <w:rFonts w:ascii="Times New Roman" w:hAnsi="Times New Roman" w:cs="Times New Roman"/>
          <w:sz w:val="24"/>
          <w:szCs w:val="24"/>
        </w:rPr>
        <w:t>C</w:t>
      </w:r>
      <w:r w:rsidR="007740D9" w:rsidRPr="00EE59BE">
        <w:rPr>
          <w:rFonts w:ascii="Times New Roman" w:hAnsi="Times New Roman" w:cs="Times New Roman"/>
          <w:sz w:val="24"/>
          <w:szCs w:val="24"/>
        </w:rPr>
        <w:t xml:space="preserve">onference room area, </w:t>
      </w:r>
      <w:proofErr w:type="spellStart"/>
      <w:r w:rsidR="00B46DC4" w:rsidRPr="00EE59BE">
        <w:rPr>
          <w:rFonts w:ascii="Times New Roman" w:hAnsi="Times New Roman" w:cs="Times New Roman"/>
          <w:sz w:val="24"/>
          <w:szCs w:val="24"/>
        </w:rPr>
        <w:t>Linac</w:t>
      </w:r>
      <w:proofErr w:type="spellEnd"/>
      <w:r w:rsidR="00B46DC4" w:rsidRPr="00EE59BE">
        <w:rPr>
          <w:rFonts w:ascii="Times New Roman" w:hAnsi="Times New Roman" w:cs="Times New Roman"/>
          <w:sz w:val="24"/>
          <w:szCs w:val="24"/>
        </w:rPr>
        <w:t xml:space="preserve"> maze, </w:t>
      </w:r>
      <w:proofErr w:type="spellStart"/>
      <w:r w:rsidR="00B46DC4" w:rsidRPr="00EE59BE">
        <w:rPr>
          <w:rFonts w:ascii="Times New Roman" w:hAnsi="Times New Roman" w:cs="Times New Roman"/>
          <w:sz w:val="24"/>
          <w:szCs w:val="24"/>
        </w:rPr>
        <w:t>Linac</w:t>
      </w:r>
      <w:proofErr w:type="spellEnd"/>
      <w:r w:rsidR="00B46DC4" w:rsidRPr="00EE59BE">
        <w:rPr>
          <w:rFonts w:ascii="Times New Roman" w:hAnsi="Times New Roman" w:cs="Times New Roman"/>
          <w:sz w:val="24"/>
          <w:szCs w:val="24"/>
        </w:rPr>
        <w:t xml:space="preserve"> control console room, Chemotherapy room area, Nurses office area, Dosimetry room area, Nuclear Medicine room area, Records area, Patients waiting</w:t>
      </w:r>
      <w:r w:rsidR="005C6824">
        <w:rPr>
          <w:rFonts w:ascii="Times New Roman" w:hAnsi="Times New Roman" w:cs="Times New Roman"/>
          <w:sz w:val="24"/>
          <w:szCs w:val="24"/>
        </w:rPr>
        <w:t xml:space="preserve"> for</w:t>
      </w:r>
      <w:r w:rsidR="00B46DC4" w:rsidRPr="00EE59BE">
        <w:rPr>
          <w:rFonts w:ascii="Times New Roman" w:hAnsi="Times New Roman" w:cs="Times New Roman"/>
          <w:sz w:val="24"/>
          <w:szCs w:val="24"/>
        </w:rPr>
        <w:t xml:space="preserve"> area Radiotherapists area, OPD</w:t>
      </w:r>
      <w:r w:rsidR="0039344E">
        <w:rPr>
          <w:rFonts w:ascii="Times New Roman" w:hAnsi="Times New Roman" w:cs="Times New Roman"/>
          <w:sz w:val="24"/>
          <w:szCs w:val="24"/>
        </w:rPr>
        <w:t xml:space="preserve"> area</w:t>
      </w:r>
      <w:r w:rsidR="00B46DC4" w:rsidRPr="00EE59BE">
        <w:rPr>
          <w:rFonts w:ascii="Times New Roman" w:hAnsi="Times New Roman" w:cs="Times New Roman"/>
          <w:sz w:val="24"/>
          <w:szCs w:val="24"/>
        </w:rPr>
        <w:t xml:space="preserve"> and the Cobalt -60 bunker room. </w:t>
      </w:r>
      <w:r w:rsidR="00CE607C" w:rsidRPr="00EE59BE">
        <w:rPr>
          <w:rFonts w:ascii="Times New Roman" w:hAnsi="Times New Roman" w:cs="Times New Roman"/>
          <w:sz w:val="24"/>
          <w:szCs w:val="24"/>
        </w:rPr>
        <w:t xml:space="preserve">Figure </w:t>
      </w:r>
      <w:r w:rsidR="00D254CE" w:rsidRPr="00EE59BE">
        <w:rPr>
          <w:rFonts w:ascii="Times New Roman" w:hAnsi="Times New Roman" w:cs="Times New Roman"/>
          <w:sz w:val="24"/>
          <w:szCs w:val="24"/>
        </w:rPr>
        <w:t>1</w:t>
      </w:r>
      <w:r w:rsidR="00CE607C" w:rsidRPr="00EE59BE">
        <w:rPr>
          <w:rFonts w:ascii="Times New Roman" w:hAnsi="Times New Roman" w:cs="Times New Roman"/>
          <w:sz w:val="24"/>
          <w:szCs w:val="24"/>
        </w:rPr>
        <w:t xml:space="preserve"> shows the layout of the oncology department.</w:t>
      </w:r>
      <w:r w:rsidR="00B46DC4" w:rsidRPr="00EE59BE">
        <w:rPr>
          <w:rFonts w:ascii="Times New Roman" w:hAnsi="Times New Roman" w:cs="Times New Roman"/>
          <w:sz w:val="24"/>
          <w:szCs w:val="24"/>
        </w:rPr>
        <w:t xml:space="preserve"> </w:t>
      </w:r>
      <w:r w:rsidRPr="00EE59BE">
        <w:rPr>
          <w:rFonts w:ascii="Times New Roman" w:hAnsi="Times New Roman" w:cs="Times New Roman"/>
          <w:sz w:val="24"/>
          <w:szCs w:val="24"/>
        </w:rPr>
        <w:t xml:space="preserve">The gamma radiation levels were measured both inside and outside </w:t>
      </w:r>
      <w:r w:rsidRPr="00EE59BE">
        <w:rPr>
          <w:rFonts w:ascii="Times New Roman" w:hAnsi="Times New Roman" w:cs="Times New Roman"/>
          <w:sz w:val="24"/>
          <w:szCs w:val="24"/>
        </w:rPr>
        <w:lastRenderedPageBreak/>
        <w:t xml:space="preserve">the rooms and the surrounding areas at a reference height of 1 meter above the ground level in </w:t>
      </w:r>
      <w:r w:rsidR="005C6824">
        <w:rPr>
          <w:rFonts w:ascii="Times New Roman" w:hAnsi="Times New Roman" w:cs="Times New Roman"/>
          <w:sz w:val="24"/>
          <w:szCs w:val="24"/>
        </w:rPr>
        <w:t xml:space="preserve">the </w:t>
      </w:r>
      <w:r w:rsidRPr="00EE59BE">
        <w:rPr>
          <w:rFonts w:ascii="Times New Roman" w:hAnsi="Times New Roman" w:cs="Times New Roman"/>
          <w:sz w:val="24"/>
          <w:szCs w:val="24"/>
        </w:rPr>
        <w:t xml:space="preserve">open air. To cover the whole area, ten (10) to fifteen (15) measurements were taken </w:t>
      </w:r>
      <w:r w:rsidRPr="00123247">
        <w:rPr>
          <w:rFonts w:ascii="Times New Roman" w:hAnsi="Times New Roman" w:cs="Times New Roman"/>
          <w:sz w:val="24"/>
          <w:szCs w:val="24"/>
        </w:rPr>
        <w:t>with</w:t>
      </w:r>
      <w:r w:rsidR="00123247" w:rsidRPr="00123247">
        <w:rPr>
          <w:rFonts w:ascii="Times New Roman" w:hAnsi="Times New Roman" w:cs="Times New Roman"/>
          <w:sz w:val="24"/>
          <w:szCs w:val="24"/>
        </w:rPr>
        <w:t xml:space="preserve"> a </w:t>
      </w:r>
      <w:r w:rsidR="00123247">
        <w:rPr>
          <w:rFonts w:ascii="Times New Roman" w:hAnsi="Times New Roman" w:cs="Times New Roman"/>
          <w:sz w:val="24"/>
          <w:szCs w:val="24"/>
        </w:rPr>
        <w:t>period</w:t>
      </w:r>
      <w:r w:rsidR="00123247" w:rsidRPr="00123247">
        <w:rPr>
          <w:rFonts w:ascii="Times New Roman" w:hAnsi="Times New Roman" w:cs="Times New Roman"/>
          <w:sz w:val="24"/>
          <w:szCs w:val="24"/>
        </w:rPr>
        <w:t xml:space="preserve"> of</w:t>
      </w:r>
      <w:r w:rsidRPr="00123247">
        <w:rPr>
          <w:rFonts w:ascii="Times New Roman" w:hAnsi="Times New Roman" w:cs="Times New Roman"/>
          <w:sz w:val="24"/>
          <w:szCs w:val="24"/>
        </w:rPr>
        <w:t xml:space="preserve"> 2 minutes interval</w:t>
      </w:r>
      <w:r w:rsidRPr="00EE59BE">
        <w:rPr>
          <w:rFonts w:ascii="Times New Roman" w:hAnsi="Times New Roman" w:cs="Times New Roman"/>
          <w:sz w:val="24"/>
          <w:szCs w:val="24"/>
        </w:rPr>
        <w:t xml:space="preserve"> at different points in each location and the mean value was </w:t>
      </w:r>
      <w:r w:rsidR="00B46DC4" w:rsidRPr="00EE59BE">
        <w:rPr>
          <w:rFonts w:ascii="Times New Roman" w:hAnsi="Times New Roman" w:cs="Times New Roman"/>
          <w:sz w:val="24"/>
          <w:szCs w:val="24"/>
        </w:rPr>
        <w:t xml:space="preserve">the average Absorbed Dose Rate </w:t>
      </w:r>
      <w:r w:rsidRPr="00EE59BE">
        <w:rPr>
          <w:rFonts w:ascii="Times New Roman" w:hAnsi="Times New Roman" w:cs="Times New Roman"/>
          <w:sz w:val="24"/>
          <w:szCs w:val="24"/>
        </w:rPr>
        <w:t>for the location.</w:t>
      </w:r>
      <w:r w:rsidR="00B46DC4" w:rsidRPr="00EE59BE">
        <w:rPr>
          <w:rFonts w:ascii="Times New Roman" w:hAnsi="Times New Roman" w:cs="Times New Roman"/>
          <w:sz w:val="24"/>
          <w:szCs w:val="24"/>
        </w:rPr>
        <w:t xml:space="preserve"> The average absorbed dose rates (ADR) were used to calculate the </w:t>
      </w:r>
      <w:r w:rsidR="00EE663C" w:rsidRPr="00EE59BE">
        <w:rPr>
          <w:rFonts w:ascii="Times New Roman" w:hAnsi="Times New Roman" w:cs="Times New Roman"/>
          <w:sz w:val="24"/>
          <w:szCs w:val="24"/>
        </w:rPr>
        <w:t>A</w:t>
      </w:r>
      <w:r w:rsidR="00B46DC4" w:rsidRPr="00EE59BE">
        <w:rPr>
          <w:rFonts w:ascii="Times New Roman" w:hAnsi="Times New Roman" w:cs="Times New Roman"/>
          <w:sz w:val="24"/>
          <w:szCs w:val="24"/>
        </w:rPr>
        <w:t xml:space="preserve">nnual </w:t>
      </w:r>
      <w:r w:rsidR="00EE663C" w:rsidRPr="00EE59BE">
        <w:rPr>
          <w:rFonts w:ascii="Times New Roman" w:hAnsi="Times New Roman" w:cs="Times New Roman"/>
          <w:sz w:val="24"/>
          <w:szCs w:val="24"/>
        </w:rPr>
        <w:t>E</w:t>
      </w:r>
      <w:r w:rsidR="00B46DC4" w:rsidRPr="00EE59BE">
        <w:rPr>
          <w:rFonts w:ascii="Times New Roman" w:hAnsi="Times New Roman" w:cs="Times New Roman"/>
          <w:sz w:val="24"/>
          <w:szCs w:val="24"/>
        </w:rPr>
        <w:t xml:space="preserve">ffective </w:t>
      </w:r>
      <w:r w:rsidR="00EE663C" w:rsidRPr="00EE59BE">
        <w:rPr>
          <w:rFonts w:ascii="Times New Roman" w:hAnsi="Times New Roman" w:cs="Times New Roman"/>
          <w:sz w:val="24"/>
          <w:szCs w:val="24"/>
        </w:rPr>
        <w:t>D</w:t>
      </w:r>
      <w:r w:rsidR="00B46DC4" w:rsidRPr="00EE59BE">
        <w:rPr>
          <w:rFonts w:ascii="Times New Roman" w:hAnsi="Times New Roman" w:cs="Times New Roman"/>
          <w:sz w:val="24"/>
          <w:szCs w:val="24"/>
        </w:rPr>
        <w:t xml:space="preserve">ose </w:t>
      </w:r>
      <w:r w:rsidR="00EE663C" w:rsidRPr="00EE59BE">
        <w:rPr>
          <w:rFonts w:ascii="Times New Roman" w:hAnsi="Times New Roman" w:cs="Times New Roman"/>
          <w:sz w:val="24"/>
          <w:szCs w:val="24"/>
        </w:rPr>
        <w:t>E</w:t>
      </w:r>
      <w:r w:rsidR="00B46DC4" w:rsidRPr="00EE59BE">
        <w:rPr>
          <w:rFonts w:ascii="Times New Roman" w:hAnsi="Times New Roman" w:cs="Times New Roman"/>
          <w:sz w:val="24"/>
          <w:szCs w:val="24"/>
        </w:rPr>
        <w:t xml:space="preserve">quivalent (AEDE) in </w:t>
      </w:r>
      <w:r w:rsidR="00EE663C" w:rsidRPr="00EE59BE">
        <w:rPr>
          <w:rFonts w:ascii="Times New Roman" w:hAnsi="Times New Roman" w:cs="Times New Roman"/>
          <w:sz w:val="24"/>
          <w:szCs w:val="24"/>
        </w:rPr>
        <w:t>m</w:t>
      </w:r>
      <w:r w:rsidR="00B46DC4" w:rsidRPr="00EE59BE">
        <w:rPr>
          <w:rFonts w:ascii="Times New Roman" w:hAnsi="Times New Roman" w:cs="Times New Roman"/>
          <w:sz w:val="24"/>
          <w:szCs w:val="24"/>
        </w:rPr>
        <w:t>Sv/</w:t>
      </w:r>
      <w:proofErr w:type="spellStart"/>
      <w:r w:rsidR="00B46DC4" w:rsidRPr="00EE59BE">
        <w:rPr>
          <w:rFonts w:ascii="Times New Roman" w:hAnsi="Times New Roman" w:cs="Times New Roman"/>
          <w:sz w:val="24"/>
          <w:szCs w:val="24"/>
        </w:rPr>
        <w:t>yr</w:t>
      </w:r>
      <w:proofErr w:type="spellEnd"/>
      <w:r w:rsidR="00B46DC4" w:rsidRPr="00EE59BE">
        <w:rPr>
          <w:rFonts w:ascii="Times New Roman" w:hAnsi="Times New Roman" w:cs="Times New Roman"/>
          <w:sz w:val="24"/>
          <w:szCs w:val="24"/>
        </w:rPr>
        <w:t xml:space="preserve"> received by workers</w:t>
      </w:r>
      <w:r w:rsidR="00EE663C" w:rsidRPr="00EE59BE">
        <w:rPr>
          <w:rFonts w:ascii="Times New Roman" w:hAnsi="Times New Roman" w:cs="Times New Roman"/>
          <w:sz w:val="24"/>
          <w:szCs w:val="24"/>
        </w:rPr>
        <w:t xml:space="preserve"> and </w:t>
      </w:r>
      <w:r w:rsidR="00B46DC4" w:rsidRPr="00EE59BE">
        <w:rPr>
          <w:rFonts w:ascii="Times New Roman" w:hAnsi="Times New Roman" w:cs="Times New Roman"/>
          <w:sz w:val="24"/>
          <w:szCs w:val="24"/>
        </w:rPr>
        <w:t>visitors</w:t>
      </w:r>
      <w:r w:rsidR="00EE663C" w:rsidRPr="00EE59BE">
        <w:rPr>
          <w:rFonts w:ascii="Times New Roman" w:hAnsi="Times New Roman" w:cs="Times New Roman"/>
          <w:sz w:val="24"/>
          <w:szCs w:val="24"/>
        </w:rPr>
        <w:t>.</w:t>
      </w:r>
      <w:r w:rsidR="00B46DC4" w:rsidRPr="00EE59BE">
        <w:rPr>
          <w:rFonts w:ascii="Times New Roman" w:hAnsi="Times New Roman" w:cs="Times New Roman"/>
          <w:sz w:val="24"/>
          <w:szCs w:val="24"/>
        </w:rPr>
        <w:t xml:space="preserve"> The AEDE was computed using the relation</w:t>
      </w:r>
      <w:r w:rsidR="00EE663C" w:rsidRPr="00EE59BE">
        <w:rPr>
          <w:rFonts w:ascii="Times New Roman" w:hAnsi="Times New Roman" w:cs="Times New Roman"/>
          <w:sz w:val="24"/>
          <w:szCs w:val="24"/>
        </w:rPr>
        <w:t>;</w:t>
      </w:r>
    </w:p>
    <w:p w14:paraId="1754DC5D" w14:textId="0478D2DC" w:rsidR="00EE663C" w:rsidRPr="00EE59BE" w:rsidRDefault="00EE663C" w:rsidP="00464B9A">
      <w:pPr>
        <w:autoSpaceDE w:val="0"/>
        <w:autoSpaceDN w:val="0"/>
        <w:adjustRightInd w:val="0"/>
        <w:spacing w:after="0" w:line="360" w:lineRule="auto"/>
        <w:rPr>
          <w:rFonts w:ascii="Times New Roman" w:eastAsia="Arial" w:hAnsi="Times New Roman" w:cs="Times New Roman"/>
          <w:sz w:val="24"/>
          <w:szCs w:val="24"/>
        </w:rPr>
      </w:pPr>
      <w:r w:rsidRPr="00EE59BE">
        <w:rPr>
          <w:rFonts w:ascii="Times New Roman" w:hAnsi="Times New Roman" w:cs="Times New Roman"/>
          <w:sz w:val="24"/>
          <w:szCs w:val="24"/>
        </w:rPr>
        <w:t xml:space="preserve">             </w:t>
      </w:r>
      <w:r w:rsidRPr="00EE59BE">
        <w:rPr>
          <w:rFonts w:ascii="Times New Roman" w:eastAsia="Arial" w:hAnsi="Times New Roman" w:cs="Times New Roman"/>
          <w:sz w:val="24"/>
          <w:szCs w:val="24"/>
        </w:rPr>
        <w:t>AEDE (mSv/</w:t>
      </w:r>
      <w:proofErr w:type="spellStart"/>
      <w:r w:rsidRPr="00EE59BE">
        <w:rPr>
          <w:rFonts w:ascii="Times New Roman" w:eastAsia="Arial" w:hAnsi="Times New Roman" w:cs="Times New Roman"/>
          <w:sz w:val="24"/>
          <w:szCs w:val="24"/>
        </w:rPr>
        <w:t>yr</w:t>
      </w:r>
      <w:proofErr w:type="spellEnd"/>
      <w:r w:rsidRPr="00EE59BE">
        <w:rPr>
          <w:rFonts w:ascii="Times New Roman" w:eastAsia="Arial" w:hAnsi="Times New Roman" w:cs="Times New Roman"/>
          <w:sz w:val="24"/>
          <w:szCs w:val="24"/>
        </w:rPr>
        <w:t>) = 4600(h/y)</w:t>
      </w:r>
      <w:r w:rsidR="007B64A5" w:rsidRPr="00EE59BE">
        <w:rPr>
          <w:rFonts w:ascii="Times New Roman" w:eastAsia="Arial" w:hAnsi="Times New Roman" w:cs="Times New Roman"/>
          <w:sz w:val="24"/>
          <w:szCs w:val="24"/>
        </w:rPr>
        <w:t xml:space="preserve"> (T)</w:t>
      </w:r>
      <w:r w:rsidRPr="00EE59BE">
        <w:rPr>
          <w:rFonts w:ascii="Times New Roman" w:hAnsi="Times New Roman" w:cs="Times New Roman"/>
          <w:sz w:val="24"/>
          <w:szCs w:val="24"/>
        </w:rPr>
        <w:t xml:space="preserve"> X </w:t>
      </w:r>
      <w:r w:rsidRPr="00EE59BE">
        <w:rPr>
          <w:rFonts w:ascii="Times New Roman" w:eastAsia="Arial" w:hAnsi="Times New Roman" w:cs="Times New Roman"/>
          <w:sz w:val="24"/>
          <w:szCs w:val="24"/>
        </w:rPr>
        <w:t xml:space="preserve">0.8(OF) x 0.001(CF) </w:t>
      </w:r>
      <w:r w:rsidRPr="00EE59BE">
        <w:rPr>
          <w:rFonts w:ascii="Times New Roman" w:hAnsi="Times New Roman" w:cs="Times New Roman"/>
          <w:sz w:val="24"/>
          <w:szCs w:val="24"/>
        </w:rPr>
        <w:t xml:space="preserve">X </w:t>
      </w:r>
      <w:r w:rsidRPr="00EE59BE">
        <w:rPr>
          <w:rFonts w:ascii="Times New Roman" w:eastAsia="Arial" w:hAnsi="Times New Roman" w:cs="Times New Roman"/>
          <w:sz w:val="24"/>
          <w:szCs w:val="24"/>
        </w:rPr>
        <w:t>AD</w:t>
      </w:r>
      <w:r w:rsidR="007B64A5" w:rsidRPr="00EE59BE">
        <w:rPr>
          <w:rFonts w:ascii="Times New Roman" w:eastAsia="Arial" w:hAnsi="Times New Roman" w:cs="Times New Roman"/>
          <w:sz w:val="24"/>
          <w:szCs w:val="24"/>
        </w:rPr>
        <w:t>R</w:t>
      </w:r>
      <w:r w:rsidRPr="00EE59BE">
        <w:rPr>
          <w:rFonts w:ascii="Times New Roman" w:eastAsia="Arial" w:hAnsi="Times New Roman" w:cs="Times New Roman"/>
          <w:sz w:val="24"/>
          <w:szCs w:val="24"/>
        </w:rPr>
        <w:t xml:space="preserve"> (</w:t>
      </w:r>
      <w:proofErr w:type="spellStart"/>
      <w:r w:rsidRPr="00EE59BE">
        <w:rPr>
          <w:rFonts w:ascii="Times New Roman" w:eastAsia="Arial" w:hAnsi="Times New Roman" w:cs="Times New Roman"/>
          <w:sz w:val="24"/>
          <w:szCs w:val="24"/>
        </w:rPr>
        <w:t>μSv</w:t>
      </w:r>
      <w:proofErr w:type="spellEnd"/>
      <w:r w:rsidRPr="00EE59BE">
        <w:rPr>
          <w:rFonts w:ascii="Times New Roman" w:eastAsia="Arial" w:hAnsi="Times New Roman" w:cs="Times New Roman"/>
          <w:sz w:val="24"/>
          <w:szCs w:val="24"/>
        </w:rPr>
        <w:t>/h)</w:t>
      </w:r>
      <w:r w:rsidRPr="00EE59BE">
        <w:rPr>
          <w:rFonts w:ascii="Times New Roman" w:hAnsi="Times New Roman" w:cs="Times New Roman"/>
          <w:sz w:val="24"/>
          <w:szCs w:val="24"/>
        </w:rPr>
        <w:tab/>
        <w:t xml:space="preserve"> </w:t>
      </w:r>
      <w:r w:rsidR="007B64A5" w:rsidRPr="00EE59BE">
        <w:rPr>
          <w:rFonts w:ascii="Times New Roman" w:hAnsi="Times New Roman" w:cs="Times New Roman"/>
          <w:sz w:val="24"/>
          <w:szCs w:val="24"/>
        </w:rPr>
        <w:t xml:space="preserve">        </w:t>
      </w:r>
      <w:proofErr w:type="gramStart"/>
      <w:r w:rsidR="007B64A5" w:rsidRPr="00EE59BE">
        <w:rPr>
          <w:rFonts w:ascii="Times New Roman" w:hAnsi="Times New Roman" w:cs="Times New Roman"/>
          <w:sz w:val="24"/>
          <w:szCs w:val="24"/>
        </w:rPr>
        <w:t xml:space="preserve"> </w:t>
      </w:r>
      <w:r w:rsidRPr="00EE59BE">
        <w:rPr>
          <w:rFonts w:ascii="Times New Roman" w:hAnsi="Times New Roman" w:cs="Times New Roman"/>
          <w:sz w:val="24"/>
          <w:szCs w:val="24"/>
        </w:rPr>
        <w:t xml:space="preserve">  </w:t>
      </w:r>
      <w:r w:rsidRPr="00EE59BE">
        <w:rPr>
          <w:rFonts w:ascii="Times New Roman" w:eastAsia="Arial" w:hAnsi="Times New Roman" w:cs="Times New Roman"/>
          <w:sz w:val="24"/>
          <w:szCs w:val="24"/>
        </w:rPr>
        <w:t>(</w:t>
      </w:r>
      <w:proofErr w:type="gramEnd"/>
      <w:r w:rsidRPr="00EE59BE">
        <w:rPr>
          <w:rFonts w:ascii="Times New Roman" w:eastAsia="Arial" w:hAnsi="Times New Roman" w:cs="Times New Roman"/>
          <w:sz w:val="24"/>
          <w:szCs w:val="24"/>
        </w:rPr>
        <w:t>1)</w:t>
      </w:r>
    </w:p>
    <w:p w14:paraId="27ADD936" w14:textId="1610BE1B" w:rsidR="007B64A5" w:rsidRPr="00EE59BE" w:rsidRDefault="007B64A5" w:rsidP="00464B9A">
      <w:pPr>
        <w:autoSpaceDE w:val="0"/>
        <w:autoSpaceDN w:val="0"/>
        <w:adjustRightInd w:val="0"/>
        <w:spacing w:after="0" w:line="360" w:lineRule="auto"/>
        <w:rPr>
          <w:rFonts w:ascii="Times New Roman" w:hAnsi="Times New Roman" w:cs="Times New Roman"/>
          <w:sz w:val="24"/>
          <w:szCs w:val="24"/>
        </w:rPr>
      </w:pPr>
      <w:r w:rsidRPr="00EE59BE">
        <w:rPr>
          <w:rFonts w:ascii="Times New Roman" w:hAnsi="Times New Roman" w:cs="Times New Roman"/>
          <w:sz w:val="24"/>
          <w:szCs w:val="24"/>
        </w:rPr>
        <w:t xml:space="preserve">Where T is </w:t>
      </w:r>
      <w:r w:rsidR="005C6824">
        <w:rPr>
          <w:rFonts w:ascii="Times New Roman" w:hAnsi="Times New Roman" w:cs="Times New Roman"/>
          <w:sz w:val="24"/>
          <w:szCs w:val="24"/>
        </w:rPr>
        <w:t xml:space="preserve">the </w:t>
      </w:r>
      <w:r w:rsidRPr="00EE59BE">
        <w:rPr>
          <w:rFonts w:ascii="Times New Roman" w:hAnsi="Times New Roman" w:cs="Times New Roman"/>
          <w:sz w:val="24"/>
          <w:szCs w:val="24"/>
        </w:rPr>
        <w:t>total time in hours per year (</w:t>
      </w:r>
      <w:r w:rsidRPr="00EE59BE">
        <w:rPr>
          <w:rFonts w:ascii="Times New Roman" w:eastAsia="Arial" w:hAnsi="Times New Roman" w:cs="Times New Roman"/>
          <w:sz w:val="24"/>
          <w:szCs w:val="24"/>
        </w:rPr>
        <w:t>4600</w:t>
      </w:r>
      <w:r w:rsidRPr="00EE59BE">
        <w:rPr>
          <w:rFonts w:ascii="Times New Roman" w:hAnsi="Times New Roman" w:cs="Times New Roman"/>
          <w:sz w:val="24"/>
          <w:szCs w:val="24"/>
        </w:rPr>
        <w:t>), OF is the occupancy factor, CF is the</w:t>
      </w:r>
      <w:r w:rsidR="00CE607C" w:rsidRPr="00EE59BE">
        <w:rPr>
          <w:rFonts w:ascii="Times New Roman" w:hAnsi="Times New Roman" w:cs="Times New Roman"/>
          <w:sz w:val="24"/>
          <w:szCs w:val="24"/>
        </w:rPr>
        <w:t xml:space="preserve"> dose</w:t>
      </w:r>
      <w:r w:rsidRPr="00EE59BE">
        <w:rPr>
          <w:rFonts w:ascii="Times New Roman" w:hAnsi="Times New Roman" w:cs="Times New Roman"/>
          <w:sz w:val="24"/>
          <w:szCs w:val="24"/>
        </w:rPr>
        <w:t xml:space="preserve"> conversion factor</w:t>
      </w:r>
      <w:r w:rsidR="00CE607C" w:rsidRPr="00EE59BE">
        <w:rPr>
          <w:rFonts w:ascii="Times New Roman" w:hAnsi="Times New Roman" w:cs="Times New Roman"/>
          <w:sz w:val="24"/>
          <w:szCs w:val="24"/>
        </w:rPr>
        <w:t xml:space="preserve"> and ADR is the absorbed dose rate</w:t>
      </w:r>
      <w:r w:rsidRPr="00EE59BE">
        <w:rPr>
          <w:rFonts w:ascii="Times New Roman" w:hAnsi="Times New Roman" w:cs="Times New Roman"/>
          <w:sz w:val="24"/>
          <w:szCs w:val="24"/>
        </w:rPr>
        <w:t>. For this work, an outdoor occupancy factor of 0.</w:t>
      </w:r>
      <w:r w:rsidR="00952794" w:rsidRPr="00EE59BE">
        <w:rPr>
          <w:rFonts w:ascii="Times New Roman" w:hAnsi="Times New Roman" w:cs="Times New Roman"/>
          <w:sz w:val="24"/>
          <w:szCs w:val="24"/>
        </w:rPr>
        <w:t>8</w:t>
      </w:r>
      <w:r w:rsidRPr="00EE59BE">
        <w:rPr>
          <w:rFonts w:ascii="Times New Roman" w:hAnsi="Times New Roman" w:cs="Times New Roman"/>
          <w:sz w:val="24"/>
          <w:szCs w:val="24"/>
        </w:rPr>
        <w:t xml:space="preserve"> (UNSCEAR, 2008) was used. Based on the values from the AEDE, the excess lifetime cancer risk (ELCR) was calculated using the equation</w:t>
      </w:r>
      <w:r w:rsidR="0039344E">
        <w:rPr>
          <w:rFonts w:ascii="Times New Roman" w:hAnsi="Times New Roman" w:cs="Times New Roman"/>
          <w:sz w:val="24"/>
          <w:szCs w:val="24"/>
        </w:rPr>
        <w:t>:</w:t>
      </w:r>
    </w:p>
    <w:p w14:paraId="0CB99DEE" w14:textId="47EC5DCC" w:rsidR="00952794" w:rsidRPr="00EE59BE" w:rsidRDefault="00952794" w:rsidP="00464B9A">
      <w:pPr>
        <w:autoSpaceDE w:val="0"/>
        <w:autoSpaceDN w:val="0"/>
        <w:adjustRightInd w:val="0"/>
        <w:spacing w:after="0" w:line="360" w:lineRule="auto"/>
        <w:rPr>
          <w:rFonts w:ascii="Times New Roman" w:hAnsi="Times New Roman" w:cs="Times New Roman"/>
          <w:sz w:val="24"/>
          <w:szCs w:val="24"/>
        </w:rPr>
      </w:pPr>
    </w:p>
    <w:p w14:paraId="518BCA72" w14:textId="0F8F9784" w:rsidR="00B46DC4" w:rsidRPr="00EE59BE" w:rsidRDefault="00952794" w:rsidP="00464B9A">
      <w:pPr>
        <w:autoSpaceDE w:val="0"/>
        <w:autoSpaceDN w:val="0"/>
        <w:adjustRightInd w:val="0"/>
        <w:spacing w:after="0" w:line="360" w:lineRule="auto"/>
        <w:rPr>
          <w:rFonts w:ascii="Times New Roman" w:hAnsi="Times New Roman" w:cs="Times New Roman"/>
          <w:sz w:val="24"/>
          <w:szCs w:val="24"/>
        </w:rPr>
      </w:pPr>
      <w:r w:rsidRPr="00EE59BE">
        <w:rPr>
          <w:rFonts w:ascii="Times New Roman" w:hAnsi="Times New Roman" w:cs="Times New Roman"/>
          <w:sz w:val="24"/>
          <w:szCs w:val="24"/>
        </w:rPr>
        <w:t xml:space="preserve">                       ELCR = AEDE (mSv/</w:t>
      </w:r>
      <w:proofErr w:type="spellStart"/>
      <w:r w:rsidRPr="00EE59BE">
        <w:rPr>
          <w:rFonts w:ascii="Times New Roman" w:hAnsi="Times New Roman" w:cs="Times New Roman"/>
          <w:sz w:val="24"/>
          <w:szCs w:val="24"/>
        </w:rPr>
        <w:t>yr</w:t>
      </w:r>
      <w:proofErr w:type="spellEnd"/>
      <w:r w:rsidRPr="00EE59BE">
        <w:rPr>
          <w:rFonts w:ascii="Times New Roman" w:hAnsi="Times New Roman" w:cs="Times New Roman"/>
          <w:sz w:val="24"/>
          <w:szCs w:val="24"/>
        </w:rPr>
        <w:t xml:space="preserve">) x DL (70 years) x RF (0.05)                         </w:t>
      </w:r>
      <w:proofErr w:type="gramStart"/>
      <w:r w:rsidRPr="00EE59BE">
        <w:rPr>
          <w:rFonts w:ascii="Times New Roman" w:hAnsi="Times New Roman" w:cs="Times New Roman"/>
          <w:sz w:val="24"/>
          <w:szCs w:val="24"/>
        </w:rPr>
        <w:t xml:space="preserve">   (</w:t>
      </w:r>
      <w:proofErr w:type="gramEnd"/>
      <w:r w:rsidRPr="00EE59BE">
        <w:rPr>
          <w:rFonts w:ascii="Times New Roman" w:hAnsi="Times New Roman" w:cs="Times New Roman"/>
          <w:sz w:val="24"/>
          <w:szCs w:val="24"/>
        </w:rPr>
        <w:t>2)</w:t>
      </w:r>
      <w:r w:rsidR="00B46DC4" w:rsidRPr="00EE59BE">
        <w:rPr>
          <w:rFonts w:ascii="Times New Roman" w:hAnsi="Times New Roman" w:cs="Times New Roman"/>
          <w:sz w:val="24"/>
          <w:szCs w:val="24"/>
        </w:rPr>
        <w:t xml:space="preserve">                         </w:t>
      </w:r>
    </w:p>
    <w:p w14:paraId="2BE0815E" w14:textId="2CAF5A3E" w:rsidR="008E1BA2" w:rsidRPr="00EE59BE" w:rsidRDefault="00B46DC4" w:rsidP="00464B9A">
      <w:pPr>
        <w:spacing w:line="360" w:lineRule="auto"/>
        <w:ind w:right="266"/>
        <w:rPr>
          <w:rFonts w:ascii="Times New Roman" w:hAnsi="Times New Roman" w:cs="Times New Roman"/>
          <w:sz w:val="24"/>
          <w:szCs w:val="24"/>
        </w:rPr>
      </w:pPr>
      <w:r w:rsidRPr="00EE59BE">
        <w:rPr>
          <w:rFonts w:ascii="Times New Roman" w:eastAsia="Arial" w:hAnsi="Times New Roman" w:cs="Times New Roman"/>
          <w:sz w:val="24"/>
          <w:szCs w:val="24"/>
        </w:rPr>
        <w:t xml:space="preserve">where AEDE is the annual effective dose equivalent, DL is the duration of life and RF is the risk factor or fatal cancer risk per Sievert. </w:t>
      </w:r>
      <w:r w:rsidR="000E25E0" w:rsidRPr="00EE59BE">
        <w:rPr>
          <w:rFonts w:ascii="Times New Roman" w:hAnsi="Times New Roman" w:cs="Times New Roman"/>
          <w:sz w:val="24"/>
          <w:szCs w:val="24"/>
        </w:rPr>
        <w:t>For stochastic effects from low dose background radiation, ICRP 103 suggested the value of 0.05 for the public exposure</w:t>
      </w:r>
      <w:r w:rsidR="00D254CE" w:rsidRPr="00EE59BE">
        <w:rPr>
          <w:rFonts w:ascii="Times New Roman" w:hAnsi="Times New Roman" w:cs="Times New Roman"/>
          <w:sz w:val="24"/>
          <w:szCs w:val="24"/>
        </w:rPr>
        <w:t xml:space="preserve"> </w:t>
      </w:r>
      <w:r w:rsidR="00D254CE" w:rsidRPr="00EE59BE">
        <w:rPr>
          <w:rFonts w:ascii="Times New Roman" w:hAnsi="Times New Roman" w:cs="Times New Roman"/>
          <w:sz w:val="24"/>
          <w:szCs w:val="24"/>
        </w:rPr>
        <w:fldChar w:fldCharType="begin" w:fldLock="1"/>
      </w:r>
      <w:r w:rsidR="004F0891">
        <w:rPr>
          <w:rFonts w:ascii="Times New Roman" w:hAnsi="Times New Roman" w:cs="Times New Roman"/>
          <w:sz w:val="24"/>
          <w:szCs w:val="24"/>
        </w:rPr>
        <w:instrText>ADDIN CSL_CITATION {"citationItems":[{"id":"ITEM-1","itemData":{"DOI":"10.1016/j.icrp.2007.10.003","ISSN":"01466453","PMID":"18082557","abstract":"These revised Recommendations for a System of Radiological Protection formally replace the Commission's previous, 1990, Recommendations; and update, consolidate, and develop the additional guidance on the control of exposure from radiation sources issued since 1990. Thus, the present Recommendations update the radiation and tissue weighting factors in the quantities equivalent and effective dose and update the radiation detriment, based on the latest available scientific information of the biology and physics of radiation exposure. They maintain the Commission's three fundamental principles of radiological protection, namely justification, optimisation, and the application of dose limits, clarifying how they apply to radiation sources delivering exposure and to individuals receiving exposure. The Recommendations evolve from the previous process-based protection approach using practices and interventions by moving to an approach based on the exposure situation. They recognise planned, emergency, and existing exposure situations, and apply the fundamental principles of justification and optimisation of protection to all of these situations. They maintain the Commission's current individual dose limits for effective dose and equivalent dose from all regulated sources in planned exposure situations. They reinforce the principle of optimisation of protection, which should be applicable in a similar way to all exposure situations, subject to the following restrictions on individual doses and risks; dose and risk constraints for planned exposure situations, and reference levels for emergency and existing exposure situations. The Recommendations also include an approach for developing a framework to demonstrate radiological protection of the environment.","container-title":"Annals of the ICRP","id":"ITEM-1","issue":"2-4","issued":{"date-parts":[["2007"]]},"page":"1-332","title":"The 2007 Recommendations of the International Commission on Radiological Protection. ICRP publication 103.","type":"article-journal","volume":"37"},"uris":["http://www.mendeley.com/documents/?uuid=eabfdef7-6279-4f70-b986-4334f81b7a98"]}],"mendeley":{"formattedCitation":"(“The 2007 Recommendations of the International Commission on Radiological Protection. ICRP Publication 103.” 2007)","manualFormatting":"( ICRP 2007)","plainTextFormattedCitation":"(“The 2007 Recommendations of the International Commission on Radiological Protection. ICRP Publication 103.” 2007)","previouslyFormattedCitation":"(“The 2007 Recommendations of the International Commission on Radiological Protection. ICRP Publication 103.” 2007)"},"properties":{"noteIndex":0},"schema":"https://github.com/citation-style-language/schema/raw/master/csl-citation.json"}</w:instrText>
      </w:r>
      <w:r w:rsidR="00D254CE" w:rsidRPr="00EE59BE">
        <w:rPr>
          <w:rFonts w:ascii="Times New Roman" w:hAnsi="Times New Roman" w:cs="Times New Roman"/>
          <w:sz w:val="24"/>
          <w:szCs w:val="24"/>
        </w:rPr>
        <w:fldChar w:fldCharType="separate"/>
      </w:r>
      <w:r w:rsidR="00D254CE" w:rsidRPr="00EE59BE">
        <w:rPr>
          <w:rFonts w:ascii="Times New Roman" w:hAnsi="Times New Roman" w:cs="Times New Roman"/>
          <w:noProof/>
          <w:sz w:val="24"/>
          <w:szCs w:val="24"/>
        </w:rPr>
        <w:t>( ICRP 2007)</w:t>
      </w:r>
      <w:r w:rsidR="00D254CE" w:rsidRPr="00EE59BE">
        <w:rPr>
          <w:rFonts w:ascii="Times New Roman" w:hAnsi="Times New Roman" w:cs="Times New Roman"/>
          <w:sz w:val="24"/>
          <w:szCs w:val="24"/>
        </w:rPr>
        <w:fldChar w:fldCharType="end"/>
      </w:r>
      <w:r w:rsidR="000E25E0">
        <w:t xml:space="preserve"> </w:t>
      </w:r>
    </w:p>
    <w:p w14:paraId="5ECFB47C" w14:textId="77777777" w:rsidR="008E1BA2" w:rsidRPr="00B20DBD" w:rsidRDefault="008E1BA2" w:rsidP="008E1BA2">
      <w:pPr>
        <w:spacing w:line="36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2A0B9A6D" wp14:editId="1A301E84">
            <wp:extent cx="5715000" cy="484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848225"/>
                    </a:xfrm>
                    <a:prstGeom prst="rect">
                      <a:avLst/>
                    </a:prstGeom>
                    <a:noFill/>
                    <a:ln>
                      <a:noFill/>
                    </a:ln>
                  </pic:spPr>
                </pic:pic>
              </a:graphicData>
            </a:graphic>
          </wp:inline>
        </w:drawing>
      </w:r>
    </w:p>
    <w:p w14:paraId="226E723D" w14:textId="038BD573" w:rsidR="008E1BA2" w:rsidRPr="001242C9" w:rsidRDefault="008E1BA2" w:rsidP="00EE59BE">
      <w:pPr>
        <w:spacing w:line="360" w:lineRule="auto"/>
        <w:ind w:right="6"/>
        <w:jc w:val="both"/>
        <w:rPr>
          <w:rFonts w:ascii="Times New Roman" w:hAnsi="Times New Roman" w:cs="Times New Roman"/>
          <w:sz w:val="24"/>
          <w:szCs w:val="24"/>
        </w:rPr>
      </w:pPr>
      <w:r w:rsidRPr="00B20DBD">
        <w:rPr>
          <w:rFonts w:ascii="Times New Roman" w:eastAsia="Arial" w:hAnsi="Times New Roman" w:cs="Times New Roman"/>
          <w:sz w:val="24"/>
          <w:szCs w:val="24"/>
        </w:rPr>
        <w:lastRenderedPageBreak/>
        <w:t xml:space="preserve">Figure </w:t>
      </w:r>
      <w:r w:rsidR="00EE59BE">
        <w:rPr>
          <w:rFonts w:ascii="Times New Roman" w:eastAsia="Arial" w:hAnsi="Times New Roman" w:cs="Times New Roman"/>
          <w:sz w:val="24"/>
          <w:szCs w:val="24"/>
        </w:rPr>
        <w:t>1</w:t>
      </w:r>
      <w:r w:rsidRPr="00B20DBD">
        <w:rPr>
          <w:rFonts w:ascii="Times New Roman" w:eastAsia="Arial" w:hAnsi="Times New Roman" w:cs="Times New Roman"/>
          <w:sz w:val="24"/>
          <w:szCs w:val="24"/>
        </w:rPr>
        <w:t xml:space="preserve">: Layout of the </w:t>
      </w:r>
      <w:r w:rsidR="00EE59BE">
        <w:rPr>
          <w:rFonts w:ascii="Times New Roman" w:eastAsia="Arial" w:hAnsi="Times New Roman" w:cs="Times New Roman"/>
          <w:sz w:val="24"/>
          <w:szCs w:val="24"/>
        </w:rPr>
        <w:t>KATH Oncology</w:t>
      </w:r>
      <w:r w:rsidRPr="00B20DBD">
        <w:rPr>
          <w:rFonts w:ascii="Times New Roman" w:eastAsia="Arial" w:hAnsi="Times New Roman" w:cs="Times New Roman"/>
          <w:sz w:val="24"/>
          <w:szCs w:val="24"/>
        </w:rPr>
        <w:t xml:space="preserve"> </w:t>
      </w:r>
      <w:r w:rsidR="00EE59BE">
        <w:rPr>
          <w:rFonts w:ascii="Times New Roman" w:eastAsia="Arial" w:hAnsi="Times New Roman" w:cs="Times New Roman"/>
          <w:sz w:val="24"/>
          <w:szCs w:val="24"/>
        </w:rPr>
        <w:t>Department</w:t>
      </w:r>
      <w:r w:rsidRPr="00B20DBD">
        <w:rPr>
          <w:rFonts w:ascii="Times New Roman" w:eastAsia="Arial" w:hAnsi="Times New Roman" w:cs="Times New Roman"/>
          <w:sz w:val="24"/>
          <w:szCs w:val="24"/>
        </w:rPr>
        <w:t>.</w:t>
      </w:r>
    </w:p>
    <w:p w14:paraId="201B6B02" w14:textId="1F17FD7D" w:rsidR="008E1BA2" w:rsidRPr="00300F2C" w:rsidRDefault="008E1BA2" w:rsidP="00300F2C">
      <w:pPr>
        <w:pStyle w:val="ListParagraph"/>
        <w:numPr>
          <w:ilvl w:val="0"/>
          <w:numId w:val="2"/>
        </w:numPr>
        <w:spacing w:line="360" w:lineRule="auto"/>
        <w:jc w:val="both"/>
        <w:rPr>
          <w:rFonts w:ascii="Times New Roman" w:hAnsi="Times New Roman" w:cs="Times New Roman"/>
          <w:b/>
          <w:sz w:val="24"/>
          <w:szCs w:val="24"/>
        </w:rPr>
      </w:pPr>
      <w:r w:rsidRPr="00300F2C">
        <w:rPr>
          <w:rFonts w:ascii="Times New Roman" w:hAnsi="Times New Roman" w:cs="Times New Roman"/>
          <w:b/>
          <w:sz w:val="24"/>
          <w:szCs w:val="24"/>
        </w:rPr>
        <w:t>Results and Discussion</w:t>
      </w:r>
    </w:p>
    <w:p w14:paraId="1BDB3534" w14:textId="40EB4EA0" w:rsidR="008E1BA2" w:rsidRDefault="00106574" w:rsidP="00464B9A">
      <w:pPr>
        <w:autoSpaceDE w:val="0"/>
        <w:autoSpaceDN w:val="0"/>
        <w:adjustRightInd w:val="0"/>
        <w:spacing w:after="0" w:line="360" w:lineRule="auto"/>
        <w:jc w:val="both"/>
        <w:rPr>
          <w:rFonts w:ascii="Times New Roman" w:hAnsi="Times New Roman" w:cs="Times New Roman"/>
          <w:sz w:val="24"/>
          <w:szCs w:val="24"/>
        </w:rPr>
      </w:pPr>
      <w:r w:rsidRPr="00106574">
        <w:rPr>
          <w:rFonts w:ascii="Times New Roman" w:hAnsi="Times New Roman" w:cs="Times New Roman"/>
          <w:sz w:val="24"/>
          <w:szCs w:val="24"/>
        </w:rPr>
        <w:t xml:space="preserve">The results of the measured Absorbed Dose Rate, Background Ionizing Radiation, the calculated Annual Effective Dose Equivalent and Excess Lifetime Cancer Risk are presented in Tables 1 and 2 and graphically </w:t>
      </w:r>
      <w:r>
        <w:rPr>
          <w:rFonts w:ascii="Times New Roman" w:hAnsi="Times New Roman" w:cs="Times New Roman"/>
          <w:sz w:val="24"/>
          <w:szCs w:val="24"/>
        </w:rPr>
        <w:t>distributed</w:t>
      </w:r>
      <w:r w:rsidRPr="00106574">
        <w:rPr>
          <w:rFonts w:ascii="Times New Roman" w:hAnsi="Times New Roman" w:cs="Times New Roman"/>
          <w:sz w:val="24"/>
          <w:szCs w:val="24"/>
        </w:rPr>
        <w:t xml:space="preserve"> in </w:t>
      </w:r>
      <w:r>
        <w:rPr>
          <w:rFonts w:ascii="Times New Roman" w:hAnsi="Times New Roman" w:cs="Times New Roman"/>
          <w:sz w:val="24"/>
          <w:szCs w:val="24"/>
        </w:rPr>
        <w:t>F</w:t>
      </w:r>
      <w:r w:rsidRPr="00106574">
        <w:rPr>
          <w:rFonts w:ascii="Times New Roman" w:hAnsi="Times New Roman" w:cs="Times New Roman"/>
          <w:sz w:val="24"/>
          <w:szCs w:val="24"/>
        </w:rPr>
        <w:t xml:space="preserve">igures </w:t>
      </w:r>
      <w:r w:rsidR="00EE59BE">
        <w:rPr>
          <w:rFonts w:ascii="Times New Roman" w:hAnsi="Times New Roman" w:cs="Times New Roman"/>
          <w:sz w:val="24"/>
          <w:szCs w:val="24"/>
        </w:rPr>
        <w:t>2</w:t>
      </w:r>
      <w:r w:rsidRPr="00106574">
        <w:rPr>
          <w:rFonts w:ascii="Times New Roman" w:hAnsi="Times New Roman" w:cs="Times New Roman"/>
          <w:sz w:val="24"/>
          <w:szCs w:val="24"/>
        </w:rPr>
        <w:t>,</w:t>
      </w:r>
      <w:r w:rsidR="00EE59BE">
        <w:rPr>
          <w:rFonts w:ascii="Times New Roman" w:hAnsi="Times New Roman" w:cs="Times New Roman"/>
          <w:sz w:val="24"/>
          <w:szCs w:val="24"/>
        </w:rPr>
        <w:t>3</w:t>
      </w:r>
      <w:r w:rsidRPr="00106574">
        <w:rPr>
          <w:rFonts w:ascii="Times New Roman" w:hAnsi="Times New Roman" w:cs="Times New Roman"/>
          <w:sz w:val="24"/>
          <w:szCs w:val="24"/>
        </w:rPr>
        <w:t>,</w:t>
      </w:r>
      <w:r w:rsidR="00EE59BE">
        <w:rPr>
          <w:rFonts w:ascii="Times New Roman" w:hAnsi="Times New Roman" w:cs="Times New Roman"/>
          <w:sz w:val="24"/>
          <w:szCs w:val="24"/>
        </w:rPr>
        <w:t>4</w:t>
      </w:r>
      <w:r w:rsidRPr="00106574">
        <w:rPr>
          <w:rFonts w:ascii="Times New Roman" w:hAnsi="Times New Roman" w:cs="Times New Roman"/>
          <w:sz w:val="24"/>
          <w:szCs w:val="24"/>
        </w:rPr>
        <w:t>,</w:t>
      </w:r>
      <w:r w:rsidR="00EE59BE">
        <w:rPr>
          <w:rFonts w:ascii="Times New Roman" w:hAnsi="Times New Roman" w:cs="Times New Roman"/>
          <w:sz w:val="24"/>
          <w:szCs w:val="24"/>
        </w:rPr>
        <w:t>5</w:t>
      </w:r>
      <w:r w:rsidRPr="00106574">
        <w:rPr>
          <w:rFonts w:ascii="Times New Roman" w:hAnsi="Times New Roman" w:cs="Times New Roman"/>
          <w:sz w:val="24"/>
          <w:szCs w:val="24"/>
        </w:rPr>
        <w:t>,</w:t>
      </w:r>
      <w:r w:rsidR="00EE59BE">
        <w:rPr>
          <w:rFonts w:ascii="Times New Roman" w:hAnsi="Times New Roman" w:cs="Times New Roman"/>
          <w:sz w:val="24"/>
          <w:szCs w:val="24"/>
        </w:rPr>
        <w:t>6</w:t>
      </w:r>
      <w:r w:rsidRPr="00106574">
        <w:rPr>
          <w:rFonts w:ascii="Times New Roman" w:hAnsi="Times New Roman" w:cs="Times New Roman"/>
          <w:sz w:val="24"/>
          <w:szCs w:val="24"/>
        </w:rPr>
        <w:t xml:space="preserve"> and </w:t>
      </w:r>
      <w:r w:rsidR="00EE59BE">
        <w:rPr>
          <w:rFonts w:ascii="Times New Roman" w:hAnsi="Times New Roman" w:cs="Times New Roman"/>
          <w:sz w:val="24"/>
          <w:szCs w:val="24"/>
        </w:rPr>
        <w:t>7</w:t>
      </w:r>
      <w:r w:rsidRPr="00106574">
        <w:rPr>
          <w:rFonts w:ascii="Times New Roman" w:hAnsi="Times New Roman" w:cs="Times New Roman"/>
          <w:sz w:val="24"/>
          <w:szCs w:val="24"/>
        </w:rPr>
        <w:t xml:space="preserve"> for within</w:t>
      </w:r>
      <w:r>
        <w:rPr>
          <w:rFonts w:ascii="Times New Roman" w:hAnsi="Times New Roman" w:cs="Times New Roman"/>
          <w:sz w:val="24"/>
          <w:szCs w:val="24"/>
        </w:rPr>
        <w:t xml:space="preserve"> the </w:t>
      </w:r>
      <w:r w:rsidR="009A22A0">
        <w:rPr>
          <w:rFonts w:ascii="Times New Roman" w:hAnsi="Times New Roman" w:cs="Times New Roman"/>
          <w:sz w:val="24"/>
          <w:szCs w:val="24"/>
        </w:rPr>
        <w:t>C</w:t>
      </w:r>
      <w:r>
        <w:rPr>
          <w:rFonts w:ascii="Times New Roman" w:hAnsi="Times New Roman" w:cs="Times New Roman"/>
          <w:sz w:val="24"/>
          <w:szCs w:val="24"/>
        </w:rPr>
        <w:t>obalt-60 unit at differ</w:t>
      </w:r>
      <w:r w:rsidR="009A22A0">
        <w:rPr>
          <w:rFonts w:ascii="Times New Roman" w:hAnsi="Times New Roman" w:cs="Times New Roman"/>
          <w:sz w:val="24"/>
          <w:szCs w:val="24"/>
        </w:rPr>
        <w:t>ent distances</w:t>
      </w:r>
      <w:r w:rsidRPr="00106574">
        <w:rPr>
          <w:rFonts w:ascii="Times New Roman" w:hAnsi="Times New Roman" w:cs="Times New Roman"/>
          <w:sz w:val="24"/>
          <w:szCs w:val="24"/>
        </w:rPr>
        <w:t xml:space="preserve"> and around </w:t>
      </w:r>
      <w:r w:rsidR="009A22A0">
        <w:rPr>
          <w:rFonts w:ascii="Times New Roman" w:hAnsi="Times New Roman" w:cs="Times New Roman"/>
          <w:sz w:val="24"/>
          <w:szCs w:val="24"/>
        </w:rPr>
        <w:t>at s</w:t>
      </w:r>
      <w:r w:rsidR="001A19B9">
        <w:rPr>
          <w:rFonts w:ascii="Times New Roman" w:hAnsi="Times New Roman" w:cs="Times New Roman"/>
          <w:sz w:val="24"/>
          <w:szCs w:val="24"/>
        </w:rPr>
        <w:t>elected</w:t>
      </w:r>
      <w:r w:rsidR="009A22A0">
        <w:rPr>
          <w:rFonts w:ascii="Times New Roman" w:hAnsi="Times New Roman" w:cs="Times New Roman"/>
          <w:sz w:val="24"/>
          <w:szCs w:val="24"/>
        </w:rPr>
        <w:t xml:space="preserve"> locations within the oncology directorate</w:t>
      </w:r>
      <w:r w:rsidRPr="00106574">
        <w:rPr>
          <w:rFonts w:ascii="Times New Roman" w:hAnsi="Times New Roman" w:cs="Times New Roman"/>
          <w:sz w:val="24"/>
          <w:szCs w:val="24"/>
        </w:rPr>
        <w:t>.</w:t>
      </w:r>
    </w:p>
    <w:p w14:paraId="6C122B93" w14:textId="77777777" w:rsidR="001A19B9" w:rsidRPr="002B3B33" w:rsidRDefault="001A19B9" w:rsidP="008E1BA2">
      <w:pPr>
        <w:autoSpaceDE w:val="0"/>
        <w:autoSpaceDN w:val="0"/>
        <w:adjustRightInd w:val="0"/>
        <w:spacing w:after="0" w:line="360" w:lineRule="auto"/>
        <w:jc w:val="both"/>
        <w:rPr>
          <w:rFonts w:ascii="Times New Roman" w:hAnsi="Times New Roman" w:cs="Times New Roman"/>
          <w:sz w:val="24"/>
          <w:szCs w:val="24"/>
        </w:rPr>
      </w:pPr>
    </w:p>
    <w:tbl>
      <w:tblPr>
        <w:tblStyle w:val="PlainTable2"/>
        <w:tblW w:w="8640" w:type="dxa"/>
        <w:tblLayout w:type="fixed"/>
        <w:tblLook w:val="04A0" w:firstRow="1" w:lastRow="0" w:firstColumn="1" w:lastColumn="0" w:noHBand="0" w:noVBand="1"/>
      </w:tblPr>
      <w:tblGrid>
        <w:gridCol w:w="1440"/>
        <w:gridCol w:w="900"/>
        <w:gridCol w:w="900"/>
        <w:gridCol w:w="900"/>
        <w:gridCol w:w="900"/>
        <w:gridCol w:w="900"/>
        <w:gridCol w:w="900"/>
        <w:gridCol w:w="900"/>
        <w:gridCol w:w="900"/>
      </w:tblGrid>
      <w:tr w:rsidR="001A19B9" w:rsidRPr="00B20DBD" w14:paraId="70704BE1" w14:textId="77777777" w:rsidTr="001A1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9"/>
          </w:tcPr>
          <w:p w14:paraId="5047E02F" w14:textId="1B59BCD2" w:rsidR="001A19B9" w:rsidRPr="00B20DBD" w:rsidRDefault="001A19B9" w:rsidP="00A231E5">
            <w:pPr>
              <w:pStyle w:val="NoSpacing"/>
              <w:spacing w:line="360"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Table </w:t>
            </w:r>
            <w:r w:rsidRPr="00B20DBD">
              <w:rPr>
                <w:rFonts w:ascii="Times New Roman" w:eastAsia="Arial" w:hAnsi="Times New Roman" w:cs="Times New Roman"/>
                <w:sz w:val="24"/>
                <w:szCs w:val="24"/>
              </w:rPr>
              <w:t xml:space="preserve">1: </w:t>
            </w:r>
            <w:r w:rsidRPr="002B3B33">
              <w:rPr>
                <w:rFonts w:ascii="Times New Roman" w:hAnsi="Times New Roman" w:cs="Times New Roman"/>
                <w:sz w:val="24"/>
                <w:szCs w:val="24"/>
              </w:rPr>
              <w:t xml:space="preserve">The </w:t>
            </w:r>
            <w:r>
              <w:rPr>
                <w:rFonts w:ascii="Times New Roman" w:hAnsi="Times New Roman" w:cs="Times New Roman"/>
                <w:sz w:val="24"/>
                <w:szCs w:val="24"/>
              </w:rPr>
              <w:t>A</w:t>
            </w:r>
            <w:r w:rsidRPr="002B3B33">
              <w:rPr>
                <w:rFonts w:ascii="Times New Roman" w:hAnsi="Times New Roman" w:cs="Times New Roman"/>
                <w:sz w:val="24"/>
                <w:szCs w:val="24"/>
              </w:rPr>
              <w:t xml:space="preserve">bsorbed </w:t>
            </w:r>
            <w:r>
              <w:rPr>
                <w:rFonts w:ascii="Times New Roman" w:hAnsi="Times New Roman" w:cs="Times New Roman"/>
                <w:sz w:val="24"/>
                <w:szCs w:val="24"/>
              </w:rPr>
              <w:t>D</w:t>
            </w:r>
            <w:r w:rsidRPr="002B3B33">
              <w:rPr>
                <w:rFonts w:ascii="Times New Roman" w:hAnsi="Times New Roman" w:cs="Times New Roman"/>
                <w:sz w:val="24"/>
                <w:szCs w:val="24"/>
              </w:rPr>
              <w:t xml:space="preserve">ose </w:t>
            </w:r>
            <w:r>
              <w:rPr>
                <w:rFonts w:ascii="Times New Roman" w:hAnsi="Times New Roman" w:cs="Times New Roman"/>
                <w:sz w:val="24"/>
                <w:szCs w:val="24"/>
              </w:rPr>
              <w:t>R</w:t>
            </w:r>
            <w:r w:rsidRPr="002B3B33">
              <w:rPr>
                <w:rFonts w:ascii="Times New Roman" w:hAnsi="Times New Roman" w:cs="Times New Roman"/>
                <w:sz w:val="24"/>
                <w:szCs w:val="24"/>
              </w:rPr>
              <w:t>ate</w:t>
            </w:r>
            <w:r>
              <w:rPr>
                <w:rFonts w:ascii="Times New Roman" w:hAnsi="Times New Roman" w:cs="Times New Roman"/>
                <w:sz w:val="24"/>
                <w:szCs w:val="24"/>
              </w:rPr>
              <w:t xml:space="preserve"> (ADR)</w:t>
            </w:r>
            <w:r w:rsidRPr="002B3B33">
              <w:rPr>
                <w:rFonts w:ascii="Times New Roman" w:hAnsi="Times New Roman" w:cs="Times New Roman"/>
                <w:sz w:val="24"/>
                <w:szCs w:val="24"/>
              </w:rPr>
              <w:t xml:space="preserve">, </w:t>
            </w:r>
            <w:r>
              <w:rPr>
                <w:rFonts w:ascii="Times New Roman" w:hAnsi="Times New Roman" w:cs="Times New Roman"/>
                <w:sz w:val="24"/>
                <w:szCs w:val="24"/>
              </w:rPr>
              <w:t>A</w:t>
            </w:r>
            <w:r w:rsidRPr="002B3B33">
              <w:rPr>
                <w:rFonts w:ascii="Times New Roman" w:hAnsi="Times New Roman" w:cs="Times New Roman"/>
                <w:sz w:val="24"/>
                <w:szCs w:val="24"/>
              </w:rPr>
              <w:t xml:space="preserve">nnual </w:t>
            </w:r>
            <w:r>
              <w:rPr>
                <w:rFonts w:ascii="Times New Roman" w:hAnsi="Times New Roman" w:cs="Times New Roman"/>
                <w:sz w:val="24"/>
                <w:szCs w:val="24"/>
              </w:rPr>
              <w:t>E</w:t>
            </w:r>
            <w:r w:rsidRPr="002B3B33">
              <w:rPr>
                <w:rFonts w:ascii="Times New Roman" w:hAnsi="Times New Roman" w:cs="Times New Roman"/>
                <w:sz w:val="24"/>
                <w:szCs w:val="24"/>
              </w:rPr>
              <w:t xml:space="preserve">ffective </w:t>
            </w:r>
            <w:r>
              <w:rPr>
                <w:rFonts w:ascii="Times New Roman" w:hAnsi="Times New Roman" w:cs="Times New Roman"/>
                <w:sz w:val="24"/>
                <w:szCs w:val="24"/>
              </w:rPr>
              <w:t>D</w:t>
            </w:r>
            <w:r w:rsidRPr="002B3B33">
              <w:rPr>
                <w:rFonts w:ascii="Times New Roman" w:hAnsi="Times New Roman" w:cs="Times New Roman"/>
                <w:sz w:val="24"/>
                <w:szCs w:val="24"/>
              </w:rPr>
              <w:t xml:space="preserve">ose </w:t>
            </w:r>
            <w:r>
              <w:rPr>
                <w:rFonts w:ascii="Times New Roman" w:hAnsi="Times New Roman" w:cs="Times New Roman"/>
                <w:sz w:val="24"/>
                <w:szCs w:val="24"/>
              </w:rPr>
              <w:t>E</w:t>
            </w:r>
            <w:r w:rsidRPr="002B3B33">
              <w:rPr>
                <w:rFonts w:ascii="Times New Roman" w:hAnsi="Times New Roman" w:cs="Times New Roman"/>
                <w:sz w:val="24"/>
                <w:szCs w:val="24"/>
              </w:rPr>
              <w:t>quivalent</w:t>
            </w:r>
            <w:r>
              <w:rPr>
                <w:rFonts w:ascii="Times New Roman" w:hAnsi="Times New Roman" w:cs="Times New Roman"/>
                <w:sz w:val="24"/>
                <w:szCs w:val="24"/>
              </w:rPr>
              <w:t xml:space="preserve"> (AEDE)</w:t>
            </w:r>
            <w:r w:rsidR="005C6824">
              <w:rPr>
                <w:rFonts w:ascii="Times New Roman" w:hAnsi="Times New Roman" w:cs="Times New Roman"/>
                <w:sz w:val="24"/>
                <w:szCs w:val="24"/>
              </w:rPr>
              <w:t>,</w:t>
            </w:r>
            <w:r w:rsidRPr="002B3B33">
              <w:rPr>
                <w:rFonts w:ascii="Times New Roman" w:hAnsi="Times New Roman" w:cs="Times New Roman"/>
                <w:sz w:val="24"/>
                <w:szCs w:val="24"/>
              </w:rPr>
              <w:t xml:space="preserve"> and </w:t>
            </w:r>
            <w:r>
              <w:rPr>
                <w:rFonts w:ascii="Times New Roman" w:hAnsi="Times New Roman" w:cs="Times New Roman"/>
                <w:sz w:val="24"/>
                <w:szCs w:val="24"/>
              </w:rPr>
              <w:t>E</w:t>
            </w:r>
            <w:r w:rsidRPr="002B3B33">
              <w:rPr>
                <w:rFonts w:ascii="Times New Roman" w:hAnsi="Times New Roman" w:cs="Times New Roman"/>
                <w:sz w:val="24"/>
                <w:szCs w:val="24"/>
              </w:rPr>
              <w:t xml:space="preserve">xcess </w:t>
            </w:r>
            <w:r>
              <w:rPr>
                <w:rFonts w:ascii="Times New Roman" w:hAnsi="Times New Roman" w:cs="Times New Roman"/>
                <w:sz w:val="24"/>
                <w:szCs w:val="24"/>
              </w:rPr>
              <w:t>L</w:t>
            </w:r>
            <w:r w:rsidRPr="002B3B33">
              <w:rPr>
                <w:rFonts w:ascii="Times New Roman" w:hAnsi="Times New Roman" w:cs="Times New Roman"/>
                <w:sz w:val="24"/>
                <w:szCs w:val="24"/>
              </w:rPr>
              <w:t xml:space="preserve">ifetime </w:t>
            </w:r>
            <w:r>
              <w:rPr>
                <w:rFonts w:ascii="Times New Roman" w:hAnsi="Times New Roman" w:cs="Times New Roman"/>
                <w:sz w:val="24"/>
                <w:szCs w:val="24"/>
              </w:rPr>
              <w:t>C</w:t>
            </w:r>
            <w:r w:rsidRPr="002B3B33">
              <w:rPr>
                <w:rFonts w:ascii="Times New Roman" w:hAnsi="Times New Roman" w:cs="Times New Roman"/>
                <w:sz w:val="24"/>
                <w:szCs w:val="24"/>
              </w:rPr>
              <w:t xml:space="preserve">ancer </w:t>
            </w:r>
            <w:r>
              <w:rPr>
                <w:rFonts w:ascii="Times New Roman" w:hAnsi="Times New Roman" w:cs="Times New Roman"/>
                <w:sz w:val="24"/>
                <w:szCs w:val="24"/>
              </w:rPr>
              <w:t>R</w:t>
            </w:r>
            <w:r w:rsidRPr="002B3B33">
              <w:rPr>
                <w:rFonts w:ascii="Times New Roman" w:hAnsi="Times New Roman" w:cs="Times New Roman"/>
                <w:sz w:val="24"/>
                <w:szCs w:val="24"/>
              </w:rPr>
              <w:t>isk</w:t>
            </w:r>
            <w:r>
              <w:rPr>
                <w:rFonts w:ascii="Times New Roman" w:hAnsi="Times New Roman" w:cs="Times New Roman"/>
                <w:sz w:val="24"/>
                <w:szCs w:val="24"/>
              </w:rPr>
              <w:t xml:space="preserve"> (ELCR)</w:t>
            </w:r>
            <w:r w:rsidRPr="002B3B33">
              <w:rPr>
                <w:rFonts w:ascii="Times New Roman" w:hAnsi="Times New Roman" w:cs="Times New Roman"/>
                <w:sz w:val="24"/>
                <w:szCs w:val="24"/>
              </w:rPr>
              <w:t xml:space="preserve"> at different distances from the Cobalt-60 teletherapy machine</w:t>
            </w:r>
            <w:r>
              <w:rPr>
                <w:rFonts w:ascii="Times New Roman" w:hAnsi="Times New Roman" w:cs="Times New Roman"/>
                <w:sz w:val="24"/>
                <w:szCs w:val="24"/>
              </w:rPr>
              <w:t xml:space="preserve"> within the Bunker</w:t>
            </w:r>
          </w:p>
        </w:tc>
      </w:tr>
      <w:tr w:rsidR="001A19B9" w:rsidRPr="00B20DBD" w14:paraId="1BA8557D" w14:textId="77777777" w:rsidTr="001A1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ADF3FB7" w14:textId="79FCBE7A" w:rsidR="001A19B9" w:rsidRPr="00B20DBD" w:rsidRDefault="001A19B9" w:rsidP="001A19B9">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Distance from the source (m)</w:t>
            </w:r>
          </w:p>
        </w:tc>
        <w:tc>
          <w:tcPr>
            <w:tcW w:w="900" w:type="dxa"/>
          </w:tcPr>
          <w:p w14:paraId="319C0DBF" w14:textId="70245557"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5 m</w:t>
            </w:r>
          </w:p>
        </w:tc>
        <w:tc>
          <w:tcPr>
            <w:tcW w:w="900" w:type="dxa"/>
          </w:tcPr>
          <w:p w14:paraId="4AC8300D" w14:textId="3CEAD0BC"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 m</w:t>
            </w:r>
          </w:p>
        </w:tc>
        <w:tc>
          <w:tcPr>
            <w:tcW w:w="900" w:type="dxa"/>
          </w:tcPr>
          <w:p w14:paraId="7CE8507D" w14:textId="175685F4"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15 m</w:t>
            </w:r>
          </w:p>
        </w:tc>
        <w:tc>
          <w:tcPr>
            <w:tcW w:w="900" w:type="dxa"/>
          </w:tcPr>
          <w:p w14:paraId="7764CF95" w14:textId="6D5DAA52"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20 m</w:t>
            </w:r>
          </w:p>
        </w:tc>
        <w:tc>
          <w:tcPr>
            <w:tcW w:w="900" w:type="dxa"/>
          </w:tcPr>
          <w:p w14:paraId="717C70DA" w14:textId="3D5BECF9"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25 m</w:t>
            </w:r>
          </w:p>
        </w:tc>
        <w:tc>
          <w:tcPr>
            <w:tcW w:w="900" w:type="dxa"/>
          </w:tcPr>
          <w:p w14:paraId="4E02406C" w14:textId="0A9ED691"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30 m</w:t>
            </w:r>
          </w:p>
        </w:tc>
        <w:tc>
          <w:tcPr>
            <w:tcW w:w="900" w:type="dxa"/>
          </w:tcPr>
          <w:p w14:paraId="476E585C" w14:textId="0A9A1E71"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35 m</w:t>
            </w:r>
          </w:p>
        </w:tc>
        <w:tc>
          <w:tcPr>
            <w:tcW w:w="900" w:type="dxa"/>
          </w:tcPr>
          <w:p w14:paraId="6F409530" w14:textId="558E9D81" w:rsidR="001A19B9" w:rsidRPr="00B20DBD" w:rsidRDefault="001A19B9" w:rsidP="001A19B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40 m</w:t>
            </w:r>
          </w:p>
        </w:tc>
      </w:tr>
      <w:tr w:rsidR="001A19B9" w:rsidRPr="00B20DBD" w14:paraId="165A3876" w14:textId="77777777" w:rsidTr="001A19B9">
        <w:tc>
          <w:tcPr>
            <w:cnfStyle w:val="001000000000" w:firstRow="0" w:lastRow="0" w:firstColumn="1" w:lastColumn="0" w:oddVBand="0" w:evenVBand="0" w:oddHBand="0" w:evenHBand="0" w:firstRowFirstColumn="0" w:firstRowLastColumn="0" w:lastRowFirstColumn="0" w:lastRowLastColumn="0"/>
            <w:tcW w:w="1440" w:type="dxa"/>
          </w:tcPr>
          <w:p w14:paraId="1F1BEAA8" w14:textId="77777777" w:rsidR="008E1BA2" w:rsidRPr="00B20DBD" w:rsidRDefault="008E1BA2" w:rsidP="00A231E5">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No. of readings taken</w:t>
            </w:r>
          </w:p>
        </w:tc>
        <w:tc>
          <w:tcPr>
            <w:tcW w:w="900" w:type="dxa"/>
          </w:tcPr>
          <w:p w14:paraId="0D05E283"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35CF66E6"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70AB5EF1"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79663823"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618488D4"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34821F6F"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7EFCA6CF"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c>
          <w:tcPr>
            <w:tcW w:w="900" w:type="dxa"/>
          </w:tcPr>
          <w:p w14:paraId="3D9849F6"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10</w:t>
            </w:r>
          </w:p>
        </w:tc>
      </w:tr>
      <w:tr w:rsidR="008E1BA2" w:rsidRPr="00B20DBD" w14:paraId="2E65A445" w14:textId="77777777" w:rsidTr="001A1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E34D565" w14:textId="77777777" w:rsidR="008E1BA2" w:rsidRPr="00B20DBD" w:rsidRDefault="008E1BA2" w:rsidP="00A231E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Exposure dose rate in air (</w:t>
            </w:r>
            <w:proofErr w:type="spellStart"/>
            <w:r>
              <w:rPr>
                <w:rFonts w:ascii="Times New Roman" w:hAnsi="Times New Roman" w:cs="Times New Roman"/>
                <w:sz w:val="24"/>
                <w:szCs w:val="24"/>
              </w:rPr>
              <w:t>μ</w:t>
            </w:r>
            <w:r w:rsidRPr="00B20DBD">
              <w:rPr>
                <w:rFonts w:ascii="Times New Roman" w:hAnsi="Times New Roman" w:cs="Times New Roman"/>
                <w:sz w:val="24"/>
                <w:szCs w:val="24"/>
              </w:rPr>
              <w:t>Sv</w:t>
            </w:r>
            <w:proofErr w:type="spellEnd"/>
            <w:r w:rsidRPr="00B20DBD">
              <w:rPr>
                <w:rFonts w:ascii="Times New Roman" w:hAnsi="Times New Roman" w:cs="Times New Roman"/>
                <w:sz w:val="24"/>
                <w:szCs w:val="24"/>
              </w:rPr>
              <w:t>/h) (Range)</w:t>
            </w:r>
          </w:p>
        </w:tc>
        <w:tc>
          <w:tcPr>
            <w:tcW w:w="900" w:type="dxa"/>
          </w:tcPr>
          <w:p w14:paraId="6BEB44F4"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0.971-0.982</w:t>
            </w:r>
          </w:p>
        </w:tc>
        <w:tc>
          <w:tcPr>
            <w:tcW w:w="900" w:type="dxa"/>
          </w:tcPr>
          <w:p w14:paraId="3BC1267F"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0.593-0.628</w:t>
            </w:r>
          </w:p>
        </w:tc>
        <w:tc>
          <w:tcPr>
            <w:tcW w:w="900" w:type="dxa"/>
          </w:tcPr>
          <w:p w14:paraId="7BEEB8AA"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0.648-0.659</w:t>
            </w:r>
          </w:p>
        </w:tc>
        <w:tc>
          <w:tcPr>
            <w:tcW w:w="900" w:type="dxa"/>
          </w:tcPr>
          <w:p w14:paraId="102F4C7E"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0.405-0.417</w:t>
            </w:r>
          </w:p>
        </w:tc>
        <w:tc>
          <w:tcPr>
            <w:tcW w:w="900" w:type="dxa"/>
          </w:tcPr>
          <w:p w14:paraId="019645A2"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0.368-0.372</w:t>
            </w:r>
          </w:p>
        </w:tc>
        <w:tc>
          <w:tcPr>
            <w:tcW w:w="900" w:type="dxa"/>
          </w:tcPr>
          <w:p w14:paraId="7CFA12BE"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0.341-0.345</w:t>
            </w:r>
          </w:p>
        </w:tc>
        <w:tc>
          <w:tcPr>
            <w:tcW w:w="900" w:type="dxa"/>
          </w:tcPr>
          <w:p w14:paraId="20ADFA63"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0.312-0.321</w:t>
            </w:r>
          </w:p>
        </w:tc>
        <w:tc>
          <w:tcPr>
            <w:tcW w:w="900" w:type="dxa"/>
          </w:tcPr>
          <w:p w14:paraId="4D6B749E" w14:textId="77777777"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0.296-0.301</w:t>
            </w:r>
          </w:p>
        </w:tc>
      </w:tr>
      <w:tr w:rsidR="001A19B9" w:rsidRPr="00B20DBD" w14:paraId="7D46DFD6" w14:textId="77777777" w:rsidTr="001A19B9">
        <w:tc>
          <w:tcPr>
            <w:cnfStyle w:val="001000000000" w:firstRow="0" w:lastRow="0" w:firstColumn="1" w:lastColumn="0" w:oddVBand="0" w:evenVBand="0" w:oddHBand="0" w:evenHBand="0" w:firstRowFirstColumn="0" w:firstRowLastColumn="0" w:lastRowFirstColumn="0" w:lastRowLastColumn="0"/>
            <w:tcW w:w="1440" w:type="dxa"/>
          </w:tcPr>
          <w:p w14:paraId="0C5BC0DD" w14:textId="77777777" w:rsidR="008E1BA2" w:rsidRPr="00B20DBD" w:rsidRDefault="008E1BA2" w:rsidP="00A231E5">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 xml:space="preserve">Exposure </w:t>
            </w:r>
            <w:r>
              <w:rPr>
                <w:rFonts w:ascii="Times New Roman" w:hAnsi="Times New Roman" w:cs="Times New Roman"/>
                <w:sz w:val="24"/>
                <w:szCs w:val="24"/>
              </w:rPr>
              <w:t>dose rate (</w:t>
            </w:r>
            <w:proofErr w:type="spellStart"/>
            <w:r>
              <w:rPr>
                <w:rFonts w:ascii="Times New Roman" w:hAnsi="Times New Roman" w:cs="Times New Roman"/>
                <w:sz w:val="24"/>
                <w:szCs w:val="24"/>
              </w:rPr>
              <w:t>μ</w:t>
            </w:r>
            <w:r w:rsidRPr="00B20DBD">
              <w:rPr>
                <w:rFonts w:ascii="Times New Roman" w:hAnsi="Times New Roman" w:cs="Times New Roman"/>
                <w:sz w:val="24"/>
                <w:szCs w:val="24"/>
              </w:rPr>
              <w:t>Sv</w:t>
            </w:r>
            <w:proofErr w:type="spellEnd"/>
            <w:r w:rsidRPr="00B20DBD">
              <w:rPr>
                <w:rFonts w:ascii="Times New Roman" w:hAnsi="Times New Roman" w:cs="Times New Roman"/>
                <w:sz w:val="24"/>
                <w:szCs w:val="24"/>
              </w:rPr>
              <w:t>/h)</w:t>
            </w:r>
          </w:p>
          <w:p w14:paraId="370290F0" w14:textId="77777777" w:rsidR="008E1BA2" w:rsidRPr="00B20DBD" w:rsidRDefault="008E1BA2" w:rsidP="00A231E5">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(Mean)</w:t>
            </w:r>
          </w:p>
        </w:tc>
        <w:tc>
          <w:tcPr>
            <w:tcW w:w="900" w:type="dxa"/>
          </w:tcPr>
          <w:p w14:paraId="787F18EE"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0.977±0.005</w:t>
            </w:r>
          </w:p>
        </w:tc>
        <w:tc>
          <w:tcPr>
            <w:tcW w:w="900" w:type="dxa"/>
          </w:tcPr>
          <w:p w14:paraId="3EEC692F"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0.612±0.014</w:t>
            </w:r>
          </w:p>
        </w:tc>
        <w:tc>
          <w:tcPr>
            <w:tcW w:w="900" w:type="dxa"/>
          </w:tcPr>
          <w:p w14:paraId="0E8BFA55"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0.655±0.005</w:t>
            </w:r>
          </w:p>
        </w:tc>
        <w:tc>
          <w:tcPr>
            <w:tcW w:w="900" w:type="dxa"/>
          </w:tcPr>
          <w:p w14:paraId="2B0F4295"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0.410±0.009</w:t>
            </w:r>
          </w:p>
        </w:tc>
        <w:tc>
          <w:tcPr>
            <w:tcW w:w="900" w:type="dxa"/>
          </w:tcPr>
          <w:p w14:paraId="037A0E59"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0.370±0.002</w:t>
            </w:r>
          </w:p>
        </w:tc>
        <w:tc>
          <w:tcPr>
            <w:tcW w:w="900" w:type="dxa"/>
          </w:tcPr>
          <w:p w14:paraId="7C8512FE"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0.343±0.006</w:t>
            </w:r>
          </w:p>
        </w:tc>
        <w:tc>
          <w:tcPr>
            <w:tcW w:w="900" w:type="dxa"/>
          </w:tcPr>
          <w:p w14:paraId="18368FFD"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0.317±0.004</w:t>
            </w:r>
          </w:p>
        </w:tc>
        <w:tc>
          <w:tcPr>
            <w:tcW w:w="900" w:type="dxa"/>
          </w:tcPr>
          <w:p w14:paraId="003E9E2D"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0.299±0.001</w:t>
            </w:r>
          </w:p>
        </w:tc>
      </w:tr>
      <w:tr w:rsidR="008E1BA2" w:rsidRPr="00B20DBD" w14:paraId="45983AC1" w14:textId="77777777" w:rsidTr="001A1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A903410" w14:textId="77777777" w:rsidR="009A22A0" w:rsidRDefault="009A22A0" w:rsidP="00A231E5">
            <w:pPr>
              <w:pStyle w:val="NoSpacing"/>
              <w:spacing w:line="360" w:lineRule="auto"/>
              <w:jc w:val="both"/>
              <w:rPr>
                <w:rFonts w:ascii="Times New Roman" w:eastAsiaTheme="majorEastAsia" w:hAnsi="Times New Roman" w:cs="Times New Roman"/>
                <w:i/>
                <w:iCs/>
                <w:sz w:val="24"/>
                <w:szCs w:val="24"/>
              </w:rPr>
            </w:pPr>
          </w:p>
          <w:p w14:paraId="23061D7D" w14:textId="12296EE6" w:rsidR="008E1BA2" w:rsidRPr="00B20DBD" w:rsidRDefault="008E1BA2" w:rsidP="00A231E5">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Annual Effective Dose Equivalent (mSv/</w:t>
            </w:r>
            <w:proofErr w:type="spellStart"/>
            <w:r w:rsidRPr="00B20DBD">
              <w:rPr>
                <w:rFonts w:ascii="Times New Roman" w:hAnsi="Times New Roman" w:cs="Times New Roman"/>
                <w:sz w:val="24"/>
                <w:szCs w:val="24"/>
              </w:rPr>
              <w:t>yr</w:t>
            </w:r>
            <w:proofErr w:type="spellEnd"/>
            <w:r w:rsidRPr="00B20DBD">
              <w:rPr>
                <w:rFonts w:ascii="Times New Roman" w:hAnsi="Times New Roman" w:cs="Times New Roman"/>
                <w:sz w:val="24"/>
                <w:szCs w:val="24"/>
              </w:rPr>
              <w:t>)</w:t>
            </w:r>
          </w:p>
        </w:tc>
        <w:tc>
          <w:tcPr>
            <w:tcW w:w="900" w:type="dxa"/>
          </w:tcPr>
          <w:p w14:paraId="10367463"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5DF2DF5"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A6194E" w14:textId="141BB443"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3.595</w:t>
            </w:r>
          </w:p>
        </w:tc>
        <w:tc>
          <w:tcPr>
            <w:tcW w:w="900" w:type="dxa"/>
          </w:tcPr>
          <w:p w14:paraId="467B6942"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E824B1B"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259775" w14:textId="0781ED89"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2.252</w:t>
            </w:r>
          </w:p>
        </w:tc>
        <w:tc>
          <w:tcPr>
            <w:tcW w:w="900" w:type="dxa"/>
          </w:tcPr>
          <w:p w14:paraId="0ACDBEAE"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F59CC1D"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304056" w14:textId="1218E019"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2.410</w:t>
            </w:r>
          </w:p>
        </w:tc>
        <w:tc>
          <w:tcPr>
            <w:tcW w:w="900" w:type="dxa"/>
          </w:tcPr>
          <w:p w14:paraId="5BD7DF8E"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3B864B5"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212577" w14:textId="03A81EF6"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1.509</w:t>
            </w:r>
          </w:p>
        </w:tc>
        <w:tc>
          <w:tcPr>
            <w:tcW w:w="900" w:type="dxa"/>
          </w:tcPr>
          <w:p w14:paraId="75FF3AED"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B2A5E6"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A73ABF" w14:textId="5B847CC0"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1.362</w:t>
            </w:r>
          </w:p>
        </w:tc>
        <w:tc>
          <w:tcPr>
            <w:tcW w:w="900" w:type="dxa"/>
          </w:tcPr>
          <w:p w14:paraId="2A8D51BE"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DC35EE" w14:textId="77777777" w:rsidR="009A22A0" w:rsidRDefault="009A22A0"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685762C" w14:textId="0A85BE25"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1.262</w:t>
            </w:r>
          </w:p>
        </w:tc>
        <w:tc>
          <w:tcPr>
            <w:tcW w:w="900" w:type="dxa"/>
          </w:tcPr>
          <w:p w14:paraId="2C874110" w14:textId="77777777" w:rsidR="001A19B9" w:rsidRDefault="001A19B9"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38C458" w14:textId="77777777" w:rsidR="001A19B9" w:rsidRDefault="001A19B9"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134615" w14:textId="5BD7DCA6"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1.167</w:t>
            </w:r>
          </w:p>
        </w:tc>
        <w:tc>
          <w:tcPr>
            <w:tcW w:w="900" w:type="dxa"/>
          </w:tcPr>
          <w:p w14:paraId="776C02DC" w14:textId="77777777" w:rsidR="001A19B9" w:rsidRDefault="001A19B9"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32580E" w14:textId="77777777" w:rsidR="001A19B9" w:rsidRDefault="001A19B9"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747423" w14:textId="05B6BB0B" w:rsidR="008E1BA2" w:rsidRPr="00B20DBD" w:rsidRDefault="008E1BA2" w:rsidP="00A231E5">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1.100</w:t>
            </w:r>
          </w:p>
        </w:tc>
      </w:tr>
      <w:tr w:rsidR="001A19B9" w:rsidRPr="00B20DBD" w14:paraId="7C7F5049" w14:textId="77777777" w:rsidTr="001A19B9">
        <w:trPr>
          <w:trHeight w:val="1205"/>
        </w:trPr>
        <w:tc>
          <w:tcPr>
            <w:cnfStyle w:val="001000000000" w:firstRow="0" w:lastRow="0" w:firstColumn="1" w:lastColumn="0" w:oddVBand="0" w:evenVBand="0" w:oddHBand="0" w:evenHBand="0" w:firstRowFirstColumn="0" w:firstRowLastColumn="0" w:lastRowFirstColumn="0" w:lastRowLastColumn="0"/>
            <w:tcW w:w="1440" w:type="dxa"/>
          </w:tcPr>
          <w:p w14:paraId="7C12E85C" w14:textId="77777777" w:rsidR="008E1BA2" w:rsidRPr="00B20DBD" w:rsidRDefault="008E1BA2" w:rsidP="00A231E5">
            <w:pPr>
              <w:pStyle w:val="NoSpacing"/>
              <w:spacing w:line="360" w:lineRule="auto"/>
              <w:jc w:val="both"/>
              <w:rPr>
                <w:rFonts w:ascii="Times New Roman" w:hAnsi="Times New Roman" w:cs="Times New Roman"/>
                <w:sz w:val="24"/>
                <w:szCs w:val="24"/>
              </w:rPr>
            </w:pPr>
            <w:r w:rsidRPr="00B20DBD">
              <w:rPr>
                <w:rFonts w:ascii="Times New Roman" w:hAnsi="Times New Roman" w:cs="Times New Roman"/>
                <w:sz w:val="24"/>
                <w:szCs w:val="24"/>
              </w:rPr>
              <w:t>Excess Lifetime Cancer Risk (x10</w:t>
            </w:r>
            <w:r w:rsidRPr="00B20DBD">
              <w:rPr>
                <w:rFonts w:ascii="Times New Roman" w:hAnsi="Times New Roman" w:cs="Times New Roman"/>
                <w:sz w:val="24"/>
                <w:szCs w:val="24"/>
                <w:vertAlign w:val="superscript"/>
              </w:rPr>
              <w:t>-3</w:t>
            </w:r>
            <w:r w:rsidRPr="00B20DBD">
              <w:rPr>
                <w:rFonts w:ascii="Times New Roman" w:hAnsi="Times New Roman" w:cs="Times New Roman"/>
                <w:sz w:val="24"/>
                <w:szCs w:val="24"/>
              </w:rPr>
              <w:t>)</w:t>
            </w:r>
          </w:p>
        </w:tc>
        <w:tc>
          <w:tcPr>
            <w:tcW w:w="900" w:type="dxa"/>
          </w:tcPr>
          <w:p w14:paraId="7C6900FD"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12.58</w:t>
            </w:r>
          </w:p>
        </w:tc>
        <w:tc>
          <w:tcPr>
            <w:tcW w:w="900" w:type="dxa"/>
          </w:tcPr>
          <w:p w14:paraId="6357D595"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7.88</w:t>
            </w:r>
          </w:p>
        </w:tc>
        <w:tc>
          <w:tcPr>
            <w:tcW w:w="900" w:type="dxa"/>
          </w:tcPr>
          <w:p w14:paraId="3BA98FB8"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8.44</w:t>
            </w:r>
          </w:p>
        </w:tc>
        <w:tc>
          <w:tcPr>
            <w:tcW w:w="900" w:type="dxa"/>
          </w:tcPr>
          <w:p w14:paraId="72FB5078"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5.28</w:t>
            </w:r>
          </w:p>
        </w:tc>
        <w:tc>
          <w:tcPr>
            <w:tcW w:w="900" w:type="dxa"/>
          </w:tcPr>
          <w:p w14:paraId="2E4B0880"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5.28</w:t>
            </w:r>
          </w:p>
        </w:tc>
        <w:tc>
          <w:tcPr>
            <w:tcW w:w="900" w:type="dxa"/>
          </w:tcPr>
          <w:p w14:paraId="0F91E88D"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4.42</w:t>
            </w:r>
          </w:p>
        </w:tc>
        <w:tc>
          <w:tcPr>
            <w:tcW w:w="900" w:type="dxa"/>
          </w:tcPr>
          <w:p w14:paraId="6B9318BA"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4.08</w:t>
            </w:r>
          </w:p>
        </w:tc>
        <w:tc>
          <w:tcPr>
            <w:tcW w:w="900" w:type="dxa"/>
          </w:tcPr>
          <w:p w14:paraId="0528778F" w14:textId="77777777" w:rsidR="008E1BA2" w:rsidRPr="00B20DBD" w:rsidRDefault="008E1BA2" w:rsidP="00A231E5">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0DBD">
              <w:rPr>
                <w:rFonts w:ascii="Times New Roman" w:hAnsi="Times New Roman" w:cs="Times New Roman"/>
                <w:sz w:val="24"/>
                <w:szCs w:val="24"/>
              </w:rPr>
              <w:t>3.85</w:t>
            </w:r>
          </w:p>
        </w:tc>
      </w:tr>
    </w:tbl>
    <w:p w14:paraId="3B37E839" w14:textId="36A115F5" w:rsidR="008E1BA2" w:rsidRDefault="008E1BA2" w:rsidP="008E1BA2">
      <w:pPr>
        <w:spacing w:line="360" w:lineRule="auto"/>
        <w:ind w:right="660"/>
        <w:jc w:val="both"/>
        <w:rPr>
          <w:rFonts w:ascii="Times New Roman" w:eastAsia="Arial" w:hAnsi="Times New Roman" w:cs="Times New Roman"/>
          <w:sz w:val="24"/>
          <w:szCs w:val="24"/>
        </w:rPr>
      </w:pPr>
    </w:p>
    <w:p w14:paraId="5CD43B6F" w14:textId="633007A5" w:rsidR="003B7AF4" w:rsidRDefault="003B7AF4" w:rsidP="008E1BA2">
      <w:pPr>
        <w:spacing w:line="360" w:lineRule="auto"/>
        <w:ind w:right="660"/>
        <w:jc w:val="both"/>
        <w:rPr>
          <w:rFonts w:ascii="Times New Roman" w:eastAsia="Arial" w:hAnsi="Times New Roman" w:cs="Times New Roman"/>
          <w:sz w:val="24"/>
          <w:szCs w:val="24"/>
        </w:rPr>
      </w:pPr>
    </w:p>
    <w:p w14:paraId="44A231BD" w14:textId="6789537D" w:rsidR="008F33CE" w:rsidRDefault="008F33CE" w:rsidP="008E1BA2">
      <w:pPr>
        <w:spacing w:line="360" w:lineRule="auto"/>
        <w:ind w:right="660"/>
        <w:jc w:val="both"/>
        <w:rPr>
          <w:rFonts w:ascii="Times New Roman" w:eastAsia="Arial" w:hAnsi="Times New Roman" w:cs="Times New Roman"/>
          <w:sz w:val="24"/>
          <w:szCs w:val="24"/>
        </w:rPr>
      </w:pPr>
    </w:p>
    <w:p w14:paraId="6DC2FF1B" w14:textId="76E11BCD" w:rsidR="001B1B36" w:rsidRDefault="00B95865" w:rsidP="001B1B36">
      <w:p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6D8B3C3C" wp14:editId="1AE0B75C">
            <wp:extent cx="5734050" cy="3095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3095625"/>
                    </a:xfrm>
                    <a:prstGeom prst="rect">
                      <a:avLst/>
                    </a:prstGeom>
                    <a:noFill/>
                    <a:ln>
                      <a:noFill/>
                    </a:ln>
                  </pic:spPr>
                </pic:pic>
              </a:graphicData>
            </a:graphic>
          </wp:inline>
        </w:drawing>
      </w:r>
    </w:p>
    <w:p w14:paraId="5933A826" w14:textId="73A78B36" w:rsidR="001B1B36" w:rsidRDefault="00B95865" w:rsidP="008E1BA2">
      <w:pPr>
        <w:spacing w:line="360" w:lineRule="auto"/>
        <w:ind w:right="660"/>
        <w:jc w:val="both"/>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inline distT="0" distB="0" distL="0" distR="0" wp14:anchorId="7F20C111" wp14:editId="3D298BE3">
            <wp:extent cx="5731510" cy="3084733"/>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084733"/>
                    </a:xfrm>
                    <a:prstGeom prst="rect">
                      <a:avLst/>
                    </a:prstGeom>
                    <a:noFill/>
                    <a:ln>
                      <a:noFill/>
                    </a:ln>
                  </pic:spPr>
                </pic:pic>
              </a:graphicData>
            </a:graphic>
          </wp:inline>
        </w:drawing>
      </w:r>
      <w:r>
        <w:rPr>
          <w:rFonts w:ascii="Times New Roman" w:eastAsia="Arial" w:hAnsi="Times New Roman" w:cs="Times New Roman"/>
          <w:noProof/>
          <w:sz w:val="24"/>
          <w:szCs w:val="24"/>
        </w:rPr>
        <w:drawing>
          <wp:inline distT="0" distB="0" distL="0" distR="0" wp14:anchorId="109DE748" wp14:editId="78A8829C">
            <wp:extent cx="5734050" cy="3086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0" cy="3086100"/>
                    </a:xfrm>
                    <a:prstGeom prst="rect">
                      <a:avLst/>
                    </a:prstGeom>
                    <a:noFill/>
                    <a:ln>
                      <a:noFill/>
                    </a:ln>
                  </pic:spPr>
                </pic:pic>
              </a:graphicData>
            </a:graphic>
          </wp:inline>
        </w:drawing>
      </w:r>
    </w:p>
    <w:tbl>
      <w:tblPr>
        <w:tblStyle w:val="PlainTable2"/>
        <w:tblW w:w="8455" w:type="dxa"/>
        <w:tblLook w:val="04E0" w:firstRow="1" w:lastRow="1" w:firstColumn="1" w:lastColumn="0" w:noHBand="0" w:noVBand="1"/>
      </w:tblPr>
      <w:tblGrid>
        <w:gridCol w:w="2152"/>
        <w:gridCol w:w="1713"/>
        <w:gridCol w:w="1813"/>
        <w:gridCol w:w="1216"/>
        <w:gridCol w:w="1561"/>
      </w:tblGrid>
      <w:tr w:rsidR="008F33CE" w:rsidRPr="00B20DBD" w14:paraId="61BC2155" w14:textId="77777777" w:rsidTr="00B76ADA">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8455" w:type="dxa"/>
            <w:gridSpan w:val="5"/>
          </w:tcPr>
          <w:p w14:paraId="06BED348" w14:textId="5CAD81CE" w:rsidR="008F33CE" w:rsidRPr="00B20DBD" w:rsidRDefault="00B76ADA" w:rsidP="00A231E5">
            <w:pPr>
              <w:spacing w:line="360" w:lineRule="auto"/>
              <w:jc w:val="both"/>
              <w:rPr>
                <w:rFonts w:ascii="Times New Roman" w:hAnsi="Times New Roman" w:cs="Times New Roman"/>
                <w:bCs w:val="0"/>
                <w:sz w:val="24"/>
                <w:szCs w:val="24"/>
              </w:rPr>
            </w:pPr>
            <w:r>
              <w:rPr>
                <w:rFonts w:ascii="Times New Roman" w:hAnsi="Times New Roman" w:cs="Times New Roman"/>
                <w:sz w:val="24"/>
                <w:szCs w:val="24"/>
              </w:rPr>
              <w:t xml:space="preserve">Table 2. </w:t>
            </w:r>
            <w:r w:rsidRPr="004D15D4">
              <w:rPr>
                <w:rFonts w:ascii="Times New Roman" w:hAnsi="Times New Roman" w:cs="Times New Roman"/>
                <w:sz w:val="24"/>
                <w:szCs w:val="24"/>
              </w:rPr>
              <w:t>The absorbed dose rate, annual effective dose equivalent</w:t>
            </w:r>
            <w:r w:rsidR="005C6824">
              <w:rPr>
                <w:rFonts w:ascii="Times New Roman" w:hAnsi="Times New Roman" w:cs="Times New Roman"/>
                <w:sz w:val="24"/>
                <w:szCs w:val="24"/>
              </w:rPr>
              <w:t>,</w:t>
            </w:r>
            <w:r w:rsidRPr="004D15D4">
              <w:rPr>
                <w:rFonts w:ascii="Times New Roman" w:hAnsi="Times New Roman" w:cs="Times New Roman"/>
                <w:sz w:val="24"/>
                <w:szCs w:val="24"/>
              </w:rPr>
              <w:t xml:space="preserve"> and excess lifetime cancer risk at selected locations within the radiotherapy facility</w:t>
            </w:r>
          </w:p>
        </w:tc>
      </w:tr>
      <w:tr w:rsidR="008F33CE" w:rsidRPr="00B20DBD" w14:paraId="656A061E" w14:textId="77777777" w:rsidTr="00B76ADA">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152" w:type="dxa"/>
            <w:vMerge w:val="restart"/>
          </w:tcPr>
          <w:p w14:paraId="12F9ED83" w14:textId="505DD25F"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Location</w:t>
            </w:r>
          </w:p>
        </w:tc>
        <w:tc>
          <w:tcPr>
            <w:tcW w:w="3526" w:type="dxa"/>
            <w:gridSpan w:val="2"/>
          </w:tcPr>
          <w:p w14:paraId="18A5230D" w14:textId="77777777" w:rsidR="00B76ADA" w:rsidRDefault="00B76ADA" w:rsidP="00B76AD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7ED43D07" w14:textId="4B9FAD99" w:rsidR="00B76ADA" w:rsidRPr="00B76ADA" w:rsidRDefault="005C6824" w:rsidP="00B76AD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The a</w:t>
            </w:r>
            <w:r w:rsidR="008F33CE" w:rsidRPr="00B20DBD">
              <w:rPr>
                <w:rFonts w:ascii="Times New Roman" w:hAnsi="Times New Roman" w:cs="Times New Roman"/>
                <w:bCs/>
                <w:sz w:val="24"/>
                <w:szCs w:val="24"/>
              </w:rPr>
              <w:t xml:space="preserve">bsorbed dose rate in </w:t>
            </w:r>
            <w:r>
              <w:rPr>
                <w:rFonts w:ascii="Times New Roman" w:hAnsi="Times New Roman" w:cs="Times New Roman"/>
                <w:bCs/>
                <w:sz w:val="24"/>
                <w:szCs w:val="24"/>
              </w:rPr>
              <w:t xml:space="preserve">the </w:t>
            </w:r>
            <w:r w:rsidR="008F33CE" w:rsidRPr="00B20DBD">
              <w:rPr>
                <w:rFonts w:ascii="Times New Roman" w:hAnsi="Times New Roman" w:cs="Times New Roman"/>
                <w:bCs/>
                <w:sz w:val="24"/>
                <w:szCs w:val="24"/>
              </w:rPr>
              <w:t>air (</w:t>
            </w:r>
            <w:proofErr w:type="spellStart"/>
            <w:r w:rsidR="008F33CE" w:rsidRPr="00B20DBD">
              <w:rPr>
                <w:rFonts w:ascii="Times New Roman" w:hAnsi="Times New Roman" w:cs="Times New Roman"/>
                <w:bCs/>
                <w:sz w:val="24"/>
                <w:szCs w:val="24"/>
              </w:rPr>
              <w:t>μSv</w:t>
            </w:r>
            <w:proofErr w:type="spellEnd"/>
            <w:r w:rsidR="008F33CE" w:rsidRPr="00B20DBD">
              <w:rPr>
                <w:rFonts w:ascii="Times New Roman" w:hAnsi="Times New Roman" w:cs="Times New Roman"/>
                <w:bCs/>
                <w:sz w:val="24"/>
                <w:szCs w:val="24"/>
              </w:rPr>
              <w:t>/</w:t>
            </w:r>
            <w:proofErr w:type="spellStart"/>
            <w:r w:rsidR="008F33CE" w:rsidRPr="00B20DBD">
              <w:rPr>
                <w:rFonts w:ascii="Times New Roman" w:hAnsi="Times New Roman" w:cs="Times New Roman"/>
                <w:bCs/>
                <w:sz w:val="24"/>
                <w:szCs w:val="24"/>
              </w:rPr>
              <w:t>h</w:t>
            </w:r>
            <w:r w:rsidR="008F33CE">
              <w:rPr>
                <w:rFonts w:ascii="Times New Roman" w:hAnsi="Times New Roman" w:cs="Times New Roman"/>
                <w:bCs/>
                <w:sz w:val="24"/>
                <w:szCs w:val="24"/>
              </w:rPr>
              <w:t>r</w:t>
            </w:r>
            <w:proofErr w:type="spellEnd"/>
            <w:r w:rsidR="008F33CE" w:rsidRPr="00B20DBD">
              <w:rPr>
                <w:rFonts w:ascii="Times New Roman" w:hAnsi="Times New Roman" w:cs="Times New Roman"/>
                <w:bCs/>
                <w:sz w:val="24"/>
                <w:szCs w:val="24"/>
              </w:rPr>
              <w:t>)</w:t>
            </w:r>
          </w:p>
        </w:tc>
        <w:tc>
          <w:tcPr>
            <w:tcW w:w="1216" w:type="dxa"/>
            <w:vMerge w:val="restart"/>
          </w:tcPr>
          <w:p w14:paraId="2F3626FC" w14:textId="078509B2"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sz w:val="24"/>
                <w:szCs w:val="24"/>
              </w:rPr>
              <w:t>Annual effective dose equivalent (mSv/</w:t>
            </w:r>
            <w:proofErr w:type="spellStart"/>
            <w:r w:rsidRPr="00B20DBD">
              <w:rPr>
                <w:rFonts w:ascii="Times New Roman" w:hAnsi="Times New Roman" w:cs="Times New Roman"/>
                <w:sz w:val="24"/>
                <w:szCs w:val="24"/>
              </w:rPr>
              <w:t>yr</w:t>
            </w:r>
            <w:proofErr w:type="spellEnd"/>
            <w:r w:rsidRPr="00B20DBD">
              <w:rPr>
                <w:rFonts w:ascii="Times New Roman" w:hAnsi="Times New Roman" w:cs="Times New Roman"/>
                <w:sz w:val="24"/>
                <w:szCs w:val="24"/>
              </w:rPr>
              <w:t>)</w:t>
            </w:r>
          </w:p>
        </w:tc>
        <w:tc>
          <w:tcPr>
            <w:tcW w:w="1561" w:type="dxa"/>
            <w:vMerge w:val="restart"/>
          </w:tcPr>
          <w:p w14:paraId="4B826BAF" w14:textId="4B4F553F"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sz w:val="24"/>
                <w:szCs w:val="24"/>
              </w:rPr>
              <w:t>Excess lifetime cancer risk (x10</w:t>
            </w:r>
            <w:r w:rsidRPr="00B20DBD">
              <w:rPr>
                <w:rFonts w:ascii="Times New Roman" w:hAnsi="Times New Roman" w:cs="Times New Roman"/>
                <w:sz w:val="24"/>
                <w:szCs w:val="24"/>
                <w:vertAlign w:val="superscript"/>
              </w:rPr>
              <w:t>-3</w:t>
            </w:r>
            <w:r w:rsidRPr="00B20DBD">
              <w:rPr>
                <w:rFonts w:ascii="Times New Roman" w:hAnsi="Times New Roman" w:cs="Times New Roman"/>
                <w:sz w:val="24"/>
                <w:szCs w:val="24"/>
              </w:rPr>
              <w:t>)</w:t>
            </w:r>
          </w:p>
        </w:tc>
      </w:tr>
      <w:tr w:rsidR="008F33CE" w:rsidRPr="00B20DBD" w14:paraId="7A6D6194" w14:textId="77777777" w:rsidTr="00B76ADA">
        <w:trPr>
          <w:trHeight w:val="930"/>
        </w:trPr>
        <w:tc>
          <w:tcPr>
            <w:cnfStyle w:val="001000000000" w:firstRow="0" w:lastRow="0" w:firstColumn="1" w:lastColumn="0" w:oddVBand="0" w:evenVBand="0" w:oddHBand="0" w:evenHBand="0" w:firstRowFirstColumn="0" w:firstRowLastColumn="0" w:lastRowFirstColumn="0" w:lastRowLastColumn="0"/>
            <w:tcW w:w="2152" w:type="dxa"/>
            <w:vMerge/>
          </w:tcPr>
          <w:p w14:paraId="40DEA1E0" w14:textId="77777777" w:rsidR="008F33CE" w:rsidRPr="00B20DBD" w:rsidRDefault="008F33CE" w:rsidP="00A231E5">
            <w:pPr>
              <w:spacing w:line="360" w:lineRule="auto"/>
              <w:jc w:val="both"/>
              <w:rPr>
                <w:rFonts w:ascii="Times New Roman" w:hAnsi="Times New Roman" w:cs="Times New Roman"/>
                <w:bCs w:val="0"/>
                <w:sz w:val="24"/>
                <w:szCs w:val="24"/>
              </w:rPr>
            </w:pPr>
          </w:p>
        </w:tc>
        <w:tc>
          <w:tcPr>
            <w:tcW w:w="1713" w:type="dxa"/>
          </w:tcPr>
          <w:p w14:paraId="37F4DF13" w14:textId="319C3824" w:rsidR="008F33CE" w:rsidRDefault="008F33CE" w:rsidP="00A231E5">
            <w:pPr>
              <w:spacing w:line="360" w:lineRule="auto"/>
              <w:ind w:left="5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Range</w:t>
            </w:r>
          </w:p>
        </w:tc>
        <w:tc>
          <w:tcPr>
            <w:tcW w:w="1813" w:type="dxa"/>
          </w:tcPr>
          <w:p w14:paraId="481EA76E" w14:textId="57921E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Mean</w:t>
            </w:r>
          </w:p>
        </w:tc>
        <w:tc>
          <w:tcPr>
            <w:tcW w:w="1216" w:type="dxa"/>
            <w:vMerge/>
          </w:tcPr>
          <w:p w14:paraId="5B0A0465"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1" w:type="dxa"/>
            <w:vMerge/>
          </w:tcPr>
          <w:p w14:paraId="2A5783F0"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F33CE" w:rsidRPr="00B20DBD" w14:paraId="03853D39"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2F799C2B" w14:textId="77777777" w:rsidR="008F33CE" w:rsidRPr="00B20DBD" w:rsidRDefault="008F33CE" w:rsidP="00A231E5">
            <w:pPr>
              <w:spacing w:line="360" w:lineRule="auto"/>
              <w:jc w:val="both"/>
              <w:rPr>
                <w:rFonts w:ascii="Times New Roman" w:hAnsi="Times New Roman" w:cs="Times New Roman"/>
                <w:bCs w:val="0"/>
                <w:sz w:val="24"/>
                <w:szCs w:val="24"/>
              </w:rPr>
            </w:pPr>
            <w:r>
              <w:rPr>
                <w:rFonts w:ascii="Times New Roman" w:hAnsi="Times New Roman" w:cs="Times New Roman"/>
                <w:sz w:val="24"/>
                <w:szCs w:val="24"/>
              </w:rPr>
              <w:t xml:space="preserve">Nuclear medicine </w:t>
            </w:r>
            <w:r w:rsidRPr="00B20DBD">
              <w:rPr>
                <w:rFonts w:ascii="Times New Roman" w:hAnsi="Times New Roman" w:cs="Times New Roman"/>
                <w:sz w:val="24"/>
                <w:szCs w:val="24"/>
              </w:rPr>
              <w:t>Bunker</w:t>
            </w:r>
          </w:p>
        </w:tc>
        <w:tc>
          <w:tcPr>
            <w:tcW w:w="1713" w:type="dxa"/>
          </w:tcPr>
          <w:p w14:paraId="6768ED58"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0.492-0.521</w:t>
            </w:r>
          </w:p>
        </w:tc>
        <w:tc>
          <w:tcPr>
            <w:tcW w:w="1813" w:type="dxa"/>
          </w:tcPr>
          <w:p w14:paraId="3F662D00"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0.512±0.004</w:t>
            </w:r>
          </w:p>
        </w:tc>
        <w:tc>
          <w:tcPr>
            <w:tcW w:w="1216" w:type="dxa"/>
          </w:tcPr>
          <w:p w14:paraId="4DD91F48"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1.884</w:t>
            </w:r>
          </w:p>
        </w:tc>
        <w:tc>
          <w:tcPr>
            <w:tcW w:w="1561" w:type="dxa"/>
          </w:tcPr>
          <w:p w14:paraId="1D91F589"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6.59</w:t>
            </w:r>
          </w:p>
        </w:tc>
      </w:tr>
      <w:tr w:rsidR="008F33CE" w:rsidRPr="00B20DBD" w14:paraId="0591DC69"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298A6CE1"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lastRenderedPageBreak/>
              <w:t>Simulator room area</w:t>
            </w:r>
          </w:p>
        </w:tc>
        <w:tc>
          <w:tcPr>
            <w:tcW w:w="1713" w:type="dxa"/>
          </w:tcPr>
          <w:p w14:paraId="3E7FBDEB"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0.430-0.477</w:t>
            </w:r>
          </w:p>
        </w:tc>
        <w:tc>
          <w:tcPr>
            <w:tcW w:w="1813" w:type="dxa"/>
          </w:tcPr>
          <w:p w14:paraId="45A5B377"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0.466±0.001</w:t>
            </w:r>
          </w:p>
        </w:tc>
        <w:tc>
          <w:tcPr>
            <w:tcW w:w="1216" w:type="dxa"/>
          </w:tcPr>
          <w:p w14:paraId="00E2C6EF"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1.715</w:t>
            </w:r>
          </w:p>
        </w:tc>
        <w:tc>
          <w:tcPr>
            <w:tcW w:w="1561" w:type="dxa"/>
          </w:tcPr>
          <w:p w14:paraId="16F6651E"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6.00</w:t>
            </w:r>
          </w:p>
        </w:tc>
      </w:tr>
      <w:tr w:rsidR="008F33CE" w:rsidRPr="00B20DBD" w14:paraId="51D1644B"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47C16313"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Administration area</w:t>
            </w:r>
          </w:p>
        </w:tc>
        <w:tc>
          <w:tcPr>
            <w:tcW w:w="1713" w:type="dxa"/>
          </w:tcPr>
          <w:p w14:paraId="6102B790"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0.309-0.320</w:t>
            </w:r>
          </w:p>
        </w:tc>
        <w:tc>
          <w:tcPr>
            <w:tcW w:w="1813" w:type="dxa"/>
          </w:tcPr>
          <w:p w14:paraId="404907CC"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0.313±0.007</w:t>
            </w:r>
          </w:p>
        </w:tc>
        <w:tc>
          <w:tcPr>
            <w:tcW w:w="1216" w:type="dxa"/>
          </w:tcPr>
          <w:p w14:paraId="4CBCF9F2"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1.152</w:t>
            </w:r>
          </w:p>
        </w:tc>
        <w:tc>
          <w:tcPr>
            <w:tcW w:w="1561" w:type="dxa"/>
          </w:tcPr>
          <w:p w14:paraId="08CD94C8"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4.03</w:t>
            </w:r>
          </w:p>
        </w:tc>
      </w:tr>
      <w:tr w:rsidR="008F33CE" w:rsidRPr="00B20DBD" w14:paraId="13CAD6F2"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69016E74"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Conference room area</w:t>
            </w:r>
          </w:p>
        </w:tc>
        <w:tc>
          <w:tcPr>
            <w:tcW w:w="1713" w:type="dxa"/>
          </w:tcPr>
          <w:p w14:paraId="76F756D7"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0.452-0.481</w:t>
            </w:r>
          </w:p>
        </w:tc>
        <w:tc>
          <w:tcPr>
            <w:tcW w:w="1813" w:type="dxa"/>
          </w:tcPr>
          <w:p w14:paraId="09CB7C3B"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0.469±0.003</w:t>
            </w:r>
          </w:p>
        </w:tc>
        <w:tc>
          <w:tcPr>
            <w:tcW w:w="1216" w:type="dxa"/>
          </w:tcPr>
          <w:p w14:paraId="5E699C4D"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1.726</w:t>
            </w:r>
          </w:p>
        </w:tc>
        <w:tc>
          <w:tcPr>
            <w:tcW w:w="1561" w:type="dxa"/>
          </w:tcPr>
          <w:p w14:paraId="149E3102"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6.04</w:t>
            </w:r>
          </w:p>
        </w:tc>
      </w:tr>
      <w:tr w:rsidR="008F33CE" w:rsidRPr="00B20DBD" w14:paraId="6DE8E667"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7A4C4BF" w14:textId="77777777" w:rsidR="008F33CE" w:rsidRPr="00B20DBD" w:rsidRDefault="008F33CE" w:rsidP="00A231E5">
            <w:pPr>
              <w:spacing w:line="360" w:lineRule="auto"/>
              <w:jc w:val="both"/>
              <w:rPr>
                <w:rFonts w:ascii="Times New Roman" w:hAnsi="Times New Roman" w:cs="Times New Roman"/>
                <w:bCs w:val="0"/>
                <w:sz w:val="24"/>
                <w:szCs w:val="24"/>
              </w:rPr>
            </w:pPr>
            <w:proofErr w:type="spellStart"/>
            <w:r>
              <w:rPr>
                <w:rFonts w:ascii="Times New Roman" w:hAnsi="Times New Roman" w:cs="Times New Roman"/>
                <w:sz w:val="24"/>
                <w:szCs w:val="24"/>
              </w:rPr>
              <w:t>Linac</w:t>
            </w:r>
            <w:proofErr w:type="spellEnd"/>
            <w:r>
              <w:rPr>
                <w:rFonts w:ascii="Times New Roman" w:hAnsi="Times New Roman" w:cs="Times New Roman"/>
                <w:sz w:val="24"/>
                <w:szCs w:val="24"/>
              </w:rPr>
              <w:t xml:space="preserve"> maze</w:t>
            </w:r>
          </w:p>
        </w:tc>
        <w:tc>
          <w:tcPr>
            <w:tcW w:w="1713" w:type="dxa"/>
          </w:tcPr>
          <w:p w14:paraId="371CD47D"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0.508-0.524</w:t>
            </w:r>
          </w:p>
        </w:tc>
        <w:tc>
          <w:tcPr>
            <w:tcW w:w="1813" w:type="dxa"/>
          </w:tcPr>
          <w:p w14:paraId="681097F9"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0.515±0.002</w:t>
            </w:r>
          </w:p>
        </w:tc>
        <w:tc>
          <w:tcPr>
            <w:tcW w:w="1216" w:type="dxa"/>
          </w:tcPr>
          <w:p w14:paraId="5FA3201E"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1.895</w:t>
            </w:r>
          </w:p>
        </w:tc>
        <w:tc>
          <w:tcPr>
            <w:tcW w:w="1561" w:type="dxa"/>
          </w:tcPr>
          <w:p w14:paraId="101417FC"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6.63</w:t>
            </w:r>
          </w:p>
        </w:tc>
      </w:tr>
      <w:tr w:rsidR="008F33CE" w:rsidRPr="00B20DBD" w14:paraId="272D175D"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1ADBDEAD"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 xml:space="preserve">Control </w:t>
            </w:r>
            <w:r>
              <w:rPr>
                <w:rFonts w:ascii="Times New Roman" w:hAnsi="Times New Roman" w:cs="Times New Roman"/>
                <w:sz w:val="24"/>
                <w:szCs w:val="24"/>
              </w:rPr>
              <w:t xml:space="preserve">console </w:t>
            </w:r>
            <w:r w:rsidRPr="00B20DBD">
              <w:rPr>
                <w:rFonts w:ascii="Times New Roman" w:hAnsi="Times New Roman" w:cs="Times New Roman"/>
                <w:sz w:val="24"/>
                <w:szCs w:val="24"/>
              </w:rPr>
              <w:t>room</w:t>
            </w:r>
          </w:p>
        </w:tc>
        <w:tc>
          <w:tcPr>
            <w:tcW w:w="1713" w:type="dxa"/>
          </w:tcPr>
          <w:p w14:paraId="7FFA63FE"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0.558-0.571</w:t>
            </w:r>
          </w:p>
        </w:tc>
        <w:tc>
          <w:tcPr>
            <w:tcW w:w="1813" w:type="dxa"/>
          </w:tcPr>
          <w:p w14:paraId="43DAFC9C"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0.564±0.002</w:t>
            </w:r>
          </w:p>
        </w:tc>
        <w:tc>
          <w:tcPr>
            <w:tcW w:w="1216" w:type="dxa"/>
          </w:tcPr>
          <w:p w14:paraId="4319D7E5"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2.076</w:t>
            </w:r>
          </w:p>
        </w:tc>
        <w:tc>
          <w:tcPr>
            <w:tcW w:w="1561" w:type="dxa"/>
          </w:tcPr>
          <w:p w14:paraId="517C4342"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7.27</w:t>
            </w:r>
          </w:p>
        </w:tc>
      </w:tr>
      <w:tr w:rsidR="008F33CE" w:rsidRPr="00B20DBD" w14:paraId="557A65E8"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07E62334"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Chemotherapy room area</w:t>
            </w:r>
          </w:p>
        </w:tc>
        <w:tc>
          <w:tcPr>
            <w:tcW w:w="1713" w:type="dxa"/>
          </w:tcPr>
          <w:p w14:paraId="22E14242"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0.313-0.322</w:t>
            </w:r>
          </w:p>
        </w:tc>
        <w:tc>
          <w:tcPr>
            <w:tcW w:w="1813" w:type="dxa"/>
          </w:tcPr>
          <w:p w14:paraId="36B79294"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0.317±0.003</w:t>
            </w:r>
          </w:p>
        </w:tc>
        <w:tc>
          <w:tcPr>
            <w:tcW w:w="1216" w:type="dxa"/>
          </w:tcPr>
          <w:p w14:paraId="3B7EFEE0"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1.167</w:t>
            </w:r>
          </w:p>
        </w:tc>
        <w:tc>
          <w:tcPr>
            <w:tcW w:w="1561" w:type="dxa"/>
          </w:tcPr>
          <w:p w14:paraId="12049951"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4.08</w:t>
            </w:r>
          </w:p>
        </w:tc>
      </w:tr>
      <w:tr w:rsidR="008F33CE" w:rsidRPr="00B20DBD" w14:paraId="28FA3573"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53A458EF" w14:textId="77777777" w:rsidR="008F33CE" w:rsidRPr="00B20DBD" w:rsidRDefault="008F33CE" w:rsidP="00A231E5">
            <w:pPr>
              <w:spacing w:line="360" w:lineRule="auto"/>
              <w:jc w:val="both"/>
              <w:rPr>
                <w:rFonts w:ascii="Times New Roman" w:hAnsi="Times New Roman" w:cs="Times New Roman"/>
                <w:bCs w:val="0"/>
                <w:sz w:val="24"/>
                <w:szCs w:val="24"/>
              </w:rPr>
            </w:pPr>
            <w:r>
              <w:rPr>
                <w:rFonts w:ascii="Times New Roman" w:hAnsi="Times New Roman" w:cs="Times New Roman"/>
                <w:sz w:val="24"/>
                <w:szCs w:val="24"/>
              </w:rPr>
              <w:t>cobalt bunker</w:t>
            </w:r>
            <w:r w:rsidRPr="00B20DBD">
              <w:rPr>
                <w:rFonts w:ascii="Times New Roman" w:hAnsi="Times New Roman" w:cs="Times New Roman"/>
                <w:sz w:val="24"/>
                <w:szCs w:val="24"/>
              </w:rPr>
              <w:t xml:space="preserve"> room</w:t>
            </w:r>
          </w:p>
        </w:tc>
        <w:tc>
          <w:tcPr>
            <w:tcW w:w="1713" w:type="dxa"/>
          </w:tcPr>
          <w:p w14:paraId="62F4B8FD"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0.650-0.698</w:t>
            </w:r>
          </w:p>
        </w:tc>
        <w:tc>
          <w:tcPr>
            <w:tcW w:w="1813" w:type="dxa"/>
          </w:tcPr>
          <w:p w14:paraId="6169BEE4"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0.678±0.005</w:t>
            </w:r>
          </w:p>
        </w:tc>
        <w:tc>
          <w:tcPr>
            <w:tcW w:w="1216" w:type="dxa"/>
          </w:tcPr>
          <w:p w14:paraId="30CD09C5"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2.495</w:t>
            </w:r>
          </w:p>
        </w:tc>
        <w:tc>
          <w:tcPr>
            <w:tcW w:w="1561" w:type="dxa"/>
          </w:tcPr>
          <w:p w14:paraId="44FC9558"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8.73</w:t>
            </w:r>
          </w:p>
        </w:tc>
      </w:tr>
      <w:tr w:rsidR="008F33CE" w:rsidRPr="00B20DBD" w14:paraId="6616FC64"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21E14682"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Nurses office area</w:t>
            </w:r>
          </w:p>
        </w:tc>
        <w:tc>
          <w:tcPr>
            <w:tcW w:w="1713" w:type="dxa"/>
          </w:tcPr>
          <w:p w14:paraId="5A5AB8E0"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0.254-0.283</w:t>
            </w:r>
          </w:p>
        </w:tc>
        <w:tc>
          <w:tcPr>
            <w:tcW w:w="1813" w:type="dxa"/>
          </w:tcPr>
          <w:p w14:paraId="6573466F"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0.268±0.008</w:t>
            </w:r>
          </w:p>
        </w:tc>
        <w:tc>
          <w:tcPr>
            <w:tcW w:w="1216" w:type="dxa"/>
          </w:tcPr>
          <w:p w14:paraId="12620118"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0.986</w:t>
            </w:r>
          </w:p>
        </w:tc>
        <w:tc>
          <w:tcPr>
            <w:tcW w:w="1561" w:type="dxa"/>
          </w:tcPr>
          <w:p w14:paraId="54D0B75B"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3.45</w:t>
            </w:r>
          </w:p>
        </w:tc>
      </w:tr>
      <w:tr w:rsidR="008F33CE" w:rsidRPr="00B20DBD" w14:paraId="38D726FA"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1ADD7C78"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Dosimetry room area</w:t>
            </w:r>
          </w:p>
        </w:tc>
        <w:tc>
          <w:tcPr>
            <w:tcW w:w="1713" w:type="dxa"/>
          </w:tcPr>
          <w:p w14:paraId="3DFCCFE6"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0.447-0.482</w:t>
            </w:r>
          </w:p>
        </w:tc>
        <w:tc>
          <w:tcPr>
            <w:tcW w:w="1813" w:type="dxa"/>
          </w:tcPr>
          <w:p w14:paraId="26C08F43"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0.463±0.001</w:t>
            </w:r>
          </w:p>
        </w:tc>
        <w:tc>
          <w:tcPr>
            <w:tcW w:w="1216" w:type="dxa"/>
          </w:tcPr>
          <w:p w14:paraId="4444B59C"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1.704</w:t>
            </w:r>
          </w:p>
        </w:tc>
        <w:tc>
          <w:tcPr>
            <w:tcW w:w="1561" w:type="dxa"/>
          </w:tcPr>
          <w:p w14:paraId="1AF80B53"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5.96</w:t>
            </w:r>
          </w:p>
        </w:tc>
      </w:tr>
      <w:tr w:rsidR="008F33CE" w:rsidRPr="00B20DBD" w14:paraId="3150C2EE"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30FF04A9"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Nuclear medicine room area</w:t>
            </w:r>
          </w:p>
        </w:tc>
        <w:tc>
          <w:tcPr>
            <w:tcW w:w="1713" w:type="dxa"/>
          </w:tcPr>
          <w:p w14:paraId="426297F1"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0.457-0.475</w:t>
            </w:r>
          </w:p>
        </w:tc>
        <w:tc>
          <w:tcPr>
            <w:tcW w:w="1813" w:type="dxa"/>
          </w:tcPr>
          <w:p w14:paraId="5B6BDC81"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0.467±0.002</w:t>
            </w:r>
          </w:p>
        </w:tc>
        <w:tc>
          <w:tcPr>
            <w:tcW w:w="1216" w:type="dxa"/>
          </w:tcPr>
          <w:p w14:paraId="53F7268A"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1.719</w:t>
            </w:r>
          </w:p>
        </w:tc>
        <w:tc>
          <w:tcPr>
            <w:tcW w:w="1561" w:type="dxa"/>
          </w:tcPr>
          <w:p w14:paraId="4B8E68A1"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6.02</w:t>
            </w:r>
          </w:p>
        </w:tc>
      </w:tr>
      <w:tr w:rsidR="008F33CE" w:rsidRPr="00B20DBD" w14:paraId="17554032"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0252E128" w14:textId="77777777" w:rsidR="008F33CE" w:rsidRPr="00B20DBD" w:rsidRDefault="008F33CE" w:rsidP="00A231E5">
            <w:pPr>
              <w:spacing w:line="360" w:lineRule="auto"/>
              <w:jc w:val="both"/>
              <w:rPr>
                <w:rFonts w:ascii="Times New Roman" w:hAnsi="Times New Roman" w:cs="Times New Roman"/>
                <w:bCs w:val="0"/>
                <w:sz w:val="24"/>
                <w:szCs w:val="24"/>
              </w:rPr>
            </w:pPr>
            <w:r>
              <w:rPr>
                <w:rFonts w:ascii="Times New Roman" w:hAnsi="Times New Roman" w:cs="Times New Roman"/>
                <w:sz w:val="24"/>
                <w:szCs w:val="24"/>
              </w:rPr>
              <w:t>SPECT-CT Console Area</w:t>
            </w:r>
          </w:p>
        </w:tc>
        <w:tc>
          <w:tcPr>
            <w:tcW w:w="1713" w:type="dxa"/>
          </w:tcPr>
          <w:p w14:paraId="409473F4"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0.457-0.473</w:t>
            </w:r>
          </w:p>
        </w:tc>
        <w:tc>
          <w:tcPr>
            <w:tcW w:w="1813" w:type="dxa"/>
          </w:tcPr>
          <w:p w14:paraId="1A3128DE"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0.467±0.005</w:t>
            </w:r>
          </w:p>
        </w:tc>
        <w:tc>
          <w:tcPr>
            <w:tcW w:w="1216" w:type="dxa"/>
          </w:tcPr>
          <w:p w14:paraId="6AF9933B"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1.719</w:t>
            </w:r>
          </w:p>
        </w:tc>
        <w:tc>
          <w:tcPr>
            <w:tcW w:w="1561" w:type="dxa"/>
          </w:tcPr>
          <w:p w14:paraId="03921C53"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6.02</w:t>
            </w:r>
          </w:p>
        </w:tc>
      </w:tr>
      <w:tr w:rsidR="008F33CE" w:rsidRPr="00B20DBD" w14:paraId="405CB2CD"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3C8C7FCD"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Records area</w:t>
            </w:r>
          </w:p>
        </w:tc>
        <w:tc>
          <w:tcPr>
            <w:tcW w:w="1713" w:type="dxa"/>
          </w:tcPr>
          <w:p w14:paraId="750FB9CE"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0.265-0.297</w:t>
            </w:r>
          </w:p>
        </w:tc>
        <w:tc>
          <w:tcPr>
            <w:tcW w:w="1813" w:type="dxa"/>
          </w:tcPr>
          <w:p w14:paraId="775807F9"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0.281±0.001</w:t>
            </w:r>
          </w:p>
        </w:tc>
        <w:tc>
          <w:tcPr>
            <w:tcW w:w="1216" w:type="dxa"/>
          </w:tcPr>
          <w:p w14:paraId="0736CA48"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1.034</w:t>
            </w:r>
          </w:p>
        </w:tc>
        <w:tc>
          <w:tcPr>
            <w:tcW w:w="1561" w:type="dxa"/>
          </w:tcPr>
          <w:p w14:paraId="5BFAD225"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3.62</w:t>
            </w:r>
          </w:p>
        </w:tc>
      </w:tr>
      <w:tr w:rsidR="008F33CE" w:rsidRPr="00B20DBD" w14:paraId="4C87AD5A"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3F4448C0"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Patients waiting area</w:t>
            </w:r>
          </w:p>
        </w:tc>
        <w:tc>
          <w:tcPr>
            <w:tcW w:w="1713" w:type="dxa"/>
          </w:tcPr>
          <w:p w14:paraId="39A7C544"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0.491-0.521</w:t>
            </w:r>
          </w:p>
        </w:tc>
        <w:tc>
          <w:tcPr>
            <w:tcW w:w="1813" w:type="dxa"/>
          </w:tcPr>
          <w:p w14:paraId="7447A189"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0.509±0.003</w:t>
            </w:r>
          </w:p>
        </w:tc>
        <w:tc>
          <w:tcPr>
            <w:tcW w:w="1216" w:type="dxa"/>
          </w:tcPr>
          <w:p w14:paraId="7B0CEAD2"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1.873</w:t>
            </w:r>
          </w:p>
        </w:tc>
        <w:tc>
          <w:tcPr>
            <w:tcW w:w="1561" w:type="dxa"/>
          </w:tcPr>
          <w:p w14:paraId="3999636A"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6.56</w:t>
            </w:r>
          </w:p>
        </w:tc>
      </w:tr>
      <w:tr w:rsidR="008F33CE" w:rsidRPr="00B20DBD" w14:paraId="098CCF96"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0C12395A" w14:textId="77777777" w:rsidR="008F33CE" w:rsidRPr="00B20DBD" w:rsidRDefault="008F33CE" w:rsidP="00A231E5">
            <w:pPr>
              <w:spacing w:line="360" w:lineRule="auto"/>
              <w:jc w:val="both"/>
              <w:rPr>
                <w:rFonts w:ascii="Times New Roman" w:hAnsi="Times New Roman" w:cs="Times New Roman"/>
                <w:bCs w:val="0"/>
                <w:sz w:val="24"/>
                <w:szCs w:val="24"/>
              </w:rPr>
            </w:pPr>
            <w:proofErr w:type="gramStart"/>
            <w:r w:rsidRPr="00B20DBD">
              <w:rPr>
                <w:rFonts w:ascii="Times New Roman" w:hAnsi="Times New Roman" w:cs="Times New Roman"/>
                <w:sz w:val="24"/>
                <w:szCs w:val="24"/>
              </w:rPr>
              <w:t>Radiotherapist  area</w:t>
            </w:r>
            <w:proofErr w:type="gramEnd"/>
          </w:p>
        </w:tc>
        <w:tc>
          <w:tcPr>
            <w:tcW w:w="1713" w:type="dxa"/>
          </w:tcPr>
          <w:p w14:paraId="322EFB80"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0.288-0.318</w:t>
            </w:r>
          </w:p>
        </w:tc>
        <w:tc>
          <w:tcPr>
            <w:tcW w:w="1813" w:type="dxa"/>
          </w:tcPr>
          <w:p w14:paraId="4F73341E"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0.302±0.006</w:t>
            </w:r>
          </w:p>
        </w:tc>
        <w:tc>
          <w:tcPr>
            <w:tcW w:w="1216" w:type="dxa"/>
          </w:tcPr>
          <w:p w14:paraId="11A33BD7"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1.111</w:t>
            </w:r>
          </w:p>
        </w:tc>
        <w:tc>
          <w:tcPr>
            <w:tcW w:w="1561" w:type="dxa"/>
          </w:tcPr>
          <w:p w14:paraId="3E3B71E2"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3.89</w:t>
            </w:r>
          </w:p>
        </w:tc>
      </w:tr>
      <w:tr w:rsidR="008F33CE" w:rsidRPr="00B20DBD" w14:paraId="209FB9BC"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7A0450DB"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OPD</w:t>
            </w:r>
          </w:p>
        </w:tc>
        <w:tc>
          <w:tcPr>
            <w:tcW w:w="1713" w:type="dxa"/>
          </w:tcPr>
          <w:p w14:paraId="129ED793"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0.433-0.471</w:t>
            </w:r>
          </w:p>
        </w:tc>
        <w:tc>
          <w:tcPr>
            <w:tcW w:w="1813" w:type="dxa"/>
          </w:tcPr>
          <w:p w14:paraId="72C0D92C"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0.455±0.003</w:t>
            </w:r>
          </w:p>
        </w:tc>
        <w:tc>
          <w:tcPr>
            <w:tcW w:w="1216" w:type="dxa"/>
          </w:tcPr>
          <w:p w14:paraId="6B5864B8"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1.674</w:t>
            </w:r>
          </w:p>
        </w:tc>
        <w:tc>
          <w:tcPr>
            <w:tcW w:w="1561" w:type="dxa"/>
          </w:tcPr>
          <w:p w14:paraId="391CCAE0"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5.86</w:t>
            </w:r>
          </w:p>
        </w:tc>
      </w:tr>
      <w:tr w:rsidR="008F33CE" w:rsidRPr="00B20DBD" w14:paraId="22AA9A76" w14:textId="77777777" w:rsidTr="00B7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2AA52A47"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 xml:space="preserve">Minimum </w:t>
            </w:r>
          </w:p>
        </w:tc>
        <w:tc>
          <w:tcPr>
            <w:tcW w:w="1713" w:type="dxa"/>
          </w:tcPr>
          <w:p w14:paraId="1D53BC7D"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13" w:type="dxa"/>
          </w:tcPr>
          <w:p w14:paraId="3072C0F5"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0.268±0.008</w:t>
            </w:r>
          </w:p>
        </w:tc>
        <w:tc>
          <w:tcPr>
            <w:tcW w:w="1216" w:type="dxa"/>
          </w:tcPr>
          <w:p w14:paraId="3D613DA9"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0.986</w:t>
            </w:r>
          </w:p>
        </w:tc>
        <w:tc>
          <w:tcPr>
            <w:tcW w:w="1561" w:type="dxa"/>
          </w:tcPr>
          <w:p w14:paraId="5687613F" w14:textId="77777777" w:rsidR="008F33CE" w:rsidRPr="00B20DBD" w:rsidRDefault="008F33CE" w:rsidP="00A231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3.45</w:t>
            </w:r>
          </w:p>
        </w:tc>
      </w:tr>
      <w:tr w:rsidR="008F33CE" w:rsidRPr="00B20DBD" w14:paraId="0AA71007" w14:textId="77777777" w:rsidTr="00B76ADA">
        <w:tc>
          <w:tcPr>
            <w:cnfStyle w:val="001000000000" w:firstRow="0" w:lastRow="0" w:firstColumn="1" w:lastColumn="0" w:oddVBand="0" w:evenVBand="0" w:oddHBand="0" w:evenHBand="0" w:firstRowFirstColumn="0" w:firstRowLastColumn="0" w:lastRowFirstColumn="0" w:lastRowLastColumn="0"/>
            <w:tcW w:w="2152" w:type="dxa"/>
          </w:tcPr>
          <w:p w14:paraId="05F45BEA"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t xml:space="preserve">Maximum </w:t>
            </w:r>
          </w:p>
        </w:tc>
        <w:tc>
          <w:tcPr>
            <w:tcW w:w="1713" w:type="dxa"/>
          </w:tcPr>
          <w:p w14:paraId="0A76D895"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13" w:type="dxa"/>
          </w:tcPr>
          <w:p w14:paraId="0C5F84EE"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0.678±0.005</w:t>
            </w:r>
          </w:p>
        </w:tc>
        <w:tc>
          <w:tcPr>
            <w:tcW w:w="1216" w:type="dxa"/>
          </w:tcPr>
          <w:p w14:paraId="477B45CC"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2.495</w:t>
            </w:r>
          </w:p>
        </w:tc>
        <w:tc>
          <w:tcPr>
            <w:tcW w:w="1561" w:type="dxa"/>
          </w:tcPr>
          <w:p w14:paraId="5F318ACF" w14:textId="77777777" w:rsidR="008F33CE" w:rsidRPr="00B20DBD" w:rsidRDefault="008F33CE" w:rsidP="00A231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20DBD">
              <w:rPr>
                <w:rFonts w:ascii="Times New Roman" w:hAnsi="Times New Roman" w:cs="Times New Roman"/>
                <w:bCs/>
                <w:sz w:val="24"/>
                <w:szCs w:val="24"/>
              </w:rPr>
              <w:t>8.73</w:t>
            </w:r>
          </w:p>
        </w:tc>
      </w:tr>
      <w:tr w:rsidR="008F33CE" w:rsidRPr="00B20DBD" w14:paraId="116540FD" w14:textId="77777777" w:rsidTr="00B76A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461E9470" w14:textId="77777777" w:rsidR="008F33CE" w:rsidRPr="00B20DBD" w:rsidRDefault="008F33CE" w:rsidP="00A231E5">
            <w:pPr>
              <w:spacing w:line="360" w:lineRule="auto"/>
              <w:jc w:val="both"/>
              <w:rPr>
                <w:rFonts w:ascii="Times New Roman" w:hAnsi="Times New Roman" w:cs="Times New Roman"/>
                <w:bCs w:val="0"/>
                <w:sz w:val="24"/>
                <w:szCs w:val="24"/>
              </w:rPr>
            </w:pPr>
            <w:r w:rsidRPr="00B20DBD">
              <w:rPr>
                <w:rFonts w:ascii="Times New Roman" w:hAnsi="Times New Roman" w:cs="Times New Roman"/>
                <w:sz w:val="24"/>
                <w:szCs w:val="24"/>
              </w:rPr>
              <w:lastRenderedPageBreak/>
              <w:t xml:space="preserve">Average </w:t>
            </w:r>
          </w:p>
        </w:tc>
        <w:tc>
          <w:tcPr>
            <w:tcW w:w="1713" w:type="dxa"/>
          </w:tcPr>
          <w:p w14:paraId="1E3179DC" w14:textId="77777777" w:rsidR="008F33CE" w:rsidRPr="00B20DBD" w:rsidRDefault="008F33CE" w:rsidP="00A231E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c>
          <w:tcPr>
            <w:tcW w:w="1813" w:type="dxa"/>
          </w:tcPr>
          <w:p w14:paraId="6B1CB959" w14:textId="77777777" w:rsidR="008F33CE" w:rsidRPr="008F33CE" w:rsidRDefault="008F33CE" w:rsidP="00A231E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F33CE">
              <w:rPr>
                <w:rFonts w:ascii="Times New Roman" w:hAnsi="Times New Roman" w:cs="Times New Roman"/>
                <w:b w:val="0"/>
                <w:bCs w:val="0"/>
                <w:sz w:val="24"/>
                <w:szCs w:val="24"/>
              </w:rPr>
              <w:t>0.440±0.004</w:t>
            </w:r>
          </w:p>
        </w:tc>
        <w:tc>
          <w:tcPr>
            <w:tcW w:w="1216" w:type="dxa"/>
          </w:tcPr>
          <w:p w14:paraId="47FF6FA9" w14:textId="77777777" w:rsidR="008F33CE" w:rsidRPr="008F33CE" w:rsidRDefault="008F33CE" w:rsidP="00A231E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F33CE">
              <w:rPr>
                <w:rFonts w:ascii="Times New Roman" w:hAnsi="Times New Roman" w:cs="Times New Roman"/>
                <w:b w:val="0"/>
                <w:bCs w:val="0"/>
                <w:sz w:val="24"/>
                <w:szCs w:val="24"/>
              </w:rPr>
              <w:t>1.621</w:t>
            </w:r>
          </w:p>
        </w:tc>
        <w:tc>
          <w:tcPr>
            <w:tcW w:w="1561" w:type="dxa"/>
          </w:tcPr>
          <w:p w14:paraId="2D6B88A1" w14:textId="77777777" w:rsidR="008F33CE" w:rsidRPr="008F33CE" w:rsidRDefault="008F33CE" w:rsidP="00A231E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F33CE">
              <w:rPr>
                <w:rFonts w:ascii="Times New Roman" w:hAnsi="Times New Roman" w:cs="Times New Roman"/>
                <w:b w:val="0"/>
                <w:bCs w:val="0"/>
                <w:sz w:val="24"/>
                <w:szCs w:val="24"/>
              </w:rPr>
              <w:t>5.67</w:t>
            </w:r>
          </w:p>
        </w:tc>
      </w:tr>
    </w:tbl>
    <w:p w14:paraId="10F85641" w14:textId="4692CF55" w:rsidR="00B95865" w:rsidRDefault="00B95865" w:rsidP="00464B9A">
      <w:pPr>
        <w:spacing w:line="360" w:lineRule="auto"/>
        <w:jc w:val="both"/>
        <w:rPr>
          <w:rFonts w:ascii="Times New Roman" w:eastAsia="Arial" w:hAnsi="Times New Roman" w:cs="Times New Roman"/>
          <w:sz w:val="24"/>
          <w:szCs w:val="24"/>
        </w:rPr>
      </w:pPr>
    </w:p>
    <w:p w14:paraId="0928D017" w14:textId="77777777" w:rsidR="008444F5" w:rsidRDefault="008444F5" w:rsidP="00464B9A">
      <w:pPr>
        <w:spacing w:line="360" w:lineRule="auto"/>
        <w:jc w:val="both"/>
        <w:rPr>
          <w:rFonts w:ascii="Times New Roman" w:eastAsia="Arial" w:hAnsi="Times New Roman" w:cs="Times New Roman"/>
          <w:sz w:val="24"/>
          <w:szCs w:val="24"/>
        </w:rPr>
      </w:pPr>
    </w:p>
    <w:p w14:paraId="1F312C18" w14:textId="6AEC57BA" w:rsidR="00B95865" w:rsidRDefault="008444F5" w:rsidP="00464B9A">
      <w:pPr>
        <w:spacing w:line="36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2EA5469A" wp14:editId="5CABAD6B">
            <wp:extent cx="6406562" cy="3448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20851" cy="3455740"/>
                    </a:xfrm>
                    <a:prstGeom prst="rect">
                      <a:avLst/>
                    </a:prstGeom>
                    <a:noFill/>
                    <a:ln>
                      <a:noFill/>
                    </a:ln>
                  </pic:spPr>
                </pic:pic>
              </a:graphicData>
            </a:graphic>
          </wp:inline>
        </w:drawing>
      </w:r>
    </w:p>
    <w:p w14:paraId="2190B650" w14:textId="6BC992AE" w:rsidR="00B95865" w:rsidRDefault="008444F5" w:rsidP="00464B9A">
      <w:pPr>
        <w:spacing w:line="36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inline distT="0" distB="0" distL="0" distR="0" wp14:anchorId="1EB687C8" wp14:editId="3AC67D81">
            <wp:extent cx="5724525" cy="5772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5772150"/>
                    </a:xfrm>
                    <a:prstGeom prst="rect">
                      <a:avLst/>
                    </a:prstGeom>
                    <a:noFill/>
                    <a:ln>
                      <a:noFill/>
                    </a:ln>
                  </pic:spPr>
                </pic:pic>
              </a:graphicData>
            </a:graphic>
          </wp:inline>
        </w:drawing>
      </w:r>
    </w:p>
    <w:p w14:paraId="1B864FA8" w14:textId="02B738C6" w:rsidR="00B95865" w:rsidRDefault="008444F5" w:rsidP="00464B9A">
      <w:pPr>
        <w:spacing w:line="360" w:lineRule="auto"/>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4A09BA67" wp14:editId="3CF65655">
            <wp:extent cx="6532625" cy="35052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38950" cy="3508594"/>
                    </a:xfrm>
                    <a:prstGeom prst="rect">
                      <a:avLst/>
                    </a:prstGeom>
                    <a:noFill/>
                    <a:ln>
                      <a:noFill/>
                    </a:ln>
                  </pic:spPr>
                </pic:pic>
              </a:graphicData>
            </a:graphic>
          </wp:inline>
        </w:drawing>
      </w:r>
    </w:p>
    <w:p w14:paraId="4EA1801C" w14:textId="4E2674A0" w:rsidR="00B95865" w:rsidRDefault="00B95865" w:rsidP="00464B9A">
      <w:pPr>
        <w:spacing w:line="360" w:lineRule="auto"/>
        <w:jc w:val="both"/>
        <w:rPr>
          <w:rFonts w:ascii="Times New Roman" w:eastAsia="Arial" w:hAnsi="Times New Roman" w:cs="Times New Roman"/>
          <w:sz w:val="24"/>
          <w:szCs w:val="24"/>
        </w:rPr>
      </w:pPr>
    </w:p>
    <w:p w14:paraId="6AD4952B" w14:textId="6DCF1F99" w:rsidR="008E1BA2" w:rsidRPr="00EA0342" w:rsidRDefault="008E1BA2" w:rsidP="00464B9A">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Table </w:t>
      </w:r>
      <w:r w:rsidRPr="00B20DBD">
        <w:rPr>
          <w:rFonts w:ascii="Times New Roman" w:eastAsia="Arial" w:hAnsi="Times New Roman" w:cs="Times New Roman"/>
          <w:sz w:val="24"/>
          <w:szCs w:val="24"/>
        </w:rPr>
        <w:t xml:space="preserve">1 </w:t>
      </w:r>
      <w:r w:rsidR="003551AD">
        <w:rPr>
          <w:rFonts w:ascii="Times New Roman" w:eastAsia="Arial" w:hAnsi="Times New Roman" w:cs="Times New Roman"/>
          <w:sz w:val="24"/>
          <w:szCs w:val="24"/>
        </w:rPr>
        <w:t>shows</w:t>
      </w:r>
      <w:r w:rsidRPr="00B20DBD">
        <w:rPr>
          <w:rFonts w:ascii="Times New Roman" w:eastAsia="Arial" w:hAnsi="Times New Roman" w:cs="Times New Roman"/>
          <w:sz w:val="24"/>
          <w:szCs w:val="24"/>
        </w:rPr>
        <w:t xml:space="preserve"> the absorbed dose rate readings, the annual ef</w:t>
      </w:r>
      <w:r>
        <w:rPr>
          <w:rFonts w:ascii="Times New Roman" w:eastAsia="Arial" w:hAnsi="Times New Roman" w:cs="Times New Roman"/>
          <w:sz w:val="24"/>
          <w:szCs w:val="24"/>
        </w:rPr>
        <w:t>fective dose equivalent estimated</w:t>
      </w:r>
      <w:r w:rsidR="005C6824">
        <w:rPr>
          <w:rFonts w:ascii="Times New Roman" w:eastAsia="Arial" w:hAnsi="Times New Roman" w:cs="Times New Roman"/>
          <w:sz w:val="24"/>
          <w:szCs w:val="24"/>
        </w:rPr>
        <w:t>,</w:t>
      </w:r>
      <w:r w:rsidRPr="00B20DBD">
        <w:rPr>
          <w:rFonts w:ascii="Times New Roman" w:eastAsia="Arial" w:hAnsi="Times New Roman" w:cs="Times New Roman"/>
          <w:sz w:val="24"/>
          <w:szCs w:val="24"/>
        </w:rPr>
        <w:t xml:space="preserve"> and the</w:t>
      </w:r>
      <w:r>
        <w:rPr>
          <w:rFonts w:ascii="Times New Roman" w:eastAsia="Arial" w:hAnsi="Times New Roman" w:cs="Times New Roman"/>
          <w:sz w:val="24"/>
          <w:szCs w:val="24"/>
        </w:rPr>
        <w:t>ir corresponding</w:t>
      </w:r>
      <w:r w:rsidRPr="00B20DBD">
        <w:rPr>
          <w:rFonts w:ascii="Times New Roman" w:eastAsia="Arial" w:hAnsi="Times New Roman" w:cs="Times New Roman"/>
          <w:sz w:val="24"/>
          <w:szCs w:val="24"/>
        </w:rPr>
        <w:t xml:space="preserve"> excess lifeti</w:t>
      </w:r>
      <w:r>
        <w:rPr>
          <w:rFonts w:ascii="Times New Roman" w:eastAsia="Arial" w:hAnsi="Times New Roman" w:cs="Times New Roman"/>
          <w:sz w:val="24"/>
          <w:szCs w:val="24"/>
        </w:rPr>
        <w:t>me cancer risk at different</w:t>
      </w:r>
      <w:r w:rsidRPr="00B20DBD">
        <w:rPr>
          <w:rFonts w:ascii="Times New Roman" w:eastAsia="Arial" w:hAnsi="Times New Roman" w:cs="Times New Roman"/>
          <w:sz w:val="24"/>
          <w:szCs w:val="24"/>
        </w:rPr>
        <w:t xml:space="preserve"> distances from the radioactive source. It was observed that the absorbed dose rate ranged from </w:t>
      </w:r>
      <w:r>
        <w:rPr>
          <w:rFonts w:ascii="Times New Roman" w:eastAsia="Arial" w:hAnsi="Times New Roman" w:cs="Times New Roman"/>
          <w:sz w:val="24"/>
          <w:szCs w:val="24"/>
        </w:rPr>
        <w:t>0.299</w:t>
      </w:r>
      <w:r w:rsidRPr="00B20DBD">
        <w:rPr>
          <w:rFonts w:ascii="Times New Roman" w:hAnsi="Times New Roman" w:cs="Times New Roman"/>
          <w:sz w:val="24"/>
          <w:szCs w:val="24"/>
        </w:rPr>
        <w:t>±0.001</w:t>
      </w:r>
      <w:r>
        <w:rPr>
          <w:rFonts w:ascii="Times New Roman" w:hAnsi="Times New Roman" w:cs="Times New Roman"/>
          <w:sz w:val="24"/>
          <w:szCs w:val="24"/>
        </w:rPr>
        <w:t xml:space="preserve"> </w:t>
      </w:r>
      <w:proofErr w:type="spellStart"/>
      <w:r w:rsidRPr="00B20DBD">
        <w:rPr>
          <w:rFonts w:ascii="Times New Roman" w:hAnsi="Times New Roman" w:cs="Times New Roman"/>
          <w:bCs/>
          <w:sz w:val="24"/>
          <w:szCs w:val="24"/>
        </w:rPr>
        <w:t>μSv</w:t>
      </w:r>
      <w:proofErr w:type="spellEnd"/>
      <w:r w:rsidRPr="00B20DBD">
        <w:rPr>
          <w:rFonts w:ascii="Times New Roman" w:hAnsi="Times New Roman" w:cs="Times New Roman"/>
          <w:bCs/>
          <w:sz w:val="24"/>
          <w:szCs w:val="24"/>
        </w:rPr>
        <w:t>/h</w:t>
      </w:r>
      <w:r>
        <w:rPr>
          <w:rFonts w:ascii="Times New Roman" w:hAnsi="Times New Roman" w:cs="Times New Roman"/>
          <w:sz w:val="24"/>
          <w:szCs w:val="24"/>
        </w:rPr>
        <w:t xml:space="preserve"> to </w:t>
      </w:r>
      <w:r w:rsidRPr="00B20DBD">
        <w:rPr>
          <w:rFonts w:ascii="Times New Roman" w:hAnsi="Times New Roman" w:cs="Times New Roman"/>
          <w:sz w:val="24"/>
          <w:szCs w:val="24"/>
        </w:rPr>
        <w:t>0.977±0.005</w:t>
      </w:r>
      <w:r>
        <w:rPr>
          <w:rFonts w:ascii="Times New Roman" w:hAnsi="Times New Roman" w:cs="Times New Roman"/>
          <w:sz w:val="24"/>
          <w:szCs w:val="24"/>
        </w:rPr>
        <w:t xml:space="preserve"> </w:t>
      </w:r>
      <w:proofErr w:type="spellStart"/>
      <w:r w:rsidRPr="00B20DBD">
        <w:rPr>
          <w:rFonts w:ascii="Times New Roman" w:hAnsi="Times New Roman" w:cs="Times New Roman"/>
          <w:bCs/>
          <w:sz w:val="24"/>
          <w:szCs w:val="24"/>
        </w:rPr>
        <w:t>μSv</w:t>
      </w:r>
      <w:proofErr w:type="spellEnd"/>
      <w:r w:rsidRPr="00B20DBD">
        <w:rPr>
          <w:rFonts w:ascii="Times New Roman" w:hAnsi="Times New Roman" w:cs="Times New Roman"/>
          <w:bCs/>
          <w:sz w:val="24"/>
          <w:szCs w:val="24"/>
        </w:rPr>
        <w:t>/h</w:t>
      </w:r>
      <w:r>
        <w:rPr>
          <w:rFonts w:ascii="Times New Roman" w:hAnsi="Times New Roman" w:cs="Times New Roman"/>
          <w:sz w:val="24"/>
          <w:szCs w:val="24"/>
        </w:rPr>
        <w:t xml:space="preserve"> with an average of 0.498</w:t>
      </w:r>
      <w:r w:rsidRPr="00B20DBD">
        <w:rPr>
          <w:rFonts w:ascii="Times New Roman" w:hAnsi="Times New Roman" w:cs="Times New Roman"/>
          <w:sz w:val="24"/>
          <w:szCs w:val="24"/>
        </w:rPr>
        <w:t>±0.005</w:t>
      </w:r>
      <w:r>
        <w:rPr>
          <w:rFonts w:ascii="Times New Roman" w:hAnsi="Times New Roman" w:cs="Times New Roman"/>
          <w:sz w:val="24"/>
          <w:szCs w:val="24"/>
        </w:rPr>
        <w:t xml:space="preserve"> </w:t>
      </w:r>
      <w:proofErr w:type="spellStart"/>
      <w:r w:rsidRPr="00B20DBD">
        <w:rPr>
          <w:rFonts w:ascii="Times New Roman" w:hAnsi="Times New Roman" w:cs="Times New Roman"/>
          <w:bCs/>
          <w:sz w:val="24"/>
          <w:szCs w:val="24"/>
        </w:rPr>
        <w:t>μSv</w:t>
      </w:r>
      <w:proofErr w:type="spellEnd"/>
      <w:r w:rsidRPr="00B20DBD">
        <w:rPr>
          <w:rFonts w:ascii="Times New Roman" w:hAnsi="Times New Roman" w:cs="Times New Roman"/>
          <w:bCs/>
          <w:sz w:val="24"/>
          <w:szCs w:val="24"/>
        </w:rPr>
        <w:t>/h</w:t>
      </w:r>
      <w:r>
        <w:rPr>
          <w:rFonts w:ascii="Times New Roman" w:hAnsi="Times New Roman" w:cs="Times New Roman"/>
          <w:bCs/>
          <w:sz w:val="24"/>
          <w:szCs w:val="24"/>
        </w:rPr>
        <w:t xml:space="preserve"> for different distances away from radioactive source when the beam was OFF</w:t>
      </w:r>
      <w:r w:rsidR="005521B0">
        <w:rPr>
          <w:rFonts w:ascii="Times New Roman" w:hAnsi="Times New Roman" w:cs="Times New Roman"/>
          <w:bCs/>
          <w:sz w:val="24"/>
          <w:szCs w:val="24"/>
        </w:rPr>
        <w:t xml:space="preserve"> and therefore background radiation</w:t>
      </w:r>
      <w:r>
        <w:rPr>
          <w:rFonts w:ascii="Times New Roman" w:eastAsia="Arial" w:hAnsi="Times New Roman" w:cs="Times New Roman"/>
          <w:sz w:val="24"/>
          <w:szCs w:val="24"/>
        </w:rPr>
        <w:t xml:space="preserve">. </w:t>
      </w:r>
      <w:r w:rsidR="003551AD">
        <w:rPr>
          <w:rFonts w:ascii="Times New Roman" w:eastAsia="Arial" w:hAnsi="Times New Roman" w:cs="Times New Roman"/>
          <w:sz w:val="24"/>
          <w:szCs w:val="24"/>
        </w:rPr>
        <w:t>A</w:t>
      </w:r>
      <w:r w:rsidRPr="00B20DBD">
        <w:rPr>
          <w:rFonts w:ascii="Times New Roman" w:eastAsia="Arial" w:hAnsi="Times New Roman" w:cs="Times New Roman"/>
          <w:sz w:val="24"/>
          <w:szCs w:val="24"/>
        </w:rPr>
        <w:t xml:space="preserve"> mean </w:t>
      </w:r>
      <w:r w:rsidR="005521B0">
        <w:rPr>
          <w:rFonts w:ascii="Times New Roman" w:eastAsia="Arial" w:hAnsi="Times New Roman" w:cs="Times New Roman"/>
          <w:sz w:val="24"/>
          <w:szCs w:val="24"/>
        </w:rPr>
        <w:t xml:space="preserve">dose rate </w:t>
      </w:r>
      <w:r w:rsidRPr="00B20DBD">
        <w:rPr>
          <w:rFonts w:ascii="Times New Roman" w:eastAsia="Arial" w:hAnsi="Times New Roman" w:cs="Times New Roman"/>
          <w:sz w:val="24"/>
          <w:szCs w:val="24"/>
        </w:rPr>
        <w:t>value of 0.997</w:t>
      </w:r>
      <w:r w:rsidRPr="00B20DBD">
        <w:rPr>
          <w:rFonts w:ascii="Times New Roman" w:hAnsi="Times New Roman" w:cs="Times New Roman"/>
          <w:sz w:val="24"/>
          <w:szCs w:val="24"/>
        </w:rPr>
        <w:t>±0.005</w:t>
      </w:r>
      <w:r w:rsidRPr="00B20DBD">
        <w:rPr>
          <w:rFonts w:ascii="Times New Roman" w:eastAsia="Arial" w:hAnsi="Times New Roman" w:cs="Times New Roman"/>
          <w:sz w:val="24"/>
          <w:szCs w:val="24"/>
        </w:rPr>
        <w:t xml:space="preserve"> µ</w:t>
      </w:r>
      <w:proofErr w:type="spellStart"/>
      <w:r w:rsidRPr="00B20DBD">
        <w:rPr>
          <w:rFonts w:ascii="Times New Roman" w:eastAsia="Arial" w:hAnsi="Times New Roman" w:cs="Times New Roman"/>
          <w:sz w:val="24"/>
          <w:szCs w:val="24"/>
        </w:rPr>
        <w:t>Sv</w:t>
      </w:r>
      <w:proofErr w:type="spellEnd"/>
      <w:r w:rsidRPr="00B20DBD">
        <w:rPr>
          <w:rFonts w:ascii="Times New Roman" w:eastAsia="Arial" w:hAnsi="Times New Roman" w:cs="Times New Roman"/>
          <w:sz w:val="24"/>
          <w:szCs w:val="24"/>
        </w:rPr>
        <w:t xml:space="preserve">/h at a distance of 5 m </w:t>
      </w:r>
      <w:r w:rsidR="003551AD">
        <w:rPr>
          <w:rFonts w:ascii="Times New Roman" w:eastAsia="Arial" w:hAnsi="Times New Roman" w:cs="Times New Roman"/>
          <w:sz w:val="24"/>
          <w:szCs w:val="24"/>
        </w:rPr>
        <w:t>was displayed as</w:t>
      </w:r>
      <w:r w:rsidRPr="00B20DBD">
        <w:rPr>
          <w:rFonts w:ascii="Times New Roman" w:eastAsia="Arial" w:hAnsi="Times New Roman" w:cs="Times New Roman"/>
          <w:sz w:val="24"/>
          <w:szCs w:val="24"/>
        </w:rPr>
        <w:t xml:space="preserve"> the highest absorbed dose rate whilst the mean value of 0.299</w:t>
      </w:r>
      <w:r>
        <w:rPr>
          <w:rFonts w:ascii="Times New Roman" w:hAnsi="Times New Roman" w:cs="Times New Roman"/>
          <w:sz w:val="24"/>
          <w:szCs w:val="24"/>
        </w:rPr>
        <w:t>±0.001</w:t>
      </w:r>
      <w:r w:rsidRPr="00B20DBD">
        <w:rPr>
          <w:rFonts w:ascii="Times New Roman" w:eastAsia="Arial" w:hAnsi="Times New Roman" w:cs="Times New Roman"/>
          <w:sz w:val="24"/>
          <w:szCs w:val="24"/>
        </w:rPr>
        <w:t xml:space="preserve"> µ</w:t>
      </w:r>
      <w:proofErr w:type="spellStart"/>
      <w:r w:rsidRPr="00B20DBD">
        <w:rPr>
          <w:rFonts w:ascii="Times New Roman" w:eastAsia="Arial" w:hAnsi="Times New Roman" w:cs="Times New Roman"/>
          <w:sz w:val="24"/>
          <w:szCs w:val="24"/>
        </w:rPr>
        <w:t>Sv</w:t>
      </w:r>
      <w:proofErr w:type="spellEnd"/>
      <w:r w:rsidRPr="00B20DBD">
        <w:rPr>
          <w:rFonts w:ascii="Times New Roman" w:eastAsia="Arial" w:hAnsi="Times New Roman" w:cs="Times New Roman"/>
          <w:sz w:val="24"/>
          <w:szCs w:val="24"/>
        </w:rPr>
        <w:t>/h at a distance of 40 m showed the lowest absorbed dose</w:t>
      </w:r>
      <w:r>
        <w:rPr>
          <w:rFonts w:ascii="Times New Roman" w:eastAsia="Arial" w:hAnsi="Times New Roman" w:cs="Times New Roman"/>
          <w:sz w:val="24"/>
          <w:szCs w:val="24"/>
        </w:rPr>
        <w:t xml:space="preserve"> rate</w:t>
      </w:r>
      <w:r w:rsidR="00AA2DEB">
        <w:rPr>
          <w:rFonts w:ascii="Times New Roman" w:eastAsia="Arial" w:hAnsi="Times New Roman" w:cs="Times New Roman"/>
          <w:sz w:val="24"/>
          <w:szCs w:val="24"/>
        </w:rPr>
        <w:t xml:space="preserve"> range</w:t>
      </w:r>
      <w:r>
        <w:rPr>
          <w:rFonts w:ascii="Times New Roman" w:eastAsia="Arial" w:hAnsi="Times New Roman" w:cs="Times New Roman"/>
          <w:sz w:val="24"/>
          <w:szCs w:val="24"/>
        </w:rPr>
        <w:t xml:space="preserve"> as presented in figure </w:t>
      </w:r>
      <w:r w:rsidR="00AA2DEB">
        <w:rPr>
          <w:rFonts w:ascii="Times New Roman" w:eastAsia="Arial" w:hAnsi="Times New Roman" w:cs="Times New Roman"/>
          <w:sz w:val="24"/>
          <w:szCs w:val="24"/>
        </w:rPr>
        <w:t>2</w:t>
      </w:r>
      <w:r w:rsidRPr="00B20DBD">
        <w:rPr>
          <w:rFonts w:ascii="Times New Roman" w:eastAsia="Arial" w:hAnsi="Times New Roman" w:cs="Times New Roman"/>
          <w:sz w:val="24"/>
          <w:szCs w:val="24"/>
        </w:rPr>
        <w:t xml:space="preserve">. </w:t>
      </w:r>
      <w:r w:rsidRPr="00123247">
        <w:rPr>
          <w:rFonts w:ascii="Times New Roman" w:eastAsia="Arial" w:hAnsi="Times New Roman" w:cs="Times New Roman"/>
          <w:sz w:val="24"/>
          <w:szCs w:val="24"/>
        </w:rPr>
        <w:t xml:space="preserve">The dose rate at different distances from the radioactive source </w:t>
      </w:r>
      <w:r w:rsidR="004F0891" w:rsidRPr="00123247">
        <w:rPr>
          <w:rFonts w:ascii="Times New Roman" w:eastAsia="Arial" w:hAnsi="Times New Roman" w:cs="Times New Roman"/>
          <w:sz w:val="24"/>
          <w:szCs w:val="24"/>
        </w:rPr>
        <w:t>displayed</w:t>
      </w:r>
      <w:r w:rsidRPr="00123247">
        <w:rPr>
          <w:rFonts w:ascii="Times New Roman" w:eastAsia="Arial" w:hAnsi="Times New Roman" w:cs="Times New Roman"/>
          <w:sz w:val="24"/>
          <w:szCs w:val="24"/>
        </w:rPr>
        <w:t xml:space="preserve"> </w:t>
      </w:r>
      <w:r w:rsidR="005C6824">
        <w:rPr>
          <w:rFonts w:ascii="Times New Roman" w:eastAsia="Arial" w:hAnsi="Times New Roman" w:cs="Times New Roman"/>
          <w:sz w:val="24"/>
          <w:szCs w:val="24"/>
        </w:rPr>
        <w:t xml:space="preserve">a </w:t>
      </w:r>
      <w:r w:rsidRPr="00123247">
        <w:rPr>
          <w:rFonts w:ascii="Times New Roman" w:eastAsia="Arial" w:hAnsi="Times New Roman" w:cs="Times New Roman"/>
          <w:sz w:val="24"/>
          <w:szCs w:val="24"/>
        </w:rPr>
        <w:t xml:space="preserve">relatively low level of background ionizing radiation </w:t>
      </w:r>
      <w:r w:rsidR="005C6824">
        <w:rPr>
          <w:rFonts w:ascii="Times New Roman" w:hAnsi="Times New Roman" w:cs="Times New Roman"/>
          <w:sz w:val="24"/>
          <w:szCs w:val="24"/>
        </w:rPr>
        <w:t>except for</w:t>
      </w:r>
      <w:r w:rsidRPr="00123247">
        <w:rPr>
          <w:rFonts w:ascii="Times New Roman" w:hAnsi="Times New Roman" w:cs="Times New Roman"/>
          <w:sz w:val="24"/>
          <w:szCs w:val="24"/>
        </w:rPr>
        <w:t xml:space="preserve"> some distances (5 m, 10 m, and 15 m) which depicted high background radiation </w:t>
      </w:r>
      <w:r w:rsidR="00123247" w:rsidRPr="00123247">
        <w:rPr>
          <w:rFonts w:ascii="Times New Roman" w:hAnsi="Times New Roman" w:cs="Times New Roman"/>
          <w:sz w:val="24"/>
          <w:szCs w:val="24"/>
        </w:rPr>
        <w:t xml:space="preserve">levels </w:t>
      </w:r>
      <w:r w:rsidRPr="00123247">
        <w:rPr>
          <w:rFonts w:ascii="Times New Roman" w:hAnsi="Times New Roman" w:cs="Times New Roman"/>
          <w:sz w:val="24"/>
          <w:szCs w:val="24"/>
        </w:rPr>
        <w:t xml:space="preserve">above the ICRP maximum permissible limit. </w:t>
      </w:r>
      <w:r w:rsidR="004F0891" w:rsidRPr="00123247">
        <w:rPr>
          <w:rFonts w:ascii="Times New Roman" w:hAnsi="Times New Roman" w:cs="Times New Roman"/>
          <w:sz w:val="24"/>
          <w:szCs w:val="24"/>
        </w:rPr>
        <w:t>T</w:t>
      </w:r>
      <w:r w:rsidRPr="00123247">
        <w:rPr>
          <w:rFonts w:ascii="Times New Roman" w:hAnsi="Times New Roman" w:cs="Times New Roman"/>
          <w:sz w:val="24"/>
          <w:szCs w:val="24"/>
        </w:rPr>
        <w:t xml:space="preserve">he </w:t>
      </w:r>
      <w:r w:rsidR="00123247" w:rsidRPr="00123247">
        <w:rPr>
          <w:rFonts w:ascii="Times New Roman" w:hAnsi="Times New Roman" w:cs="Times New Roman"/>
          <w:sz w:val="24"/>
          <w:szCs w:val="24"/>
        </w:rPr>
        <w:t xml:space="preserve">other </w:t>
      </w:r>
      <w:r w:rsidRPr="00123247">
        <w:rPr>
          <w:rFonts w:ascii="Times New Roman" w:hAnsi="Times New Roman" w:cs="Times New Roman"/>
          <w:sz w:val="24"/>
          <w:szCs w:val="24"/>
        </w:rPr>
        <w:t>recorded values were within the ICRP maximum permissible limit of 0.57</w:t>
      </w:r>
      <w:r w:rsidRPr="00123247">
        <w:rPr>
          <w:rFonts w:ascii="Times New Roman" w:eastAsia="Arial" w:hAnsi="Times New Roman" w:cs="Times New Roman"/>
          <w:sz w:val="24"/>
          <w:szCs w:val="24"/>
        </w:rPr>
        <w:t xml:space="preserve"> </w:t>
      </w:r>
      <w:proofErr w:type="spellStart"/>
      <w:r w:rsidRPr="00123247">
        <w:rPr>
          <w:rFonts w:ascii="Times New Roman" w:hAnsi="Times New Roman" w:cs="Times New Roman"/>
          <w:sz w:val="24"/>
          <w:szCs w:val="24"/>
        </w:rPr>
        <w:t>μSv</w:t>
      </w:r>
      <w:proofErr w:type="spellEnd"/>
      <w:r w:rsidRPr="00123247">
        <w:rPr>
          <w:rFonts w:ascii="Times New Roman" w:hAnsi="Times New Roman" w:cs="Times New Roman"/>
          <w:sz w:val="24"/>
          <w:szCs w:val="24"/>
        </w:rPr>
        <w:t xml:space="preserve">/h </w:t>
      </w:r>
      <w:r w:rsidR="004F0891" w:rsidRPr="00123247">
        <w:rPr>
          <w:rFonts w:ascii="Times New Roman" w:hAnsi="Times New Roman" w:cs="Times New Roman"/>
          <w:sz w:val="24"/>
          <w:szCs w:val="24"/>
        </w:rPr>
        <w:fldChar w:fldCharType="begin" w:fldLock="1"/>
      </w:r>
      <w:r w:rsidR="002A571B" w:rsidRPr="00123247">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4F0891" w:rsidRPr="00123247">
        <w:rPr>
          <w:rFonts w:ascii="Times New Roman" w:hAnsi="Times New Roman" w:cs="Times New Roman"/>
          <w:sz w:val="24"/>
          <w:szCs w:val="24"/>
        </w:rPr>
        <w:fldChar w:fldCharType="separate"/>
      </w:r>
      <w:r w:rsidR="004F0891" w:rsidRPr="00123247">
        <w:rPr>
          <w:rFonts w:ascii="Times New Roman" w:hAnsi="Times New Roman" w:cs="Times New Roman"/>
          <w:noProof/>
          <w:sz w:val="24"/>
          <w:szCs w:val="24"/>
        </w:rPr>
        <w:t>(Streffer 2007)</w:t>
      </w:r>
      <w:r w:rsidR="004F0891" w:rsidRPr="00123247">
        <w:rPr>
          <w:rFonts w:ascii="Times New Roman" w:hAnsi="Times New Roman" w:cs="Times New Roman"/>
          <w:sz w:val="24"/>
          <w:szCs w:val="24"/>
        </w:rPr>
        <w:fldChar w:fldCharType="end"/>
      </w:r>
      <w:r w:rsidRPr="00123247">
        <w:rPr>
          <w:rFonts w:ascii="Times New Roman" w:hAnsi="Times New Roman" w:cs="Times New Roman"/>
          <w:sz w:val="24"/>
          <w:szCs w:val="24"/>
        </w:rPr>
        <w:t>.</w:t>
      </w:r>
      <w:r w:rsidRPr="00BD0BEA">
        <w:rPr>
          <w:rFonts w:ascii="Times New Roman" w:hAnsi="Times New Roman" w:cs="Times New Roman"/>
          <w:sz w:val="24"/>
          <w:szCs w:val="24"/>
        </w:rPr>
        <w:t xml:space="preserve"> The high dose rates recorded at the</w:t>
      </w:r>
      <w:r>
        <w:rPr>
          <w:rFonts w:ascii="Times New Roman" w:hAnsi="Times New Roman" w:cs="Times New Roman"/>
          <w:sz w:val="24"/>
          <w:szCs w:val="24"/>
        </w:rPr>
        <w:t xml:space="preserve">se distances were attributed to </w:t>
      </w:r>
      <w:r w:rsidRPr="00BD0BEA">
        <w:rPr>
          <w:rFonts w:ascii="Times New Roman" w:hAnsi="Times New Roman" w:cs="Times New Roman"/>
          <w:sz w:val="24"/>
          <w:szCs w:val="24"/>
        </w:rPr>
        <w:t xml:space="preserve">scattered radiation from the radioactive source when the beam was </w:t>
      </w:r>
      <w:r w:rsidR="004F0891">
        <w:rPr>
          <w:rFonts w:ascii="Times New Roman" w:hAnsi="Times New Roman" w:cs="Times New Roman"/>
          <w:sz w:val="24"/>
          <w:szCs w:val="24"/>
        </w:rPr>
        <w:t>ON for treatment</w:t>
      </w:r>
      <w:r w:rsidRPr="00BD0BEA">
        <w:rPr>
          <w:rFonts w:ascii="Times New Roman" w:hAnsi="Times New Roman" w:cs="Times New Roman"/>
          <w:sz w:val="24"/>
          <w:szCs w:val="24"/>
        </w:rPr>
        <w:t xml:space="preserve">. From figure </w:t>
      </w:r>
      <w:r w:rsidR="004F0891">
        <w:rPr>
          <w:rFonts w:ascii="Times New Roman" w:hAnsi="Times New Roman" w:cs="Times New Roman"/>
          <w:sz w:val="24"/>
          <w:szCs w:val="24"/>
        </w:rPr>
        <w:t>2</w:t>
      </w:r>
      <w:r w:rsidRPr="00BD0BEA">
        <w:rPr>
          <w:rFonts w:ascii="Times New Roman" w:hAnsi="Times New Roman" w:cs="Times New Roman"/>
          <w:sz w:val="24"/>
          <w:szCs w:val="24"/>
        </w:rPr>
        <w:t xml:space="preserve">, it was observed that the intensity of the radiation decreased as the distance of measurement increased. This indicates that the inverse square law relating to radiation measurement </w:t>
      </w:r>
      <w:r w:rsidR="005C6824">
        <w:rPr>
          <w:rFonts w:ascii="Times New Roman" w:hAnsi="Times New Roman" w:cs="Times New Roman"/>
          <w:sz w:val="24"/>
          <w:szCs w:val="24"/>
        </w:rPr>
        <w:t>concerning</w:t>
      </w:r>
      <w:r w:rsidRPr="00BD0BEA">
        <w:rPr>
          <w:rFonts w:ascii="Times New Roman" w:hAnsi="Times New Roman" w:cs="Times New Roman"/>
          <w:sz w:val="24"/>
          <w:szCs w:val="24"/>
        </w:rPr>
        <w:t xml:space="preserve"> distance was confirmed. At a distance of 15 m from the radioactive source, a higher absorbed dose was observed more than at 10 m from the source</w:t>
      </w:r>
      <w:r w:rsidR="00B64796">
        <w:rPr>
          <w:rFonts w:ascii="Times New Roman" w:hAnsi="Times New Roman" w:cs="Times New Roman"/>
          <w:sz w:val="24"/>
          <w:szCs w:val="24"/>
        </w:rPr>
        <w:t xml:space="preserve">. </w:t>
      </w:r>
      <w:r w:rsidRPr="005D3753">
        <w:rPr>
          <w:rFonts w:ascii="Times New Roman" w:hAnsi="Times New Roman" w:cs="Times New Roman"/>
          <w:sz w:val="24"/>
          <w:szCs w:val="24"/>
        </w:rPr>
        <w:t>The annual effective dose equivalents ranged from 1.100 mSv/</w:t>
      </w:r>
      <w:proofErr w:type="spellStart"/>
      <w:r w:rsidRPr="005D3753">
        <w:rPr>
          <w:rFonts w:ascii="Times New Roman" w:hAnsi="Times New Roman" w:cs="Times New Roman"/>
          <w:sz w:val="24"/>
          <w:szCs w:val="24"/>
        </w:rPr>
        <w:t>yr</w:t>
      </w:r>
      <w:proofErr w:type="spellEnd"/>
      <w:r w:rsidRPr="005D3753">
        <w:rPr>
          <w:rFonts w:ascii="Times New Roman" w:hAnsi="Times New Roman" w:cs="Times New Roman"/>
          <w:sz w:val="24"/>
          <w:szCs w:val="24"/>
        </w:rPr>
        <w:t xml:space="preserve"> and 3.595 mSv/yr</w:t>
      </w:r>
      <w:r w:rsidR="00B64796">
        <w:rPr>
          <w:rFonts w:ascii="Times New Roman" w:hAnsi="Times New Roman" w:cs="Times New Roman"/>
          <w:sz w:val="24"/>
          <w:szCs w:val="24"/>
        </w:rPr>
        <w:t>.</w:t>
      </w:r>
      <w:r w:rsidRPr="005D3753">
        <w:rPr>
          <w:rFonts w:ascii="Times New Roman" w:hAnsi="Times New Roman" w:cs="Times New Roman"/>
          <w:sz w:val="24"/>
          <w:szCs w:val="24"/>
        </w:rPr>
        <w:t xml:space="preserve"> </w:t>
      </w:r>
      <w:r w:rsidRPr="00B20DBD">
        <w:rPr>
          <w:rFonts w:ascii="Times New Roman" w:eastAsia="Arial" w:hAnsi="Times New Roman" w:cs="Times New Roman"/>
          <w:sz w:val="24"/>
          <w:szCs w:val="24"/>
        </w:rPr>
        <w:t xml:space="preserve">The maximum AEDE </w:t>
      </w:r>
      <w:r>
        <w:rPr>
          <w:rFonts w:ascii="Times New Roman" w:eastAsia="Arial" w:hAnsi="Times New Roman" w:cs="Times New Roman"/>
          <w:sz w:val="24"/>
          <w:szCs w:val="24"/>
        </w:rPr>
        <w:t xml:space="preserve">estimated </w:t>
      </w:r>
      <w:r w:rsidRPr="00B20DBD">
        <w:rPr>
          <w:rFonts w:ascii="Times New Roman" w:eastAsia="Arial" w:hAnsi="Times New Roman" w:cs="Times New Roman"/>
          <w:sz w:val="24"/>
          <w:szCs w:val="24"/>
        </w:rPr>
        <w:t xml:space="preserve">was found to be </w:t>
      </w:r>
      <w:r w:rsidRPr="005D3753">
        <w:rPr>
          <w:rFonts w:ascii="Times New Roman" w:hAnsi="Times New Roman" w:cs="Times New Roman"/>
          <w:sz w:val="24"/>
          <w:szCs w:val="24"/>
        </w:rPr>
        <w:t>3.595 mSv/</w:t>
      </w:r>
      <w:proofErr w:type="spellStart"/>
      <w:r w:rsidRPr="005D3753">
        <w:rPr>
          <w:rFonts w:ascii="Times New Roman" w:hAnsi="Times New Roman" w:cs="Times New Roman"/>
          <w:sz w:val="24"/>
          <w:szCs w:val="24"/>
        </w:rPr>
        <w:t>yr</w:t>
      </w:r>
      <w:proofErr w:type="spellEnd"/>
      <w:r w:rsidRPr="00B20DBD">
        <w:rPr>
          <w:rFonts w:ascii="Times New Roman" w:eastAsia="Arial" w:hAnsi="Times New Roman" w:cs="Times New Roman"/>
          <w:sz w:val="24"/>
          <w:szCs w:val="24"/>
        </w:rPr>
        <w:t xml:space="preserve"> at a distance of 5 m</w:t>
      </w:r>
      <w:r>
        <w:rPr>
          <w:rFonts w:ascii="Times New Roman" w:eastAsia="Arial" w:hAnsi="Times New Roman" w:cs="Times New Roman"/>
          <w:sz w:val="24"/>
          <w:szCs w:val="24"/>
        </w:rPr>
        <w:t xml:space="preserve"> and </w:t>
      </w:r>
      <w:r w:rsidR="005C6824">
        <w:rPr>
          <w:rFonts w:ascii="Times New Roman" w:eastAsia="Arial" w:hAnsi="Times New Roman" w:cs="Times New Roman"/>
          <w:sz w:val="24"/>
          <w:szCs w:val="24"/>
        </w:rPr>
        <w:t xml:space="preserve">a </w:t>
      </w:r>
      <w:r w:rsidRPr="00B20DBD">
        <w:rPr>
          <w:rFonts w:ascii="Times New Roman" w:eastAsia="Arial" w:hAnsi="Times New Roman" w:cs="Times New Roman"/>
          <w:sz w:val="24"/>
          <w:szCs w:val="24"/>
        </w:rPr>
        <w:t xml:space="preserve">minimum AEDE </w:t>
      </w:r>
      <w:r>
        <w:rPr>
          <w:rFonts w:ascii="Times New Roman" w:eastAsia="Arial" w:hAnsi="Times New Roman" w:cs="Times New Roman"/>
          <w:sz w:val="24"/>
          <w:szCs w:val="24"/>
        </w:rPr>
        <w:t xml:space="preserve">of </w:t>
      </w:r>
      <w:r w:rsidRPr="005D3753">
        <w:rPr>
          <w:rFonts w:ascii="Times New Roman" w:hAnsi="Times New Roman" w:cs="Times New Roman"/>
          <w:sz w:val="24"/>
          <w:szCs w:val="24"/>
        </w:rPr>
        <w:t>1.100 mSv/</w:t>
      </w:r>
      <w:proofErr w:type="spellStart"/>
      <w:r w:rsidRPr="005D3753">
        <w:rPr>
          <w:rFonts w:ascii="Times New Roman" w:hAnsi="Times New Roman" w:cs="Times New Roman"/>
          <w:sz w:val="24"/>
          <w:szCs w:val="24"/>
        </w:rPr>
        <w:t>yr</w:t>
      </w:r>
      <w:proofErr w:type="spellEnd"/>
      <w:r w:rsidRPr="005D3753">
        <w:rPr>
          <w:rFonts w:ascii="Times New Roman" w:hAnsi="Times New Roman" w:cs="Times New Roman"/>
          <w:sz w:val="24"/>
          <w:szCs w:val="24"/>
        </w:rPr>
        <w:t xml:space="preserve"> </w:t>
      </w:r>
      <w:r w:rsidRPr="00B20DBD">
        <w:rPr>
          <w:rFonts w:ascii="Times New Roman" w:eastAsia="Arial" w:hAnsi="Times New Roman" w:cs="Times New Roman"/>
          <w:sz w:val="24"/>
          <w:szCs w:val="24"/>
        </w:rPr>
        <w:t xml:space="preserve">at a distance of 40 m. </w:t>
      </w:r>
      <w:r>
        <w:rPr>
          <w:rFonts w:ascii="Times New Roman" w:hAnsi="Times New Roman" w:cs="Times New Roman"/>
          <w:sz w:val="24"/>
          <w:szCs w:val="24"/>
        </w:rPr>
        <w:t>T</w:t>
      </w:r>
      <w:r w:rsidRPr="00BD0BEA">
        <w:rPr>
          <w:rFonts w:ascii="Times New Roman" w:hAnsi="Times New Roman" w:cs="Times New Roman"/>
          <w:sz w:val="24"/>
          <w:szCs w:val="24"/>
        </w:rPr>
        <w:t>he annual effective dose equivalent values were above the safe limit of 1 mSv/</w:t>
      </w:r>
      <w:proofErr w:type="spellStart"/>
      <w:r w:rsidRPr="00BD0BEA">
        <w:rPr>
          <w:rFonts w:ascii="Times New Roman" w:hAnsi="Times New Roman" w:cs="Times New Roman"/>
          <w:sz w:val="24"/>
          <w:szCs w:val="24"/>
        </w:rPr>
        <w:t>yr</w:t>
      </w:r>
      <w:proofErr w:type="spellEnd"/>
      <w:r>
        <w:rPr>
          <w:rFonts w:ascii="Times New Roman" w:hAnsi="Times New Roman" w:cs="Times New Roman"/>
          <w:sz w:val="24"/>
          <w:szCs w:val="24"/>
        </w:rPr>
        <w:t xml:space="preserve"> for the public</w:t>
      </w:r>
      <w:r w:rsidR="002A571B">
        <w:rPr>
          <w:rFonts w:ascii="Times New Roman" w:hAnsi="Times New Roman" w:cs="Times New Roman"/>
          <w:sz w:val="24"/>
          <w:szCs w:val="24"/>
        </w:rPr>
        <w:t xml:space="preserve"> exposure</w:t>
      </w:r>
      <w:r>
        <w:rPr>
          <w:rFonts w:ascii="Times New Roman" w:hAnsi="Times New Roman" w:cs="Times New Roman"/>
          <w:sz w:val="24"/>
          <w:szCs w:val="24"/>
        </w:rPr>
        <w:t xml:space="preserve"> </w:t>
      </w:r>
      <w:r w:rsidRPr="00BD0BEA">
        <w:rPr>
          <w:rFonts w:ascii="Times New Roman" w:hAnsi="Times New Roman" w:cs="Times New Roman"/>
          <w:sz w:val="24"/>
          <w:szCs w:val="24"/>
        </w:rPr>
        <w:t>but below</w:t>
      </w:r>
      <w:r w:rsidR="002A571B">
        <w:rPr>
          <w:rFonts w:ascii="Times New Roman" w:hAnsi="Times New Roman" w:cs="Times New Roman"/>
          <w:sz w:val="24"/>
          <w:szCs w:val="24"/>
        </w:rPr>
        <w:t xml:space="preserve"> for occupational exposure</w:t>
      </w:r>
      <w:r w:rsidRPr="00BD0BEA">
        <w:rPr>
          <w:rFonts w:ascii="Times New Roman" w:hAnsi="Times New Roman" w:cs="Times New Roman"/>
          <w:sz w:val="24"/>
          <w:szCs w:val="24"/>
        </w:rPr>
        <w:t xml:space="preserve"> </w:t>
      </w:r>
      <w:r w:rsidR="002A571B">
        <w:rPr>
          <w:rFonts w:ascii="Times New Roman" w:hAnsi="Times New Roman" w:cs="Times New Roman"/>
          <w:sz w:val="24"/>
          <w:szCs w:val="24"/>
        </w:rPr>
        <w:t>with the permissible</w:t>
      </w:r>
      <w:r w:rsidRPr="00BD0BEA">
        <w:rPr>
          <w:rFonts w:ascii="Times New Roman" w:hAnsi="Times New Roman" w:cs="Times New Roman"/>
          <w:sz w:val="24"/>
          <w:szCs w:val="24"/>
        </w:rPr>
        <w:t xml:space="preserve"> limi</w:t>
      </w:r>
      <w:r>
        <w:rPr>
          <w:rFonts w:ascii="Times New Roman" w:hAnsi="Times New Roman" w:cs="Times New Roman"/>
          <w:sz w:val="24"/>
          <w:szCs w:val="24"/>
        </w:rPr>
        <w:t>t of 20 mSv/</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w:t>
      </w:r>
      <w:r w:rsidR="002A571B">
        <w:rPr>
          <w:rFonts w:ascii="Times New Roman" w:hAnsi="Times New Roman" w:cs="Times New Roman"/>
          <w:sz w:val="24"/>
          <w:szCs w:val="24"/>
        </w:rPr>
        <w:fldChar w:fldCharType="begin" w:fldLock="1"/>
      </w:r>
      <w:r w:rsidR="002A571B">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2A571B">
        <w:rPr>
          <w:rFonts w:ascii="Times New Roman" w:hAnsi="Times New Roman" w:cs="Times New Roman"/>
          <w:sz w:val="24"/>
          <w:szCs w:val="24"/>
        </w:rPr>
        <w:fldChar w:fldCharType="separate"/>
      </w:r>
      <w:r w:rsidR="002A571B" w:rsidRPr="002A571B">
        <w:rPr>
          <w:rFonts w:ascii="Times New Roman" w:hAnsi="Times New Roman" w:cs="Times New Roman"/>
          <w:noProof/>
          <w:sz w:val="24"/>
          <w:szCs w:val="24"/>
        </w:rPr>
        <w:t>(Streffer 2007)</w:t>
      </w:r>
      <w:r w:rsidR="002A571B">
        <w:rPr>
          <w:rFonts w:ascii="Times New Roman" w:hAnsi="Times New Roman" w:cs="Times New Roman"/>
          <w:sz w:val="24"/>
          <w:szCs w:val="24"/>
        </w:rPr>
        <w:fldChar w:fldCharType="end"/>
      </w:r>
      <w:r w:rsidRPr="00BD0BEA">
        <w:rPr>
          <w:rFonts w:ascii="Times New Roman" w:hAnsi="Times New Roman" w:cs="Times New Roman"/>
          <w:sz w:val="24"/>
          <w:szCs w:val="24"/>
        </w:rPr>
        <w:t>.</w:t>
      </w:r>
      <w:r>
        <w:rPr>
          <w:rFonts w:ascii="Times New Roman" w:eastAsia="Arial" w:hAnsi="Times New Roman" w:cs="Times New Roman"/>
          <w:sz w:val="24"/>
          <w:szCs w:val="24"/>
        </w:rPr>
        <w:t xml:space="preserve"> </w:t>
      </w:r>
      <w:r w:rsidRPr="005D3753">
        <w:rPr>
          <w:rFonts w:ascii="Times New Roman" w:hAnsi="Times New Roman" w:cs="Times New Roman"/>
          <w:sz w:val="24"/>
          <w:szCs w:val="24"/>
        </w:rPr>
        <w:t>The excess lifetime cancer risk values were calculated using equation 2.</w:t>
      </w:r>
      <w:r w:rsidR="005521B0">
        <w:rPr>
          <w:rFonts w:ascii="Times New Roman" w:hAnsi="Times New Roman" w:cs="Times New Roman"/>
          <w:sz w:val="24"/>
          <w:szCs w:val="24"/>
        </w:rPr>
        <w:t xml:space="preserve"> </w:t>
      </w:r>
      <w:r w:rsidRPr="005D3753">
        <w:rPr>
          <w:rFonts w:ascii="Times New Roman" w:hAnsi="Times New Roman" w:cs="Times New Roman"/>
          <w:sz w:val="24"/>
          <w:szCs w:val="24"/>
        </w:rPr>
        <w:t xml:space="preserve">The maximum excess lifetime cancer risk </w:t>
      </w:r>
      <w:r w:rsidR="002A571B">
        <w:rPr>
          <w:rFonts w:ascii="Times New Roman" w:hAnsi="Times New Roman" w:cs="Times New Roman"/>
          <w:sz w:val="24"/>
          <w:szCs w:val="24"/>
        </w:rPr>
        <w:t>for occupational and public exposure</w:t>
      </w:r>
      <w:r>
        <w:rPr>
          <w:rFonts w:ascii="Times New Roman" w:hAnsi="Times New Roman" w:cs="Times New Roman"/>
          <w:sz w:val="24"/>
          <w:szCs w:val="24"/>
        </w:rPr>
        <w:t xml:space="preserve"> was found </w:t>
      </w:r>
      <w:r w:rsidRPr="005D3753">
        <w:rPr>
          <w:rFonts w:ascii="Times New Roman" w:hAnsi="Times New Roman" w:cs="Times New Roman"/>
          <w:sz w:val="24"/>
          <w:szCs w:val="24"/>
        </w:rPr>
        <w:t>to be</w:t>
      </w:r>
      <w:r>
        <w:rPr>
          <w:rFonts w:ascii="Times New Roman" w:eastAsia="Arial" w:hAnsi="Times New Roman" w:cs="Times New Roman"/>
          <w:sz w:val="24"/>
          <w:szCs w:val="24"/>
        </w:rPr>
        <w:t xml:space="preserve"> </w:t>
      </w:r>
      <w:r w:rsidRPr="00B20DBD">
        <w:rPr>
          <w:rFonts w:ascii="Times New Roman" w:eastAsia="Arial" w:hAnsi="Times New Roman" w:cs="Times New Roman"/>
          <w:sz w:val="24"/>
          <w:szCs w:val="24"/>
        </w:rPr>
        <w:t>12.58x10</w:t>
      </w:r>
      <w:r w:rsidRPr="00B20DBD">
        <w:rPr>
          <w:rFonts w:ascii="Times New Roman" w:eastAsia="Arial" w:hAnsi="Times New Roman" w:cs="Times New Roman"/>
          <w:sz w:val="24"/>
          <w:szCs w:val="24"/>
          <w:vertAlign w:val="superscript"/>
        </w:rPr>
        <w:t>-3</w:t>
      </w:r>
      <w:r w:rsidRPr="00B20DBD">
        <w:rPr>
          <w:rFonts w:ascii="Times New Roman" w:eastAsia="Arial" w:hAnsi="Times New Roman" w:cs="Times New Roman"/>
          <w:sz w:val="24"/>
          <w:szCs w:val="24"/>
        </w:rPr>
        <w:t xml:space="preserve"> at a distance of 5 m whereas the minimum excess li</w:t>
      </w:r>
      <w:r>
        <w:rPr>
          <w:rFonts w:ascii="Times New Roman" w:eastAsia="Arial" w:hAnsi="Times New Roman" w:cs="Times New Roman"/>
          <w:sz w:val="24"/>
          <w:szCs w:val="24"/>
        </w:rPr>
        <w:t>fetime cancer risk was found</w:t>
      </w:r>
      <w:r w:rsidRPr="00B20DBD">
        <w:rPr>
          <w:rFonts w:ascii="Times New Roman" w:eastAsia="Arial" w:hAnsi="Times New Roman" w:cs="Times New Roman"/>
          <w:sz w:val="24"/>
          <w:szCs w:val="24"/>
        </w:rPr>
        <w:t xml:space="preserve"> at a distance of 40 m</w:t>
      </w:r>
      <w:r>
        <w:rPr>
          <w:rFonts w:ascii="Times New Roman" w:eastAsia="Arial" w:hAnsi="Times New Roman" w:cs="Times New Roman"/>
          <w:sz w:val="24"/>
          <w:szCs w:val="24"/>
        </w:rPr>
        <w:t xml:space="preserve"> with a value of</w:t>
      </w:r>
      <w:r w:rsidRPr="00B20DBD">
        <w:rPr>
          <w:rFonts w:ascii="Times New Roman" w:eastAsia="Arial" w:hAnsi="Times New Roman" w:cs="Times New Roman"/>
          <w:sz w:val="24"/>
          <w:szCs w:val="24"/>
        </w:rPr>
        <w:t xml:space="preserve"> 3.85x10</w:t>
      </w:r>
      <w:r w:rsidRPr="00B20DBD">
        <w:rPr>
          <w:rFonts w:ascii="Times New Roman" w:eastAsia="Arial" w:hAnsi="Times New Roman" w:cs="Times New Roman"/>
          <w:sz w:val="24"/>
          <w:szCs w:val="24"/>
          <w:vertAlign w:val="superscript"/>
        </w:rPr>
        <w:t>-3</w:t>
      </w:r>
      <w:r w:rsidRPr="00B20DB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75FA2">
        <w:rPr>
          <w:rFonts w:ascii="Times New Roman" w:hAnsi="Times New Roman" w:cs="Times New Roman"/>
          <w:sz w:val="24"/>
          <w:szCs w:val="24"/>
        </w:rPr>
        <w:t xml:space="preserve">The excess lifetime cancer risks estimated were above the standard </w:t>
      </w:r>
      <w:r w:rsidR="002A571B">
        <w:rPr>
          <w:rFonts w:ascii="Times New Roman" w:hAnsi="Times New Roman" w:cs="Times New Roman"/>
          <w:sz w:val="24"/>
          <w:szCs w:val="24"/>
        </w:rPr>
        <w:t>permissible</w:t>
      </w:r>
      <w:r w:rsidRPr="00C75FA2">
        <w:rPr>
          <w:rFonts w:ascii="Times New Roman" w:hAnsi="Times New Roman" w:cs="Times New Roman"/>
          <w:sz w:val="24"/>
          <w:szCs w:val="24"/>
        </w:rPr>
        <w:t xml:space="preserve"> limit of 0.29 mSv/</w:t>
      </w:r>
      <w:proofErr w:type="spellStart"/>
      <w:r w:rsidRPr="00C75FA2">
        <w:rPr>
          <w:rFonts w:ascii="Times New Roman" w:hAnsi="Times New Roman" w:cs="Times New Roman"/>
          <w:sz w:val="24"/>
          <w:szCs w:val="24"/>
        </w:rPr>
        <w:t>yr</w:t>
      </w:r>
      <w:proofErr w:type="spellEnd"/>
      <w:r w:rsidR="002A571B">
        <w:rPr>
          <w:rFonts w:ascii="Times New Roman" w:hAnsi="Times New Roman" w:cs="Times New Roman"/>
          <w:sz w:val="24"/>
          <w:szCs w:val="24"/>
        </w:rPr>
        <w:t xml:space="preserve"> </w:t>
      </w:r>
      <w:r w:rsidR="002A571B">
        <w:rPr>
          <w:rFonts w:ascii="Times New Roman" w:hAnsi="Times New Roman" w:cs="Times New Roman"/>
          <w:sz w:val="24"/>
          <w:szCs w:val="24"/>
        </w:rPr>
        <w:fldChar w:fldCharType="begin" w:fldLock="1"/>
      </w:r>
      <w:r w:rsidR="001F0047">
        <w:rPr>
          <w:rFonts w:ascii="Times New Roman" w:hAnsi="Times New Roman" w:cs="Times New Roman"/>
          <w:sz w:val="24"/>
          <w:szCs w:val="24"/>
        </w:rPr>
        <w:instrText>ADDIN CSL_CITATION {"citationItems":[{"id":"ITEM-1","itemData":{"DOI":"10.1016/j.jenvrad.2008.10.012","ISSN":"0265931X","PMID":"19038480","abstract":"The objective of this study is to evaluate and map soil radionuclides' activity concentrations and environmental outdoor gamma dose rates (terrestrial and cosmic) in Kirklareli, Turkey. The excess lifetime cancer risks are also calculated. Outdoor gamma dose rates were determined in 230 sampling stations and soil samples were taken from 177 locations. The coordinates of the readings were determined by the Global Positioning System (GPS). The outdoor gamma dose rates were determined by Eberline smart portable device (ESP-2) and measurements were taken in air for two minutes at 1 m from the ground. The average outdoor gamma dose rate was 118 ± 34 nGy h-1. Annual effective gamma dose of Kirklareli was 144 μSv and the excess lifetime cancer risk of 5.0 × 10-4. Soil samples were analyzed by gamma spectroscopy. The average 226Ra, 238U, 232Th, 137Cs, and 40K activities were 37 ± 18 Bq kg-1, 28 ± 13 Bq kg-1, 40 ± 18 Bq kg-1, 8 ± 5 Bq kg-1 and 667 ± 281 Bq kg-1, respectively. The average soil radionuclides' concentrations of Kirklareli were within the worldwide range although some extreme values had been determined. Annual effective gamma doses and the excess lifetime risks of cancer were higher than the world's average. © 2009 Elsevier Ltd. All rights reserved.","author":[{"dropping-particle":"","family":"Taskin","given":"H.","non-dropping-particle":"","parse-names":false,"suffix":""},{"dropping-particle":"","family":"Karavus","given":"M.","non-dropping-particle":"","parse-names":false,"suffix":""},{"dropping-particle":"","family":"Ay","given":"P.","non-dropping-particle":"","parse-names":false,"suffix":""},{"dropping-particle":"","family":"Topuzoglu","given":"A.","non-dropping-particle":"","parse-names":false,"suffix":""},{"dropping-particle":"","family":"Hidiroglu","given":"S.","non-dropping-particle":"","parse-names":false,"suffix":""},{"dropping-particle":"","family":"Karahan","given":"G.","non-dropping-particle":"","parse-names":false,"suffix":""}],"container-title":"Journal of Environmental Radioactivity","id":"ITEM-1","issue":"1","issued":{"date-parts":[["2009","1"]]},"page":"49-53","publisher":"J Environ Radioact","title":"Radionuclide concentrations in soil and lifetime cancer risk due to gamma radioactivity in Kirklareli, Turkey","type":"article-journal","volume":"100"},"uris":["http://www.mendeley.com/documents/?uuid=553aea68-f619-3bb4-a5c6-5645435f3b9a"]}],"mendeley":{"formattedCitation":"(Taskin et al. 2009)","plainTextFormattedCitation":"(Taskin et al. 2009)","previouslyFormattedCitation":"(Taskin et al. 2009)"},"properties":{"noteIndex":0},"schema":"https://github.com/citation-style-language/schema/raw/master/csl-citation.json"}</w:instrText>
      </w:r>
      <w:r w:rsidR="002A571B">
        <w:rPr>
          <w:rFonts w:ascii="Times New Roman" w:hAnsi="Times New Roman" w:cs="Times New Roman"/>
          <w:sz w:val="24"/>
          <w:szCs w:val="24"/>
        </w:rPr>
        <w:fldChar w:fldCharType="separate"/>
      </w:r>
      <w:r w:rsidR="002A571B" w:rsidRPr="002A571B">
        <w:rPr>
          <w:rFonts w:ascii="Times New Roman" w:hAnsi="Times New Roman" w:cs="Times New Roman"/>
          <w:noProof/>
          <w:sz w:val="24"/>
          <w:szCs w:val="24"/>
        </w:rPr>
        <w:t>(Taskin et al. 2009)</w:t>
      </w:r>
      <w:r w:rsidR="002A571B">
        <w:rPr>
          <w:rFonts w:ascii="Times New Roman" w:hAnsi="Times New Roman" w:cs="Times New Roman"/>
          <w:sz w:val="24"/>
          <w:szCs w:val="24"/>
        </w:rPr>
        <w:fldChar w:fldCharType="end"/>
      </w:r>
      <w:r>
        <w:rPr>
          <w:rFonts w:ascii="Times New Roman" w:hAnsi="Times New Roman" w:cs="Times New Roman"/>
          <w:sz w:val="24"/>
          <w:szCs w:val="24"/>
        </w:rPr>
        <w:t xml:space="preserve">; as shown in figure </w:t>
      </w:r>
      <w:r w:rsidR="008847F6">
        <w:rPr>
          <w:rFonts w:ascii="Times New Roman" w:hAnsi="Times New Roman" w:cs="Times New Roman"/>
          <w:sz w:val="24"/>
          <w:szCs w:val="24"/>
        </w:rPr>
        <w:t>4</w:t>
      </w:r>
      <w:r w:rsidRPr="00C75FA2">
        <w:rPr>
          <w:rFonts w:ascii="Times New Roman" w:hAnsi="Times New Roman" w:cs="Times New Roman"/>
          <w:sz w:val="24"/>
          <w:szCs w:val="24"/>
        </w:rPr>
        <w:t xml:space="preserve">. </w:t>
      </w:r>
    </w:p>
    <w:p w14:paraId="786B70E1" w14:textId="77777777" w:rsidR="008E1BA2" w:rsidRPr="00B20DBD" w:rsidRDefault="008E1BA2" w:rsidP="008E1BA2">
      <w:pPr>
        <w:spacing w:line="360" w:lineRule="auto"/>
        <w:jc w:val="both"/>
        <w:rPr>
          <w:rFonts w:ascii="Times New Roman" w:eastAsia="Arial" w:hAnsi="Times New Roman" w:cs="Times New Roman"/>
          <w:sz w:val="24"/>
          <w:szCs w:val="24"/>
        </w:rPr>
      </w:pPr>
    </w:p>
    <w:p w14:paraId="4CD6550F" w14:textId="77777777" w:rsidR="008E1BA2" w:rsidRPr="00B20DBD" w:rsidRDefault="008E1BA2" w:rsidP="008E1BA2">
      <w:pPr>
        <w:spacing w:line="360" w:lineRule="auto"/>
        <w:ind w:right="660"/>
        <w:jc w:val="both"/>
        <w:rPr>
          <w:rFonts w:ascii="Times New Roman" w:eastAsia="Arial" w:hAnsi="Times New Roman" w:cs="Times New Roman"/>
          <w:sz w:val="24"/>
          <w:szCs w:val="24"/>
        </w:rPr>
      </w:pPr>
    </w:p>
    <w:p w14:paraId="5589FAE3" w14:textId="77777777" w:rsidR="008E1BA2" w:rsidRPr="00B20DBD" w:rsidRDefault="008E1BA2" w:rsidP="008E1BA2">
      <w:pPr>
        <w:spacing w:line="360" w:lineRule="auto"/>
        <w:ind w:right="660"/>
        <w:jc w:val="both"/>
        <w:rPr>
          <w:rFonts w:ascii="Times New Roman" w:eastAsia="Arial" w:hAnsi="Times New Roman" w:cs="Times New Roman"/>
          <w:sz w:val="24"/>
          <w:szCs w:val="24"/>
        </w:rPr>
      </w:pPr>
    </w:p>
    <w:p w14:paraId="3894C712" w14:textId="0A1A181F" w:rsidR="00B76ADA" w:rsidRDefault="008E1BA2" w:rsidP="00B76ADA">
      <w:pPr>
        <w:spacing w:line="360" w:lineRule="auto"/>
        <w:jc w:val="both"/>
        <w:rPr>
          <w:rFonts w:ascii="Times New Roman" w:hAnsi="Times New Roman" w:cs="Times New Roman"/>
          <w:sz w:val="24"/>
          <w:szCs w:val="24"/>
        </w:rPr>
      </w:pPr>
      <w:r w:rsidRPr="00B20DBD">
        <w:rPr>
          <w:rFonts w:ascii="Times New Roman" w:eastAsia="Arial" w:hAnsi="Times New Roman" w:cs="Times New Roman"/>
          <w:noProof/>
          <w:sz w:val="24"/>
          <w:szCs w:val="24"/>
        </w:rPr>
        <w:lastRenderedPageBreak/>
        <w:drawing>
          <wp:inline distT="0" distB="0" distL="0" distR="0" wp14:anchorId="430F7C67" wp14:editId="653C62E5">
            <wp:extent cx="5848350" cy="4295775"/>
            <wp:effectExtent l="0" t="0" r="0" b="0"/>
            <wp:docPr id="2" name="Picture 2" descr="C:\Users\RIC\Downloads\Desktop\thesis images\dis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Downloads\Desktop\thesis images\dis0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350" cy="4295775"/>
                    </a:xfrm>
                    <a:prstGeom prst="rect">
                      <a:avLst/>
                    </a:prstGeom>
                    <a:noFill/>
                    <a:ln>
                      <a:noFill/>
                    </a:ln>
                  </pic:spPr>
                </pic:pic>
              </a:graphicData>
            </a:graphic>
          </wp:inline>
        </w:drawing>
      </w:r>
      <w:r>
        <w:rPr>
          <w:rFonts w:ascii="Times New Roman" w:eastAsia="Arial" w:hAnsi="Times New Roman" w:cs="Times New Roman"/>
          <w:sz w:val="24"/>
          <w:szCs w:val="24"/>
        </w:rPr>
        <w:t xml:space="preserve">Figure </w:t>
      </w:r>
      <w:r w:rsidR="00EE59BE">
        <w:rPr>
          <w:rFonts w:ascii="Times New Roman" w:eastAsia="Arial" w:hAnsi="Times New Roman" w:cs="Times New Roman"/>
          <w:sz w:val="24"/>
          <w:szCs w:val="24"/>
        </w:rPr>
        <w:t>2.</w:t>
      </w:r>
      <w:r w:rsidRPr="006207A4">
        <w:rPr>
          <w:rFonts w:ascii="Times New Roman" w:hAnsi="Times New Roman" w:cs="Times New Roman"/>
          <w:sz w:val="24"/>
          <w:szCs w:val="24"/>
        </w:rPr>
        <w:t xml:space="preserve"> </w:t>
      </w:r>
      <w:r w:rsidR="005C6824">
        <w:rPr>
          <w:rFonts w:ascii="Times New Roman" w:hAnsi="Times New Roman" w:cs="Times New Roman"/>
          <w:sz w:val="24"/>
          <w:szCs w:val="24"/>
        </w:rPr>
        <w:t>The a</w:t>
      </w:r>
      <w:r w:rsidRPr="006207A4">
        <w:rPr>
          <w:rFonts w:ascii="Times New Roman" w:hAnsi="Times New Roman" w:cs="Times New Roman"/>
          <w:sz w:val="24"/>
          <w:szCs w:val="24"/>
        </w:rPr>
        <w:t>bsorbed dose rate at different distances from the radioactive source</w:t>
      </w:r>
      <w:r w:rsidR="00EE59BE">
        <w:rPr>
          <w:rFonts w:ascii="Times New Roman" w:hAnsi="Times New Roman" w:cs="Times New Roman"/>
          <w:sz w:val="24"/>
          <w:szCs w:val="24"/>
        </w:rPr>
        <w:t xml:space="preserve"> distr</w:t>
      </w:r>
      <w:r w:rsidR="008847F6">
        <w:rPr>
          <w:rFonts w:ascii="Times New Roman" w:hAnsi="Times New Roman" w:cs="Times New Roman"/>
          <w:sz w:val="24"/>
          <w:szCs w:val="24"/>
        </w:rPr>
        <w:t>ibution</w:t>
      </w:r>
    </w:p>
    <w:p w14:paraId="7C38CAEA" w14:textId="77777777" w:rsidR="00B76ADA" w:rsidRDefault="00B76ADA" w:rsidP="00B76ADA">
      <w:pPr>
        <w:spacing w:line="360" w:lineRule="auto"/>
        <w:jc w:val="both"/>
        <w:rPr>
          <w:rFonts w:ascii="Times New Roman" w:hAnsi="Times New Roman" w:cs="Times New Roman"/>
          <w:sz w:val="24"/>
          <w:szCs w:val="24"/>
        </w:rPr>
      </w:pPr>
    </w:p>
    <w:p w14:paraId="48F7D9E1" w14:textId="77777777" w:rsidR="00B76ADA" w:rsidRDefault="00B76ADA" w:rsidP="00B76ADA">
      <w:pPr>
        <w:spacing w:line="360" w:lineRule="auto"/>
        <w:jc w:val="both"/>
        <w:rPr>
          <w:rFonts w:ascii="Times New Roman" w:hAnsi="Times New Roman" w:cs="Times New Roman"/>
          <w:sz w:val="24"/>
          <w:szCs w:val="24"/>
        </w:rPr>
      </w:pPr>
    </w:p>
    <w:p w14:paraId="127EA0A3" w14:textId="77777777" w:rsidR="00B76ADA" w:rsidRDefault="00B76ADA" w:rsidP="00B76ADA">
      <w:pPr>
        <w:spacing w:line="360" w:lineRule="auto"/>
        <w:jc w:val="both"/>
        <w:rPr>
          <w:rFonts w:ascii="Times New Roman" w:hAnsi="Times New Roman" w:cs="Times New Roman"/>
          <w:sz w:val="24"/>
          <w:szCs w:val="24"/>
        </w:rPr>
      </w:pPr>
    </w:p>
    <w:p w14:paraId="5DF7E090" w14:textId="77777777" w:rsidR="00B76ADA" w:rsidRDefault="00B76ADA" w:rsidP="00B76ADA">
      <w:pPr>
        <w:spacing w:line="360" w:lineRule="auto"/>
        <w:jc w:val="both"/>
        <w:rPr>
          <w:rFonts w:ascii="Times New Roman" w:hAnsi="Times New Roman" w:cs="Times New Roman"/>
          <w:sz w:val="24"/>
          <w:szCs w:val="24"/>
        </w:rPr>
      </w:pPr>
    </w:p>
    <w:p w14:paraId="189E38A9" w14:textId="1EE54E41" w:rsidR="008E1BA2" w:rsidRPr="00B76ADA" w:rsidRDefault="008847F6" w:rsidP="00B76ADA">
      <w:pPr>
        <w:spacing w:line="360" w:lineRule="auto"/>
        <w:jc w:val="both"/>
        <w:rPr>
          <w:rFonts w:ascii="Times New Roman" w:eastAsia="Arial" w:hAnsi="Times New Roman" w:cs="Times New Roman"/>
          <w:sz w:val="24"/>
          <w:szCs w:val="24"/>
        </w:rPr>
      </w:pPr>
      <w:r w:rsidRPr="00B20DBD">
        <w:rPr>
          <w:rFonts w:ascii="Times New Roman" w:hAnsi="Times New Roman" w:cs="Times New Roman"/>
          <w:noProof/>
          <w:sz w:val="24"/>
          <w:szCs w:val="24"/>
        </w:rPr>
        <w:lastRenderedPageBreak/>
        <w:drawing>
          <wp:inline distT="0" distB="0" distL="0" distR="0" wp14:anchorId="7707264E" wp14:editId="3FB91CAA">
            <wp:extent cx="5543550" cy="3562350"/>
            <wp:effectExtent l="0" t="0" r="0" b="0"/>
            <wp:docPr id="3" name="Picture 3" descr="C:\Users\RIC\Downloads\Desktop\thesis images\e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Downloads\Desktop\thesis images\eq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550" cy="3562350"/>
                    </a:xfrm>
                    <a:prstGeom prst="rect">
                      <a:avLst/>
                    </a:prstGeom>
                    <a:noFill/>
                    <a:ln>
                      <a:noFill/>
                    </a:ln>
                  </pic:spPr>
                </pic:pic>
              </a:graphicData>
            </a:graphic>
          </wp:inline>
        </w:drawing>
      </w:r>
    </w:p>
    <w:p w14:paraId="161DF91D" w14:textId="336E4C36" w:rsidR="00B76ADA" w:rsidRDefault="008847F6" w:rsidP="008847F6">
      <w:pPr>
        <w:autoSpaceDE w:val="0"/>
        <w:autoSpaceDN w:val="0"/>
        <w:adjustRightInd w:val="0"/>
        <w:spacing w:after="0" w:line="360" w:lineRule="auto"/>
        <w:jc w:val="both"/>
        <w:rPr>
          <w:rFonts w:ascii="Times New Roman" w:hAnsi="Times New Roman" w:cs="Times New Roman"/>
          <w:sz w:val="24"/>
          <w:szCs w:val="24"/>
        </w:rPr>
      </w:pPr>
      <w:r>
        <w:rPr>
          <w:rFonts w:ascii="Times New Roman" w:eastAsia="Arial" w:hAnsi="Times New Roman" w:cs="Times New Roman"/>
          <w:sz w:val="24"/>
          <w:szCs w:val="24"/>
        </w:rPr>
        <w:t>Figure 3.</w:t>
      </w:r>
      <w:r w:rsidRPr="00B20DBD">
        <w:rPr>
          <w:rFonts w:ascii="Times New Roman" w:eastAsia="Arial" w:hAnsi="Times New Roman" w:cs="Times New Roman"/>
          <w:sz w:val="24"/>
          <w:szCs w:val="24"/>
        </w:rPr>
        <w:t xml:space="preserve"> </w:t>
      </w:r>
      <w:r>
        <w:rPr>
          <w:rFonts w:ascii="Times New Roman" w:hAnsi="Times New Roman" w:cs="Times New Roman"/>
          <w:sz w:val="24"/>
          <w:szCs w:val="24"/>
        </w:rPr>
        <w:t>A</w:t>
      </w:r>
      <w:r w:rsidRPr="006207A4">
        <w:rPr>
          <w:rFonts w:ascii="Times New Roman" w:hAnsi="Times New Roman" w:cs="Times New Roman"/>
          <w:sz w:val="24"/>
          <w:szCs w:val="24"/>
        </w:rPr>
        <w:t>nnual effective dose equivalent at different distances from the radioactive source</w:t>
      </w:r>
      <w:r>
        <w:rPr>
          <w:rFonts w:ascii="Times New Roman" w:hAnsi="Times New Roman" w:cs="Times New Roman"/>
          <w:sz w:val="24"/>
          <w:szCs w:val="24"/>
        </w:rPr>
        <w:t xml:space="preserve"> </w:t>
      </w:r>
      <w:r w:rsidR="00B76ADA">
        <w:rPr>
          <w:rFonts w:ascii="Times New Roman" w:hAnsi="Times New Roman" w:cs="Times New Roman"/>
          <w:sz w:val="24"/>
          <w:szCs w:val="24"/>
        </w:rPr>
        <w:t>distribution</w:t>
      </w:r>
    </w:p>
    <w:p w14:paraId="29F580D2" w14:textId="77777777" w:rsidR="008847F6" w:rsidRDefault="00B76ADA" w:rsidP="008847F6">
      <w:pPr>
        <w:autoSpaceDE w:val="0"/>
        <w:autoSpaceDN w:val="0"/>
        <w:adjustRightInd w:val="0"/>
        <w:spacing w:after="0" w:line="360" w:lineRule="auto"/>
        <w:jc w:val="both"/>
        <w:rPr>
          <w:rFonts w:ascii="NimbusRomNo9L-Regu" w:hAnsi="NimbusRomNo9L-Regu" w:cs="NimbusRomNo9L-Regu"/>
          <w:sz w:val="24"/>
          <w:szCs w:val="24"/>
        </w:rPr>
      </w:pPr>
      <w:r w:rsidRPr="00B20DBD">
        <w:rPr>
          <w:rFonts w:ascii="Times New Roman" w:hAnsi="Times New Roman" w:cs="Times New Roman"/>
          <w:noProof/>
          <w:sz w:val="24"/>
          <w:szCs w:val="24"/>
        </w:rPr>
        <w:drawing>
          <wp:inline distT="0" distB="0" distL="0" distR="0" wp14:anchorId="4248F009" wp14:editId="3AD12080">
            <wp:extent cx="5610225" cy="3838575"/>
            <wp:effectExtent l="0" t="0" r="0" b="0"/>
            <wp:docPr id="4" name="Picture 4" descr="C:\Users\RIC\Downloads\Desktop\thesis images\l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IC\Downloads\Desktop\thesis images\li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3838575"/>
                    </a:xfrm>
                    <a:prstGeom prst="rect">
                      <a:avLst/>
                    </a:prstGeom>
                    <a:noFill/>
                    <a:ln>
                      <a:noFill/>
                    </a:ln>
                  </pic:spPr>
                </pic:pic>
              </a:graphicData>
            </a:graphic>
          </wp:inline>
        </w:drawing>
      </w:r>
    </w:p>
    <w:p w14:paraId="057A194E" w14:textId="77777777" w:rsidR="00B76ADA" w:rsidRPr="006207A4" w:rsidRDefault="00B76ADA" w:rsidP="00B76ADA">
      <w:pPr>
        <w:autoSpaceDE w:val="0"/>
        <w:autoSpaceDN w:val="0"/>
        <w:adjustRightInd w:val="0"/>
        <w:spacing w:after="0" w:line="360" w:lineRule="auto"/>
        <w:jc w:val="both"/>
        <w:rPr>
          <w:rFonts w:ascii="Times New Roman" w:hAnsi="Times New Roman" w:cs="Times New Roman"/>
          <w:sz w:val="24"/>
          <w:szCs w:val="24"/>
        </w:rPr>
      </w:pPr>
      <w:r>
        <w:rPr>
          <w:rFonts w:ascii="Times New Roman" w:eastAsia="Arial" w:hAnsi="Times New Roman" w:cs="Times New Roman"/>
          <w:sz w:val="24"/>
          <w:szCs w:val="24"/>
        </w:rPr>
        <w:t>Figure 4.</w:t>
      </w:r>
      <w:r w:rsidRPr="006207A4">
        <w:rPr>
          <w:rFonts w:ascii="Times New Roman" w:eastAsia="Arial" w:hAnsi="Times New Roman" w:cs="Times New Roman"/>
          <w:sz w:val="24"/>
          <w:szCs w:val="24"/>
        </w:rPr>
        <w:t xml:space="preserve"> </w:t>
      </w:r>
      <w:r>
        <w:rPr>
          <w:rFonts w:ascii="Times New Roman" w:hAnsi="Times New Roman" w:cs="Times New Roman"/>
          <w:sz w:val="24"/>
          <w:szCs w:val="24"/>
        </w:rPr>
        <w:t>E</w:t>
      </w:r>
      <w:r w:rsidRPr="006207A4">
        <w:rPr>
          <w:rFonts w:ascii="Times New Roman" w:hAnsi="Times New Roman" w:cs="Times New Roman"/>
          <w:sz w:val="24"/>
          <w:szCs w:val="24"/>
        </w:rPr>
        <w:t>xcess lifetime cancer risk at different distances from the radioactive</w:t>
      </w:r>
    </w:p>
    <w:p w14:paraId="2AC970AB" w14:textId="445A786C" w:rsidR="00B76ADA" w:rsidRPr="008847F6" w:rsidRDefault="00B76ADA" w:rsidP="00B76ADA">
      <w:pPr>
        <w:autoSpaceDE w:val="0"/>
        <w:autoSpaceDN w:val="0"/>
        <w:adjustRightInd w:val="0"/>
        <w:spacing w:after="0" w:line="360" w:lineRule="auto"/>
        <w:jc w:val="both"/>
        <w:rPr>
          <w:rFonts w:ascii="NimbusRomNo9L-Regu" w:hAnsi="NimbusRomNo9L-Regu" w:cs="NimbusRomNo9L-Regu"/>
          <w:sz w:val="24"/>
          <w:szCs w:val="24"/>
        </w:rPr>
        <w:sectPr w:rsidR="00B76ADA" w:rsidRPr="008847F6" w:rsidSect="001B1B36">
          <w:pgSz w:w="11900" w:h="16838"/>
          <w:pgMar w:top="1152" w:right="1100" w:bottom="234" w:left="1440" w:header="0" w:footer="0" w:gutter="0"/>
          <w:cols w:space="720" w:equalWidth="0">
            <w:col w:w="9026"/>
          </w:cols>
        </w:sectPr>
      </w:pPr>
      <w:r>
        <w:rPr>
          <w:rFonts w:ascii="Times New Roman" w:hAnsi="Times New Roman" w:cs="Times New Roman"/>
          <w:sz w:val="24"/>
          <w:szCs w:val="24"/>
        </w:rPr>
        <w:t>S</w:t>
      </w:r>
      <w:r w:rsidRPr="006207A4">
        <w:rPr>
          <w:rFonts w:ascii="Times New Roman" w:hAnsi="Times New Roman" w:cs="Times New Roman"/>
          <w:sz w:val="24"/>
          <w:szCs w:val="24"/>
        </w:rPr>
        <w:t>ource</w:t>
      </w:r>
      <w:r>
        <w:rPr>
          <w:rFonts w:ascii="Times New Roman" w:hAnsi="Times New Roman" w:cs="Times New Roman"/>
          <w:sz w:val="24"/>
          <w:szCs w:val="24"/>
        </w:rPr>
        <w:t xml:space="preserve"> distributi</w:t>
      </w:r>
      <w:r w:rsidR="00185CEB">
        <w:rPr>
          <w:rFonts w:ascii="Times New Roman" w:hAnsi="Times New Roman" w:cs="Times New Roman"/>
          <w:sz w:val="24"/>
          <w:szCs w:val="24"/>
        </w:rPr>
        <w:t>on.</w:t>
      </w:r>
    </w:p>
    <w:p w14:paraId="55E936F1" w14:textId="77777777" w:rsidR="008E1BA2" w:rsidRPr="00B20DBD" w:rsidRDefault="008E1BA2" w:rsidP="00185CEB">
      <w:pPr>
        <w:spacing w:line="360" w:lineRule="auto"/>
        <w:ind w:right="266"/>
        <w:jc w:val="both"/>
        <w:rPr>
          <w:rFonts w:ascii="Times New Roman" w:hAnsi="Times New Roman" w:cs="Times New Roman"/>
          <w:sz w:val="24"/>
          <w:szCs w:val="24"/>
        </w:rPr>
      </w:pPr>
    </w:p>
    <w:p w14:paraId="6EEDA007" w14:textId="295C412B" w:rsidR="008E1BA2" w:rsidRDefault="008B5784" w:rsidP="008E1BA2">
      <w:pPr>
        <w:spacing w:line="360" w:lineRule="auto"/>
        <w:ind w:left="260" w:right="266"/>
        <w:jc w:val="both"/>
        <w:rPr>
          <w:rFonts w:ascii="Times New Roman" w:hAnsi="Times New Roman" w:cs="Times New Roman"/>
          <w:sz w:val="24"/>
          <w:szCs w:val="24"/>
        </w:rPr>
      </w:pPr>
      <w:r>
        <w:rPr>
          <w:noProof/>
        </w:rPr>
        <w:drawing>
          <wp:inline distT="0" distB="0" distL="0" distR="0" wp14:anchorId="176F277A" wp14:editId="0F0A178B">
            <wp:extent cx="6238875" cy="4410075"/>
            <wp:effectExtent l="0" t="0" r="9525" b="9525"/>
            <wp:docPr id="8" name="Chart 8">
              <a:extLst xmlns:a="http://schemas.openxmlformats.org/drawingml/2006/main">
                <a:ext uri="{FF2B5EF4-FFF2-40B4-BE49-F238E27FC236}">
                  <a16:creationId xmlns:a16="http://schemas.microsoft.com/office/drawing/2014/main" id="{52522372-3622-42AE-A7E7-667DF5E716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E1BA2">
        <w:rPr>
          <w:rFonts w:ascii="Times New Roman" w:eastAsia="Arial" w:hAnsi="Times New Roman" w:cs="Times New Roman"/>
          <w:sz w:val="24"/>
          <w:szCs w:val="24"/>
        </w:rPr>
        <w:t xml:space="preserve">Figure </w:t>
      </w:r>
      <w:r w:rsidR="003B7AF4">
        <w:rPr>
          <w:rFonts w:ascii="Times New Roman" w:eastAsia="Arial" w:hAnsi="Times New Roman" w:cs="Times New Roman"/>
          <w:sz w:val="24"/>
          <w:szCs w:val="24"/>
        </w:rPr>
        <w:t>5.</w:t>
      </w:r>
      <w:r w:rsidR="008E1BA2" w:rsidRPr="002D6335">
        <w:rPr>
          <w:rFonts w:ascii="Times New Roman" w:eastAsia="Arial" w:hAnsi="Times New Roman" w:cs="Times New Roman"/>
          <w:sz w:val="24"/>
          <w:szCs w:val="24"/>
        </w:rPr>
        <w:t xml:space="preserve"> </w:t>
      </w:r>
      <w:r w:rsidR="008E1BA2" w:rsidRPr="002D6335">
        <w:rPr>
          <w:rFonts w:ascii="Times New Roman" w:hAnsi="Times New Roman" w:cs="Times New Roman"/>
          <w:sz w:val="24"/>
          <w:szCs w:val="24"/>
        </w:rPr>
        <w:t xml:space="preserve">The </w:t>
      </w:r>
      <w:r w:rsidR="003B7AF4">
        <w:rPr>
          <w:rFonts w:ascii="Times New Roman" w:hAnsi="Times New Roman" w:cs="Times New Roman"/>
          <w:sz w:val="24"/>
          <w:szCs w:val="24"/>
        </w:rPr>
        <w:t xml:space="preserve">distribution of </w:t>
      </w:r>
      <w:r w:rsidR="008E1BA2" w:rsidRPr="002D6335">
        <w:rPr>
          <w:rFonts w:ascii="Times New Roman" w:hAnsi="Times New Roman" w:cs="Times New Roman"/>
          <w:sz w:val="24"/>
          <w:szCs w:val="24"/>
        </w:rPr>
        <w:t>absorbed dose rate at selected locations within the radiotherapy facility.</w:t>
      </w:r>
    </w:p>
    <w:p w14:paraId="227EA9C1" w14:textId="40BAC16E" w:rsidR="00185CEB" w:rsidRDefault="00185CEB" w:rsidP="00185CEB">
      <w:pPr>
        <w:spacing w:line="360" w:lineRule="auto"/>
        <w:ind w:left="260" w:right="266"/>
        <w:jc w:val="both"/>
        <w:rPr>
          <w:rFonts w:ascii="Times New Roman" w:hAnsi="Times New Roman" w:cs="Times New Roman"/>
          <w:sz w:val="24"/>
          <w:szCs w:val="24"/>
        </w:rPr>
      </w:pPr>
      <w:r>
        <w:rPr>
          <w:noProof/>
        </w:rPr>
        <w:lastRenderedPageBreak/>
        <w:drawing>
          <wp:inline distT="0" distB="0" distL="0" distR="0" wp14:anchorId="4BCCE7AC" wp14:editId="2F8FA6CC">
            <wp:extent cx="6096000" cy="4791075"/>
            <wp:effectExtent l="0" t="0" r="0" b="9525"/>
            <wp:docPr id="10" name="Chart 10">
              <a:extLst xmlns:a="http://schemas.openxmlformats.org/drawingml/2006/main">
                <a:ext uri="{FF2B5EF4-FFF2-40B4-BE49-F238E27FC236}">
                  <a16:creationId xmlns:a16="http://schemas.microsoft.com/office/drawing/2014/main" id="{5DA10ACB-44EC-4AEF-AB15-BD18DDCFF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A26365" w14:textId="77777777" w:rsidR="00185CEB" w:rsidRPr="003B7AF4" w:rsidRDefault="00185CEB" w:rsidP="00185CEB">
      <w:pPr>
        <w:autoSpaceDE w:val="0"/>
        <w:autoSpaceDN w:val="0"/>
        <w:adjustRightInd w:val="0"/>
        <w:spacing w:after="0" w:line="360" w:lineRule="auto"/>
        <w:jc w:val="both"/>
        <w:rPr>
          <w:rFonts w:ascii="Times New Roman" w:hAnsi="Times New Roman" w:cs="Times New Roman"/>
          <w:sz w:val="24"/>
          <w:szCs w:val="24"/>
        </w:rPr>
      </w:pPr>
      <w:r>
        <w:rPr>
          <w:rFonts w:ascii="Times New Roman" w:eastAsia="Arial" w:hAnsi="Times New Roman" w:cs="Times New Roman"/>
          <w:sz w:val="24"/>
          <w:szCs w:val="24"/>
        </w:rPr>
        <w:t>Figure 6.</w:t>
      </w:r>
      <w:r w:rsidRPr="00B20DBD">
        <w:rPr>
          <w:rFonts w:ascii="Times New Roman" w:eastAsia="Arial" w:hAnsi="Times New Roman" w:cs="Times New Roman"/>
          <w:sz w:val="24"/>
          <w:szCs w:val="24"/>
        </w:rPr>
        <w:t xml:space="preserve"> </w:t>
      </w:r>
      <w:r w:rsidRPr="002D6335">
        <w:rPr>
          <w:rFonts w:ascii="Times New Roman" w:hAnsi="Times New Roman" w:cs="Times New Roman"/>
          <w:sz w:val="24"/>
          <w:szCs w:val="24"/>
        </w:rPr>
        <w:t>The</w:t>
      </w:r>
      <w:r>
        <w:rPr>
          <w:rFonts w:ascii="Times New Roman" w:hAnsi="Times New Roman" w:cs="Times New Roman"/>
          <w:sz w:val="24"/>
          <w:szCs w:val="24"/>
        </w:rPr>
        <w:t xml:space="preserve"> </w:t>
      </w:r>
      <w:r w:rsidRPr="002D6335">
        <w:rPr>
          <w:rFonts w:ascii="Times New Roman" w:hAnsi="Times New Roman" w:cs="Times New Roman"/>
          <w:sz w:val="24"/>
          <w:szCs w:val="24"/>
        </w:rPr>
        <w:t xml:space="preserve">annual effective dose equivalent </w:t>
      </w:r>
      <w:r>
        <w:rPr>
          <w:rFonts w:ascii="Times New Roman" w:hAnsi="Times New Roman" w:cs="Times New Roman"/>
          <w:sz w:val="24"/>
          <w:szCs w:val="24"/>
        </w:rPr>
        <w:t>distribution</w:t>
      </w:r>
      <w:r w:rsidRPr="002D6335">
        <w:rPr>
          <w:rFonts w:ascii="Times New Roman" w:hAnsi="Times New Roman" w:cs="Times New Roman"/>
          <w:sz w:val="24"/>
          <w:szCs w:val="24"/>
        </w:rPr>
        <w:t xml:space="preserve"> at selected locations within the radiotherapy</w:t>
      </w:r>
      <w:r>
        <w:rPr>
          <w:rFonts w:ascii="Times New Roman" w:hAnsi="Times New Roman" w:cs="Times New Roman"/>
          <w:sz w:val="24"/>
          <w:szCs w:val="24"/>
        </w:rPr>
        <w:t xml:space="preserve"> </w:t>
      </w:r>
      <w:r w:rsidRPr="002D6335">
        <w:rPr>
          <w:rFonts w:ascii="Times New Roman" w:hAnsi="Times New Roman" w:cs="Times New Roman"/>
          <w:sz w:val="24"/>
          <w:szCs w:val="24"/>
        </w:rPr>
        <w:t>facility.</w:t>
      </w:r>
    </w:p>
    <w:p w14:paraId="579B82E9" w14:textId="77777777" w:rsidR="00185CEB" w:rsidRDefault="00185CEB" w:rsidP="00185CEB">
      <w:pPr>
        <w:spacing w:line="360" w:lineRule="auto"/>
        <w:ind w:left="260" w:right="266"/>
        <w:jc w:val="both"/>
        <w:rPr>
          <w:rFonts w:ascii="Times New Roman" w:hAnsi="Times New Roman" w:cs="Times New Roman"/>
          <w:sz w:val="24"/>
          <w:szCs w:val="24"/>
        </w:rPr>
      </w:pPr>
    </w:p>
    <w:p w14:paraId="7DFCAC09" w14:textId="462A9896" w:rsidR="00185CEB" w:rsidRDefault="00FB3720" w:rsidP="008E1BA2">
      <w:pPr>
        <w:spacing w:line="360" w:lineRule="auto"/>
        <w:ind w:left="260" w:right="266"/>
        <w:jc w:val="both"/>
        <w:rPr>
          <w:rFonts w:ascii="Times New Roman" w:hAnsi="Times New Roman" w:cs="Times New Roman"/>
          <w:sz w:val="24"/>
          <w:szCs w:val="24"/>
        </w:rPr>
      </w:pPr>
      <w:r>
        <w:rPr>
          <w:noProof/>
        </w:rPr>
        <w:lastRenderedPageBreak/>
        <w:drawing>
          <wp:inline distT="0" distB="0" distL="0" distR="0" wp14:anchorId="4F7FB85F" wp14:editId="53D24EEC">
            <wp:extent cx="5727700" cy="4467225"/>
            <wp:effectExtent l="0" t="0" r="6350" b="9525"/>
            <wp:docPr id="11" name="Chart 11">
              <a:extLst xmlns:a="http://schemas.openxmlformats.org/drawingml/2006/main">
                <a:ext uri="{FF2B5EF4-FFF2-40B4-BE49-F238E27FC236}">
                  <a16:creationId xmlns:a16="http://schemas.microsoft.com/office/drawing/2014/main" id="{862CBE96-36EE-43DB-854F-B5A9EC6F9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4D6AA2" w14:textId="2E50F0BD" w:rsidR="00FB3720" w:rsidRPr="00FB3720" w:rsidRDefault="00FB3720" w:rsidP="00FB3720">
      <w:pPr>
        <w:autoSpaceDE w:val="0"/>
        <w:autoSpaceDN w:val="0"/>
        <w:adjustRightInd w:val="0"/>
        <w:spacing w:after="0" w:line="360"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Figure 7. </w:t>
      </w:r>
      <w:r w:rsidRPr="006B5B7A">
        <w:rPr>
          <w:rFonts w:ascii="Times New Roman" w:hAnsi="Times New Roman" w:cs="Times New Roman"/>
          <w:sz w:val="24"/>
          <w:szCs w:val="24"/>
        </w:rPr>
        <w:t>The excess lifetime cancer risk</w:t>
      </w:r>
      <w:r>
        <w:rPr>
          <w:rFonts w:ascii="Times New Roman" w:hAnsi="Times New Roman" w:cs="Times New Roman"/>
          <w:sz w:val="24"/>
          <w:szCs w:val="24"/>
        </w:rPr>
        <w:t xml:space="preserve"> distribution</w:t>
      </w:r>
      <w:r w:rsidRPr="006B5B7A">
        <w:rPr>
          <w:rFonts w:ascii="Times New Roman" w:hAnsi="Times New Roman" w:cs="Times New Roman"/>
          <w:sz w:val="24"/>
          <w:szCs w:val="24"/>
        </w:rPr>
        <w:t xml:space="preserve"> at selected locations within the radiotherapy</w:t>
      </w:r>
      <w:r>
        <w:rPr>
          <w:rFonts w:ascii="Times New Roman" w:hAnsi="Times New Roman" w:cs="Times New Roman"/>
          <w:sz w:val="24"/>
          <w:szCs w:val="24"/>
        </w:rPr>
        <w:t xml:space="preserve"> </w:t>
      </w:r>
      <w:r w:rsidRPr="006B5B7A">
        <w:rPr>
          <w:rFonts w:ascii="Times New Roman" w:hAnsi="Times New Roman" w:cs="Times New Roman"/>
          <w:sz w:val="24"/>
          <w:szCs w:val="24"/>
        </w:rPr>
        <w:t>facility.</w:t>
      </w:r>
    </w:p>
    <w:p w14:paraId="57E2379F" w14:textId="1C7CAF46" w:rsidR="00185CEB" w:rsidRDefault="00185CEB" w:rsidP="008E1BA2">
      <w:pPr>
        <w:spacing w:line="360" w:lineRule="auto"/>
        <w:ind w:left="260" w:right="266"/>
        <w:jc w:val="both"/>
        <w:rPr>
          <w:rFonts w:ascii="Times New Roman" w:hAnsi="Times New Roman" w:cs="Times New Roman"/>
          <w:sz w:val="24"/>
          <w:szCs w:val="24"/>
        </w:rPr>
      </w:pPr>
    </w:p>
    <w:p w14:paraId="765CC21B" w14:textId="5F8F700E" w:rsidR="00185CEB" w:rsidRDefault="00185CEB" w:rsidP="008E1BA2">
      <w:pPr>
        <w:spacing w:line="360" w:lineRule="auto"/>
        <w:ind w:left="260" w:right="266"/>
        <w:jc w:val="both"/>
        <w:rPr>
          <w:rFonts w:ascii="Times New Roman" w:hAnsi="Times New Roman" w:cs="Times New Roman"/>
          <w:sz w:val="24"/>
          <w:szCs w:val="24"/>
        </w:rPr>
      </w:pPr>
    </w:p>
    <w:p w14:paraId="1CCAB8CE" w14:textId="32B55452" w:rsidR="00185CEB" w:rsidRDefault="00185CEB" w:rsidP="008E1BA2">
      <w:pPr>
        <w:spacing w:line="360" w:lineRule="auto"/>
        <w:ind w:left="260" w:right="266"/>
        <w:jc w:val="both"/>
        <w:rPr>
          <w:rFonts w:ascii="Times New Roman" w:hAnsi="Times New Roman" w:cs="Times New Roman"/>
          <w:sz w:val="24"/>
          <w:szCs w:val="24"/>
        </w:rPr>
      </w:pPr>
    </w:p>
    <w:p w14:paraId="71708A7A" w14:textId="057D6F79" w:rsidR="00EA3D3B" w:rsidRDefault="00EA3D3B" w:rsidP="008E1BA2">
      <w:pPr>
        <w:spacing w:line="360" w:lineRule="auto"/>
        <w:ind w:left="260" w:right="266"/>
        <w:jc w:val="both"/>
        <w:rPr>
          <w:rFonts w:ascii="Times New Roman" w:hAnsi="Times New Roman" w:cs="Times New Roman"/>
          <w:sz w:val="24"/>
          <w:szCs w:val="24"/>
        </w:rPr>
      </w:pPr>
    </w:p>
    <w:p w14:paraId="382A1FE4" w14:textId="43164ABD" w:rsidR="00EA3D3B" w:rsidRDefault="00EA3D3B" w:rsidP="008E1BA2">
      <w:pPr>
        <w:spacing w:line="360" w:lineRule="auto"/>
        <w:ind w:left="260" w:right="266"/>
        <w:jc w:val="both"/>
        <w:rPr>
          <w:rFonts w:ascii="Times New Roman" w:hAnsi="Times New Roman" w:cs="Times New Roman"/>
          <w:sz w:val="24"/>
          <w:szCs w:val="24"/>
        </w:rPr>
      </w:pPr>
    </w:p>
    <w:p w14:paraId="493E177E" w14:textId="6E1806A6" w:rsidR="00EA3D3B" w:rsidRDefault="00EA3D3B" w:rsidP="008E1BA2">
      <w:pPr>
        <w:spacing w:line="360" w:lineRule="auto"/>
        <w:ind w:left="260" w:right="266"/>
        <w:jc w:val="both"/>
        <w:rPr>
          <w:rFonts w:ascii="Times New Roman" w:hAnsi="Times New Roman" w:cs="Times New Roman"/>
          <w:sz w:val="24"/>
          <w:szCs w:val="24"/>
        </w:rPr>
      </w:pPr>
    </w:p>
    <w:p w14:paraId="2AC41241" w14:textId="3EFD1C82" w:rsidR="00EA3D3B" w:rsidRDefault="00EA3D3B" w:rsidP="008E1BA2">
      <w:pPr>
        <w:spacing w:line="360" w:lineRule="auto"/>
        <w:ind w:left="260" w:right="266"/>
        <w:jc w:val="both"/>
        <w:rPr>
          <w:rFonts w:ascii="Times New Roman" w:hAnsi="Times New Roman" w:cs="Times New Roman"/>
          <w:sz w:val="24"/>
          <w:szCs w:val="24"/>
        </w:rPr>
      </w:pPr>
    </w:p>
    <w:p w14:paraId="0F3B795A" w14:textId="77777777" w:rsidR="00EA3D3B" w:rsidRDefault="00EA3D3B" w:rsidP="008E1BA2">
      <w:pPr>
        <w:spacing w:line="360" w:lineRule="auto"/>
        <w:ind w:left="260" w:right="266"/>
        <w:jc w:val="both"/>
        <w:rPr>
          <w:rFonts w:ascii="Times New Roman" w:hAnsi="Times New Roman" w:cs="Times New Roman"/>
          <w:sz w:val="24"/>
          <w:szCs w:val="24"/>
        </w:rPr>
      </w:pPr>
    </w:p>
    <w:p w14:paraId="2D211CA3" w14:textId="533878A6" w:rsidR="008E1BA2" w:rsidRDefault="00A231E5" w:rsidP="00464B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Table 2, </w:t>
      </w:r>
      <w:r w:rsidR="00185CEB" w:rsidRPr="002D6335">
        <w:rPr>
          <w:rFonts w:ascii="Times New Roman" w:hAnsi="Times New Roman" w:cs="Times New Roman"/>
          <w:sz w:val="24"/>
          <w:szCs w:val="24"/>
        </w:rPr>
        <w:t>The absorbed dose rates in air var</w:t>
      </w:r>
      <w:r>
        <w:rPr>
          <w:rFonts w:ascii="Times New Roman" w:hAnsi="Times New Roman" w:cs="Times New Roman"/>
          <w:sz w:val="24"/>
          <w:szCs w:val="24"/>
        </w:rPr>
        <w:t>ied</w:t>
      </w:r>
      <w:r w:rsidR="00185CEB" w:rsidRPr="002D6335">
        <w:rPr>
          <w:rFonts w:ascii="Times New Roman" w:hAnsi="Times New Roman" w:cs="Times New Roman"/>
          <w:sz w:val="24"/>
          <w:szCs w:val="24"/>
        </w:rPr>
        <w:t xml:space="preserve"> from 0.268±0.008 </w:t>
      </w:r>
      <w:proofErr w:type="spellStart"/>
      <w:r w:rsidR="00185CEB" w:rsidRPr="002D6335">
        <w:rPr>
          <w:rFonts w:ascii="Times New Roman" w:hAnsi="Times New Roman" w:cs="Times New Roman"/>
          <w:sz w:val="24"/>
          <w:szCs w:val="24"/>
        </w:rPr>
        <w:t>μSv</w:t>
      </w:r>
      <w:proofErr w:type="spellEnd"/>
      <w:r w:rsidR="00185CEB" w:rsidRPr="002D6335">
        <w:rPr>
          <w:rFonts w:ascii="Times New Roman" w:hAnsi="Times New Roman" w:cs="Times New Roman"/>
          <w:sz w:val="24"/>
          <w:szCs w:val="24"/>
        </w:rPr>
        <w:t xml:space="preserve">/h to 0.678±0.005 </w:t>
      </w:r>
      <w:proofErr w:type="spellStart"/>
      <w:r w:rsidR="00185CEB" w:rsidRPr="002D6335">
        <w:rPr>
          <w:rFonts w:ascii="Times New Roman" w:hAnsi="Times New Roman" w:cs="Times New Roman"/>
          <w:sz w:val="24"/>
          <w:szCs w:val="24"/>
        </w:rPr>
        <w:t>μSv</w:t>
      </w:r>
      <w:proofErr w:type="spellEnd"/>
      <w:r w:rsidR="00185CEB" w:rsidRPr="002D6335">
        <w:rPr>
          <w:rFonts w:ascii="Times New Roman" w:hAnsi="Times New Roman" w:cs="Times New Roman"/>
          <w:sz w:val="24"/>
          <w:szCs w:val="24"/>
        </w:rPr>
        <w:t xml:space="preserve">/h with a mean value of 0.440±0.004 </w:t>
      </w:r>
      <w:proofErr w:type="spellStart"/>
      <w:r w:rsidR="00185CEB" w:rsidRPr="002D6335">
        <w:rPr>
          <w:rFonts w:ascii="Times New Roman" w:hAnsi="Times New Roman" w:cs="Times New Roman"/>
          <w:sz w:val="24"/>
          <w:szCs w:val="24"/>
        </w:rPr>
        <w:t>μSv</w:t>
      </w:r>
      <w:proofErr w:type="spellEnd"/>
      <w:r w:rsidR="00185CEB" w:rsidRPr="002D6335">
        <w:rPr>
          <w:rFonts w:ascii="Times New Roman" w:hAnsi="Times New Roman" w:cs="Times New Roman"/>
          <w:sz w:val="24"/>
          <w:szCs w:val="24"/>
        </w:rPr>
        <w:t>/h. The overall mean absorbed dose value was with</w:t>
      </w:r>
      <w:r w:rsidR="00185CEB">
        <w:rPr>
          <w:rFonts w:ascii="Times New Roman" w:hAnsi="Times New Roman" w:cs="Times New Roman"/>
          <w:sz w:val="24"/>
          <w:szCs w:val="24"/>
        </w:rPr>
        <w:t xml:space="preserve">in the ICRP maximum permissible </w:t>
      </w:r>
      <w:r w:rsidR="00185CEB" w:rsidRPr="002D6335">
        <w:rPr>
          <w:rFonts w:ascii="Times New Roman" w:hAnsi="Times New Roman" w:cs="Times New Roman"/>
          <w:sz w:val="24"/>
          <w:szCs w:val="24"/>
        </w:rPr>
        <w:t>limi</w:t>
      </w:r>
      <w:r w:rsidR="00185CEB">
        <w:rPr>
          <w:rFonts w:ascii="Times New Roman" w:hAnsi="Times New Roman" w:cs="Times New Roman"/>
          <w:sz w:val="24"/>
          <w:szCs w:val="24"/>
        </w:rPr>
        <w:t xml:space="preserve">t of 0.57 </w:t>
      </w:r>
      <w:proofErr w:type="spellStart"/>
      <w:r w:rsidR="00185CEB">
        <w:rPr>
          <w:rFonts w:ascii="Times New Roman" w:hAnsi="Times New Roman" w:cs="Times New Roman"/>
          <w:sz w:val="24"/>
          <w:szCs w:val="24"/>
        </w:rPr>
        <w:t>μSv</w:t>
      </w:r>
      <w:proofErr w:type="spellEnd"/>
      <w:r w:rsidR="00185CEB">
        <w:rPr>
          <w:rFonts w:ascii="Times New Roman" w:hAnsi="Times New Roman" w:cs="Times New Roman"/>
          <w:sz w:val="24"/>
          <w:szCs w:val="24"/>
        </w:rPr>
        <w:t xml:space="preserve">/h </w:t>
      </w:r>
      <w:r w:rsidR="00185CEB">
        <w:rPr>
          <w:rFonts w:ascii="Times New Roman" w:hAnsi="Times New Roman" w:cs="Times New Roman"/>
          <w:sz w:val="24"/>
          <w:szCs w:val="24"/>
        </w:rPr>
        <w:fldChar w:fldCharType="begin" w:fldLock="1"/>
      </w:r>
      <w:r w:rsidR="00322E7C">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185CEB">
        <w:rPr>
          <w:rFonts w:ascii="Times New Roman" w:hAnsi="Times New Roman" w:cs="Times New Roman"/>
          <w:sz w:val="24"/>
          <w:szCs w:val="24"/>
        </w:rPr>
        <w:fldChar w:fldCharType="separate"/>
      </w:r>
      <w:r w:rsidR="00185CEB" w:rsidRPr="001F0047">
        <w:rPr>
          <w:rFonts w:ascii="Times New Roman" w:hAnsi="Times New Roman" w:cs="Times New Roman"/>
          <w:noProof/>
          <w:sz w:val="24"/>
          <w:szCs w:val="24"/>
        </w:rPr>
        <w:t>(Streffer 2007)</w:t>
      </w:r>
      <w:r w:rsidR="00185CEB">
        <w:rPr>
          <w:rFonts w:ascii="Times New Roman" w:hAnsi="Times New Roman" w:cs="Times New Roman"/>
          <w:sz w:val="24"/>
          <w:szCs w:val="24"/>
        </w:rPr>
        <w:fldChar w:fldCharType="end"/>
      </w:r>
      <w:r w:rsidR="00185CEB">
        <w:rPr>
          <w:rFonts w:ascii="Times New Roman" w:hAnsi="Times New Roman" w:cs="Times New Roman"/>
          <w:sz w:val="24"/>
          <w:szCs w:val="24"/>
        </w:rPr>
        <w:t>.</w:t>
      </w:r>
      <w:r w:rsidR="00185CEB" w:rsidRPr="002D6335">
        <w:rPr>
          <w:rFonts w:ascii="Times New Roman" w:hAnsi="Times New Roman" w:cs="Times New Roman"/>
          <w:sz w:val="24"/>
          <w:szCs w:val="24"/>
        </w:rPr>
        <w:t xml:space="preserve"> </w:t>
      </w:r>
      <w:r>
        <w:rPr>
          <w:rFonts w:ascii="Times New Roman" w:hAnsi="Times New Roman" w:cs="Times New Roman"/>
          <w:sz w:val="24"/>
          <w:szCs w:val="24"/>
        </w:rPr>
        <w:t xml:space="preserve">As </w:t>
      </w:r>
      <w:r w:rsidR="00322E7C">
        <w:rPr>
          <w:rFonts w:ascii="Times New Roman" w:hAnsi="Times New Roman" w:cs="Times New Roman"/>
          <w:sz w:val="24"/>
          <w:szCs w:val="24"/>
        </w:rPr>
        <w:t xml:space="preserve">shown in </w:t>
      </w:r>
      <w:r>
        <w:rPr>
          <w:rFonts w:ascii="Times New Roman" w:hAnsi="Times New Roman" w:cs="Times New Roman"/>
          <w:sz w:val="24"/>
          <w:szCs w:val="24"/>
        </w:rPr>
        <w:t>F</w:t>
      </w:r>
      <w:r w:rsidR="00185CEB" w:rsidRPr="002D6335">
        <w:rPr>
          <w:rFonts w:ascii="Times New Roman" w:hAnsi="Times New Roman" w:cs="Times New Roman"/>
          <w:sz w:val="24"/>
          <w:szCs w:val="24"/>
        </w:rPr>
        <w:t xml:space="preserve">igure </w:t>
      </w:r>
      <w:r w:rsidR="00185CEB">
        <w:rPr>
          <w:rFonts w:ascii="Times New Roman" w:hAnsi="Times New Roman" w:cs="Times New Roman"/>
          <w:sz w:val="24"/>
          <w:szCs w:val="24"/>
        </w:rPr>
        <w:t>5</w:t>
      </w:r>
      <w:r w:rsidR="00322E7C">
        <w:rPr>
          <w:rFonts w:ascii="Times New Roman" w:hAnsi="Times New Roman" w:cs="Times New Roman"/>
          <w:sz w:val="24"/>
          <w:szCs w:val="24"/>
        </w:rPr>
        <w:t xml:space="preserve">, </w:t>
      </w:r>
      <w:r w:rsidR="00185CEB" w:rsidRPr="002D6335">
        <w:rPr>
          <w:rFonts w:ascii="Times New Roman" w:hAnsi="Times New Roman" w:cs="Times New Roman"/>
          <w:sz w:val="24"/>
          <w:szCs w:val="24"/>
        </w:rPr>
        <w:t xml:space="preserve">the highest absorbed dose rate </w:t>
      </w:r>
      <w:r w:rsidR="00322E7C">
        <w:rPr>
          <w:rFonts w:ascii="Times New Roman" w:hAnsi="Times New Roman" w:cs="Times New Roman"/>
          <w:sz w:val="24"/>
          <w:szCs w:val="24"/>
        </w:rPr>
        <w:t xml:space="preserve">is </w:t>
      </w:r>
      <w:r w:rsidR="00185CEB" w:rsidRPr="002D6335">
        <w:rPr>
          <w:rFonts w:ascii="Times New Roman" w:hAnsi="Times New Roman" w:cs="Times New Roman"/>
          <w:sz w:val="24"/>
          <w:szCs w:val="24"/>
        </w:rPr>
        <w:t xml:space="preserve">0.678±0.005 </w:t>
      </w:r>
      <w:proofErr w:type="spellStart"/>
      <w:r w:rsidR="00185CEB" w:rsidRPr="002D6335">
        <w:rPr>
          <w:rFonts w:ascii="Times New Roman" w:hAnsi="Times New Roman" w:cs="Times New Roman"/>
          <w:sz w:val="24"/>
          <w:szCs w:val="24"/>
        </w:rPr>
        <w:t>μSv</w:t>
      </w:r>
      <w:proofErr w:type="spellEnd"/>
      <w:r w:rsidR="00185CEB" w:rsidRPr="002D6335">
        <w:rPr>
          <w:rFonts w:ascii="Times New Roman" w:hAnsi="Times New Roman" w:cs="Times New Roman"/>
          <w:sz w:val="24"/>
          <w:szCs w:val="24"/>
        </w:rPr>
        <w:t xml:space="preserve">/h whereas the nurse’s office area showed the lowest absorbed dose rate of 0.268±0.008 </w:t>
      </w:r>
      <w:proofErr w:type="spellStart"/>
      <w:r w:rsidR="00185CEB" w:rsidRPr="002D6335">
        <w:rPr>
          <w:rFonts w:ascii="Times New Roman" w:hAnsi="Times New Roman" w:cs="Times New Roman"/>
          <w:sz w:val="24"/>
          <w:szCs w:val="24"/>
        </w:rPr>
        <w:t>μSv</w:t>
      </w:r>
      <w:proofErr w:type="spellEnd"/>
      <w:r w:rsidR="00185CEB" w:rsidRPr="002D6335">
        <w:rPr>
          <w:rFonts w:ascii="Times New Roman" w:hAnsi="Times New Roman" w:cs="Times New Roman"/>
          <w:sz w:val="24"/>
          <w:szCs w:val="24"/>
        </w:rPr>
        <w:t xml:space="preserve">/h. The scattered radiation levels in the radiotherapy facility were relatively lower and within the ICRP permissible limit in most of the selected locations. The maximum and minimum scattered radiation recorded in the radioactive room and the nurse’s office area respectively indicates that </w:t>
      </w:r>
      <w:r w:rsidR="00322E7C">
        <w:rPr>
          <w:rFonts w:ascii="Times New Roman" w:hAnsi="Times New Roman" w:cs="Times New Roman"/>
          <w:sz w:val="24"/>
          <w:szCs w:val="24"/>
        </w:rPr>
        <w:t xml:space="preserve">occupational exposure </w:t>
      </w:r>
      <w:r w:rsidR="00185CEB" w:rsidRPr="002D6335">
        <w:rPr>
          <w:rFonts w:ascii="Times New Roman" w:hAnsi="Times New Roman" w:cs="Times New Roman"/>
          <w:sz w:val="24"/>
          <w:szCs w:val="24"/>
        </w:rPr>
        <w:t xml:space="preserve">to the Cobalt-60 source </w:t>
      </w:r>
      <w:r w:rsidR="00322E7C">
        <w:rPr>
          <w:rFonts w:ascii="Times New Roman" w:hAnsi="Times New Roman" w:cs="Times New Roman"/>
          <w:sz w:val="24"/>
          <w:szCs w:val="24"/>
        </w:rPr>
        <w:t xml:space="preserve">has a higher probability than public exposure. </w:t>
      </w:r>
      <w:r w:rsidR="008E1BA2" w:rsidRPr="002D6335">
        <w:rPr>
          <w:rFonts w:ascii="Times New Roman" w:hAnsi="Times New Roman" w:cs="Times New Roman"/>
          <w:sz w:val="24"/>
          <w:szCs w:val="24"/>
        </w:rPr>
        <w:t xml:space="preserve">The average absorbed dose rate </w:t>
      </w:r>
      <w:r w:rsidR="00FB3720" w:rsidRPr="002D6335">
        <w:rPr>
          <w:rFonts w:ascii="Times New Roman" w:hAnsi="Times New Roman" w:cs="Times New Roman"/>
          <w:sz w:val="24"/>
          <w:szCs w:val="24"/>
        </w:rPr>
        <w:t>w</w:t>
      </w:r>
      <w:r w:rsidR="00FB3720">
        <w:rPr>
          <w:rFonts w:ascii="Times New Roman" w:hAnsi="Times New Roman" w:cs="Times New Roman"/>
          <w:sz w:val="24"/>
          <w:szCs w:val="24"/>
        </w:rPr>
        <w:t>as</w:t>
      </w:r>
      <w:r w:rsidR="008E1BA2">
        <w:rPr>
          <w:rFonts w:ascii="Times New Roman" w:hAnsi="Times New Roman" w:cs="Times New Roman"/>
          <w:sz w:val="24"/>
          <w:szCs w:val="24"/>
        </w:rPr>
        <w:t xml:space="preserve"> used to estimate the annual </w:t>
      </w:r>
      <w:r w:rsidR="008E1BA2" w:rsidRPr="002D6335">
        <w:rPr>
          <w:rFonts w:ascii="Times New Roman" w:hAnsi="Times New Roman" w:cs="Times New Roman"/>
          <w:sz w:val="24"/>
          <w:szCs w:val="24"/>
        </w:rPr>
        <w:t xml:space="preserve">effective dose equivalent (AEDE) </w:t>
      </w:r>
      <w:r w:rsidR="00322E7C">
        <w:rPr>
          <w:rFonts w:ascii="Times New Roman" w:hAnsi="Times New Roman" w:cs="Times New Roman"/>
          <w:sz w:val="24"/>
          <w:szCs w:val="24"/>
        </w:rPr>
        <w:t xml:space="preserve">for workers within occupational exposure </w:t>
      </w:r>
      <w:r w:rsidR="008E1BA2" w:rsidRPr="002D6335">
        <w:rPr>
          <w:rFonts w:ascii="Times New Roman" w:hAnsi="Times New Roman" w:cs="Times New Roman"/>
          <w:sz w:val="24"/>
          <w:szCs w:val="24"/>
        </w:rPr>
        <w:t xml:space="preserve">and </w:t>
      </w:r>
      <w:r w:rsidR="00322E7C">
        <w:rPr>
          <w:rFonts w:ascii="Times New Roman" w:hAnsi="Times New Roman" w:cs="Times New Roman"/>
          <w:sz w:val="24"/>
          <w:szCs w:val="24"/>
        </w:rPr>
        <w:t xml:space="preserve">those within public exposure </w:t>
      </w:r>
      <w:r w:rsidR="008E1BA2">
        <w:rPr>
          <w:rFonts w:ascii="Times New Roman" w:hAnsi="Times New Roman" w:cs="Times New Roman"/>
          <w:sz w:val="24"/>
          <w:szCs w:val="24"/>
        </w:rPr>
        <w:t xml:space="preserve">within the </w:t>
      </w:r>
      <w:r w:rsidR="00322E7C">
        <w:rPr>
          <w:rFonts w:ascii="Times New Roman" w:hAnsi="Times New Roman" w:cs="Times New Roman"/>
          <w:sz w:val="24"/>
          <w:szCs w:val="24"/>
        </w:rPr>
        <w:t>study area</w:t>
      </w:r>
      <w:r w:rsidR="008E1BA2" w:rsidRPr="002D6335">
        <w:rPr>
          <w:rFonts w:ascii="Times New Roman" w:hAnsi="Times New Roman" w:cs="Times New Roman"/>
          <w:sz w:val="24"/>
          <w:szCs w:val="24"/>
        </w:rPr>
        <w:t>. UNSCEAR generally uses</w:t>
      </w:r>
      <w:r w:rsidR="008E1BA2">
        <w:rPr>
          <w:rFonts w:ascii="Times New Roman" w:hAnsi="Times New Roman" w:cs="Times New Roman"/>
          <w:sz w:val="24"/>
          <w:szCs w:val="24"/>
        </w:rPr>
        <w:t xml:space="preserve"> 4600 hours per year instead of </w:t>
      </w:r>
      <w:r w:rsidR="008E1BA2" w:rsidRPr="002D6335">
        <w:rPr>
          <w:rFonts w:ascii="Times New Roman" w:hAnsi="Times New Roman" w:cs="Times New Roman"/>
          <w:sz w:val="24"/>
          <w:szCs w:val="24"/>
        </w:rPr>
        <w:t>8760 hours per year due to work shifts and overt</w:t>
      </w:r>
      <w:r w:rsidR="008E1BA2">
        <w:rPr>
          <w:rFonts w:ascii="Times New Roman" w:hAnsi="Times New Roman" w:cs="Times New Roman"/>
          <w:sz w:val="24"/>
          <w:szCs w:val="24"/>
        </w:rPr>
        <w:t>ime</w:t>
      </w:r>
      <w:r w:rsidR="00322E7C">
        <w:rPr>
          <w:rFonts w:ascii="Times New Roman" w:hAnsi="Times New Roman" w:cs="Times New Roman"/>
          <w:sz w:val="24"/>
          <w:szCs w:val="24"/>
        </w:rPr>
        <w:t xml:space="preserve"> </w:t>
      </w:r>
      <w:r w:rsidR="00322E7C">
        <w:rPr>
          <w:rFonts w:ascii="Times New Roman" w:hAnsi="Times New Roman" w:cs="Times New Roman"/>
          <w:sz w:val="24"/>
          <w:szCs w:val="24"/>
        </w:rPr>
        <w:fldChar w:fldCharType="begin" w:fldLock="1"/>
      </w:r>
      <w:r w:rsidR="00322E7C">
        <w:rPr>
          <w:rFonts w:ascii="Times New Roman" w:hAnsi="Times New Roman" w:cs="Times New Roman"/>
          <w:sz w:val="24"/>
          <w:szCs w:val="24"/>
        </w:rPr>
        <w:instrText>ADDIN CSL_CITATION {"citationItems":[{"id":"ITEM-1","itemData":{"ISBN":"9211422000","author":[{"dropping-particle":"","family":"UNSCEAR","given":"","non-dropping-particle":"","parse-names":false,"suffix":""}],"id":"ITEM-1","issued":{"date-parts":[["1993"]]},"number-of-pages":"920","title":"Sources and Effects of Ionising Radiation 1993. Report to the General Assembly","type":"book"},"uris":["http://www.mendeley.com/documents/?uuid=7dbdff91-e304-4c29-8f57-1031e6e3eaa2"]}],"mendeley":{"formattedCitation":"(UNSCEAR 1993)","plainTextFormattedCitation":"(UNSCEAR 1993)","previouslyFormattedCitation":"(UNSCEAR 1993)"},"properties":{"noteIndex":0},"schema":"https://github.com/citation-style-language/schema/raw/master/csl-citation.json"}</w:instrText>
      </w:r>
      <w:r w:rsidR="00322E7C">
        <w:rPr>
          <w:rFonts w:ascii="Times New Roman" w:hAnsi="Times New Roman" w:cs="Times New Roman"/>
          <w:sz w:val="24"/>
          <w:szCs w:val="24"/>
        </w:rPr>
        <w:fldChar w:fldCharType="separate"/>
      </w:r>
      <w:r w:rsidR="00322E7C" w:rsidRPr="00322E7C">
        <w:rPr>
          <w:rFonts w:ascii="Times New Roman" w:hAnsi="Times New Roman" w:cs="Times New Roman"/>
          <w:noProof/>
          <w:sz w:val="24"/>
          <w:szCs w:val="24"/>
        </w:rPr>
        <w:t>(UNSCEAR 1993)</w:t>
      </w:r>
      <w:r w:rsidR="00322E7C">
        <w:rPr>
          <w:rFonts w:ascii="Times New Roman" w:hAnsi="Times New Roman" w:cs="Times New Roman"/>
          <w:sz w:val="24"/>
          <w:szCs w:val="24"/>
        </w:rPr>
        <w:fldChar w:fldCharType="end"/>
      </w:r>
      <w:r w:rsidR="008E1BA2">
        <w:rPr>
          <w:rFonts w:ascii="Times New Roman" w:hAnsi="Times New Roman" w:cs="Times New Roman"/>
          <w:sz w:val="24"/>
          <w:szCs w:val="24"/>
        </w:rPr>
        <w:t xml:space="preserve">. The estimated values of </w:t>
      </w:r>
      <w:r w:rsidR="008E1BA2" w:rsidRPr="002D6335">
        <w:rPr>
          <w:rFonts w:ascii="Times New Roman" w:hAnsi="Times New Roman" w:cs="Times New Roman"/>
          <w:sz w:val="24"/>
          <w:szCs w:val="24"/>
        </w:rPr>
        <w:t>the annual effective dose equivalent ranged from 0.986</w:t>
      </w:r>
      <w:r w:rsidR="008E1BA2">
        <w:rPr>
          <w:rFonts w:ascii="Times New Roman" w:hAnsi="Times New Roman" w:cs="Times New Roman"/>
          <w:sz w:val="24"/>
          <w:szCs w:val="24"/>
        </w:rPr>
        <w:t xml:space="preserve"> mSv/</w:t>
      </w:r>
      <w:proofErr w:type="spellStart"/>
      <w:r w:rsidR="008E1BA2">
        <w:rPr>
          <w:rFonts w:ascii="Times New Roman" w:hAnsi="Times New Roman" w:cs="Times New Roman"/>
          <w:sz w:val="24"/>
          <w:szCs w:val="24"/>
        </w:rPr>
        <w:t>yr</w:t>
      </w:r>
      <w:proofErr w:type="spellEnd"/>
      <w:r w:rsidR="008E1BA2">
        <w:rPr>
          <w:rFonts w:ascii="Times New Roman" w:hAnsi="Times New Roman" w:cs="Times New Roman"/>
          <w:sz w:val="24"/>
          <w:szCs w:val="24"/>
        </w:rPr>
        <w:t xml:space="preserve"> to 2.495 mSv/</w:t>
      </w:r>
      <w:proofErr w:type="spellStart"/>
      <w:r w:rsidR="008E1BA2">
        <w:rPr>
          <w:rFonts w:ascii="Times New Roman" w:hAnsi="Times New Roman" w:cs="Times New Roman"/>
          <w:sz w:val="24"/>
          <w:szCs w:val="24"/>
        </w:rPr>
        <w:t>yr</w:t>
      </w:r>
      <w:proofErr w:type="spellEnd"/>
      <w:r w:rsidR="008E1BA2">
        <w:rPr>
          <w:rFonts w:ascii="Times New Roman" w:hAnsi="Times New Roman" w:cs="Times New Roman"/>
          <w:sz w:val="24"/>
          <w:szCs w:val="24"/>
        </w:rPr>
        <w:t xml:space="preserve"> with an </w:t>
      </w:r>
      <w:r w:rsidR="008E1BA2" w:rsidRPr="002D6335">
        <w:rPr>
          <w:rFonts w:ascii="Times New Roman" w:hAnsi="Times New Roman" w:cs="Times New Roman"/>
          <w:sz w:val="24"/>
          <w:szCs w:val="24"/>
        </w:rPr>
        <w:t>average value of 1.62 mSv/yr</w:t>
      </w:r>
      <w:r w:rsidR="00322E7C">
        <w:rPr>
          <w:rFonts w:ascii="Times New Roman" w:hAnsi="Times New Roman" w:cs="Times New Roman"/>
          <w:sz w:val="24"/>
          <w:szCs w:val="24"/>
        </w:rPr>
        <w:t xml:space="preserve">. </w:t>
      </w:r>
      <w:r w:rsidR="008E1BA2" w:rsidRPr="00123247">
        <w:rPr>
          <w:rFonts w:ascii="Times New Roman" w:hAnsi="Times New Roman" w:cs="Times New Roman"/>
          <w:sz w:val="24"/>
          <w:szCs w:val="24"/>
        </w:rPr>
        <w:t>The mean AEDE value was found to be approximately 1.6 times higher than the annual effective dose equivalent limit of 1 mSv/</w:t>
      </w:r>
      <w:proofErr w:type="spellStart"/>
      <w:r w:rsidR="008E1BA2" w:rsidRPr="00123247">
        <w:rPr>
          <w:rFonts w:ascii="Times New Roman" w:hAnsi="Times New Roman" w:cs="Times New Roman"/>
          <w:sz w:val="24"/>
          <w:szCs w:val="24"/>
        </w:rPr>
        <w:t>yr</w:t>
      </w:r>
      <w:proofErr w:type="spellEnd"/>
      <w:r w:rsidR="008E1BA2" w:rsidRPr="00123247">
        <w:rPr>
          <w:rFonts w:ascii="Times New Roman" w:hAnsi="Times New Roman" w:cs="Times New Roman"/>
          <w:sz w:val="24"/>
          <w:szCs w:val="24"/>
        </w:rPr>
        <w:t xml:space="preserve"> for public exposure </w:t>
      </w:r>
      <w:r w:rsidR="00322E7C" w:rsidRPr="00123247">
        <w:rPr>
          <w:rFonts w:ascii="Times New Roman" w:hAnsi="Times New Roman" w:cs="Times New Roman"/>
          <w:sz w:val="24"/>
          <w:szCs w:val="24"/>
        </w:rPr>
        <w:fldChar w:fldCharType="begin" w:fldLock="1"/>
      </w:r>
      <w:r w:rsidR="000812B5" w:rsidRPr="00123247">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322E7C" w:rsidRPr="00123247">
        <w:rPr>
          <w:rFonts w:ascii="Times New Roman" w:hAnsi="Times New Roman" w:cs="Times New Roman"/>
          <w:sz w:val="24"/>
          <w:szCs w:val="24"/>
        </w:rPr>
        <w:fldChar w:fldCharType="separate"/>
      </w:r>
      <w:r w:rsidR="00322E7C" w:rsidRPr="00123247">
        <w:rPr>
          <w:rFonts w:ascii="Times New Roman" w:hAnsi="Times New Roman" w:cs="Times New Roman"/>
          <w:noProof/>
          <w:sz w:val="24"/>
          <w:szCs w:val="24"/>
        </w:rPr>
        <w:t>(Streffer 2007)</w:t>
      </w:r>
      <w:r w:rsidR="00322E7C" w:rsidRPr="00123247">
        <w:rPr>
          <w:rFonts w:ascii="Times New Roman" w:hAnsi="Times New Roman" w:cs="Times New Roman"/>
          <w:sz w:val="24"/>
          <w:szCs w:val="24"/>
        </w:rPr>
        <w:fldChar w:fldCharType="end"/>
      </w:r>
      <w:r w:rsidR="00322E7C" w:rsidRPr="00123247">
        <w:rPr>
          <w:rFonts w:ascii="Times New Roman" w:hAnsi="Times New Roman" w:cs="Times New Roman"/>
          <w:sz w:val="24"/>
          <w:szCs w:val="24"/>
        </w:rPr>
        <w:t xml:space="preserve"> </w:t>
      </w:r>
      <w:r w:rsidR="008E1BA2" w:rsidRPr="00123247">
        <w:rPr>
          <w:rFonts w:ascii="Times New Roman" w:hAnsi="Times New Roman" w:cs="Times New Roman"/>
          <w:sz w:val="24"/>
          <w:szCs w:val="24"/>
        </w:rPr>
        <w:t>and approximately 20 times lower than the annual effective dose equivalent limit of 20 mSv/</w:t>
      </w:r>
      <w:proofErr w:type="spellStart"/>
      <w:r w:rsidR="008E1BA2" w:rsidRPr="00123247">
        <w:rPr>
          <w:rFonts w:ascii="Times New Roman" w:hAnsi="Times New Roman" w:cs="Times New Roman"/>
          <w:sz w:val="24"/>
          <w:szCs w:val="24"/>
        </w:rPr>
        <w:t>yr</w:t>
      </w:r>
      <w:proofErr w:type="spellEnd"/>
      <w:r w:rsidR="008E1BA2" w:rsidRPr="00123247">
        <w:rPr>
          <w:rFonts w:ascii="Times New Roman" w:hAnsi="Times New Roman" w:cs="Times New Roman"/>
          <w:sz w:val="24"/>
          <w:szCs w:val="24"/>
        </w:rPr>
        <w:t xml:space="preserve"> for occupational </w:t>
      </w:r>
      <w:r w:rsidR="000812B5" w:rsidRPr="00123247">
        <w:rPr>
          <w:rFonts w:ascii="Times New Roman" w:hAnsi="Times New Roman" w:cs="Times New Roman"/>
          <w:sz w:val="24"/>
          <w:szCs w:val="24"/>
        </w:rPr>
        <w:t>exposure</w:t>
      </w:r>
      <w:r w:rsidR="008E1BA2" w:rsidRPr="00123247">
        <w:rPr>
          <w:rFonts w:ascii="Times New Roman" w:hAnsi="Times New Roman" w:cs="Times New Roman"/>
          <w:sz w:val="24"/>
          <w:szCs w:val="24"/>
        </w:rPr>
        <w:t xml:space="preserve"> </w:t>
      </w:r>
      <w:r w:rsidR="000812B5" w:rsidRPr="00123247">
        <w:rPr>
          <w:rFonts w:ascii="Times New Roman" w:hAnsi="Times New Roman" w:cs="Times New Roman"/>
          <w:sz w:val="24"/>
          <w:szCs w:val="24"/>
        </w:rPr>
        <w:fldChar w:fldCharType="begin" w:fldLock="1"/>
      </w:r>
      <w:r w:rsidR="000812B5" w:rsidRPr="00123247">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0812B5" w:rsidRPr="00123247">
        <w:rPr>
          <w:rFonts w:ascii="Times New Roman" w:hAnsi="Times New Roman" w:cs="Times New Roman"/>
          <w:sz w:val="24"/>
          <w:szCs w:val="24"/>
        </w:rPr>
        <w:fldChar w:fldCharType="separate"/>
      </w:r>
      <w:r w:rsidR="000812B5" w:rsidRPr="00123247">
        <w:rPr>
          <w:rFonts w:ascii="Times New Roman" w:hAnsi="Times New Roman" w:cs="Times New Roman"/>
          <w:noProof/>
          <w:sz w:val="24"/>
          <w:szCs w:val="24"/>
        </w:rPr>
        <w:t>(Streffer 2007)</w:t>
      </w:r>
      <w:r w:rsidR="000812B5" w:rsidRPr="00123247">
        <w:rPr>
          <w:rFonts w:ascii="Times New Roman" w:hAnsi="Times New Roman" w:cs="Times New Roman"/>
          <w:sz w:val="24"/>
          <w:szCs w:val="24"/>
        </w:rPr>
        <w:fldChar w:fldCharType="end"/>
      </w:r>
      <w:r w:rsidR="008E1BA2" w:rsidRPr="00123247">
        <w:rPr>
          <w:rFonts w:ascii="Times New Roman" w:hAnsi="Times New Roman" w:cs="Times New Roman"/>
          <w:sz w:val="24"/>
          <w:szCs w:val="24"/>
        </w:rPr>
        <w:t>.</w:t>
      </w:r>
      <w:r w:rsidR="008E1BA2">
        <w:rPr>
          <w:rFonts w:ascii="Times New Roman" w:hAnsi="Times New Roman" w:cs="Times New Roman"/>
          <w:sz w:val="24"/>
          <w:szCs w:val="24"/>
        </w:rPr>
        <w:t xml:space="preserve"> The mean </w:t>
      </w:r>
      <w:r w:rsidR="008E1BA2" w:rsidRPr="002D6335">
        <w:rPr>
          <w:rFonts w:ascii="Times New Roman" w:hAnsi="Times New Roman" w:cs="Times New Roman"/>
          <w:sz w:val="24"/>
          <w:szCs w:val="24"/>
        </w:rPr>
        <w:t>value from the radioactive source room showed the h</w:t>
      </w:r>
      <w:r w:rsidR="008E1BA2">
        <w:rPr>
          <w:rFonts w:ascii="Times New Roman" w:hAnsi="Times New Roman" w:cs="Times New Roman"/>
          <w:sz w:val="24"/>
          <w:szCs w:val="24"/>
        </w:rPr>
        <w:t xml:space="preserve">ighest AEDE whereas the nurse’s </w:t>
      </w:r>
      <w:r w:rsidR="008E1BA2" w:rsidRPr="002D6335">
        <w:rPr>
          <w:rFonts w:ascii="Times New Roman" w:hAnsi="Times New Roman" w:cs="Times New Roman"/>
          <w:sz w:val="24"/>
          <w:szCs w:val="24"/>
        </w:rPr>
        <w:t>office area showed the lo</w:t>
      </w:r>
      <w:r w:rsidR="008E1BA2">
        <w:rPr>
          <w:rFonts w:ascii="Times New Roman" w:hAnsi="Times New Roman" w:cs="Times New Roman"/>
          <w:sz w:val="24"/>
          <w:szCs w:val="24"/>
        </w:rPr>
        <w:t xml:space="preserve">west AEDE as shown in figure </w:t>
      </w:r>
      <w:r w:rsidR="000812B5">
        <w:rPr>
          <w:rFonts w:ascii="Times New Roman" w:hAnsi="Times New Roman" w:cs="Times New Roman"/>
          <w:sz w:val="24"/>
          <w:szCs w:val="24"/>
        </w:rPr>
        <w:t>6</w:t>
      </w:r>
      <w:r w:rsidR="008E1BA2" w:rsidRPr="002D6335">
        <w:rPr>
          <w:rFonts w:ascii="Times New Roman" w:hAnsi="Times New Roman" w:cs="Times New Roman"/>
          <w:sz w:val="24"/>
          <w:szCs w:val="24"/>
        </w:rPr>
        <w:t>.</w:t>
      </w:r>
    </w:p>
    <w:p w14:paraId="0B0198BB" w14:textId="1E928AA3" w:rsidR="008E1BA2" w:rsidRDefault="00A759DD" w:rsidP="00464B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carried out by </w:t>
      </w:r>
      <w:r>
        <w:rPr>
          <w:rFonts w:ascii="Times New Roman" w:hAnsi="Times New Roman" w:cs="Times New Roman"/>
          <w:sz w:val="24"/>
          <w:szCs w:val="24"/>
        </w:rPr>
        <w:fldChar w:fldCharType="begin" w:fldLock="1"/>
      </w:r>
      <w:r w:rsidR="002C3B28">
        <w:rPr>
          <w:rFonts w:ascii="Times New Roman" w:hAnsi="Times New Roman" w:cs="Times New Roman"/>
          <w:sz w:val="24"/>
          <w:szCs w:val="24"/>
        </w:rPr>
        <w:instrText>ADDIN CSL_CITATION {"citationItems":[{"id":"ITEM-1","itemData":{"ISBN":"0305-1048","abstract":"The homing endonuclease PI-SceI from Saccharo myces cerevisiae consists of two domains. The protein splicing domain I catalyzes the excision of the mature endonuclease (intein) from a precursor protein and the religation of the flanking amino acid sequences (exteins) to a functional protein. Furthermore, domain I is involved in binding and recognition of the specific DNA substrate. Domain II of PI-SceI, the endonuclease domain, which is structurally homologous to other homing endonucleases from the LAGLIDADG family, harbors the endonucleolytic center of PI-SceI, which in vivo initiates the homing process by introducing a double-strand cut in the similar to35 bp recognition sequence. At 1.35 Angstrom resolution, the crystal structure of PI-SceI domain I provides a detailed view of the part of the protein that is responsible for tight and specific DNA binding. A geometry-based docking of the 75degrees bent recognition sequence to the full-length protein implies a conformational change or hinge movement of a subdomain of domain I, the tongs part, that is predicted to reach into the major groove near base pairs +16 to +18","author":[{"dropping-particle":"","family":"Temaugee","given":"S T","non-dropping-particle":"","parse-names":false,"suffix":""},{"dropping-particle":"","family":"Daniel","given":"T A","non-dropping-particle":"","parse-names":false,"suffix":""},{"dropping-particle":"","family":"Oladejo","given":"K O","non-dropping-particle":"","parse-names":false,"suffix":""},{"dropping-particle":"","family":"Daniel","given":"S","non-dropping-particle":"","parse-names":false,"suffix":""}],"container-title":"International Journal of Science and Technology","id":"ITEM-1","issue":"7","issued":{"date-parts":[["2014"]]},"page":"134-141","title":"Assessment of Public Awareness of the Detrimental Effects of Ionizing Radiation in Kontagora , Niger State , Nigeria","type":"article-journal","volume":"4"},"uris":["http://www.mendeley.com/documents/?uuid=ee6dd8e8-cee9-4a5d-93a1-6ee4d292f6dd"]}],"mendeley":{"formattedCitation":"(Temaugee et al. 2014)","plainTextFormattedCitation":"(Temaugee et al. 2014)","previouslyFormattedCitation":"(Temaugee et al. 2014)"},"properties":{"noteIndex":0},"schema":"https://github.com/citation-style-language/schema/raw/master/csl-citation.json"}</w:instrText>
      </w:r>
      <w:r>
        <w:rPr>
          <w:rFonts w:ascii="Times New Roman" w:hAnsi="Times New Roman" w:cs="Times New Roman"/>
          <w:sz w:val="24"/>
          <w:szCs w:val="24"/>
        </w:rPr>
        <w:fldChar w:fldCharType="separate"/>
      </w:r>
      <w:r w:rsidRPr="002F0686">
        <w:rPr>
          <w:rFonts w:ascii="Times New Roman" w:hAnsi="Times New Roman" w:cs="Times New Roman"/>
          <w:noProof/>
          <w:sz w:val="24"/>
          <w:szCs w:val="24"/>
        </w:rPr>
        <w:t>(Temaugee et al. 2014)</w:t>
      </w:r>
      <w:r>
        <w:rPr>
          <w:rFonts w:ascii="Times New Roman" w:hAnsi="Times New Roman" w:cs="Times New Roman"/>
          <w:sz w:val="24"/>
          <w:szCs w:val="24"/>
        </w:rPr>
        <w:fldChar w:fldCharType="end"/>
      </w:r>
      <w:r>
        <w:rPr>
          <w:rFonts w:ascii="Times New Roman" w:hAnsi="Times New Roman" w:cs="Times New Roman"/>
          <w:sz w:val="24"/>
          <w:szCs w:val="24"/>
        </w:rPr>
        <w:t>, cancer types may tend to grow after exposure to ionizing radiation and by epidemiological means be detected. Cancer advancement due to ionizing radiation exposure is a stochastic effect.</w:t>
      </w:r>
      <w:r w:rsidR="00EA3D3B">
        <w:rPr>
          <w:rFonts w:ascii="Times New Roman" w:hAnsi="Times New Roman" w:cs="Times New Roman"/>
          <w:sz w:val="24"/>
          <w:szCs w:val="24"/>
        </w:rPr>
        <w:t xml:space="preserve"> The probability of an individual developing cancer over a lifetime of radiation exposure is known as the Excess lifetime cancer risk (ELCR). </w:t>
      </w:r>
      <w:r w:rsidR="008E1BA2" w:rsidRPr="002D6335">
        <w:rPr>
          <w:rFonts w:ascii="Times New Roman" w:hAnsi="Times New Roman" w:cs="Times New Roman"/>
          <w:sz w:val="24"/>
          <w:szCs w:val="24"/>
        </w:rPr>
        <w:t>The estimated values of the excess lifetime cancer risk for scattered ionizing radiation exposures ranged from</w:t>
      </w:r>
      <w:r w:rsidR="008E1BA2">
        <w:rPr>
          <w:rFonts w:ascii="Times New Roman" w:hAnsi="Times New Roman" w:cs="Times New Roman"/>
          <w:sz w:val="24"/>
          <w:szCs w:val="24"/>
        </w:rPr>
        <w:t xml:space="preserve"> </w:t>
      </w:r>
      <w:r w:rsidR="008E1BA2" w:rsidRPr="00B20DBD">
        <w:rPr>
          <w:rFonts w:ascii="Times New Roman" w:eastAsia="Arial" w:hAnsi="Times New Roman" w:cs="Times New Roman"/>
          <w:sz w:val="24"/>
          <w:szCs w:val="24"/>
        </w:rPr>
        <w:t>3.45x10</w:t>
      </w:r>
      <w:r w:rsidR="008E1BA2" w:rsidRPr="00B20DBD">
        <w:rPr>
          <w:rFonts w:ascii="Times New Roman" w:eastAsia="Arial" w:hAnsi="Times New Roman" w:cs="Times New Roman"/>
          <w:sz w:val="24"/>
          <w:szCs w:val="24"/>
          <w:vertAlign w:val="superscript"/>
        </w:rPr>
        <w:t>-3</w:t>
      </w:r>
      <w:r w:rsidR="008E1BA2" w:rsidRPr="00B20DBD">
        <w:rPr>
          <w:rFonts w:ascii="Times New Roman" w:eastAsia="Arial" w:hAnsi="Times New Roman" w:cs="Times New Roman"/>
          <w:sz w:val="24"/>
          <w:szCs w:val="24"/>
        </w:rPr>
        <w:t xml:space="preserve"> to 8.73x10</w:t>
      </w:r>
      <w:r w:rsidR="008E1BA2" w:rsidRPr="00B20DBD">
        <w:rPr>
          <w:rFonts w:ascii="Times New Roman" w:eastAsia="Arial" w:hAnsi="Times New Roman" w:cs="Times New Roman"/>
          <w:sz w:val="24"/>
          <w:szCs w:val="24"/>
          <w:vertAlign w:val="superscript"/>
        </w:rPr>
        <w:t>-3</w:t>
      </w:r>
      <w:r w:rsidR="008E1BA2" w:rsidRPr="00B20DBD">
        <w:rPr>
          <w:rFonts w:ascii="Times New Roman" w:eastAsia="Arial" w:hAnsi="Times New Roman" w:cs="Times New Roman"/>
          <w:sz w:val="24"/>
          <w:szCs w:val="24"/>
        </w:rPr>
        <w:t xml:space="preserve"> with an average value of 5.67x10</w:t>
      </w:r>
      <w:r w:rsidR="008E1BA2" w:rsidRPr="00B20DBD">
        <w:rPr>
          <w:rFonts w:ascii="Times New Roman" w:eastAsia="Arial" w:hAnsi="Times New Roman" w:cs="Times New Roman"/>
          <w:sz w:val="24"/>
          <w:szCs w:val="24"/>
          <w:vertAlign w:val="superscript"/>
        </w:rPr>
        <w:t>-3</w:t>
      </w:r>
      <w:r w:rsidR="008E1BA2">
        <w:rPr>
          <w:rFonts w:ascii="Times New Roman" w:eastAsia="Arial" w:hAnsi="Times New Roman" w:cs="Times New Roman"/>
          <w:sz w:val="24"/>
          <w:szCs w:val="24"/>
        </w:rPr>
        <w:t xml:space="preserve">. </w:t>
      </w:r>
      <w:r w:rsidR="008E1BA2" w:rsidRPr="001E3B3E">
        <w:rPr>
          <w:rFonts w:ascii="Times New Roman" w:hAnsi="Times New Roman" w:cs="Times New Roman"/>
          <w:sz w:val="24"/>
          <w:szCs w:val="24"/>
        </w:rPr>
        <w:t xml:space="preserve">The estimated mean value for the ELCR was approximately twenty times higher than the standard value of </w:t>
      </w:r>
      <w:r w:rsidR="008E1BA2" w:rsidRPr="001E3B3E">
        <w:rPr>
          <w:rFonts w:ascii="Times New Roman" w:eastAsia="Arial" w:hAnsi="Times New Roman" w:cs="Times New Roman"/>
          <w:sz w:val="24"/>
          <w:szCs w:val="24"/>
        </w:rPr>
        <w:t>0.29x10</w:t>
      </w:r>
      <w:r w:rsidR="008E1BA2" w:rsidRPr="001E3B3E">
        <w:rPr>
          <w:rFonts w:ascii="Times New Roman" w:eastAsia="Arial" w:hAnsi="Times New Roman" w:cs="Times New Roman"/>
          <w:sz w:val="24"/>
          <w:szCs w:val="24"/>
          <w:vertAlign w:val="superscript"/>
        </w:rPr>
        <w:t>-3</w:t>
      </w:r>
      <w:r w:rsidR="008E1BA2" w:rsidRPr="001E3B3E">
        <w:rPr>
          <w:rFonts w:ascii="Times New Roman" w:eastAsia="Arial" w:hAnsi="Times New Roman" w:cs="Times New Roman"/>
          <w:sz w:val="24"/>
          <w:szCs w:val="24"/>
        </w:rPr>
        <w:t xml:space="preserve"> </w:t>
      </w:r>
      <w:r w:rsidR="008E1BA2" w:rsidRPr="001E3B3E">
        <w:rPr>
          <w:rFonts w:ascii="Times New Roman" w:hAnsi="Times New Roman" w:cs="Times New Roman"/>
          <w:sz w:val="24"/>
          <w:szCs w:val="24"/>
        </w:rPr>
        <w:t>for natural ioni</w:t>
      </w:r>
      <w:r w:rsidR="008E1BA2">
        <w:rPr>
          <w:rFonts w:ascii="Times New Roman" w:hAnsi="Times New Roman" w:cs="Times New Roman"/>
          <w:sz w:val="24"/>
          <w:szCs w:val="24"/>
        </w:rPr>
        <w:t xml:space="preserve">zing radiations </w:t>
      </w:r>
      <w:r w:rsidR="000812B5">
        <w:rPr>
          <w:rFonts w:ascii="Times New Roman" w:hAnsi="Times New Roman" w:cs="Times New Roman"/>
          <w:sz w:val="24"/>
          <w:szCs w:val="24"/>
        </w:rPr>
        <w:fldChar w:fldCharType="begin" w:fldLock="1"/>
      </w:r>
      <w:r w:rsidR="002F0686">
        <w:rPr>
          <w:rFonts w:ascii="Times New Roman" w:hAnsi="Times New Roman" w:cs="Times New Roman"/>
          <w:sz w:val="24"/>
          <w:szCs w:val="24"/>
        </w:rPr>
        <w:instrText>ADDIN CSL_CITATION {"citationItems":[{"id":"ITEM-1","itemData":{"DOI":"10.1016/j.jenvrad.2008.10.012","ISSN":"0265931X","PMID":"19038480","abstract":"The objective of this study is to evaluate and map soil radionuclides' activity concentrations and environmental outdoor gamma dose rates (terrestrial and cosmic) in Kirklareli, Turkey. The excess lifetime cancer risks are also calculated. Outdoor gamma dose rates were determined in 230 sampling stations and soil samples were taken from 177 locations. The coordinates of the readings were determined by the Global Positioning System (GPS). The outdoor gamma dose rates were determined by Eberline smart portable device (ESP-2) and measurements were taken in air for two minutes at 1 m from the ground. The average outdoor gamma dose rate was 118 ± 34 nGy h-1. Annual effective gamma dose of Kirklareli was 144 μSv and the excess lifetime cancer risk of 5.0 × 10-4. Soil samples were analyzed by gamma spectroscopy. The average 226Ra, 238U, 232Th, 137Cs, and 40K activities were 37 ± 18 Bq kg-1, 28 ± 13 Bq kg-1, 40 ± 18 Bq kg-1, 8 ± 5 Bq kg-1 and 667 ± 281 Bq kg-1, respectively. The average soil radionuclides' concentrations of Kirklareli were within the worldwide range although some extreme values had been determined. Annual effective gamma doses and the excess lifetime risks of cancer were higher than the world's average. © 2009 Elsevier Ltd. All rights reserved.","author":[{"dropping-particle":"","family":"Taskin","given":"H.","non-dropping-particle":"","parse-names":false,"suffix":""},{"dropping-particle":"","family":"Karavus","given":"M.","non-dropping-particle":"","parse-names":false,"suffix":""},{"dropping-particle":"","family":"Ay","given":"P.","non-dropping-particle":"","parse-names":false,"suffix":""},{"dropping-particle":"","family":"Topuzoglu","given":"A.","non-dropping-particle":"","parse-names":false,"suffix":""},{"dropping-particle":"","family":"Hidiroglu","given":"S.","non-dropping-particle":"","parse-names":false,"suffix":""},{"dropping-particle":"","family":"Karahan","given":"G.","non-dropping-particle":"","parse-names":false,"suffix":""}],"container-title":"Journal of Environmental Radioactivity","id":"ITEM-1","issue":"1","issued":{"date-parts":[["2009","1"]]},"page":"49-53","publisher":"J Environ Radioact","title":"Radionuclide concentrations in soil and lifetime cancer risk due to gamma radioactivity in Kirklareli, Turkey","type":"article-journal","volume":"100"},"uris":["http://www.mendeley.com/documents/?uuid=553aea68-f619-3bb4-a5c6-5645435f3b9a"]}],"mendeley":{"formattedCitation":"(Taskin et al. 2009)","plainTextFormattedCitation":"(Taskin et al. 2009)","previouslyFormattedCitation":"(Taskin et al. 2009)"},"properties":{"noteIndex":0},"schema":"https://github.com/citation-style-language/schema/raw/master/csl-citation.json"}</w:instrText>
      </w:r>
      <w:r w:rsidR="000812B5">
        <w:rPr>
          <w:rFonts w:ascii="Times New Roman" w:hAnsi="Times New Roman" w:cs="Times New Roman"/>
          <w:sz w:val="24"/>
          <w:szCs w:val="24"/>
        </w:rPr>
        <w:fldChar w:fldCharType="separate"/>
      </w:r>
      <w:r w:rsidR="000812B5" w:rsidRPr="000812B5">
        <w:rPr>
          <w:rFonts w:ascii="Times New Roman" w:hAnsi="Times New Roman" w:cs="Times New Roman"/>
          <w:noProof/>
          <w:sz w:val="24"/>
          <w:szCs w:val="24"/>
        </w:rPr>
        <w:t>(Taskin et al. 2009)</w:t>
      </w:r>
      <w:r w:rsidR="000812B5">
        <w:rPr>
          <w:rFonts w:ascii="Times New Roman" w:hAnsi="Times New Roman" w:cs="Times New Roman"/>
          <w:sz w:val="24"/>
          <w:szCs w:val="24"/>
        </w:rPr>
        <w:fldChar w:fldCharType="end"/>
      </w:r>
      <w:r w:rsidR="008E1BA2" w:rsidRPr="001E3B3E">
        <w:rPr>
          <w:rFonts w:ascii="Times New Roman" w:hAnsi="Times New Roman" w:cs="Times New Roman"/>
          <w:sz w:val="24"/>
          <w:szCs w:val="24"/>
        </w:rPr>
        <w:t>.</w:t>
      </w:r>
      <w:r w:rsidR="00EA3D3B">
        <w:rPr>
          <w:rFonts w:ascii="Times New Roman" w:hAnsi="Times New Roman" w:cs="Times New Roman"/>
          <w:sz w:val="24"/>
          <w:szCs w:val="24"/>
        </w:rPr>
        <w:t xml:space="preserve"> This implies that the probability of occupational exposure or public exposure of an individual in the oncology directorate at the Komfo Anokye Teaching hospital over a lifetime is high. </w:t>
      </w:r>
    </w:p>
    <w:p w14:paraId="58095224" w14:textId="77777777" w:rsidR="00EA3D3B" w:rsidRDefault="00EA3D3B" w:rsidP="00464B9A">
      <w:pPr>
        <w:spacing w:line="360" w:lineRule="auto"/>
        <w:jc w:val="both"/>
      </w:pPr>
    </w:p>
    <w:p w14:paraId="31623E8D" w14:textId="77777777" w:rsidR="00EA3D3B" w:rsidRDefault="00EA3D3B" w:rsidP="00464B9A">
      <w:pPr>
        <w:spacing w:line="360" w:lineRule="auto"/>
        <w:jc w:val="both"/>
      </w:pPr>
    </w:p>
    <w:p w14:paraId="0B0031DC" w14:textId="5F45A3AB" w:rsidR="008E1BA2" w:rsidRPr="00300F2C" w:rsidRDefault="008E1BA2" w:rsidP="00464B9A">
      <w:pPr>
        <w:pStyle w:val="ListParagraph"/>
        <w:numPr>
          <w:ilvl w:val="0"/>
          <w:numId w:val="2"/>
        </w:numPr>
        <w:spacing w:line="360" w:lineRule="auto"/>
        <w:jc w:val="both"/>
        <w:rPr>
          <w:rFonts w:ascii="Times New Roman" w:eastAsia="Arial" w:hAnsi="Times New Roman" w:cs="Times New Roman"/>
          <w:b/>
          <w:sz w:val="24"/>
          <w:szCs w:val="24"/>
        </w:rPr>
      </w:pPr>
      <w:r w:rsidRPr="00300F2C">
        <w:rPr>
          <w:rFonts w:ascii="Times New Roman" w:eastAsia="Arial" w:hAnsi="Times New Roman" w:cs="Times New Roman"/>
          <w:b/>
          <w:sz w:val="24"/>
          <w:szCs w:val="24"/>
        </w:rPr>
        <w:lastRenderedPageBreak/>
        <w:t>Conclusion</w:t>
      </w:r>
    </w:p>
    <w:p w14:paraId="5931868D" w14:textId="186CE387" w:rsidR="0053250D" w:rsidRDefault="00E536B0" w:rsidP="00464B9A">
      <w:pPr>
        <w:autoSpaceDE w:val="0"/>
        <w:autoSpaceDN w:val="0"/>
        <w:adjustRightInd w:val="0"/>
        <w:spacing w:after="0" w:line="360" w:lineRule="auto"/>
        <w:jc w:val="both"/>
        <w:rPr>
          <w:rFonts w:ascii="Times New Roman" w:hAnsi="Times New Roman" w:cs="Times New Roman"/>
          <w:sz w:val="24"/>
          <w:szCs w:val="24"/>
        </w:rPr>
      </w:pPr>
      <w:r w:rsidRPr="00EA3D3B">
        <w:rPr>
          <w:rFonts w:ascii="Times New Roman" w:hAnsi="Times New Roman" w:cs="Times New Roman"/>
          <w:sz w:val="24"/>
          <w:szCs w:val="24"/>
        </w:rPr>
        <w:t>This study</w:t>
      </w:r>
      <w:r w:rsidR="00B530E6" w:rsidRPr="00EA3D3B">
        <w:rPr>
          <w:rFonts w:ascii="Times New Roman" w:hAnsi="Times New Roman" w:cs="Times New Roman"/>
          <w:sz w:val="24"/>
          <w:szCs w:val="24"/>
        </w:rPr>
        <w:t xml:space="preserve"> was</w:t>
      </w:r>
      <w:r w:rsidRPr="00EA3D3B">
        <w:rPr>
          <w:rFonts w:ascii="Times New Roman" w:hAnsi="Times New Roman" w:cs="Times New Roman"/>
          <w:sz w:val="24"/>
          <w:szCs w:val="24"/>
        </w:rPr>
        <w:t xml:space="preserve"> </w:t>
      </w:r>
      <w:r w:rsidR="00B530E6" w:rsidRPr="00EA3D3B">
        <w:rPr>
          <w:rFonts w:ascii="Times New Roman" w:hAnsi="Times New Roman" w:cs="Times New Roman"/>
          <w:sz w:val="24"/>
          <w:szCs w:val="24"/>
        </w:rPr>
        <w:t>mapped out</w:t>
      </w:r>
      <w:r w:rsidRPr="00EA3D3B">
        <w:rPr>
          <w:rFonts w:ascii="Times New Roman" w:hAnsi="Times New Roman" w:cs="Times New Roman"/>
          <w:sz w:val="24"/>
          <w:szCs w:val="24"/>
        </w:rPr>
        <w:t xml:space="preserve"> to estimate the annual effective dose and excess lifetime cancer risk due to </w:t>
      </w:r>
      <w:r w:rsidR="0020625A" w:rsidRPr="00EA3D3B">
        <w:rPr>
          <w:rFonts w:ascii="Times New Roman" w:hAnsi="Times New Roman" w:cs="Times New Roman"/>
          <w:sz w:val="24"/>
          <w:szCs w:val="24"/>
        </w:rPr>
        <w:t>absorbed dose rate levels</w:t>
      </w:r>
      <w:r w:rsidR="00B530E6" w:rsidRPr="00EA3D3B">
        <w:rPr>
          <w:rFonts w:ascii="Times New Roman" w:hAnsi="Times New Roman" w:cs="Times New Roman"/>
          <w:sz w:val="24"/>
          <w:szCs w:val="24"/>
        </w:rPr>
        <w:t xml:space="preserve"> and background ionizing radiation</w:t>
      </w:r>
      <w:r w:rsidRPr="00EA3D3B">
        <w:rPr>
          <w:rFonts w:ascii="Times New Roman" w:hAnsi="Times New Roman" w:cs="Times New Roman"/>
          <w:sz w:val="24"/>
          <w:szCs w:val="24"/>
        </w:rPr>
        <w:t xml:space="preserve"> within and around </w:t>
      </w:r>
      <w:r w:rsidR="0020625A" w:rsidRPr="00EA3D3B">
        <w:rPr>
          <w:rFonts w:ascii="Times New Roman" w:hAnsi="Times New Roman" w:cs="Times New Roman"/>
          <w:sz w:val="24"/>
          <w:szCs w:val="24"/>
        </w:rPr>
        <w:t>the cobalt-60 Unit</w:t>
      </w:r>
      <w:r w:rsidRPr="00EA3D3B">
        <w:rPr>
          <w:rFonts w:ascii="Times New Roman" w:hAnsi="Times New Roman" w:cs="Times New Roman"/>
          <w:sz w:val="24"/>
          <w:szCs w:val="24"/>
        </w:rPr>
        <w:t xml:space="preserve"> in </w:t>
      </w:r>
      <w:r w:rsidR="0020625A" w:rsidRPr="00EA3D3B">
        <w:rPr>
          <w:rFonts w:ascii="Times New Roman" w:hAnsi="Times New Roman" w:cs="Times New Roman"/>
          <w:sz w:val="24"/>
          <w:szCs w:val="24"/>
        </w:rPr>
        <w:t xml:space="preserve">the Oncology department of Komfo Anokye Teaching Hospital. Radiation safety monitoring and assessment have become issues of great concern since at high doses, ionizing radiation is carcinogenic and it is essential to determine dose levels to control and evaluate the health implications. </w:t>
      </w:r>
      <w:r w:rsidR="0053250D" w:rsidRPr="00EA3D3B">
        <w:rPr>
          <w:rFonts w:ascii="Times New Roman" w:hAnsi="Times New Roman" w:cs="Times New Roman"/>
          <w:sz w:val="24"/>
          <w:szCs w:val="24"/>
        </w:rPr>
        <w:t xml:space="preserve">The study revealed that the measured gamma dose values </w:t>
      </w:r>
      <w:r w:rsidR="00B530E6" w:rsidRPr="00EA3D3B">
        <w:rPr>
          <w:rFonts w:ascii="Times New Roman" w:hAnsi="Times New Roman" w:cs="Times New Roman"/>
          <w:sz w:val="24"/>
          <w:szCs w:val="24"/>
        </w:rPr>
        <w:t>(</w:t>
      </w:r>
      <w:r w:rsidR="0053250D" w:rsidRPr="00EA3D3B">
        <w:rPr>
          <w:rFonts w:ascii="Times New Roman" w:hAnsi="Times New Roman" w:cs="Times New Roman"/>
          <w:sz w:val="24"/>
          <w:szCs w:val="24"/>
        </w:rPr>
        <w:t>from Absorbed Dose Rate and Background Ionizing Radiation</w:t>
      </w:r>
      <w:r w:rsidR="00B530E6" w:rsidRPr="00EA3D3B">
        <w:rPr>
          <w:rFonts w:ascii="Times New Roman" w:hAnsi="Times New Roman" w:cs="Times New Roman"/>
          <w:sz w:val="24"/>
          <w:szCs w:val="24"/>
        </w:rPr>
        <w:t>)</w:t>
      </w:r>
      <w:r w:rsidR="0053250D" w:rsidRPr="00EA3D3B">
        <w:rPr>
          <w:rFonts w:ascii="Times New Roman" w:hAnsi="Times New Roman" w:cs="Times New Roman"/>
          <w:sz w:val="24"/>
          <w:szCs w:val="24"/>
        </w:rPr>
        <w:t>, the annual effective dose equivalents</w:t>
      </w:r>
      <w:r w:rsidR="005C6824">
        <w:rPr>
          <w:rFonts w:ascii="Times New Roman" w:hAnsi="Times New Roman" w:cs="Times New Roman"/>
          <w:sz w:val="24"/>
          <w:szCs w:val="24"/>
        </w:rPr>
        <w:t>,</w:t>
      </w:r>
      <w:r w:rsidR="0053250D" w:rsidRPr="00EA3D3B">
        <w:rPr>
          <w:rFonts w:ascii="Times New Roman" w:hAnsi="Times New Roman" w:cs="Times New Roman"/>
          <w:sz w:val="24"/>
          <w:szCs w:val="24"/>
        </w:rPr>
        <w:t xml:space="preserve"> and excess lifetime cancer risks were </w:t>
      </w:r>
      <w:r w:rsidR="007C6B56" w:rsidRPr="00EA3D3B">
        <w:rPr>
          <w:rFonts w:ascii="Times New Roman" w:hAnsi="Times New Roman" w:cs="Times New Roman"/>
          <w:sz w:val="24"/>
          <w:szCs w:val="24"/>
        </w:rPr>
        <w:t>determined</w:t>
      </w:r>
      <w:r w:rsidR="0053250D" w:rsidRPr="00EA3D3B">
        <w:rPr>
          <w:rFonts w:ascii="Times New Roman" w:hAnsi="Times New Roman" w:cs="Times New Roman"/>
          <w:sz w:val="24"/>
          <w:szCs w:val="24"/>
        </w:rPr>
        <w:t xml:space="preserve">. The </w:t>
      </w:r>
      <w:r w:rsidR="007C6B56" w:rsidRPr="00EA3D3B">
        <w:rPr>
          <w:rFonts w:ascii="Times New Roman" w:hAnsi="Times New Roman" w:cs="Times New Roman"/>
          <w:sz w:val="24"/>
          <w:szCs w:val="24"/>
        </w:rPr>
        <w:t>mean AEDE estimated for within and around the cobalt-60 unit</w:t>
      </w:r>
      <w:r w:rsidR="0053250D" w:rsidRPr="00EA3D3B">
        <w:rPr>
          <w:rFonts w:ascii="Times New Roman" w:hAnsi="Times New Roman" w:cs="Times New Roman"/>
          <w:sz w:val="24"/>
          <w:szCs w:val="24"/>
        </w:rPr>
        <w:t xml:space="preserve"> w</w:t>
      </w:r>
      <w:r w:rsidR="007C6B56" w:rsidRPr="00EA3D3B">
        <w:rPr>
          <w:rFonts w:ascii="Times New Roman" w:hAnsi="Times New Roman" w:cs="Times New Roman"/>
          <w:sz w:val="24"/>
          <w:szCs w:val="24"/>
        </w:rPr>
        <w:t>ere</w:t>
      </w:r>
      <w:r w:rsidR="0053250D" w:rsidRPr="00EA3D3B">
        <w:rPr>
          <w:rFonts w:ascii="Times New Roman" w:hAnsi="Times New Roman" w:cs="Times New Roman"/>
          <w:sz w:val="24"/>
          <w:szCs w:val="24"/>
        </w:rPr>
        <w:t xml:space="preserve"> found to be approximately 1.6 times higher than the</w:t>
      </w:r>
      <w:r w:rsidR="007C6B56" w:rsidRPr="00EA3D3B">
        <w:rPr>
          <w:rFonts w:ascii="Times New Roman" w:hAnsi="Times New Roman" w:cs="Times New Roman"/>
          <w:sz w:val="24"/>
          <w:szCs w:val="24"/>
        </w:rPr>
        <w:t xml:space="preserve"> permissible</w:t>
      </w:r>
      <w:r w:rsidR="0053250D" w:rsidRPr="00EA3D3B">
        <w:rPr>
          <w:rFonts w:ascii="Times New Roman" w:hAnsi="Times New Roman" w:cs="Times New Roman"/>
          <w:sz w:val="24"/>
          <w:szCs w:val="24"/>
        </w:rPr>
        <w:t xml:space="preserve"> </w:t>
      </w:r>
      <w:r w:rsidR="007C6B56" w:rsidRPr="00EA3D3B">
        <w:rPr>
          <w:rFonts w:ascii="Times New Roman" w:hAnsi="Times New Roman" w:cs="Times New Roman"/>
          <w:sz w:val="24"/>
          <w:szCs w:val="24"/>
        </w:rPr>
        <w:t>A</w:t>
      </w:r>
      <w:r w:rsidR="0053250D" w:rsidRPr="00EA3D3B">
        <w:rPr>
          <w:rFonts w:ascii="Times New Roman" w:hAnsi="Times New Roman" w:cs="Times New Roman"/>
          <w:sz w:val="24"/>
          <w:szCs w:val="24"/>
        </w:rPr>
        <w:t xml:space="preserve">nnual </w:t>
      </w:r>
      <w:r w:rsidR="007C6B56" w:rsidRPr="00EA3D3B">
        <w:rPr>
          <w:rFonts w:ascii="Times New Roman" w:hAnsi="Times New Roman" w:cs="Times New Roman"/>
          <w:sz w:val="24"/>
          <w:szCs w:val="24"/>
        </w:rPr>
        <w:t>D</w:t>
      </w:r>
      <w:r w:rsidR="0053250D" w:rsidRPr="00EA3D3B">
        <w:rPr>
          <w:rFonts w:ascii="Times New Roman" w:hAnsi="Times New Roman" w:cs="Times New Roman"/>
          <w:sz w:val="24"/>
          <w:szCs w:val="24"/>
        </w:rPr>
        <w:t xml:space="preserve">ose </w:t>
      </w:r>
      <w:r w:rsidR="007C6B56" w:rsidRPr="00EA3D3B">
        <w:rPr>
          <w:rFonts w:ascii="Times New Roman" w:hAnsi="Times New Roman" w:cs="Times New Roman"/>
          <w:sz w:val="24"/>
          <w:szCs w:val="24"/>
        </w:rPr>
        <w:t>E</w:t>
      </w:r>
      <w:r w:rsidR="0053250D" w:rsidRPr="00EA3D3B">
        <w:rPr>
          <w:rFonts w:ascii="Times New Roman" w:hAnsi="Times New Roman" w:cs="Times New Roman"/>
          <w:sz w:val="24"/>
          <w:szCs w:val="24"/>
        </w:rPr>
        <w:t>quivalent limit of 1 mSv/</w:t>
      </w:r>
      <w:proofErr w:type="spellStart"/>
      <w:r w:rsidR="0053250D" w:rsidRPr="00EA3D3B">
        <w:rPr>
          <w:rFonts w:ascii="Times New Roman" w:hAnsi="Times New Roman" w:cs="Times New Roman"/>
          <w:sz w:val="24"/>
          <w:szCs w:val="24"/>
        </w:rPr>
        <w:t>yr</w:t>
      </w:r>
      <w:proofErr w:type="spellEnd"/>
      <w:r w:rsidR="0053250D" w:rsidRPr="00EA3D3B">
        <w:rPr>
          <w:rFonts w:ascii="Times New Roman" w:hAnsi="Times New Roman" w:cs="Times New Roman"/>
          <w:sz w:val="24"/>
          <w:szCs w:val="24"/>
        </w:rPr>
        <w:t xml:space="preserve"> for public exposure </w:t>
      </w:r>
      <w:r w:rsidR="002E18E0" w:rsidRPr="00EA3D3B">
        <w:rPr>
          <w:rFonts w:ascii="Times New Roman" w:hAnsi="Times New Roman" w:cs="Times New Roman"/>
          <w:sz w:val="24"/>
          <w:szCs w:val="24"/>
        </w:rPr>
        <w:fldChar w:fldCharType="begin" w:fldLock="1"/>
      </w:r>
      <w:r w:rsidR="002E18E0" w:rsidRPr="00EA3D3B">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(Streffer 2007)</w:t>
      </w:r>
      <w:r w:rsidR="002E18E0" w:rsidRPr="00EA3D3B">
        <w:rPr>
          <w:rFonts w:ascii="Times New Roman" w:hAnsi="Times New Roman" w:cs="Times New Roman"/>
          <w:sz w:val="24"/>
          <w:szCs w:val="24"/>
        </w:rPr>
        <w:fldChar w:fldCharType="end"/>
      </w:r>
      <w:r w:rsidR="002E18E0" w:rsidRPr="00EA3D3B">
        <w:rPr>
          <w:rFonts w:ascii="Times New Roman" w:hAnsi="Times New Roman" w:cs="Times New Roman"/>
          <w:sz w:val="24"/>
          <w:szCs w:val="24"/>
        </w:rPr>
        <w:t xml:space="preserve"> </w:t>
      </w:r>
      <w:r w:rsidR="0053250D" w:rsidRPr="00EA3D3B">
        <w:rPr>
          <w:rFonts w:ascii="Times New Roman" w:hAnsi="Times New Roman" w:cs="Times New Roman"/>
          <w:sz w:val="24"/>
          <w:szCs w:val="24"/>
        </w:rPr>
        <w:t>and approximately 20 times lower than the annual dose equivalent limit of 20 mSv/</w:t>
      </w:r>
      <w:proofErr w:type="spellStart"/>
      <w:r w:rsidR="0053250D" w:rsidRPr="00EA3D3B">
        <w:rPr>
          <w:rFonts w:ascii="Times New Roman" w:hAnsi="Times New Roman" w:cs="Times New Roman"/>
          <w:sz w:val="24"/>
          <w:szCs w:val="24"/>
        </w:rPr>
        <w:t>yr</w:t>
      </w:r>
      <w:proofErr w:type="spellEnd"/>
      <w:r w:rsidR="0053250D" w:rsidRPr="00EA3D3B">
        <w:rPr>
          <w:rFonts w:ascii="Times New Roman" w:hAnsi="Times New Roman" w:cs="Times New Roman"/>
          <w:sz w:val="24"/>
          <w:szCs w:val="24"/>
        </w:rPr>
        <w:t xml:space="preserve"> for occupational workers </w:t>
      </w:r>
      <w:r w:rsidR="002E18E0" w:rsidRPr="00EA3D3B">
        <w:rPr>
          <w:rFonts w:ascii="Times New Roman" w:hAnsi="Times New Roman" w:cs="Times New Roman"/>
          <w:sz w:val="24"/>
          <w:szCs w:val="24"/>
        </w:rPr>
        <w:fldChar w:fldCharType="begin" w:fldLock="1"/>
      </w:r>
      <w:r w:rsidR="002E18E0" w:rsidRPr="00EA3D3B">
        <w:rPr>
          <w:rFonts w:ascii="Times New Roman" w:hAnsi="Times New Roman" w:cs="Times New Roman"/>
          <w:sz w:val="24"/>
          <w:szCs w:val="24"/>
        </w:rPr>
        <w:instrText>ADDIN CSL_CITATION {"citationItems":[{"id":"ITEM-1","itemData":{"DOI":"10.1093/rpd/ncm246","ISSN":"01448420","PMID":"17933786","author":[{"dropping-particle":"","family":"Streffer","given":"C.","non-dropping-particle":"","parse-names":false,"suffix":""}],"container-title":"Radiation Protection Dosimetry","id":"ITEM-1","issue":"1-4","issued":{"date-parts":[["2007","11","1"]]},"page":"2-7","publisher":"Oxford Academic","title":"The ICRP 2007 recommendations","type":"article-journal","volume":"127"},"uris":["http://www.mendeley.com/documents/?uuid=c61e5fec-aa89-316f-9fc8-f43df4d8a56e"]}],"mendeley":{"formattedCitation":"(Streffer 2007)","plainTextFormattedCitation":"(Streffer 2007)","previouslyFormattedCitation":"(Streffer 2007)"},"properties":{"noteIndex":0},"schema":"https://github.com/citation-style-language/schema/raw/master/csl-citation.json"}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(Streffer 2007)</w:t>
      </w:r>
      <w:r w:rsidR="002E18E0" w:rsidRPr="00EA3D3B">
        <w:rPr>
          <w:rFonts w:ascii="Times New Roman" w:hAnsi="Times New Roman" w:cs="Times New Roman"/>
          <w:sz w:val="24"/>
          <w:szCs w:val="24"/>
        </w:rPr>
        <w:fldChar w:fldCharType="end"/>
      </w:r>
      <w:r w:rsidR="002E18E0" w:rsidRPr="00EA3D3B">
        <w:rPr>
          <w:rFonts w:ascii="Times New Roman" w:hAnsi="Times New Roman" w:cs="Times New Roman"/>
          <w:sz w:val="24"/>
          <w:szCs w:val="24"/>
        </w:rPr>
        <w:t>.</w:t>
      </w:r>
      <w:r w:rsidR="0053250D" w:rsidRPr="00EA3D3B">
        <w:rPr>
          <w:rFonts w:ascii="Times New Roman" w:hAnsi="Times New Roman" w:cs="Times New Roman"/>
          <w:sz w:val="24"/>
          <w:szCs w:val="24"/>
        </w:rPr>
        <w:t xml:space="preserve"> The excess lifetime cancer risks were also found to be 20 times higher than</w:t>
      </w:r>
      <w:r w:rsidR="007C6B56" w:rsidRPr="00EA3D3B">
        <w:rPr>
          <w:rFonts w:ascii="Times New Roman" w:hAnsi="Times New Roman" w:cs="Times New Roman"/>
          <w:sz w:val="24"/>
          <w:szCs w:val="24"/>
        </w:rPr>
        <w:t xml:space="preserve"> the</w:t>
      </w:r>
      <w:r w:rsidR="0053250D" w:rsidRPr="00EA3D3B">
        <w:rPr>
          <w:rFonts w:ascii="Times New Roman" w:hAnsi="Times New Roman" w:cs="Times New Roman"/>
          <w:sz w:val="24"/>
          <w:szCs w:val="24"/>
        </w:rPr>
        <w:t xml:space="preserve"> </w:t>
      </w:r>
      <w:r w:rsidR="007C6B56" w:rsidRPr="00EA3D3B">
        <w:rPr>
          <w:rFonts w:ascii="Times New Roman" w:hAnsi="Times New Roman" w:cs="Times New Roman"/>
          <w:sz w:val="24"/>
          <w:szCs w:val="24"/>
        </w:rPr>
        <w:t xml:space="preserve">average standard value </w:t>
      </w:r>
      <w:r w:rsidR="0053250D" w:rsidRPr="00EA3D3B">
        <w:rPr>
          <w:rFonts w:ascii="Times New Roman" w:eastAsia="Arial" w:hAnsi="Times New Roman" w:cs="Times New Roman"/>
          <w:sz w:val="24"/>
          <w:szCs w:val="24"/>
        </w:rPr>
        <w:t>of 0.29x10</w:t>
      </w:r>
      <w:r w:rsidR="0053250D" w:rsidRPr="00EA3D3B">
        <w:rPr>
          <w:rFonts w:ascii="Times New Roman" w:eastAsia="Arial" w:hAnsi="Times New Roman" w:cs="Times New Roman"/>
          <w:sz w:val="24"/>
          <w:szCs w:val="24"/>
          <w:vertAlign w:val="superscript"/>
        </w:rPr>
        <w:t xml:space="preserve">-3 </w:t>
      </w:r>
      <w:r w:rsidR="0053250D" w:rsidRPr="00EA3D3B">
        <w:rPr>
          <w:rFonts w:ascii="Times New Roman" w:hAnsi="Times New Roman" w:cs="Times New Roman"/>
          <w:sz w:val="24"/>
          <w:szCs w:val="24"/>
        </w:rPr>
        <w:t xml:space="preserve">for natural ionizing radiations </w:t>
      </w:r>
      <w:r w:rsidR="002E18E0" w:rsidRPr="00EA3D3B">
        <w:rPr>
          <w:rFonts w:ascii="Times New Roman" w:hAnsi="Times New Roman" w:cs="Times New Roman"/>
          <w:sz w:val="24"/>
          <w:szCs w:val="24"/>
        </w:rPr>
        <w:fldChar w:fldCharType="begin" w:fldLock="1"/>
      </w:r>
      <w:r w:rsidR="002E18E0" w:rsidRPr="00EA3D3B">
        <w:rPr>
          <w:rFonts w:ascii="Times New Roman" w:hAnsi="Times New Roman" w:cs="Times New Roman"/>
          <w:sz w:val="24"/>
          <w:szCs w:val="24"/>
        </w:rPr>
        <w:instrText>ADDIN CSL_CITATION {"citationItems":[{"id":"ITEM-1","itemData":{"DOI":"10.1016/j.jenvrad.2008.10.012","ISSN":"0265931X","PMID":"19038480","abstract":"The objective of this study is to evaluate and map soil radionuclides' activity concentrations and environmental outdoor gamma dose rates (terrestrial and cosmic) in Kirklareli, Turkey. The excess lifetime cancer risks are also calculated. Outdoor gamma dose rates were determined in 230 sampling stations and soil samples were taken from 177 locations. The coordinates of the readings were determined by the Global Positioning System (GPS). The outdoor gamma dose rates were determined by Eberline smart portable device (ESP-2) and measurements were taken in air for two minutes at 1 m from the ground. The average outdoor gamma dose rate was 118 ± 34 nGy h-1. Annual effective gamma dose of Kirklareli was 144 μSv and the excess lifetime cancer risk of 5.0 × 10-4. Soil samples were analyzed by gamma spectroscopy. The average 226Ra, 238U, 232Th, 137Cs, and 40K activities were 37 ± 18 Bq kg-1, 28 ± 13 Bq kg-1, 40 ± 18 Bq kg-1, 8 ± 5 Bq kg-1 and 667 ± 281 Bq kg-1, respectively. The average soil radionuclides' concentrations of Kirklareli were within the worldwide range although some extreme values had been determined. Annual effective gamma doses and the excess lifetime risks of cancer were higher than the world's average. © 2009 Elsevier Ltd. All rights reserved.","author":[{"dropping-particle":"","family":"Taskin","given":"H.","non-dropping-particle":"","parse-names":false,"suffix":""},{"dropping-particle":"","family":"Karavus","given":"M.","non-dropping-particle":"","parse-names":false,"suffix":""},{"dropping-particle":"","family":"Ay","given":"P.","non-dropping-particle":"","parse-names":false,"suffix":""},{"dropping-particle":"","family":"Topuzoglu","given":"A.","non-dropping-particle":"","parse-names":false,"suffix":""},{"dropping-particle":"","family":"Hidiroglu","given":"S.","non-dropping-particle":"","parse-names":false,"suffix":""},{"dropping-particle":"","family":"Karahan","given":"G.","non-dropping-particle":"","parse-names":false,"suffix":""}],"container-title":"Journal of Environmental Radioactivity","id":"ITEM-1","issue":"1","issued":{"date-parts":[["2009","1"]]},"page":"49-53","publisher":"J Environ Radioact","title":"Radionuclide concentrations in soil and lifetime cancer risk due to gamma radioactivity in Kirklareli, Turkey","type":"article-journal","volume":"100"},"uris":["http://www.mendeley.com/documents/?uuid=553aea68-f619-3bb4-a5c6-5645435f3b9a"]}],"mendeley":{"formattedCitation":"(Taskin et al. 2009)","plainTextFormattedCitation":"(Taskin et al. 2009)","previouslyFormattedCitation":"(Taskin et al. 2009)"},"properties":{"noteIndex":0},"schema":"https://github.com/citation-style-language/schema/raw/master/csl-citation.json"}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(Taskin et al. 2009)</w:t>
      </w:r>
      <w:r w:rsidR="002E18E0" w:rsidRPr="00EA3D3B">
        <w:rPr>
          <w:rFonts w:ascii="Times New Roman" w:hAnsi="Times New Roman" w:cs="Times New Roman"/>
          <w:sz w:val="24"/>
          <w:szCs w:val="24"/>
        </w:rPr>
        <w:fldChar w:fldCharType="end"/>
      </w:r>
      <w:r w:rsidR="0053250D" w:rsidRPr="00EA3D3B">
        <w:rPr>
          <w:rFonts w:ascii="Times New Roman" w:hAnsi="Times New Roman" w:cs="Times New Roman"/>
          <w:sz w:val="24"/>
          <w:szCs w:val="24"/>
        </w:rPr>
        <w:t xml:space="preserve">. </w:t>
      </w:r>
      <w:r w:rsidR="00D61B93" w:rsidRPr="00EA3D3B">
        <w:rPr>
          <w:rFonts w:ascii="Times New Roman" w:hAnsi="Times New Roman" w:cs="Times New Roman"/>
          <w:sz w:val="24"/>
          <w:szCs w:val="24"/>
        </w:rPr>
        <w:t xml:space="preserve">This is observed as such due to the concentration of cobalt source and time spent around the source. </w:t>
      </w:r>
      <w:r w:rsidR="007A2412" w:rsidRPr="00EA3D3B">
        <w:rPr>
          <w:rFonts w:ascii="Times New Roman" w:hAnsi="Times New Roman" w:cs="Times New Roman"/>
          <w:sz w:val="24"/>
          <w:szCs w:val="24"/>
        </w:rPr>
        <w:t>T</w:t>
      </w:r>
      <w:r w:rsidR="0053250D" w:rsidRPr="00EA3D3B">
        <w:rPr>
          <w:rFonts w:ascii="Times New Roman" w:hAnsi="Times New Roman" w:cs="Times New Roman"/>
          <w:sz w:val="24"/>
          <w:szCs w:val="24"/>
        </w:rPr>
        <w:t xml:space="preserve">he calculated excess lifetime cancer risk values were </w:t>
      </w:r>
      <w:r w:rsidR="00D61B93" w:rsidRPr="00EA3D3B">
        <w:rPr>
          <w:rFonts w:ascii="Times New Roman" w:hAnsi="Times New Roman" w:cs="Times New Roman"/>
          <w:sz w:val="24"/>
          <w:szCs w:val="24"/>
        </w:rPr>
        <w:t>elevated</w:t>
      </w:r>
      <w:r w:rsidR="007A2412" w:rsidRPr="00EA3D3B">
        <w:rPr>
          <w:rFonts w:ascii="Times New Roman" w:hAnsi="Times New Roman" w:cs="Times New Roman"/>
          <w:sz w:val="24"/>
          <w:szCs w:val="24"/>
        </w:rPr>
        <w:t xml:space="preserve"> due to </w:t>
      </w:r>
      <w:r w:rsidR="0053250D" w:rsidRPr="00EA3D3B">
        <w:rPr>
          <w:rFonts w:ascii="Times New Roman" w:hAnsi="Times New Roman" w:cs="Times New Roman"/>
          <w:sz w:val="24"/>
          <w:szCs w:val="24"/>
        </w:rPr>
        <w:t>scattered radiation from the radioactive source and the increase</w:t>
      </w:r>
      <w:r w:rsidR="005C6824">
        <w:rPr>
          <w:rFonts w:ascii="Times New Roman" w:hAnsi="Times New Roman" w:cs="Times New Roman"/>
          <w:sz w:val="24"/>
          <w:szCs w:val="24"/>
        </w:rPr>
        <w:t>d</w:t>
      </w:r>
      <w:r w:rsidR="0053250D" w:rsidRPr="00EA3D3B">
        <w:rPr>
          <w:rFonts w:ascii="Times New Roman" w:hAnsi="Times New Roman" w:cs="Times New Roman"/>
          <w:sz w:val="24"/>
          <w:szCs w:val="24"/>
        </w:rPr>
        <w:t xml:space="preserve"> natural background radiation in the facility. Both scattered radiation and natural background radiation should be examined and the workers and people living in the facility should be made aware of the high cancer risk so that the necessary protective measures would be put in place to minimize it. The excess lifetime cancer risks were high and above natural background limit but in terms of occupational exposure, it </w:t>
      </w:r>
      <w:r w:rsidR="00D61B93" w:rsidRPr="00EA3D3B">
        <w:rPr>
          <w:rFonts w:ascii="Times New Roman" w:hAnsi="Times New Roman" w:cs="Times New Roman"/>
          <w:sz w:val="24"/>
          <w:szCs w:val="24"/>
        </w:rPr>
        <w:t xml:space="preserve">implies that AEDE and ELCR values is that the </w:t>
      </w:r>
      <w:r w:rsidR="002A61C9" w:rsidRPr="00EA3D3B">
        <w:rPr>
          <w:rFonts w:ascii="Times New Roman" w:hAnsi="Times New Roman" w:cs="Times New Roman"/>
          <w:sz w:val="24"/>
          <w:szCs w:val="24"/>
        </w:rPr>
        <w:t>Oncology directorate is</w:t>
      </w:r>
      <w:r w:rsidR="00D61B93" w:rsidRPr="00EA3D3B">
        <w:rPr>
          <w:rFonts w:ascii="Times New Roman" w:hAnsi="Times New Roman" w:cs="Times New Roman"/>
          <w:sz w:val="24"/>
          <w:szCs w:val="24"/>
        </w:rPr>
        <w:t xml:space="preserve"> radiation safe for any immediate radiological health effects due to absorbed dose from BIR, but the probability of </w:t>
      </w:r>
      <w:r w:rsidR="002A61C9" w:rsidRPr="00EA3D3B">
        <w:rPr>
          <w:rFonts w:ascii="Times New Roman" w:hAnsi="Times New Roman" w:cs="Times New Roman"/>
          <w:sz w:val="24"/>
          <w:szCs w:val="24"/>
        </w:rPr>
        <w:t xml:space="preserve">stochastic effects </w:t>
      </w:r>
      <w:r w:rsidR="00D61B93" w:rsidRPr="00EA3D3B">
        <w:rPr>
          <w:rFonts w:ascii="Times New Roman" w:hAnsi="Times New Roman" w:cs="Times New Roman"/>
          <w:sz w:val="24"/>
          <w:szCs w:val="24"/>
        </w:rPr>
        <w:t>over a life time in the quarry environment is very high</w:t>
      </w:r>
      <w:r w:rsidR="002A61C9" w:rsidRPr="00EA3D3B">
        <w:rPr>
          <w:rFonts w:ascii="Times New Roman" w:hAnsi="Times New Roman" w:cs="Times New Roman"/>
          <w:sz w:val="24"/>
          <w:szCs w:val="24"/>
        </w:rPr>
        <w:t xml:space="preserve">. </w:t>
      </w:r>
      <w:r w:rsidR="0053250D" w:rsidRPr="00EA3D3B">
        <w:rPr>
          <w:rFonts w:ascii="Times New Roman" w:hAnsi="Times New Roman" w:cs="Times New Roman"/>
          <w:sz w:val="24"/>
          <w:szCs w:val="24"/>
        </w:rPr>
        <w:t>It was also observed that the radiation doses were inversely proportional to the distances between the machine and the observation point</w:t>
      </w:r>
      <w:r w:rsidR="002A61C9" w:rsidRPr="00EA3D3B">
        <w:rPr>
          <w:rFonts w:ascii="Times New Roman" w:hAnsi="Times New Roman" w:cs="Times New Roman"/>
          <w:sz w:val="24"/>
          <w:szCs w:val="24"/>
        </w:rPr>
        <w:t xml:space="preserve"> hence recommended that distance from source if possible, should be observed,</w:t>
      </w:r>
      <w:r w:rsidR="00864D63" w:rsidRPr="00EA3D3B">
        <w:rPr>
          <w:rFonts w:ascii="Times New Roman" w:hAnsi="Times New Roman" w:cs="Times New Roman"/>
          <w:sz w:val="24"/>
          <w:szCs w:val="24"/>
        </w:rPr>
        <w:t xml:space="preserve"> minimal time should be observed by occupational workers,</w:t>
      </w:r>
      <w:r w:rsidR="002A61C9" w:rsidRPr="00EA3D3B">
        <w:rPr>
          <w:rFonts w:ascii="Times New Roman" w:hAnsi="Times New Roman" w:cs="Times New Roman"/>
          <w:sz w:val="24"/>
          <w:szCs w:val="24"/>
        </w:rPr>
        <w:t xml:space="preserve"> periodic ADR monitoring and evaluation </w:t>
      </w:r>
      <w:r w:rsidR="00864D63" w:rsidRPr="00EA3D3B">
        <w:rPr>
          <w:rFonts w:ascii="Times New Roman" w:hAnsi="Times New Roman" w:cs="Times New Roman"/>
          <w:sz w:val="24"/>
          <w:szCs w:val="24"/>
        </w:rPr>
        <w:t xml:space="preserve">of </w:t>
      </w:r>
      <w:r w:rsidR="002A61C9" w:rsidRPr="00EA3D3B">
        <w:rPr>
          <w:rFonts w:ascii="Times New Roman" w:hAnsi="Times New Roman" w:cs="Times New Roman"/>
          <w:sz w:val="24"/>
          <w:szCs w:val="24"/>
        </w:rPr>
        <w:t>radioactivity concentration of the cobalt source should be accessed</w:t>
      </w:r>
      <w:r w:rsidR="00864D63" w:rsidRPr="00EA3D3B">
        <w:rPr>
          <w:rFonts w:ascii="Times New Roman" w:hAnsi="Times New Roman" w:cs="Times New Roman"/>
          <w:sz w:val="24"/>
          <w:szCs w:val="24"/>
        </w:rPr>
        <w:t xml:space="preserve"> by the Medical Physicist</w:t>
      </w:r>
      <w:r w:rsidR="002A61C9" w:rsidRPr="00EA3D3B">
        <w:rPr>
          <w:rFonts w:ascii="Times New Roman" w:hAnsi="Times New Roman" w:cs="Times New Roman"/>
          <w:sz w:val="24"/>
          <w:szCs w:val="24"/>
        </w:rPr>
        <w:t xml:space="preserve">. </w:t>
      </w:r>
      <w:r w:rsidR="0053250D" w:rsidRPr="00EA3D3B">
        <w:rPr>
          <w:rFonts w:ascii="Times New Roman" w:hAnsi="Times New Roman" w:cs="Times New Roman"/>
          <w:sz w:val="24"/>
          <w:szCs w:val="24"/>
        </w:rPr>
        <w:t xml:space="preserve">However, there was no significant change in the radiation levels when the teletherapy machine was turned at various gantry angles. The background radiation levels in the oncology facility were higher as compared to other research works at the teaching </w:t>
      </w:r>
      <w:proofErr w:type="spellStart"/>
      <w:r w:rsidR="00864D63" w:rsidRPr="00EA3D3B">
        <w:rPr>
          <w:rFonts w:ascii="Times New Roman" w:hAnsi="Times New Roman" w:cs="Times New Roman"/>
          <w:sz w:val="24"/>
          <w:szCs w:val="24"/>
        </w:rPr>
        <w:t>S</w:t>
      </w:r>
      <w:r w:rsidR="0053250D" w:rsidRPr="00EA3D3B">
        <w:rPr>
          <w:rFonts w:ascii="Times New Roman" w:hAnsi="Times New Roman" w:cs="Times New Roman"/>
          <w:sz w:val="24"/>
          <w:szCs w:val="24"/>
        </w:rPr>
        <w:t>ohag</w:t>
      </w:r>
      <w:proofErr w:type="spellEnd"/>
      <w:r w:rsidR="0053250D" w:rsidRPr="00EA3D3B">
        <w:rPr>
          <w:rFonts w:ascii="Times New Roman" w:hAnsi="Times New Roman" w:cs="Times New Roman"/>
          <w:sz w:val="24"/>
          <w:szCs w:val="24"/>
        </w:rPr>
        <w:t xml:space="preserve"> hospital, Egypt</w:t>
      </w:r>
      <w:r w:rsidR="002E18E0" w:rsidRPr="00EA3D3B">
        <w:rPr>
          <w:rFonts w:ascii="Times New Roman" w:hAnsi="Times New Roman" w:cs="Times New Roman"/>
          <w:sz w:val="24"/>
          <w:szCs w:val="24"/>
        </w:rPr>
        <w:t xml:space="preserve"> </w:t>
      </w:r>
      <w:r w:rsidR="002E18E0" w:rsidRPr="00EA3D3B">
        <w:rPr>
          <w:rFonts w:ascii="Times New Roman" w:hAnsi="Times New Roman" w:cs="Times New Roman"/>
          <w:sz w:val="24"/>
          <w:szCs w:val="24"/>
        </w:rPr>
        <w:fldChar w:fldCharType="begin" w:fldLock="1"/>
      </w:r>
      <w:r w:rsidR="002E18E0" w:rsidRPr="00EA3D3B">
        <w:rPr>
          <w:rFonts w:ascii="Times New Roman" w:hAnsi="Times New Roman" w:cs="Times New Roman"/>
          <w:sz w:val="24"/>
          <w:szCs w:val="24"/>
        </w:rPr>
        <w:instrText>ADDIN CSL_CITATION {"citationItems":[{"id":"ITEM-1","itemData":{"DOI":"10.5923/j.jnpp.20160604.03","author":[{"dropping-particle":"","family":"Harb","given":"S.","non-dropping-particle":"","parse-names":false,"suffix":""}],"container-title":"Journal of Nuclear and Particle Physics","id":"ITEM-1","issue":"4","issued":{"date-parts":[["2016"]]},"page":"88-93","title":"Evaluation of Radiation doses and Radiation Risk in Teaching Sohag Hospital, Egypt","type":"article-journal","volume":"6"},"uris":["http://www.mendeley.com/documents/?uuid=02bd10a2-6d62-3e9e-b9e9-9481871b498f"]}],"mendeley":{"formattedCitation":"(Harb 2016)","plainTextFormattedCitation":"(Harb 2016)","previouslyFormattedCitation":"(Harb 2016)"},"properties":{"noteIndex":0},"schema":"https://github.com/citation-style-language/schema/raw/master/csl-citation.json"}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(Harb 2016)</w:t>
      </w:r>
      <w:r w:rsidR="002E18E0" w:rsidRPr="00EA3D3B">
        <w:rPr>
          <w:rFonts w:ascii="Times New Roman" w:hAnsi="Times New Roman" w:cs="Times New Roman"/>
          <w:sz w:val="24"/>
          <w:szCs w:val="24"/>
        </w:rPr>
        <w:fldChar w:fldCharType="end"/>
      </w:r>
      <w:r w:rsidR="0053250D" w:rsidRPr="00EA3D3B">
        <w:rPr>
          <w:rFonts w:ascii="Times New Roman" w:hAnsi="Times New Roman" w:cs="Times New Roman"/>
          <w:sz w:val="24"/>
          <w:szCs w:val="24"/>
        </w:rPr>
        <w:t xml:space="preserve">, </w:t>
      </w:r>
      <w:r w:rsidR="002E18E0" w:rsidRPr="00EA3D3B">
        <w:rPr>
          <w:rFonts w:ascii="Times New Roman" w:hAnsi="Times New Roman" w:cs="Times New Roman"/>
          <w:sz w:val="24"/>
          <w:szCs w:val="24"/>
        </w:rPr>
        <w:t>some hospitals in</w:t>
      </w:r>
      <w:r w:rsidR="0053250D" w:rsidRPr="00EA3D3B">
        <w:rPr>
          <w:rFonts w:ascii="Times New Roman" w:hAnsi="Times New Roman" w:cs="Times New Roman"/>
          <w:sz w:val="24"/>
          <w:szCs w:val="24"/>
        </w:rPr>
        <w:t xml:space="preserve"> Jos</w:t>
      </w:r>
      <w:r w:rsidR="002E18E0" w:rsidRPr="00EA3D3B">
        <w:rPr>
          <w:rFonts w:ascii="Times New Roman" w:hAnsi="Times New Roman" w:cs="Times New Roman"/>
          <w:sz w:val="24"/>
          <w:szCs w:val="24"/>
        </w:rPr>
        <w:t xml:space="preserve"> </w:t>
      </w:r>
      <w:r w:rsidR="002E18E0" w:rsidRPr="00EA3D3B">
        <w:rPr>
          <w:rFonts w:ascii="Times New Roman" w:hAnsi="Times New Roman" w:cs="Times New Roman"/>
          <w:sz w:val="24"/>
          <w:szCs w:val="24"/>
        </w:rPr>
        <w:fldChar w:fldCharType="begin" w:fldLock="1"/>
      </w:r>
      <w:r w:rsidR="002E18E0" w:rsidRPr="00EA3D3B">
        <w:rPr>
          <w:rFonts w:ascii="Times New Roman" w:hAnsi="Times New Roman" w:cs="Times New Roman"/>
          <w:sz w:val="24"/>
          <w:szCs w:val="24"/>
        </w:rPr>
        <w:instrText>ADDIN CSL_CITATION {"citationItems":[{"id":"ITEM-1","itemData":{"ISSN":"2225-0921","abstract":"Certain types of building materials are known to be radioactive. Exposure to indoor ionizing radiation like exposure to any other type of ionizing radiation results in critical health challenges.  An evaluation of the background ionizing radiation profile within the radiological departments of Skane Radiodiagnostic Centre, Plateau State Specialist Hospital, and their immediate neighbourhood were carried out. These hospitals also harbour a number of active radiation sources. The radiation levels were measured using gamma-scout (model GS2 with serial number A20). The radiation levels were: 2.063 mSv/yr for Skane Radiodiagnositic Centre indoor result and outdoor result was 1.848mSv/yr.  For Plateau State Specialist Hospital indoor result was 2.444mSv/yr, outdoor result was 2.002mSv/yr.    Keywords:  Radiation profile, Hospitals, Plateau State, Radiation sources and Gamma scout","author":[{"dropping-particle":"","family":"Jwanbot","given":"D.I.","non-dropping-particle":"","parse-names":false,"suffix":""},{"dropping-particle":"","family":"Izam","given":"M.M.","non-dropping-particle":"","parse-names":false,"suffix":""},{"dropping-particle":"","family":"Nyam","given":"G..G..","non-dropping-particle":"","parse-names":false,"suffix":""},{"dropping-particle":"","family":"Agada","given":"I.S.","non-dropping-particle":"","parse-names":false,"suffix":""}],"container-title":"Journal of Natural Sciences Research","id":"ITEM-1","issue":"7","issued":{"date-parts":[["2012"]]},"page":"35-40","title":"Evaluation of Indoor Background Ionizing Radiation Profile in Some Hospitals in Jos, Plateau State-Nigeria","type":"article-journal","volume":"2"},"uris":["http://www.mendeley.com/documents/?uuid=49fa4a52-4c73-3a13-914b-ea26eed9994a"]}],"mendeley":{"formattedCitation":"(Jwanbot et al. 2012)","plainTextFormattedCitation":"(Jwanbot et al. 2012)","previouslyFormattedCitation":"(Jwanbot et al. 2012)"},"properties":{"noteIndex":0},"schema":"https://github.com/citation-style-language/schema/raw/master/csl-citation.json"}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 xml:space="preserve">(Jwanbot et al. </w:t>
      </w:r>
      <w:r w:rsidR="002E18E0" w:rsidRPr="00EA3D3B">
        <w:rPr>
          <w:rFonts w:ascii="Times New Roman" w:hAnsi="Times New Roman" w:cs="Times New Roman"/>
          <w:noProof/>
          <w:sz w:val="24"/>
          <w:szCs w:val="24"/>
        </w:rPr>
        <w:lastRenderedPageBreak/>
        <w:t>2012)</w:t>
      </w:r>
      <w:r w:rsidR="002E18E0" w:rsidRPr="00EA3D3B">
        <w:rPr>
          <w:rFonts w:ascii="Times New Roman" w:hAnsi="Times New Roman" w:cs="Times New Roman"/>
          <w:sz w:val="24"/>
          <w:szCs w:val="24"/>
        </w:rPr>
        <w:fldChar w:fldCharType="end"/>
      </w:r>
      <w:r w:rsidR="005C6824">
        <w:rPr>
          <w:rFonts w:ascii="Times New Roman" w:hAnsi="Times New Roman" w:cs="Times New Roman"/>
          <w:sz w:val="24"/>
          <w:szCs w:val="24"/>
        </w:rPr>
        <w:t>,</w:t>
      </w:r>
      <w:r w:rsidR="0053250D" w:rsidRPr="00EA3D3B">
        <w:rPr>
          <w:rFonts w:ascii="Times New Roman" w:hAnsi="Times New Roman" w:cs="Times New Roman"/>
          <w:sz w:val="24"/>
          <w:szCs w:val="24"/>
        </w:rPr>
        <w:t xml:space="preserve"> and the </w:t>
      </w:r>
      <w:proofErr w:type="spellStart"/>
      <w:r w:rsidR="0053250D" w:rsidRPr="00EA3D3B">
        <w:rPr>
          <w:rFonts w:ascii="Times New Roman" w:hAnsi="Times New Roman" w:cs="Times New Roman"/>
          <w:sz w:val="24"/>
          <w:szCs w:val="24"/>
        </w:rPr>
        <w:t>kwali</w:t>
      </w:r>
      <w:proofErr w:type="spellEnd"/>
      <w:r w:rsidR="0053250D" w:rsidRPr="00EA3D3B">
        <w:rPr>
          <w:rFonts w:ascii="Times New Roman" w:hAnsi="Times New Roman" w:cs="Times New Roman"/>
          <w:sz w:val="24"/>
          <w:szCs w:val="24"/>
        </w:rPr>
        <w:t xml:space="preserve"> general hospital, Abuja </w:t>
      </w:r>
      <w:r w:rsidR="002E18E0" w:rsidRPr="00EA3D3B">
        <w:rPr>
          <w:rFonts w:ascii="Times New Roman" w:hAnsi="Times New Roman" w:cs="Times New Roman"/>
          <w:sz w:val="24"/>
          <w:szCs w:val="24"/>
        </w:rPr>
        <w:fldChar w:fldCharType="begin" w:fldLock="1"/>
      </w:r>
      <w:r w:rsidR="00D254CE" w:rsidRPr="00EA3D3B">
        <w:rPr>
          <w:rFonts w:ascii="Times New Roman" w:hAnsi="Times New Roman" w:cs="Times New Roman"/>
          <w:sz w:val="24"/>
          <w:szCs w:val="24"/>
        </w:rPr>
        <w:instrText>ADDIN CSL_CITATION {"citationItems":[{"id":"ITEM-1","itemData":{"DOI":"10.4314/jasem.v19i1.12","ISSN":"1119-8362","author":[{"dropping-particle":"","family":"James","given":"IU","non-dropping-particle":"","parse-names":false,"suffix":""},{"dropping-particle":"","family":"Moses","given":"IF","non-dropping-particle":"","parse-names":false,"suffix":""},{"dropping-particle":"","family":"Vandi","given":"JN","non-dropping-particle":"","parse-names":false,"suffix":""},{"dropping-particle":"","family":"Ikoh","given":"UE","non-dropping-particle":"","parse-names":false,"suffix":""}],"container-title":"Journal of Applied Sciences and Environmental Management","id":"ITEM-1","issue":"1","issued":{"date-parts":[["2015"]]},"page":"89","title":"Measurement of Indoor and Outdoor Background Ionising Radiation Levels of Kwali General Hospital, Abuja","type":"article-journal","volume":"19"},"uris":["http://www.mendeley.com/documents/?uuid=48b80955-b38a-4274-9afa-0043c2bde1aa"]}],"mendeley":{"formattedCitation":"(James et al. 2015)","plainTextFormattedCitation":"(James et al. 2015)","previouslyFormattedCitation":"(James et al. 2015)"},"properties":{"noteIndex":0},"schema":"https://github.com/citation-style-language/schema/raw/master/csl-citation.json"}</w:instrText>
      </w:r>
      <w:r w:rsidR="002E18E0" w:rsidRPr="00EA3D3B">
        <w:rPr>
          <w:rFonts w:ascii="Times New Roman" w:hAnsi="Times New Roman" w:cs="Times New Roman"/>
          <w:sz w:val="24"/>
          <w:szCs w:val="24"/>
        </w:rPr>
        <w:fldChar w:fldCharType="separate"/>
      </w:r>
      <w:r w:rsidR="002E18E0" w:rsidRPr="00EA3D3B">
        <w:rPr>
          <w:rFonts w:ascii="Times New Roman" w:hAnsi="Times New Roman" w:cs="Times New Roman"/>
          <w:noProof/>
          <w:sz w:val="24"/>
          <w:szCs w:val="24"/>
        </w:rPr>
        <w:t>(James et al. 2015)</w:t>
      </w:r>
      <w:r w:rsidR="002E18E0" w:rsidRPr="00EA3D3B">
        <w:rPr>
          <w:rFonts w:ascii="Times New Roman" w:hAnsi="Times New Roman" w:cs="Times New Roman"/>
          <w:sz w:val="24"/>
          <w:szCs w:val="24"/>
        </w:rPr>
        <w:fldChar w:fldCharType="end"/>
      </w:r>
      <w:r w:rsidR="0053250D" w:rsidRPr="00EA3D3B">
        <w:rPr>
          <w:rFonts w:ascii="Times New Roman" w:hAnsi="Times New Roman" w:cs="Times New Roman"/>
          <w:sz w:val="24"/>
          <w:szCs w:val="24"/>
        </w:rPr>
        <w:t xml:space="preserve">; however, not </w:t>
      </w:r>
      <w:r w:rsidR="00864D63" w:rsidRPr="00EA3D3B">
        <w:rPr>
          <w:rFonts w:ascii="Times New Roman" w:hAnsi="Times New Roman" w:cs="Times New Roman"/>
          <w:sz w:val="24"/>
          <w:szCs w:val="24"/>
        </w:rPr>
        <w:t>extreme</w:t>
      </w:r>
      <w:r w:rsidR="0053250D" w:rsidRPr="00EA3D3B">
        <w:rPr>
          <w:rFonts w:ascii="Times New Roman" w:hAnsi="Times New Roman" w:cs="Times New Roman"/>
          <w:sz w:val="24"/>
          <w:szCs w:val="24"/>
        </w:rPr>
        <w:t xml:space="preserve"> to produce any significant radiation hazard to occupational workers for the short term but repeated exposure could lead to cancer</w:t>
      </w:r>
      <w:r w:rsidR="00864D63" w:rsidRPr="00EA3D3B">
        <w:rPr>
          <w:rFonts w:ascii="Times New Roman" w:hAnsi="Times New Roman" w:cs="Times New Roman"/>
          <w:sz w:val="24"/>
          <w:szCs w:val="24"/>
        </w:rPr>
        <w:t xml:space="preserve">. </w:t>
      </w:r>
      <w:r w:rsidR="0053250D" w:rsidRPr="00EA3D3B">
        <w:rPr>
          <w:rFonts w:ascii="Times New Roman" w:hAnsi="Times New Roman" w:cs="Times New Roman"/>
          <w:sz w:val="24"/>
          <w:szCs w:val="24"/>
        </w:rPr>
        <w:t xml:space="preserve">It was concluded that occupational workers such as </w:t>
      </w:r>
      <w:r w:rsidR="005C6824">
        <w:rPr>
          <w:rFonts w:ascii="Times New Roman" w:hAnsi="Times New Roman" w:cs="Times New Roman"/>
          <w:sz w:val="24"/>
          <w:szCs w:val="24"/>
        </w:rPr>
        <w:t xml:space="preserve">an </w:t>
      </w:r>
      <w:r w:rsidR="0053250D" w:rsidRPr="00EA3D3B">
        <w:rPr>
          <w:rFonts w:ascii="Times New Roman" w:hAnsi="Times New Roman" w:cs="Times New Roman"/>
          <w:sz w:val="24"/>
          <w:szCs w:val="24"/>
        </w:rPr>
        <w:t>oncologist, medical physicist, technicians, nurses</w:t>
      </w:r>
      <w:r w:rsidR="005C6824">
        <w:rPr>
          <w:rFonts w:ascii="Times New Roman" w:hAnsi="Times New Roman" w:cs="Times New Roman"/>
          <w:sz w:val="24"/>
          <w:szCs w:val="24"/>
        </w:rPr>
        <w:t>,</w:t>
      </w:r>
      <w:r w:rsidR="0053250D" w:rsidRPr="00EA3D3B">
        <w:rPr>
          <w:rFonts w:ascii="Times New Roman" w:hAnsi="Times New Roman" w:cs="Times New Roman"/>
          <w:sz w:val="24"/>
          <w:szCs w:val="24"/>
        </w:rPr>
        <w:t xml:space="preserve"> and maintenance workers have a </w:t>
      </w:r>
      <w:r w:rsidR="00864D63" w:rsidRPr="00EA3D3B">
        <w:rPr>
          <w:rFonts w:ascii="Times New Roman" w:hAnsi="Times New Roman" w:cs="Times New Roman"/>
          <w:sz w:val="24"/>
          <w:szCs w:val="24"/>
        </w:rPr>
        <w:t>probability</w:t>
      </w:r>
      <w:r w:rsidR="0053250D" w:rsidRPr="00EA3D3B">
        <w:rPr>
          <w:rFonts w:ascii="Times New Roman" w:hAnsi="Times New Roman" w:cs="Times New Roman"/>
          <w:sz w:val="24"/>
          <w:szCs w:val="24"/>
        </w:rPr>
        <w:t xml:space="preserve"> of occupational exposure </w:t>
      </w:r>
      <w:r w:rsidR="00864D63" w:rsidRPr="00EA3D3B">
        <w:rPr>
          <w:rFonts w:ascii="Times New Roman" w:hAnsi="Times New Roman" w:cs="Times New Roman"/>
          <w:sz w:val="24"/>
          <w:szCs w:val="24"/>
        </w:rPr>
        <w:t>effects</w:t>
      </w:r>
      <w:r w:rsidR="0053250D" w:rsidRPr="00EA3D3B">
        <w:rPr>
          <w:rFonts w:ascii="Times New Roman" w:hAnsi="Times New Roman" w:cs="Times New Roman"/>
          <w:sz w:val="24"/>
          <w:szCs w:val="24"/>
        </w:rPr>
        <w:t xml:space="preserve"> when exposed to radiation for long a period and </w:t>
      </w:r>
      <w:r w:rsidR="00864D63" w:rsidRPr="00EA3D3B">
        <w:rPr>
          <w:rFonts w:ascii="Times New Roman" w:hAnsi="Times New Roman" w:cs="Times New Roman"/>
          <w:sz w:val="24"/>
          <w:szCs w:val="24"/>
        </w:rPr>
        <w:t>hence the</w:t>
      </w:r>
      <w:r w:rsidR="0053250D" w:rsidRPr="00EA3D3B">
        <w:rPr>
          <w:rFonts w:ascii="Times New Roman" w:hAnsi="Times New Roman" w:cs="Times New Roman"/>
          <w:sz w:val="24"/>
          <w:szCs w:val="24"/>
        </w:rPr>
        <w:t xml:space="preserve"> need for </w:t>
      </w:r>
      <w:r w:rsidR="00864D63" w:rsidRPr="00EA3D3B">
        <w:rPr>
          <w:rFonts w:ascii="Times New Roman" w:hAnsi="Times New Roman" w:cs="Times New Roman"/>
          <w:sz w:val="24"/>
          <w:szCs w:val="24"/>
        </w:rPr>
        <w:t xml:space="preserve">radiation monitoring </w:t>
      </w:r>
      <w:r w:rsidR="0053250D" w:rsidRPr="00EA3D3B">
        <w:rPr>
          <w:rFonts w:ascii="Times New Roman" w:hAnsi="Times New Roman" w:cs="Times New Roman"/>
          <w:sz w:val="24"/>
          <w:szCs w:val="24"/>
        </w:rPr>
        <w:t>and</w:t>
      </w:r>
      <w:r w:rsidR="00864D63" w:rsidRPr="00EA3D3B">
        <w:rPr>
          <w:rFonts w:ascii="Times New Roman" w:hAnsi="Times New Roman" w:cs="Times New Roman"/>
          <w:sz w:val="24"/>
          <w:szCs w:val="24"/>
        </w:rPr>
        <w:t xml:space="preserve"> </w:t>
      </w:r>
      <w:r w:rsidR="0053250D" w:rsidRPr="00EA3D3B">
        <w:rPr>
          <w:rFonts w:ascii="Times New Roman" w:hAnsi="Times New Roman" w:cs="Times New Roman"/>
          <w:sz w:val="24"/>
          <w:szCs w:val="24"/>
        </w:rPr>
        <w:t>protection</w:t>
      </w:r>
      <w:r w:rsidR="0053250D" w:rsidRPr="00033859">
        <w:rPr>
          <w:rFonts w:ascii="Times New Roman" w:hAnsi="Times New Roman" w:cs="Times New Roman"/>
          <w:sz w:val="24"/>
          <w:szCs w:val="24"/>
        </w:rPr>
        <w:t>.</w:t>
      </w:r>
      <w:r w:rsidR="0053250D">
        <w:rPr>
          <w:rFonts w:ascii="NimbusRomNo9L-Regu" w:hAnsi="NimbusRomNo9L-Regu" w:cs="NimbusRomNo9L-Regu"/>
          <w:sz w:val="24"/>
          <w:szCs w:val="24"/>
        </w:rPr>
        <w:tab/>
      </w:r>
    </w:p>
    <w:p w14:paraId="00AEE839" w14:textId="5C03B7BF" w:rsidR="0053250D" w:rsidRDefault="0053250D" w:rsidP="008E1BA2">
      <w:pPr>
        <w:autoSpaceDE w:val="0"/>
        <w:autoSpaceDN w:val="0"/>
        <w:adjustRightInd w:val="0"/>
        <w:spacing w:after="0" w:line="360" w:lineRule="auto"/>
        <w:jc w:val="both"/>
        <w:rPr>
          <w:rFonts w:ascii="Times New Roman" w:hAnsi="Times New Roman" w:cs="Times New Roman"/>
          <w:sz w:val="24"/>
          <w:szCs w:val="24"/>
        </w:rPr>
      </w:pPr>
    </w:p>
    <w:p w14:paraId="257BEC23" w14:textId="77777777" w:rsidR="00E536B0" w:rsidRDefault="00E536B0" w:rsidP="008E1BA2">
      <w:pPr>
        <w:autoSpaceDE w:val="0"/>
        <w:autoSpaceDN w:val="0"/>
        <w:adjustRightInd w:val="0"/>
        <w:spacing w:after="0" w:line="360" w:lineRule="auto"/>
        <w:jc w:val="both"/>
        <w:rPr>
          <w:rFonts w:ascii="Times New Roman" w:hAnsi="Times New Roman" w:cs="Times New Roman"/>
          <w:sz w:val="24"/>
          <w:szCs w:val="24"/>
        </w:rPr>
      </w:pPr>
    </w:p>
    <w:p w14:paraId="05D33977" w14:textId="1C3FE7ED" w:rsidR="00EC1E19" w:rsidRDefault="00EC1E19" w:rsidP="008E1BA2">
      <w:pPr>
        <w:autoSpaceDE w:val="0"/>
        <w:autoSpaceDN w:val="0"/>
        <w:adjustRightInd w:val="0"/>
        <w:spacing w:after="0" w:line="360" w:lineRule="auto"/>
        <w:jc w:val="both"/>
        <w:rPr>
          <w:rFonts w:ascii="Times New Roman" w:hAnsi="Times New Roman" w:cs="Times New Roman"/>
          <w:sz w:val="24"/>
          <w:szCs w:val="24"/>
        </w:rPr>
      </w:pPr>
    </w:p>
    <w:p w14:paraId="5AB12E30" w14:textId="5A45BF07"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40BE5658" w14:textId="61034FE6"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571D13E7" w14:textId="11916D99"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1326308C" w14:textId="3B21138C"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7EF7AD89" w14:textId="7EC94C23"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0B7AE629" w14:textId="04DC67B9"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1683D9DC" w14:textId="5B49827F"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2E20171B" w14:textId="20233FE7"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03573346" w14:textId="4356BA4E"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71360CD0" w14:textId="41967688"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444E19B2" w14:textId="033C96C9"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46715DAF" w14:textId="21066CE8" w:rsidR="00EE59BE" w:rsidRDefault="00EE59BE" w:rsidP="008E1BA2">
      <w:pPr>
        <w:autoSpaceDE w:val="0"/>
        <w:autoSpaceDN w:val="0"/>
        <w:adjustRightInd w:val="0"/>
        <w:spacing w:after="0" w:line="360" w:lineRule="auto"/>
        <w:jc w:val="both"/>
        <w:rPr>
          <w:rFonts w:ascii="Times New Roman" w:hAnsi="Times New Roman" w:cs="Times New Roman"/>
          <w:sz w:val="24"/>
          <w:szCs w:val="24"/>
        </w:rPr>
      </w:pPr>
    </w:p>
    <w:p w14:paraId="0E8CD747" w14:textId="4C2B6DD9"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3921FA5F" w14:textId="678ECE80"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6C94E2FB" w14:textId="26D4B943"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49D3FF67" w14:textId="64F9F7DE"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64A6FD9A" w14:textId="755BE3BE"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613CF851" w14:textId="7B0F24D9"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0F05887A" w14:textId="62517CAC"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6B28AFD8" w14:textId="12EED7C0"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6FD791FA" w14:textId="77777777"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0D3D1B9A" w14:textId="77777777" w:rsidR="00EA3D3B" w:rsidRDefault="00EA3D3B" w:rsidP="008E1BA2">
      <w:pPr>
        <w:autoSpaceDE w:val="0"/>
        <w:autoSpaceDN w:val="0"/>
        <w:adjustRightInd w:val="0"/>
        <w:spacing w:after="0" w:line="360" w:lineRule="auto"/>
        <w:jc w:val="both"/>
        <w:rPr>
          <w:rFonts w:ascii="Times New Roman" w:hAnsi="Times New Roman" w:cs="Times New Roman"/>
          <w:sz w:val="24"/>
          <w:szCs w:val="24"/>
        </w:rPr>
      </w:pPr>
    </w:p>
    <w:p w14:paraId="78EF0DD9" w14:textId="50D4C2AC" w:rsidR="00EC1E19" w:rsidRDefault="00EC1E19" w:rsidP="008E1B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2099FC2D" w14:textId="4D8D8E30" w:rsidR="00814B2C" w:rsidRPr="00814B2C" w:rsidRDefault="00AE11B9"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14B2C" w:rsidRPr="00814B2C">
        <w:rPr>
          <w:rFonts w:ascii="Times New Roman" w:hAnsi="Times New Roman" w:cs="Times New Roman"/>
          <w:noProof/>
          <w:sz w:val="24"/>
          <w:szCs w:val="24"/>
        </w:rPr>
        <w:t xml:space="preserve">Akram, Muhammad, Hafiz Muhibb Ullah Zulkafal, Saima Altaf, Khalid Iqbal, Muhammad Afzal Khan, and Saeed Ahmed Buzdar. 2018. “Radiation Absorbed Dose for Cobalt-60 Gamma Source in Phantoms for Different Materials.” </w:t>
      </w:r>
      <w:r w:rsidR="00814B2C" w:rsidRPr="00814B2C">
        <w:rPr>
          <w:rFonts w:ascii="Times New Roman" w:hAnsi="Times New Roman" w:cs="Times New Roman"/>
          <w:i/>
          <w:iCs/>
          <w:noProof/>
          <w:sz w:val="24"/>
          <w:szCs w:val="24"/>
        </w:rPr>
        <w:t>Journal of the Pakistan Medical Association</w:t>
      </w:r>
      <w:r w:rsidR="00814B2C" w:rsidRPr="00814B2C">
        <w:rPr>
          <w:rFonts w:ascii="Times New Roman" w:hAnsi="Times New Roman" w:cs="Times New Roman"/>
          <w:noProof/>
          <w:sz w:val="24"/>
          <w:szCs w:val="24"/>
        </w:rPr>
        <w:t xml:space="preserve"> 68 (2): 264–67.</w:t>
      </w:r>
    </w:p>
    <w:p w14:paraId="4E6C02FE"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Emelue, H. 2014. “Excess Lifetime Cancer Risk Due to Gamma Radiation in and Around Warri Refining and Petrochemical Company in Niger Delta, Nigeria.” </w:t>
      </w:r>
      <w:r w:rsidRPr="00814B2C">
        <w:rPr>
          <w:rFonts w:ascii="Times New Roman" w:hAnsi="Times New Roman" w:cs="Times New Roman"/>
          <w:i/>
          <w:iCs/>
          <w:noProof/>
          <w:sz w:val="24"/>
          <w:szCs w:val="24"/>
        </w:rPr>
        <w:t>British Journal of Medicine and Medical Research</w:t>
      </w:r>
      <w:r w:rsidRPr="00814B2C">
        <w:rPr>
          <w:rFonts w:ascii="Times New Roman" w:hAnsi="Times New Roman" w:cs="Times New Roman"/>
          <w:noProof/>
          <w:sz w:val="24"/>
          <w:szCs w:val="24"/>
        </w:rPr>
        <w:t xml:space="preserve"> 4 (13): 2590–98. https://doi.org/10.9734/bjmmr/2014/7180.</w:t>
      </w:r>
    </w:p>
    <w:p w14:paraId="20BBB067"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Ferlay, Jacques, Hai Rim Shin, Freddie Bray, David Forman, Colin Mathers, and Donald Maxwell Parkin. 2010. “Estimates of Worldwide Burden of Cancer in 2008: GLOBOCAN 2008.” </w:t>
      </w:r>
      <w:r w:rsidRPr="00814B2C">
        <w:rPr>
          <w:rFonts w:ascii="Times New Roman" w:hAnsi="Times New Roman" w:cs="Times New Roman"/>
          <w:i/>
          <w:iCs/>
          <w:noProof/>
          <w:sz w:val="24"/>
          <w:szCs w:val="24"/>
        </w:rPr>
        <w:t>International Journal of Cancer</w:t>
      </w:r>
      <w:r w:rsidRPr="00814B2C">
        <w:rPr>
          <w:rFonts w:ascii="Times New Roman" w:hAnsi="Times New Roman" w:cs="Times New Roman"/>
          <w:noProof/>
          <w:sz w:val="24"/>
          <w:szCs w:val="24"/>
        </w:rPr>
        <w:t xml:space="preserve"> 127 (12): 2893–2917. https://doi.org/10.1002/ijc.25516.</w:t>
      </w:r>
    </w:p>
    <w:p w14:paraId="5B6B28FF"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Harb, S. 2016. “Evaluation of Radiation Doses and Radiation Risk in Teaching Sohag Hospital, Egypt.” </w:t>
      </w:r>
      <w:r w:rsidRPr="00814B2C">
        <w:rPr>
          <w:rFonts w:ascii="Times New Roman" w:hAnsi="Times New Roman" w:cs="Times New Roman"/>
          <w:i/>
          <w:iCs/>
          <w:noProof/>
          <w:sz w:val="24"/>
          <w:szCs w:val="24"/>
        </w:rPr>
        <w:t>Journal of Nuclear and Particle Physics</w:t>
      </w:r>
      <w:r w:rsidRPr="00814B2C">
        <w:rPr>
          <w:rFonts w:ascii="Times New Roman" w:hAnsi="Times New Roman" w:cs="Times New Roman"/>
          <w:noProof/>
          <w:sz w:val="24"/>
          <w:szCs w:val="24"/>
        </w:rPr>
        <w:t xml:space="preserve"> 6 (4): 88–93. https://doi.org/10.5923/j.jnpp.20160604.03.</w:t>
      </w:r>
    </w:p>
    <w:p w14:paraId="3910A6B6"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James, IU, IF Moses, JN Vandi, and UE Ikoh. 2015. “Measurement of Indoor and Outdoor Background Ionising Radiation Levels of Kwali General Hospital, Abuja.” </w:t>
      </w:r>
      <w:r w:rsidRPr="00814B2C">
        <w:rPr>
          <w:rFonts w:ascii="Times New Roman" w:hAnsi="Times New Roman" w:cs="Times New Roman"/>
          <w:i/>
          <w:iCs/>
          <w:noProof/>
          <w:sz w:val="24"/>
          <w:szCs w:val="24"/>
        </w:rPr>
        <w:t>Journal of Applied Sciences and Environmental Management</w:t>
      </w:r>
      <w:r w:rsidRPr="00814B2C">
        <w:rPr>
          <w:rFonts w:ascii="Times New Roman" w:hAnsi="Times New Roman" w:cs="Times New Roman"/>
          <w:noProof/>
          <w:sz w:val="24"/>
          <w:szCs w:val="24"/>
        </w:rPr>
        <w:t xml:space="preserve"> 19 (1): 89. https://doi.org/10.4314/jasem.v19i1.12.</w:t>
      </w:r>
    </w:p>
    <w:p w14:paraId="4ED8796B"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Jemal, Ahmedin, Freddie Bray, and Jacques Ferlay. 1999. “Global Cancer Statistics: 2011.” </w:t>
      </w:r>
      <w:r w:rsidRPr="00814B2C">
        <w:rPr>
          <w:rFonts w:ascii="Times New Roman" w:hAnsi="Times New Roman" w:cs="Times New Roman"/>
          <w:i/>
          <w:iCs/>
          <w:noProof/>
          <w:sz w:val="24"/>
          <w:szCs w:val="24"/>
        </w:rPr>
        <w:t>CA Cancer J Clin</w:t>
      </w:r>
      <w:r w:rsidRPr="00814B2C">
        <w:rPr>
          <w:rFonts w:ascii="Times New Roman" w:hAnsi="Times New Roman" w:cs="Times New Roman"/>
          <w:noProof/>
          <w:sz w:val="24"/>
          <w:szCs w:val="24"/>
        </w:rPr>
        <w:t xml:space="preserve"> 49 (2): 1,33-64. https://doi.org/10.3322/caac.20107.Available.</w:t>
      </w:r>
    </w:p>
    <w:p w14:paraId="61B6EDE3"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Jwanbot, D.I., M.M. Izam, G..G.. Nyam, and I.S. Agada. 2012. “Evaluation of Indoor Background Ionizing Radiation Profile in Some Hospitals in Jos, Plateau State-Nigeria.” </w:t>
      </w:r>
      <w:r w:rsidRPr="00814B2C">
        <w:rPr>
          <w:rFonts w:ascii="Times New Roman" w:hAnsi="Times New Roman" w:cs="Times New Roman"/>
          <w:i/>
          <w:iCs/>
          <w:noProof/>
          <w:sz w:val="24"/>
          <w:szCs w:val="24"/>
        </w:rPr>
        <w:t>Journal of Natural Sciences Research</w:t>
      </w:r>
      <w:r w:rsidRPr="00814B2C">
        <w:rPr>
          <w:rFonts w:ascii="Times New Roman" w:hAnsi="Times New Roman" w:cs="Times New Roman"/>
          <w:noProof/>
          <w:sz w:val="24"/>
          <w:szCs w:val="24"/>
        </w:rPr>
        <w:t xml:space="preserve"> 2 (7): 35–40. https://www.iiste.org/Journals/index.php/JNSR/article/view/2763.</w:t>
      </w:r>
    </w:p>
    <w:p w14:paraId="41D10C82" w14:textId="2461631F"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L.Bamidele. 2013. “Measurement of Ionizing Radiation Level in a High Altitude Town of Imesi-Ile, Osun State, Southwestern, Nigeria.” </w:t>
      </w:r>
      <w:r w:rsidRPr="00814B2C">
        <w:rPr>
          <w:rFonts w:ascii="Times New Roman" w:hAnsi="Times New Roman" w:cs="Times New Roman"/>
          <w:i/>
          <w:iCs/>
          <w:noProof/>
          <w:sz w:val="24"/>
          <w:szCs w:val="24"/>
        </w:rPr>
        <w:t>Medwell Journals</w:t>
      </w:r>
      <w:r w:rsidRPr="00814B2C">
        <w:rPr>
          <w:rFonts w:ascii="Times New Roman" w:hAnsi="Times New Roman" w:cs="Times New Roman"/>
          <w:noProof/>
          <w:sz w:val="24"/>
          <w:szCs w:val="24"/>
        </w:rPr>
        <w:t xml:space="preserve"> 7 (4–6): 79–82.</w:t>
      </w:r>
    </w:p>
    <w:p w14:paraId="0BD9B869"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Niu, Shengli. 2011. “Radiation Protection of Workers.” https://www.ilo.org/global/topics/safety-and-health-at-work/resources-library/publications/WCMS_154238/lang--en/index.htm.</w:t>
      </w:r>
    </w:p>
    <w:p w14:paraId="3A845E2D"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Ravichandran, R. 2009. “Has the Time Come for Doing Away with Cobalt-60 Teletherapy for Cancer Treatments.” </w:t>
      </w:r>
      <w:r w:rsidRPr="00814B2C">
        <w:rPr>
          <w:rFonts w:ascii="Times New Roman" w:hAnsi="Times New Roman" w:cs="Times New Roman"/>
          <w:i/>
          <w:iCs/>
          <w:noProof/>
          <w:sz w:val="24"/>
          <w:szCs w:val="24"/>
        </w:rPr>
        <w:t>Journal of Medical Physics</w:t>
      </w:r>
      <w:r w:rsidRPr="00814B2C">
        <w:rPr>
          <w:rFonts w:ascii="Times New Roman" w:hAnsi="Times New Roman" w:cs="Times New Roman"/>
          <w:noProof/>
          <w:sz w:val="24"/>
          <w:szCs w:val="24"/>
        </w:rPr>
        <w:t xml:space="preserve"> 34 (2): 63–65. </w:t>
      </w:r>
      <w:r w:rsidRPr="00814B2C">
        <w:rPr>
          <w:rFonts w:ascii="Times New Roman" w:hAnsi="Times New Roman" w:cs="Times New Roman"/>
          <w:noProof/>
          <w:sz w:val="24"/>
          <w:szCs w:val="24"/>
        </w:rPr>
        <w:lastRenderedPageBreak/>
        <w:t>https://doi.org/10.4103/0971-6203.51931.</w:t>
      </w:r>
    </w:p>
    <w:p w14:paraId="031DA983"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Streffer, C. 2007. “The ICRP 2007 Recommendations.” </w:t>
      </w:r>
      <w:r w:rsidRPr="00814B2C">
        <w:rPr>
          <w:rFonts w:ascii="Times New Roman" w:hAnsi="Times New Roman" w:cs="Times New Roman"/>
          <w:i/>
          <w:iCs/>
          <w:noProof/>
          <w:sz w:val="24"/>
          <w:szCs w:val="24"/>
        </w:rPr>
        <w:t>Radiation Protection Dosimetry</w:t>
      </w:r>
      <w:r w:rsidRPr="00814B2C">
        <w:rPr>
          <w:rFonts w:ascii="Times New Roman" w:hAnsi="Times New Roman" w:cs="Times New Roman"/>
          <w:noProof/>
          <w:sz w:val="24"/>
          <w:szCs w:val="24"/>
        </w:rPr>
        <w:t xml:space="preserve"> 127 (1–4): 2–7. https://doi.org/10.1093/rpd/ncm246.</w:t>
      </w:r>
    </w:p>
    <w:p w14:paraId="23FCACCE"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Sung, Hyuna, Jacques Ferlay, Rebecca L. Siegel, Mathieu Laversanne, Isabelle Soerjomataram, Ahmedin Jemal, and Freddie Bray. 2021. “Global Cancer Statistics 2020: GLOBOCAN Estimates of Incidence and Mortality Worldwide for 36 Cancers in 185 Countries.” </w:t>
      </w:r>
      <w:r w:rsidRPr="00814B2C">
        <w:rPr>
          <w:rFonts w:ascii="Times New Roman" w:hAnsi="Times New Roman" w:cs="Times New Roman"/>
          <w:i/>
          <w:iCs/>
          <w:noProof/>
          <w:sz w:val="24"/>
          <w:szCs w:val="24"/>
        </w:rPr>
        <w:t>CA: A Cancer Journal for Clinicians</w:t>
      </w:r>
      <w:r w:rsidRPr="00814B2C">
        <w:rPr>
          <w:rFonts w:ascii="Times New Roman" w:hAnsi="Times New Roman" w:cs="Times New Roman"/>
          <w:noProof/>
          <w:sz w:val="24"/>
          <w:szCs w:val="24"/>
        </w:rPr>
        <w:t xml:space="preserve"> 0 (0): 1–41. https://doi.org/10.3322/caac.21660.</w:t>
      </w:r>
    </w:p>
    <w:p w14:paraId="2F7E26BE"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Taskin, H., M. Karavus, P. Ay, A. Topuzoglu, S. Hidiroglu, and G. Karahan. 2009. “Radionuclide Concentrations in Soil and Lifetime Cancer Risk Due to Gamma Radioactivity in Kirklareli, Turkey.” </w:t>
      </w:r>
      <w:r w:rsidRPr="00814B2C">
        <w:rPr>
          <w:rFonts w:ascii="Times New Roman" w:hAnsi="Times New Roman" w:cs="Times New Roman"/>
          <w:i/>
          <w:iCs/>
          <w:noProof/>
          <w:sz w:val="24"/>
          <w:szCs w:val="24"/>
        </w:rPr>
        <w:t>Journal of Environmental Radioactivity</w:t>
      </w:r>
      <w:r w:rsidRPr="00814B2C">
        <w:rPr>
          <w:rFonts w:ascii="Times New Roman" w:hAnsi="Times New Roman" w:cs="Times New Roman"/>
          <w:noProof/>
          <w:sz w:val="24"/>
          <w:szCs w:val="24"/>
        </w:rPr>
        <w:t xml:space="preserve"> 100 (1): 49–53. https://doi.org/10.1016/j.jenvrad.2008.10.012.</w:t>
      </w:r>
    </w:p>
    <w:p w14:paraId="15A11194" w14:textId="47247520"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Temaugee, S T, T A Daniel, K O Oladejo, and S Daniel. 2014. “Assessment of Public Awareness of the Detrimental Effects of Ionizing Radiation in Kontagora , Niger State, Nigeria.” </w:t>
      </w:r>
      <w:r w:rsidRPr="00814B2C">
        <w:rPr>
          <w:rFonts w:ascii="Times New Roman" w:hAnsi="Times New Roman" w:cs="Times New Roman"/>
          <w:i/>
          <w:iCs/>
          <w:noProof/>
          <w:sz w:val="24"/>
          <w:szCs w:val="24"/>
        </w:rPr>
        <w:t>International Journal of Science and Technology</w:t>
      </w:r>
      <w:r w:rsidRPr="00814B2C">
        <w:rPr>
          <w:rFonts w:ascii="Times New Roman" w:hAnsi="Times New Roman" w:cs="Times New Roman"/>
          <w:noProof/>
          <w:sz w:val="24"/>
          <w:szCs w:val="24"/>
        </w:rPr>
        <w:t xml:space="preserve"> 4 (7): 134–41.</w:t>
      </w:r>
    </w:p>
    <w:p w14:paraId="5F2C2A57"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“The 2007 Recommendations of the International Commission on Radiological Protection. ICRP Publication 103.” 2007. </w:t>
      </w:r>
      <w:r w:rsidRPr="00814B2C">
        <w:rPr>
          <w:rFonts w:ascii="Times New Roman" w:hAnsi="Times New Roman" w:cs="Times New Roman"/>
          <w:i/>
          <w:iCs/>
          <w:noProof/>
          <w:sz w:val="24"/>
          <w:szCs w:val="24"/>
        </w:rPr>
        <w:t>Annals of the ICRP</w:t>
      </w:r>
      <w:r w:rsidRPr="00814B2C">
        <w:rPr>
          <w:rFonts w:ascii="Times New Roman" w:hAnsi="Times New Roman" w:cs="Times New Roman"/>
          <w:noProof/>
          <w:sz w:val="24"/>
          <w:szCs w:val="24"/>
        </w:rPr>
        <w:t xml:space="preserve"> 37 (2–4): 1–332. https://doi.org/10.1016/j.icrp.2007.10.003.</w:t>
      </w:r>
    </w:p>
    <w:p w14:paraId="3C6121B3" w14:textId="77777777" w:rsidR="00814B2C" w:rsidRPr="00814B2C" w:rsidRDefault="00814B2C" w:rsidP="00814B2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14B2C">
        <w:rPr>
          <w:rFonts w:ascii="Times New Roman" w:hAnsi="Times New Roman" w:cs="Times New Roman"/>
          <w:noProof/>
          <w:sz w:val="24"/>
          <w:szCs w:val="24"/>
        </w:rPr>
        <w:t xml:space="preserve">UNSCEAR. 1993. </w:t>
      </w:r>
      <w:r w:rsidRPr="00814B2C">
        <w:rPr>
          <w:rFonts w:ascii="Times New Roman" w:hAnsi="Times New Roman" w:cs="Times New Roman"/>
          <w:i/>
          <w:iCs/>
          <w:noProof/>
          <w:sz w:val="24"/>
          <w:szCs w:val="24"/>
        </w:rPr>
        <w:t>Sources and Effects of Ionising Radiation 1993. Report to the General Assembly</w:t>
      </w:r>
      <w:r w:rsidRPr="00814B2C">
        <w:rPr>
          <w:rFonts w:ascii="Times New Roman" w:hAnsi="Times New Roman" w:cs="Times New Roman"/>
          <w:noProof/>
          <w:sz w:val="24"/>
          <w:szCs w:val="24"/>
        </w:rPr>
        <w:t>.</w:t>
      </w:r>
    </w:p>
    <w:p w14:paraId="75569E8D" w14:textId="73719E2E" w:rsidR="00814B2C" w:rsidRPr="00814B2C" w:rsidRDefault="00300F2C" w:rsidP="00300F2C">
      <w:pPr>
        <w:widowControl w:val="0"/>
        <w:autoSpaceDE w:val="0"/>
        <w:autoSpaceDN w:val="0"/>
        <w:adjustRightInd w:val="0"/>
        <w:spacing w:after="0" w:line="360" w:lineRule="auto"/>
        <w:rPr>
          <w:rFonts w:ascii="Times New Roman" w:hAnsi="Times New Roman" w:cs="Times New Roman"/>
          <w:noProof/>
          <w:sz w:val="24"/>
        </w:rPr>
      </w:pPr>
      <w:r>
        <w:rPr>
          <w:rFonts w:ascii="Times New Roman" w:hAnsi="Times New Roman" w:cs="Times New Roman"/>
          <w:noProof/>
          <w:sz w:val="24"/>
          <w:szCs w:val="24"/>
        </w:rPr>
        <w:t xml:space="preserve">UNSCEAR </w:t>
      </w:r>
      <w:r w:rsidR="00814B2C" w:rsidRPr="00814B2C">
        <w:rPr>
          <w:rFonts w:ascii="Times New Roman" w:hAnsi="Times New Roman" w:cs="Times New Roman"/>
          <w:noProof/>
          <w:sz w:val="24"/>
          <w:szCs w:val="24"/>
        </w:rPr>
        <w:t>2008. “Sources and Effects of Ionizing Radiation United Nations Scientific Committee on the Effects of Atomic Radiation UNSCEAR 2008 Report.” New York. https://doi.org/10.1093/oxfordjournals.rpd.a079988.</w:t>
      </w:r>
    </w:p>
    <w:p w14:paraId="78760231" w14:textId="231E7876" w:rsidR="00EC1E19" w:rsidRDefault="00AE11B9" w:rsidP="008E1B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7F91609D" w14:textId="77777777" w:rsidR="008E1BA2" w:rsidRPr="00033859" w:rsidRDefault="008E1BA2" w:rsidP="008E1BA2">
      <w:pPr>
        <w:autoSpaceDE w:val="0"/>
        <w:autoSpaceDN w:val="0"/>
        <w:adjustRightInd w:val="0"/>
        <w:spacing w:after="0" w:line="360" w:lineRule="auto"/>
        <w:jc w:val="both"/>
        <w:rPr>
          <w:rFonts w:ascii="Times New Roman" w:hAnsi="Times New Roman" w:cs="Times New Roman"/>
          <w:sz w:val="24"/>
          <w:szCs w:val="24"/>
        </w:rPr>
      </w:pPr>
    </w:p>
    <w:p w14:paraId="35A25F1B" w14:textId="77777777" w:rsidR="008E1BA2" w:rsidRPr="00B20DBD" w:rsidRDefault="008E1BA2" w:rsidP="008E1BA2">
      <w:pPr>
        <w:autoSpaceDE w:val="0"/>
        <w:autoSpaceDN w:val="0"/>
        <w:adjustRightInd w:val="0"/>
        <w:spacing w:after="0" w:line="480" w:lineRule="auto"/>
        <w:jc w:val="both"/>
        <w:rPr>
          <w:rFonts w:ascii="Times New Roman" w:hAnsi="Times New Roman" w:cs="Times New Roman"/>
          <w:sz w:val="24"/>
          <w:szCs w:val="24"/>
        </w:rPr>
      </w:pPr>
    </w:p>
    <w:p w14:paraId="31275E15" w14:textId="77777777" w:rsidR="008E1BA2" w:rsidRPr="00B20DBD" w:rsidRDefault="008E1BA2" w:rsidP="008E1BA2">
      <w:pPr>
        <w:spacing w:line="480" w:lineRule="auto"/>
        <w:jc w:val="both"/>
        <w:rPr>
          <w:rFonts w:ascii="Times New Roman" w:hAnsi="Times New Roman" w:cs="Times New Roman"/>
          <w:sz w:val="24"/>
          <w:szCs w:val="24"/>
        </w:rPr>
      </w:pPr>
    </w:p>
    <w:p w14:paraId="4E512C36" w14:textId="77777777" w:rsidR="008E1BA2" w:rsidRPr="00B20DBD" w:rsidRDefault="008E1BA2" w:rsidP="008E1BA2">
      <w:pPr>
        <w:spacing w:line="480" w:lineRule="auto"/>
        <w:jc w:val="both"/>
        <w:rPr>
          <w:rFonts w:ascii="Times New Roman" w:hAnsi="Times New Roman" w:cs="Times New Roman"/>
          <w:sz w:val="24"/>
          <w:szCs w:val="24"/>
        </w:rPr>
      </w:pPr>
    </w:p>
    <w:p w14:paraId="1B19F2A1" w14:textId="77777777" w:rsidR="008E1BA2" w:rsidRPr="00B20DBD" w:rsidRDefault="008E1BA2" w:rsidP="008E1BA2">
      <w:pPr>
        <w:spacing w:line="480" w:lineRule="auto"/>
        <w:jc w:val="both"/>
        <w:rPr>
          <w:rFonts w:ascii="Times New Roman" w:hAnsi="Times New Roman" w:cs="Times New Roman"/>
          <w:sz w:val="24"/>
          <w:szCs w:val="24"/>
        </w:rPr>
      </w:pPr>
    </w:p>
    <w:p w14:paraId="4D7DCA40" w14:textId="77777777" w:rsidR="008E1BA2" w:rsidRPr="00B20DBD" w:rsidRDefault="008E1BA2" w:rsidP="008E1BA2">
      <w:pPr>
        <w:spacing w:line="480" w:lineRule="auto"/>
        <w:jc w:val="both"/>
        <w:rPr>
          <w:rFonts w:ascii="Times New Roman" w:hAnsi="Times New Roman" w:cs="Times New Roman"/>
          <w:sz w:val="24"/>
          <w:szCs w:val="24"/>
        </w:rPr>
      </w:pPr>
    </w:p>
    <w:p w14:paraId="6DC4E931" w14:textId="77777777" w:rsidR="008E1BA2" w:rsidRPr="00B20DBD" w:rsidRDefault="008E1BA2" w:rsidP="008E1BA2">
      <w:pPr>
        <w:spacing w:line="480" w:lineRule="auto"/>
        <w:ind w:right="266"/>
        <w:jc w:val="both"/>
        <w:rPr>
          <w:rFonts w:ascii="Times New Roman" w:hAnsi="Times New Roman" w:cs="Times New Roman"/>
          <w:sz w:val="24"/>
          <w:szCs w:val="24"/>
        </w:rPr>
      </w:pPr>
    </w:p>
    <w:p w14:paraId="3632E4E1" w14:textId="77777777" w:rsidR="008E1BA2" w:rsidRPr="00B20DBD" w:rsidRDefault="008E1BA2" w:rsidP="008E1BA2">
      <w:pPr>
        <w:spacing w:line="480" w:lineRule="auto"/>
        <w:ind w:right="266"/>
        <w:jc w:val="both"/>
        <w:rPr>
          <w:rFonts w:ascii="Times New Roman" w:hAnsi="Times New Roman" w:cs="Times New Roman"/>
          <w:sz w:val="24"/>
          <w:szCs w:val="24"/>
        </w:rPr>
      </w:pPr>
    </w:p>
    <w:p w14:paraId="59834AC0" w14:textId="77777777" w:rsidR="008E1BA2" w:rsidRPr="00B20DBD" w:rsidRDefault="008E1BA2" w:rsidP="008E1BA2">
      <w:pPr>
        <w:spacing w:line="480" w:lineRule="auto"/>
        <w:ind w:right="266"/>
        <w:jc w:val="both"/>
        <w:rPr>
          <w:rFonts w:ascii="Times New Roman" w:hAnsi="Times New Roman" w:cs="Times New Roman"/>
          <w:sz w:val="24"/>
          <w:szCs w:val="24"/>
        </w:rPr>
      </w:pPr>
    </w:p>
    <w:p w14:paraId="1CD79EBD" w14:textId="77777777" w:rsidR="008E1BA2" w:rsidRPr="00B20DBD" w:rsidRDefault="008E1BA2" w:rsidP="008E1BA2">
      <w:pPr>
        <w:spacing w:line="480" w:lineRule="auto"/>
        <w:jc w:val="both"/>
        <w:rPr>
          <w:rFonts w:ascii="Times New Roman" w:eastAsia="Arial" w:hAnsi="Times New Roman" w:cs="Times New Roman"/>
          <w:b/>
          <w:sz w:val="24"/>
          <w:szCs w:val="24"/>
        </w:rPr>
      </w:pPr>
    </w:p>
    <w:p w14:paraId="44227BCC" w14:textId="77777777" w:rsidR="00F0304C" w:rsidRDefault="00F0304C"/>
    <w:sectPr w:rsidR="00F03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371A" w14:textId="77777777" w:rsidR="00E45FE8" w:rsidRDefault="00E45FE8" w:rsidP="00185CEB">
      <w:pPr>
        <w:spacing w:after="0" w:line="240" w:lineRule="auto"/>
      </w:pPr>
      <w:r>
        <w:separator/>
      </w:r>
    </w:p>
  </w:endnote>
  <w:endnote w:type="continuationSeparator" w:id="0">
    <w:p w14:paraId="67AD4BF8" w14:textId="77777777" w:rsidR="00E45FE8" w:rsidRDefault="00E45FE8" w:rsidP="001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B750" w14:textId="77777777" w:rsidR="00E45FE8" w:rsidRDefault="00E45FE8" w:rsidP="00185CEB">
      <w:pPr>
        <w:spacing w:after="0" w:line="240" w:lineRule="auto"/>
      </w:pPr>
      <w:r>
        <w:separator/>
      </w:r>
    </w:p>
  </w:footnote>
  <w:footnote w:type="continuationSeparator" w:id="0">
    <w:p w14:paraId="56EE6EA4" w14:textId="77777777" w:rsidR="00E45FE8" w:rsidRDefault="00E45FE8" w:rsidP="0018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51FA0"/>
    <w:multiLevelType w:val="multilevel"/>
    <w:tmpl w:val="CD969A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6933FFF"/>
    <w:multiLevelType w:val="hybridMultilevel"/>
    <w:tmpl w:val="2EC6B34A"/>
    <w:lvl w:ilvl="0" w:tplc="68F03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yMrM0Mjc2MLA0MrJU0lEKTi0uzszPAykwrgUAMRzZ6CwAAAA="/>
  </w:docVars>
  <w:rsids>
    <w:rsidRoot w:val="008E1BA2"/>
    <w:rsid w:val="00057745"/>
    <w:rsid w:val="00057B61"/>
    <w:rsid w:val="00076A45"/>
    <w:rsid w:val="000812B5"/>
    <w:rsid w:val="00090941"/>
    <w:rsid w:val="00091137"/>
    <w:rsid w:val="000E25E0"/>
    <w:rsid w:val="000F4311"/>
    <w:rsid w:val="00106574"/>
    <w:rsid w:val="00123247"/>
    <w:rsid w:val="0012354F"/>
    <w:rsid w:val="00131C8D"/>
    <w:rsid w:val="00137C10"/>
    <w:rsid w:val="00154E90"/>
    <w:rsid w:val="00182165"/>
    <w:rsid w:val="00185CEB"/>
    <w:rsid w:val="001A19B9"/>
    <w:rsid w:val="001B1B36"/>
    <w:rsid w:val="001C1FF4"/>
    <w:rsid w:val="001E4513"/>
    <w:rsid w:val="001F0047"/>
    <w:rsid w:val="0020625A"/>
    <w:rsid w:val="002A526C"/>
    <w:rsid w:val="002A571B"/>
    <w:rsid w:val="002A61C9"/>
    <w:rsid w:val="002C021D"/>
    <w:rsid w:val="002C3B28"/>
    <w:rsid w:val="002C4EF9"/>
    <w:rsid w:val="002E18E0"/>
    <w:rsid w:val="002F0686"/>
    <w:rsid w:val="002F619C"/>
    <w:rsid w:val="00300F2C"/>
    <w:rsid w:val="003113DD"/>
    <w:rsid w:val="00322E7C"/>
    <w:rsid w:val="003472CA"/>
    <w:rsid w:val="003551AD"/>
    <w:rsid w:val="00362408"/>
    <w:rsid w:val="003859EE"/>
    <w:rsid w:val="0039344E"/>
    <w:rsid w:val="003A0E05"/>
    <w:rsid w:val="003B13A4"/>
    <w:rsid w:val="003B7AF4"/>
    <w:rsid w:val="003C0C16"/>
    <w:rsid w:val="003F524C"/>
    <w:rsid w:val="00445BB9"/>
    <w:rsid w:val="00464B9A"/>
    <w:rsid w:val="004676CD"/>
    <w:rsid w:val="004D07E9"/>
    <w:rsid w:val="004D3BB2"/>
    <w:rsid w:val="004F0891"/>
    <w:rsid w:val="004F42A5"/>
    <w:rsid w:val="00506DE8"/>
    <w:rsid w:val="00515B93"/>
    <w:rsid w:val="005211CB"/>
    <w:rsid w:val="0053250D"/>
    <w:rsid w:val="0053452B"/>
    <w:rsid w:val="005417E4"/>
    <w:rsid w:val="00547304"/>
    <w:rsid w:val="005521B0"/>
    <w:rsid w:val="0057146C"/>
    <w:rsid w:val="0058038E"/>
    <w:rsid w:val="005A0A43"/>
    <w:rsid w:val="005B200F"/>
    <w:rsid w:val="005C6824"/>
    <w:rsid w:val="005D768B"/>
    <w:rsid w:val="00605052"/>
    <w:rsid w:val="00642364"/>
    <w:rsid w:val="006A736C"/>
    <w:rsid w:val="006B43A9"/>
    <w:rsid w:val="006C39CB"/>
    <w:rsid w:val="006D495B"/>
    <w:rsid w:val="006E5608"/>
    <w:rsid w:val="006E64D8"/>
    <w:rsid w:val="00727D8A"/>
    <w:rsid w:val="00734CEF"/>
    <w:rsid w:val="00734DAF"/>
    <w:rsid w:val="007523DC"/>
    <w:rsid w:val="007740D9"/>
    <w:rsid w:val="00782866"/>
    <w:rsid w:val="007842EC"/>
    <w:rsid w:val="007A2412"/>
    <w:rsid w:val="007B64A5"/>
    <w:rsid w:val="007C6B56"/>
    <w:rsid w:val="007E1E2D"/>
    <w:rsid w:val="007F6507"/>
    <w:rsid w:val="00804673"/>
    <w:rsid w:val="00807BD6"/>
    <w:rsid w:val="008149A8"/>
    <w:rsid w:val="00814B2C"/>
    <w:rsid w:val="008214A1"/>
    <w:rsid w:val="008444F5"/>
    <w:rsid w:val="00864D63"/>
    <w:rsid w:val="008847F6"/>
    <w:rsid w:val="00895562"/>
    <w:rsid w:val="00897597"/>
    <w:rsid w:val="008B2D38"/>
    <w:rsid w:val="008B5784"/>
    <w:rsid w:val="008E1BA2"/>
    <w:rsid w:val="008E1D15"/>
    <w:rsid w:val="008F33CE"/>
    <w:rsid w:val="008F56E3"/>
    <w:rsid w:val="00923933"/>
    <w:rsid w:val="009254E9"/>
    <w:rsid w:val="0093136B"/>
    <w:rsid w:val="00952794"/>
    <w:rsid w:val="00960352"/>
    <w:rsid w:val="009644A5"/>
    <w:rsid w:val="00986737"/>
    <w:rsid w:val="009872E4"/>
    <w:rsid w:val="009A22A0"/>
    <w:rsid w:val="009B6B59"/>
    <w:rsid w:val="009B7539"/>
    <w:rsid w:val="009C063E"/>
    <w:rsid w:val="009C2489"/>
    <w:rsid w:val="009E0E7D"/>
    <w:rsid w:val="00A03737"/>
    <w:rsid w:val="00A04A5F"/>
    <w:rsid w:val="00A072DC"/>
    <w:rsid w:val="00A14B06"/>
    <w:rsid w:val="00A231E5"/>
    <w:rsid w:val="00A759DD"/>
    <w:rsid w:val="00AA2DEB"/>
    <w:rsid w:val="00AA391B"/>
    <w:rsid w:val="00AD05F5"/>
    <w:rsid w:val="00AE11B9"/>
    <w:rsid w:val="00B00ACE"/>
    <w:rsid w:val="00B46DC4"/>
    <w:rsid w:val="00B506EB"/>
    <w:rsid w:val="00B530E6"/>
    <w:rsid w:val="00B57904"/>
    <w:rsid w:val="00B605DF"/>
    <w:rsid w:val="00B63054"/>
    <w:rsid w:val="00B64796"/>
    <w:rsid w:val="00B76ADA"/>
    <w:rsid w:val="00B90EDF"/>
    <w:rsid w:val="00B95865"/>
    <w:rsid w:val="00BA116A"/>
    <w:rsid w:val="00BC3778"/>
    <w:rsid w:val="00BE5DC8"/>
    <w:rsid w:val="00BF5FCF"/>
    <w:rsid w:val="00C47D42"/>
    <w:rsid w:val="00C86C10"/>
    <w:rsid w:val="00CA0376"/>
    <w:rsid w:val="00CB0436"/>
    <w:rsid w:val="00CD13C3"/>
    <w:rsid w:val="00CE607C"/>
    <w:rsid w:val="00CF1C24"/>
    <w:rsid w:val="00CF2476"/>
    <w:rsid w:val="00CF6871"/>
    <w:rsid w:val="00D217E7"/>
    <w:rsid w:val="00D2515E"/>
    <w:rsid w:val="00D254CE"/>
    <w:rsid w:val="00D61041"/>
    <w:rsid w:val="00D61B93"/>
    <w:rsid w:val="00D6237D"/>
    <w:rsid w:val="00D83FF0"/>
    <w:rsid w:val="00D93D69"/>
    <w:rsid w:val="00D96707"/>
    <w:rsid w:val="00E45FE8"/>
    <w:rsid w:val="00E536B0"/>
    <w:rsid w:val="00E60155"/>
    <w:rsid w:val="00EA3D3B"/>
    <w:rsid w:val="00EC1E19"/>
    <w:rsid w:val="00ED4058"/>
    <w:rsid w:val="00ED4C4D"/>
    <w:rsid w:val="00EE59BE"/>
    <w:rsid w:val="00EE663C"/>
    <w:rsid w:val="00EE7769"/>
    <w:rsid w:val="00EF5ECA"/>
    <w:rsid w:val="00EF7318"/>
    <w:rsid w:val="00F0304C"/>
    <w:rsid w:val="00F14142"/>
    <w:rsid w:val="00F40CED"/>
    <w:rsid w:val="00F50F9F"/>
    <w:rsid w:val="00FB036A"/>
    <w:rsid w:val="00FB3720"/>
    <w:rsid w:val="00FC5C42"/>
    <w:rsid w:val="00FD7A32"/>
    <w:rsid w:val="00FF1878"/>
    <w:rsid w:val="00FF1B78"/>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39D9"/>
  <w15:chartTrackingRefBased/>
  <w15:docId w15:val="{8CABFA8B-C3E6-4AB4-AD3E-AAF7C811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A2"/>
    <w:pPr>
      <w:spacing w:after="200" w:line="276" w:lineRule="auto"/>
    </w:pPr>
  </w:style>
  <w:style w:type="paragraph" w:styleId="Heading1">
    <w:name w:val="heading 1"/>
    <w:basedOn w:val="Normal"/>
    <w:next w:val="Normal"/>
    <w:link w:val="Heading1Char"/>
    <w:uiPriority w:val="9"/>
    <w:qFormat/>
    <w:rsid w:val="00923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9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BA2"/>
    <w:pPr>
      <w:spacing w:after="0" w:line="240" w:lineRule="auto"/>
    </w:pPr>
  </w:style>
  <w:style w:type="paragraph" w:styleId="ListParagraph">
    <w:name w:val="List Paragraph"/>
    <w:basedOn w:val="Normal"/>
    <w:uiPriority w:val="34"/>
    <w:qFormat/>
    <w:rsid w:val="008E1BA2"/>
    <w:pPr>
      <w:ind w:left="720"/>
      <w:contextualSpacing/>
    </w:pPr>
  </w:style>
  <w:style w:type="character" w:styleId="CommentReference">
    <w:name w:val="annotation reference"/>
    <w:basedOn w:val="DefaultParagraphFont"/>
    <w:uiPriority w:val="99"/>
    <w:semiHidden/>
    <w:unhideWhenUsed/>
    <w:rsid w:val="008E1BA2"/>
    <w:rPr>
      <w:sz w:val="16"/>
      <w:szCs w:val="16"/>
    </w:rPr>
  </w:style>
  <w:style w:type="table" w:styleId="TableGrid">
    <w:name w:val="Table Grid"/>
    <w:basedOn w:val="TableNormal"/>
    <w:uiPriority w:val="59"/>
    <w:rsid w:val="008E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BA2"/>
    <w:rPr>
      <w:color w:val="0563C1" w:themeColor="hyperlink"/>
      <w:u w:val="single"/>
    </w:rPr>
  </w:style>
  <w:style w:type="paragraph" w:styleId="CommentText">
    <w:name w:val="annotation text"/>
    <w:basedOn w:val="Normal"/>
    <w:link w:val="CommentTextChar"/>
    <w:uiPriority w:val="99"/>
    <w:semiHidden/>
    <w:unhideWhenUsed/>
    <w:rsid w:val="008E1BA2"/>
    <w:pPr>
      <w:spacing w:line="240" w:lineRule="auto"/>
    </w:pPr>
    <w:rPr>
      <w:sz w:val="20"/>
      <w:szCs w:val="20"/>
    </w:rPr>
  </w:style>
  <w:style w:type="character" w:customStyle="1" w:styleId="CommentTextChar">
    <w:name w:val="Comment Text Char"/>
    <w:basedOn w:val="DefaultParagraphFont"/>
    <w:link w:val="CommentText"/>
    <w:uiPriority w:val="99"/>
    <w:semiHidden/>
    <w:rsid w:val="008E1BA2"/>
    <w:rPr>
      <w:sz w:val="20"/>
      <w:szCs w:val="20"/>
    </w:rPr>
  </w:style>
  <w:style w:type="paragraph" w:styleId="BalloonText">
    <w:name w:val="Balloon Text"/>
    <w:basedOn w:val="Normal"/>
    <w:link w:val="BalloonTextChar"/>
    <w:uiPriority w:val="99"/>
    <w:semiHidden/>
    <w:unhideWhenUsed/>
    <w:rsid w:val="008E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A2"/>
    <w:rPr>
      <w:rFonts w:ascii="Segoe UI" w:hAnsi="Segoe UI" w:cs="Segoe UI"/>
      <w:sz w:val="18"/>
      <w:szCs w:val="18"/>
    </w:rPr>
  </w:style>
  <w:style w:type="character" w:customStyle="1" w:styleId="Heading1Char">
    <w:name w:val="Heading 1 Char"/>
    <w:basedOn w:val="DefaultParagraphFont"/>
    <w:link w:val="Heading1"/>
    <w:uiPriority w:val="9"/>
    <w:rsid w:val="009239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3933"/>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42"/>
    <w:rsid w:val="009A22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A22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A2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9A22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urfulAccent3">
    <w:name w:val="Grid Table 7 Colorful Accent 3"/>
    <w:basedOn w:val="TableNormal"/>
    <w:uiPriority w:val="52"/>
    <w:rsid w:val="001A19B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
    <w:name w:val="Grid Table 1 Light"/>
    <w:basedOn w:val="TableNormal"/>
    <w:uiPriority w:val="46"/>
    <w:rsid w:val="001A19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8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EB"/>
  </w:style>
  <w:style w:type="paragraph" w:styleId="Footer">
    <w:name w:val="footer"/>
    <w:basedOn w:val="Normal"/>
    <w:link w:val="FooterChar"/>
    <w:uiPriority w:val="99"/>
    <w:unhideWhenUsed/>
    <w:rsid w:val="0018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EB"/>
  </w:style>
  <w:style w:type="character" w:customStyle="1" w:styleId="UnresolvedMention1">
    <w:name w:val="Unresolved Mention1"/>
    <w:basedOn w:val="DefaultParagraphFont"/>
    <w:uiPriority w:val="99"/>
    <w:semiHidden/>
    <w:unhideWhenUsed/>
    <w:rsid w:val="0009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8773">
      <w:bodyDiv w:val="1"/>
      <w:marLeft w:val="0"/>
      <w:marRight w:val="0"/>
      <w:marTop w:val="0"/>
      <w:marBottom w:val="0"/>
      <w:divBdr>
        <w:top w:val="none" w:sz="0" w:space="0" w:color="auto"/>
        <w:left w:val="none" w:sz="0" w:space="0" w:color="auto"/>
        <w:bottom w:val="none" w:sz="0" w:space="0" w:color="auto"/>
        <w:right w:val="none" w:sz="0" w:space="0" w:color="auto"/>
      </w:divBdr>
      <w:divsChild>
        <w:div w:id="273829950">
          <w:marLeft w:val="0"/>
          <w:marRight w:val="0"/>
          <w:marTop w:val="0"/>
          <w:marBottom w:val="0"/>
          <w:divBdr>
            <w:top w:val="none" w:sz="0" w:space="0" w:color="auto"/>
            <w:left w:val="none" w:sz="0" w:space="0" w:color="auto"/>
            <w:bottom w:val="none" w:sz="0" w:space="0" w:color="auto"/>
            <w:right w:val="none" w:sz="0" w:space="0" w:color="auto"/>
          </w:divBdr>
        </w:div>
        <w:div w:id="383259253">
          <w:marLeft w:val="0"/>
          <w:marRight w:val="0"/>
          <w:marTop w:val="0"/>
          <w:marBottom w:val="0"/>
          <w:divBdr>
            <w:top w:val="none" w:sz="0" w:space="0" w:color="auto"/>
            <w:left w:val="none" w:sz="0" w:space="0" w:color="auto"/>
            <w:bottom w:val="none" w:sz="0" w:space="0" w:color="auto"/>
            <w:right w:val="none" w:sz="0" w:space="0" w:color="auto"/>
          </w:divBdr>
        </w:div>
      </w:divsChild>
    </w:div>
    <w:div w:id="656223089">
      <w:bodyDiv w:val="1"/>
      <w:marLeft w:val="0"/>
      <w:marRight w:val="0"/>
      <w:marTop w:val="0"/>
      <w:marBottom w:val="0"/>
      <w:divBdr>
        <w:top w:val="none" w:sz="0" w:space="0" w:color="auto"/>
        <w:left w:val="none" w:sz="0" w:space="0" w:color="auto"/>
        <w:bottom w:val="none" w:sz="0" w:space="0" w:color="auto"/>
        <w:right w:val="none" w:sz="0" w:space="0" w:color="auto"/>
      </w:divBdr>
      <w:divsChild>
        <w:div w:id="514998859">
          <w:marLeft w:val="0"/>
          <w:marRight w:val="0"/>
          <w:marTop w:val="0"/>
          <w:marBottom w:val="0"/>
          <w:divBdr>
            <w:top w:val="none" w:sz="0" w:space="0" w:color="auto"/>
            <w:left w:val="none" w:sz="0" w:space="0" w:color="auto"/>
            <w:bottom w:val="none" w:sz="0" w:space="0" w:color="auto"/>
            <w:right w:val="none" w:sz="0" w:space="0" w:color="auto"/>
          </w:divBdr>
        </w:div>
        <w:div w:id="112030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taddison@gmail.com"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maaniagyei@gmail.com"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chart" Target="charts/chart3.xml"/><Relationship Id="rId10" Type="http://schemas.openxmlformats.org/officeDocument/2006/relationships/hyperlink" Target="mailto:Clementaddison96@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opokuasamoahrichard@gmail.com" TargetMode="External"/><Relationship Id="rId14" Type="http://schemas.openxmlformats.org/officeDocument/2006/relationships/image" Target="media/image2.wmf"/><Relationship Id="rId22" Type="http://schemas.openxmlformats.org/officeDocument/2006/relationships/image" Target="media/image9.png"/><Relationship Id="rId27" Type="http://schemas.openxmlformats.org/officeDocument/2006/relationships/chart" Target="charts/chart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NA\Desktop\Publication\safety%20publication\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Graphical</a:t>
            </a:r>
            <a:r>
              <a:rPr lang="en-US" sz="1200" baseline="0">
                <a:solidFill>
                  <a:sysClr val="windowText" lastClr="000000"/>
                </a:solidFill>
                <a:latin typeface="Times New Roman" panose="02020603050405020304" pitchFamily="18" charset="0"/>
                <a:cs typeface="Times New Roman" panose="02020603050405020304" pitchFamily="18" charset="0"/>
              </a:rPr>
              <a:t> representation of Absorbed Dose Rate</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H"/>
        </a:p>
      </c:txPr>
    </c:title>
    <c:autoTitleDeleted val="0"/>
    <c:plotArea>
      <c:layout/>
      <c:barChart>
        <c:barDir val="col"/>
        <c:grouping val="stacked"/>
        <c:varyColors val="0"/>
        <c:ser>
          <c:idx val="0"/>
          <c:order val="0"/>
          <c:tx>
            <c:strRef>
              <c:f>Sheet1!$B$1</c:f>
              <c:strCache>
                <c:ptCount val="1"/>
                <c:pt idx="0">
                  <c:v>Absorbed dose rate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Nuclear medicine Bunker</c:v>
                </c:pt>
                <c:pt idx="1">
                  <c:v>Simulator room area</c:v>
                </c:pt>
                <c:pt idx="2">
                  <c:v>Administration area</c:v>
                </c:pt>
                <c:pt idx="3">
                  <c:v>Conference room area</c:v>
                </c:pt>
                <c:pt idx="4">
                  <c:v>Linac maze</c:v>
                </c:pt>
                <c:pt idx="5">
                  <c:v>Control console room</c:v>
                </c:pt>
                <c:pt idx="6">
                  <c:v>Chemotherapy room area</c:v>
                </c:pt>
                <c:pt idx="7">
                  <c:v>cobalt bunker room</c:v>
                </c:pt>
                <c:pt idx="8">
                  <c:v>Nurses office area</c:v>
                </c:pt>
                <c:pt idx="9">
                  <c:v>Dosimetry room area</c:v>
                </c:pt>
                <c:pt idx="10">
                  <c:v>Nuclear medicine room area</c:v>
                </c:pt>
                <c:pt idx="11">
                  <c:v>Records area</c:v>
                </c:pt>
                <c:pt idx="12">
                  <c:v>Patients waiting area</c:v>
                </c:pt>
                <c:pt idx="13">
                  <c:v>Radiotherapist  area</c:v>
                </c:pt>
                <c:pt idx="14">
                  <c:v>OPD</c:v>
                </c:pt>
              </c:strCache>
            </c:strRef>
          </c:cat>
          <c:val>
            <c:numRef>
              <c:f>Sheet1!$B$2:$B$16</c:f>
              <c:numCache>
                <c:formatCode>General</c:formatCode>
                <c:ptCount val="15"/>
                <c:pt idx="0">
                  <c:v>0.52100000000000002</c:v>
                </c:pt>
                <c:pt idx="1">
                  <c:v>0.46600000000000003</c:v>
                </c:pt>
                <c:pt idx="2">
                  <c:v>0.313</c:v>
                </c:pt>
                <c:pt idx="3">
                  <c:v>0.46899999999999997</c:v>
                </c:pt>
                <c:pt idx="4">
                  <c:v>0.51500000000000001</c:v>
                </c:pt>
                <c:pt idx="5">
                  <c:v>0.56399999999999995</c:v>
                </c:pt>
                <c:pt idx="6">
                  <c:v>0.317</c:v>
                </c:pt>
                <c:pt idx="7">
                  <c:v>0.67800000000000005</c:v>
                </c:pt>
                <c:pt idx="8">
                  <c:v>0.26800000000000002</c:v>
                </c:pt>
                <c:pt idx="9">
                  <c:v>0.46300000000000002</c:v>
                </c:pt>
                <c:pt idx="10">
                  <c:v>0.46700000000000003</c:v>
                </c:pt>
                <c:pt idx="11">
                  <c:v>0.28100000000000003</c:v>
                </c:pt>
                <c:pt idx="12">
                  <c:v>0.50900000000000001</c:v>
                </c:pt>
                <c:pt idx="13">
                  <c:v>0.30199999999999999</c:v>
                </c:pt>
                <c:pt idx="14">
                  <c:v>0.45500000000000002</c:v>
                </c:pt>
              </c:numCache>
            </c:numRef>
          </c:val>
          <c:extLst>
            <c:ext xmlns:c16="http://schemas.microsoft.com/office/drawing/2014/chart" uri="{C3380CC4-5D6E-409C-BE32-E72D297353CC}">
              <c16:uniqueId val="{00000000-D9DD-40C0-B896-50323A7BD780}"/>
            </c:ext>
          </c:extLst>
        </c:ser>
        <c:ser>
          <c:idx val="1"/>
          <c:order val="1"/>
          <c:tx>
            <c:strRef>
              <c:f>Sheet1!$C$1</c:f>
              <c:strCache>
                <c:ptCount val="1"/>
                <c:pt idx="0">
                  <c:v>ICRP Maximum permissible limit for background radiation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Nuclear medicine Bunker</c:v>
                </c:pt>
                <c:pt idx="1">
                  <c:v>Simulator room area</c:v>
                </c:pt>
                <c:pt idx="2">
                  <c:v>Administration area</c:v>
                </c:pt>
                <c:pt idx="3">
                  <c:v>Conference room area</c:v>
                </c:pt>
                <c:pt idx="4">
                  <c:v>Linac maze</c:v>
                </c:pt>
                <c:pt idx="5">
                  <c:v>Control console room</c:v>
                </c:pt>
                <c:pt idx="6">
                  <c:v>Chemotherapy room area</c:v>
                </c:pt>
                <c:pt idx="7">
                  <c:v>cobalt bunker room</c:v>
                </c:pt>
                <c:pt idx="8">
                  <c:v>Nurses office area</c:v>
                </c:pt>
                <c:pt idx="9">
                  <c:v>Dosimetry room area</c:v>
                </c:pt>
                <c:pt idx="10">
                  <c:v>Nuclear medicine room area</c:v>
                </c:pt>
                <c:pt idx="11">
                  <c:v>Records area</c:v>
                </c:pt>
                <c:pt idx="12">
                  <c:v>Patients waiting area</c:v>
                </c:pt>
                <c:pt idx="13">
                  <c:v>Radiotherapist  area</c:v>
                </c:pt>
                <c:pt idx="14">
                  <c:v>OPD</c:v>
                </c:pt>
              </c:strCache>
            </c:strRef>
          </c:cat>
          <c:val>
            <c:numRef>
              <c:f>Sheet1!$C$2:$C$16</c:f>
              <c:numCache>
                <c:formatCode>General</c:formatCode>
                <c:ptCount val="15"/>
                <c:pt idx="0">
                  <c:v>0.56999999999999995</c:v>
                </c:pt>
                <c:pt idx="1">
                  <c:v>0.56999999999999995</c:v>
                </c:pt>
                <c:pt idx="2">
                  <c:v>0.56999999999999995</c:v>
                </c:pt>
                <c:pt idx="3">
                  <c:v>0.56999999999999995</c:v>
                </c:pt>
                <c:pt idx="4">
                  <c:v>0.56999999999999995</c:v>
                </c:pt>
                <c:pt idx="5">
                  <c:v>0.56999999999999995</c:v>
                </c:pt>
                <c:pt idx="6">
                  <c:v>0.56999999999999995</c:v>
                </c:pt>
                <c:pt idx="7">
                  <c:v>0.56999999999999995</c:v>
                </c:pt>
                <c:pt idx="8">
                  <c:v>0.56999999999999995</c:v>
                </c:pt>
                <c:pt idx="9">
                  <c:v>0.56999999999999995</c:v>
                </c:pt>
                <c:pt idx="10">
                  <c:v>0.56999999999999995</c:v>
                </c:pt>
                <c:pt idx="11">
                  <c:v>0.56999999999999995</c:v>
                </c:pt>
                <c:pt idx="12">
                  <c:v>0.56999999999999995</c:v>
                </c:pt>
                <c:pt idx="13">
                  <c:v>0.56999999999999995</c:v>
                </c:pt>
                <c:pt idx="14">
                  <c:v>0.56999999999999995</c:v>
                </c:pt>
              </c:numCache>
            </c:numRef>
          </c:val>
          <c:extLst>
            <c:ext xmlns:c16="http://schemas.microsoft.com/office/drawing/2014/chart" uri="{C3380CC4-5D6E-409C-BE32-E72D297353CC}">
              <c16:uniqueId val="{00000001-D9DD-40C0-B896-50323A7BD780}"/>
            </c:ext>
          </c:extLst>
        </c:ser>
        <c:dLbls>
          <c:dLblPos val="ctr"/>
          <c:showLegendKey val="0"/>
          <c:showVal val="1"/>
          <c:showCatName val="0"/>
          <c:showSerName val="0"/>
          <c:showPercent val="0"/>
          <c:showBubbleSize val="0"/>
        </c:dLbls>
        <c:gapWidth val="150"/>
        <c:overlap val="100"/>
        <c:axId val="683532848"/>
        <c:axId val="683534024"/>
      </c:barChart>
      <c:catAx>
        <c:axId val="683532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Locations</a:t>
                </a:r>
                <a:r>
                  <a:rPr lang="en-US" sz="1200" baseline="0">
                    <a:solidFill>
                      <a:sysClr val="windowText" lastClr="000000"/>
                    </a:solidFill>
                    <a:latin typeface="Times New Roman" panose="02020603050405020304" pitchFamily="18" charset="0"/>
                    <a:cs typeface="Times New Roman" panose="02020603050405020304" pitchFamily="18" charset="0"/>
                  </a:rPr>
                  <a:t> within radiotherapy facility</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1722912682095961"/>
              <c:y val="0.860888451443569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crossAx val="683534024"/>
        <c:crossesAt val="0.2"/>
        <c:auto val="1"/>
        <c:lblAlgn val="ctr"/>
        <c:lblOffset val="100"/>
        <c:noMultiLvlLbl val="0"/>
      </c:catAx>
      <c:valAx>
        <c:axId val="683534024"/>
        <c:scaling>
          <c:orientation val="minMax"/>
          <c:max val="0.60000000000000009"/>
          <c:min val="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Absorbed</a:t>
                </a:r>
                <a:r>
                  <a:rPr lang="en-US" sz="1200" baseline="0">
                    <a:solidFill>
                      <a:sysClr val="windowText" lastClr="000000"/>
                    </a:solidFill>
                    <a:latin typeface="Times New Roman" panose="02020603050405020304" pitchFamily="18" charset="0"/>
                    <a:cs typeface="Times New Roman" panose="02020603050405020304" pitchFamily="18" charset="0"/>
                  </a:rPr>
                  <a:t> dose rate</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683532848"/>
        <c:crosses val="autoZero"/>
        <c:crossBetween val="between"/>
        <c:majorUnit val="0.2"/>
        <c:min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Graphical Representation of Annual Effective Dose Equivalent </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title>
    <c:autoTitleDeleted val="0"/>
    <c:plotArea>
      <c:layout>
        <c:manualLayout>
          <c:layoutTarget val="inner"/>
          <c:xMode val="edge"/>
          <c:yMode val="edge"/>
          <c:x val="0.15106434625608103"/>
          <c:y val="9.5682944090587405E-2"/>
          <c:w val="0.82345794673754957"/>
          <c:h val="0.43267945010058456"/>
        </c:manualLayout>
      </c:layout>
      <c:barChart>
        <c:barDir val="col"/>
        <c:grouping val="stacked"/>
        <c:varyColors val="0"/>
        <c:ser>
          <c:idx val="0"/>
          <c:order val="0"/>
          <c:tx>
            <c:strRef>
              <c:f>Sheet1!$B$1</c:f>
              <c:strCache>
                <c:ptCount val="1"/>
                <c:pt idx="0">
                  <c:v>Annual Effective Dose Equivalent limit for Public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Nuclear Medicine Bunker Bunker</c:v>
                </c:pt>
                <c:pt idx="1">
                  <c:v>Simulator Room Area</c:v>
                </c:pt>
                <c:pt idx="2">
                  <c:v>Administration Area</c:v>
                </c:pt>
                <c:pt idx="3">
                  <c:v>Conference Room Area</c:v>
                </c:pt>
                <c:pt idx="4">
                  <c:v>Linac Maze</c:v>
                </c:pt>
                <c:pt idx="5">
                  <c:v>Control Console Room</c:v>
                </c:pt>
                <c:pt idx="6">
                  <c:v>Chemptherapy Room Area</c:v>
                </c:pt>
                <c:pt idx="7">
                  <c:v>Cobalt Bunker Room</c:v>
                </c:pt>
                <c:pt idx="8">
                  <c:v>Nurses Office Area</c:v>
                </c:pt>
                <c:pt idx="9">
                  <c:v>Dosimetry Room Area</c:v>
                </c:pt>
                <c:pt idx="10">
                  <c:v>Nuclear Room Area</c:v>
                </c:pt>
                <c:pt idx="11">
                  <c:v>SPECT-CT Control Console Area</c:v>
                </c:pt>
                <c:pt idx="12">
                  <c:v>Records Area</c:v>
                </c:pt>
                <c:pt idx="13">
                  <c:v>Patients Waiting Area</c:v>
                </c:pt>
                <c:pt idx="14">
                  <c:v>Radiotherapists Area</c:v>
                </c:pt>
                <c:pt idx="15">
                  <c:v>OPD Area</c:v>
                </c:pt>
              </c:strCache>
            </c:strRef>
          </c:cat>
          <c:val>
            <c:numRef>
              <c:f>Sheet1!$B$2:$B$17</c:f>
              <c:numCache>
                <c:formatCode>General</c:formatCode>
                <c:ptCount val="1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0-59DD-492E-92C0-75ED2B2C0F25}"/>
            </c:ext>
          </c:extLst>
        </c:ser>
        <c:ser>
          <c:idx val="1"/>
          <c:order val="1"/>
          <c:tx>
            <c:strRef>
              <c:f>Sheet1!$C$1</c:f>
              <c:strCache>
                <c:ptCount val="1"/>
                <c:pt idx="0">
                  <c:v>Estimated Annual Effective Dose Equivalent within raditherapy facility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Nuclear Medicine Bunker Bunker</c:v>
                </c:pt>
                <c:pt idx="1">
                  <c:v>Simulator Room Area</c:v>
                </c:pt>
                <c:pt idx="2">
                  <c:v>Administration Area</c:v>
                </c:pt>
                <c:pt idx="3">
                  <c:v>Conference Room Area</c:v>
                </c:pt>
                <c:pt idx="4">
                  <c:v>Linac Maze</c:v>
                </c:pt>
                <c:pt idx="5">
                  <c:v>Control Console Room</c:v>
                </c:pt>
                <c:pt idx="6">
                  <c:v>Chemptherapy Room Area</c:v>
                </c:pt>
                <c:pt idx="7">
                  <c:v>Cobalt Bunker Room</c:v>
                </c:pt>
                <c:pt idx="8">
                  <c:v>Nurses Office Area</c:v>
                </c:pt>
                <c:pt idx="9">
                  <c:v>Dosimetry Room Area</c:v>
                </c:pt>
                <c:pt idx="10">
                  <c:v>Nuclear Room Area</c:v>
                </c:pt>
                <c:pt idx="11">
                  <c:v>SPECT-CT Control Console Area</c:v>
                </c:pt>
                <c:pt idx="12">
                  <c:v>Records Area</c:v>
                </c:pt>
                <c:pt idx="13">
                  <c:v>Patients Waiting Area</c:v>
                </c:pt>
                <c:pt idx="14">
                  <c:v>Radiotherapists Area</c:v>
                </c:pt>
                <c:pt idx="15">
                  <c:v>OPD Area</c:v>
                </c:pt>
              </c:strCache>
            </c:strRef>
          </c:cat>
          <c:val>
            <c:numRef>
              <c:f>Sheet1!$C$2:$C$17</c:f>
              <c:numCache>
                <c:formatCode>General</c:formatCode>
                <c:ptCount val="16"/>
                <c:pt idx="0">
                  <c:v>1.8839999999999999</c:v>
                </c:pt>
                <c:pt idx="1">
                  <c:v>1.7150000000000001</c:v>
                </c:pt>
                <c:pt idx="2">
                  <c:v>1.1519999999999999</c:v>
                </c:pt>
                <c:pt idx="3">
                  <c:v>1.726</c:v>
                </c:pt>
                <c:pt idx="4">
                  <c:v>1.895</c:v>
                </c:pt>
                <c:pt idx="5">
                  <c:v>2.0760000000000001</c:v>
                </c:pt>
                <c:pt idx="6">
                  <c:v>1.167</c:v>
                </c:pt>
                <c:pt idx="7">
                  <c:v>2.4950000000000001</c:v>
                </c:pt>
                <c:pt idx="8">
                  <c:v>0.98599999999999999</c:v>
                </c:pt>
                <c:pt idx="9">
                  <c:v>1.704</c:v>
                </c:pt>
                <c:pt idx="10">
                  <c:v>1.7190000000000001</c:v>
                </c:pt>
                <c:pt idx="11">
                  <c:v>1.7190000000000001</c:v>
                </c:pt>
                <c:pt idx="12">
                  <c:v>1.034</c:v>
                </c:pt>
                <c:pt idx="13">
                  <c:v>1.873</c:v>
                </c:pt>
                <c:pt idx="14">
                  <c:v>1.111</c:v>
                </c:pt>
                <c:pt idx="15">
                  <c:v>1.6739999999999999</c:v>
                </c:pt>
              </c:numCache>
            </c:numRef>
          </c:val>
          <c:extLst>
            <c:ext xmlns:c16="http://schemas.microsoft.com/office/drawing/2014/chart" uri="{C3380CC4-5D6E-409C-BE32-E72D297353CC}">
              <c16:uniqueId val="{00000001-59DD-492E-92C0-75ED2B2C0F25}"/>
            </c:ext>
          </c:extLst>
        </c:ser>
        <c:ser>
          <c:idx val="2"/>
          <c:order val="2"/>
          <c:tx>
            <c:strRef>
              <c:f>Sheet1!$D$1</c:f>
              <c:strCache>
                <c:ptCount val="1"/>
                <c:pt idx="0">
                  <c:v>Annual Effective Dose equivalent limit for Occupational Workers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Nuclear Medicine Bunker Bunker</c:v>
                </c:pt>
                <c:pt idx="1">
                  <c:v>Simulator Room Area</c:v>
                </c:pt>
                <c:pt idx="2">
                  <c:v>Administration Area</c:v>
                </c:pt>
                <c:pt idx="3">
                  <c:v>Conference Room Area</c:v>
                </c:pt>
                <c:pt idx="4">
                  <c:v>Linac Maze</c:v>
                </c:pt>
                <c:pt idx="5">
                  <c:v>Control Console Room</c:v>
                </c:pt>
                <c:pt idx="6">
                  <c:v>Chemptherapy Room Area</c:v>
                </c:pt>
                <c:pt idx="7">
                  <c:v>Cobalt Bunker Room</c:v>
                </c:pt>
                <c:pt idx="8">
                  <c:v>Nurses Office Area</c:v>
                </c:pt>
                <c:pt idx="9">
                  <c:v>Dosimetry Room Area</c:v>
                </c:pt>
                <c:pt idx="10">
                  <c:v>Nuclear Room Area</c:v>
                </c:pt>
                <c:pt idx="11">
                  <c:v>SPECT-CT Control Console Area</c:v>
                </c:pt>
                <c:pt idx="12">
                  <c:v>Records Area</c:v>
                </c:pt>
                <c:pt idx="13">
                  <c:v>Patients Waiting Area</c:v>
                </c:pt>
                <c:pt idx="14">
                  <c:v>Radiotherapists Area</c:v>
                </c:pt>
                <c:pt idx="15">
                  <c:v>OPD Area</c:v>
                </c:pt>
              </c:strCache>
            </c:strRef>
          </c:cat>
          <c:val>
            <c:numRef>
              <c:f>Sheet1!$D$2:$D$17</c:f>
              <c:numCache>
                <c:formatCode>General</c:formatCode>
                <c:ptCount val="16"/>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numCache>
            </c:numRef>
          </c:val>
          <c:extLst>
            <c:ext xmlns:c16="http://schemas.microsoft.com/office/drawing/2014/chart" uri="{C3380CC4-5D6E-409C-BE32-E72D297353CC}">
              <c16:uniqueId val="{00000002-59DD-492E-92C0-75ED2B2C0F25}"/>
            </c:ext>
          </c:extLst>
        </c:ser>
        <c:dLbls>
          <c:showLegendKey val="0"/>
          <c:showVal val="0"/>
          <c:showCatName val="0"/>
          <c:showSerName val="0"/>
          <c:showPercent val="0"/>
          <c:showBubbleSize val="0"/>
        </c:dLbls>
        <c:gapWidth val="150"/>
        <c:overlap val="100"/>
        <c:axId val="701689352"/>
        <c:axId val="701687784"/>
      </c:barChart>
      <c:catAx>
        <c:axId val="701689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Locations Within Raditherapy Facility</a:t>
                </a:r>
              </a:p>
            </c:rich>
          </c:tx>
          <c:layout>
            <c:manualLayout>
              <c:xMode val="edge"/>
              <c:yMode val="edge"/>
              <c:x val="0.21800674441011328"/>
              <c:y val="0.773089908866957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crossAx val="701687784"/>
        <c:crosses val="autoZero"/>
        <c:auto val="1"/>
        <c:lblAlgn val="ctr"/>
        <c:lblOffset val="100"/>
        <c:noMultiLvlLbl val="0"/>
      </c:catAx>
      <c:valAx>
        <c:axId val="701687784"/>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Annual Effective Dose Equivalent</a:t>
                </a:r>
              </a:p>
            </c:rich>
          </c:tx>
          <c:layout>
            <c:manualLayout>
              <c:xMode val="edge"/>
              <c:yMode val="edge"/>
              <c:x val="7.0372235317719037E-2"/>
              <c:y val="0.114612902686527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crossAx val="70168935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GH"/>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Graphical</a:t>
            </a:r>
            <a:r>
              <a:rPr lang="en-US"/>
              <a:t> </a:t>
            </a:r>
            <a:r>
              <a:rPr lang="en-US" sz="1200">
                <a:latin typeface="Times New Roman" panose="02020603050405020304" pitchFamily="18" charset="0"/>
                <a:cs typeface="Times New Roman" panose="02020603050405020304" pitchFamily="18" charset="0"/>
              </a:rPr>
              <a:t>Representation of Excess Lifetime Cancer</a:t>
            </a:r>
            <a:r>
              <a:rPr lang="en-US" sz="1200" baseline="0">
                <a:latin typeface="Times New Roman" panose="02020603050405020304" pitchFamily="18" charset="0"/>
                <a:cs typeface="Times New Roman" panose="02020603050405020304" pitchFamily="18" charset="0"/>
              </a:rPr>
              <a:t> Risk</a:t>
            </a:r>
            <a:r>
              <a:rPr lang="en-US" sz="12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H"/>
        </a:p>
      </c:txPr>
    </c:title>
    <c:autoTitleDeleted val="0"/>
    <c:plotArea>
      <c:layout>
        <c:manualLayout>
          <c:layoutTarget val="inner"/>
          <c:xMode val="edge"/>
          <c:yMode val="edge"/>
          <c:x val="9.7664338150712154E-2"/>
          <c:y val="0.10499643802565869"/>
          <c:w val="0.88136580890244576"/>
          <c:h val="0.47553405095896911"/>
        </c:manualLayout>
      </c:layout>
      <c:barChart>
        <c:barDir val="col"/>
        <c:grouping val="stacked"/>
        <c:varyColors val="0"/>
        <c:ser>
          <c:idx val="0"/>
          <c:order val="0"/>
          <c:tx>
            <c:strRef>
              <c:f>Sheet1!$B$1</c:f>
              <c:strCache>
                <c:ptCount val="1"/>
                <c:pt idx="0">
                  <c:v>Standard Excess Lifetime Cancer Risk limit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Sheet1!$A$3:$A$18</c:f>
              <c:strCache>
                <c:ptCount val="15"/>
                <c:pt idx="0">
                  <c:v>Simulator Room Area</c:v>
                </c:pt>
                <c:pt idx="1">
                  <c:v>Administration Area</c:v>
                </c:pt>
                <c:pt idx="2">
                  <c:v>Conference Room Area</c:v>
                </c:pt>
                <c:pt idx="3">
                  <c:v>Linac Maze</c:v>
                </c:pt>
                <c:pt idx="4">
                  <c:v>Control Console Room</c:v>
                </c:pt>
                <c:pt idx="5">
                  <c:v>Chemptherapy Room Area</c:v>
                </c:pt>
                <c:pt idx="6">
                  <c:v>Cobalt Bunker Room</c:v>
                </c:pt>
                <c:pt idx="7">
                  <c:v>Nurses Office Area</c:v>
                </c:pt>
                <c:pt idx="8">
                  <c:v>Dosimetry Room Area</c:v>
                </c:pt>
                <c:pt idx="9">
                  <c:v>Nuclear Room Area</c:v>
                </c:pt>
                <c:pt idx="10">
                  <c:v>SPECT-CT Control Console Area</c:v>
                </c:pt>
                <c:pt idx="11">
                  <c:v>Records Area</c:v>
                </c:pt>
                <c:pt idx="12">
                  <c:v>Patients Waiting Area</c:v>
                </c:pt>
                <c:pt idx="13">
                  <c:v>Radiotherapists Area</c:v>
                </c:pt>
                <c:pt idx="14">
                  <c:v>OPD Area</c:v>
                </c:pt>
              </c:strCache>
            </c:strRef>
          </c:cat>
          <c:val>
            <c:numRef>
              <c:f>Sheet1!$B$3:$B$18</c:f>
              <c:numCache>
                <c:formatCode>General</c:formatCode>
                <c:ptCount val="16"/>
                <c:pt idx="0">
                  <c:v>0.28999999999999998</c:v>
                </c:pt>
                <c:pt idx="1">
                  <c:v>0.28999999999999998</c:v>
                </c:pt>
                <c:pt idx="2">
                  <c:v>0.28999999999999998</c:v>
                </c:pt>
                <c:pt idx="3">
                  <c:v>0.28999999999999998</c:v>
                </c:pt>
                <c:pt idx="4">
                  <c:v>0.28999999999999998</c:v>
                </c:pt>
                <c:pt idx="5">
                  <c:v>0.28999999999999998</c:v>
                </c:pt>
                <c:pt idx="6">
                  <c:v>0.28999999999999998</c:v>
                </c:pt>
                <c:pt idx="7">
                  <c:v>0.28999999999999998</c:v>
                </c:pt>
                <c:pt idx="8">
                  <c:v>0.28999999999999998</c:v>
                </c:pt>
                <c:pt idx="9">
                  <c:v>0.28999999999999998</c:v>
                </c:pt>
                <c:pt idx="10">
                  <c:v>0.28999999999999998</c:v>
                </c:pt>
                <c:pt idx="11">
                  <c:v>0.28999999999999998</c:v>
                </c:pt>
                <c:pt idx="12">
                  <c:v>0.28999999999999998</c:v>
                </c:pt>
                <c:pt idx="13">
                  <c:v>0.28999999999999998</c:v>
                </c:pt>
                <c:pt idx="14">
                  <c:v>0.28999999999999998</c:v>
                </c:pt>
              </c:numCache>
            </c:numRef>
          </c:val>
          <c:extLst>
            <c:ext xmlns:c16="http://schemas.microsoft.com/office/drawing/2014/chart" uri="{C3380CC4-5D6E-409C-BE32-E72D297353CC}">
              <c16:uniqueId val="{00000000-07B3-47BA-AB86-5DFCF8AA6DCA}"/>
            </c:ext>
          </c:extLst>
        </c:ser>
        <c:ser>
          <c:idx val="1"/>
          <c:order val="1"/>
          <c:tx>
            <c:strRef>
              <c:f>Sheet1!$C$1</c:f>
              <c:strCache>
                <c:ptCount val="1"/>
                <c:pt idx="0">
                  <c:v>Excess Lifetime Cancer Risk (×10^3)</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Sheet1!$A$3:$A$18</c:f>
              <c:strCache>
                <c:ptCount val="15"/>
                <c:pt idx="0">
                  <c:v>Simulator Room Area</c:v>
                </c:pt>
                <c:pt idx="1">
                  <c:v>Administration Area</c:v>
                </c:pt>
                <c:pt idx="2">
                  <c:v>Conference Room Area</c:v>
                </c:pt>
                <c:pt idx="3">
                  <c:v>Linac Maze</c:v>
                </c:pt>
                <c:pt idx="4">
                  <c:v>Control Console Room</c:v>
                </c:pt>
                <c:pt idx="5">
                  <c:v>Chemptherapy Room Area</c:v>
                </c:pt>
                <c:pt idx="6">
                  <c:v>Cobalt Bunker Room</c:v>
                </c:pt>
                <c:pt idx="7">
                  <c:v>Nurses Office Area</c:v>
                </c:pt>
                <c:pt idx="8">
                  <c:v>Dosimetry Room Area</c:v>
                </c:pt>
                <c:pt idx="9">
                  <c:v>Nuclear Room Area</c:v>
                </c:pt>
                <c:pt idx="10">
                  <c:v>SPECT-CT Control Console Area</c:v>
                </c:pt>
                <c:pt idx="11">
                  <c:v>Records Area</c:v>
                </c:pt>
                <c:pt idx="12">
                  <c:v>Patients Waiting Area</c:v>
                </c:pt>
                <c:pt idx="13">
                  <c:v>Radiotherapists Area</c:v>
                </c:pt>
                <c:pt idx="14">
                  <c:v>OPD Area</c:v>
                </c:pt>
              </c:strCache>
            </c:strRef>
          </c:cat>
          <c:val>
            <c:numRef>
              <c:f>Sheet1!$C$3:$C$18</c:f>
              <c:numCache>
                <c:formatCode>General</c:formatCode>
                <c:ptCount val="16"/>
                <c:pt idx="0">
                  <c:v>6</c:v>
                </c:pt>
                <c:pt idx="1">
                  <c:v>4.03</c:v>
                </c:pt>
                <c:pt idx="2">
                  <c:v>6.04</c:v>
                </c:pt>
                <c:pt idx="3">
                  <c:v>6.63</c:v>
                </c:pt>
                <c:pt idx="4">
                  <c:v>7.27</c:v>
                </c:pt>
                <c:pt idx="5">
                  <c:v>4.08</c:v>
                </c:pt>
                <c:pt idx="6">
                  <c:v>8.73</c:v>
                </c:pt>
                <c:pt idx="7">
                  <c:v>3.45</c:v>
                </c:pt>
                <c:pt idx="8">
                  <c:v>5.96</c:v>
                </c:pt>
                <c:pt idx="9">
                  <c:v>6.02</c:v>
                </c:pt>
                <c:pt idx="10">
                  <c:v>6.02</c:v>
                </c:pt>
                <c:pt idx="11">
                  <c:v>3.62</c:v>
                </c:pt>
                <c:pt idx="12">
                  <c:v>6.56</c:v>
                </c:pt>
                <c:pt idx="13">
                  <c:v>3.89</c:v>
                </c:pt>
                <c:pt idx="14">
                  <c:v>5.86</c:v>
                </c:pt>
              </c:numCache>
            </c:numRef>
          </c:val>
          <c:extLst>
            <c:ext xmlns:c16="http://schemas.microsoft.com/office/drawing/2014/chart" uri="{C3380CC4-5D6E-409C-BE32-E72D297353CC}">
              <c16:uniqueId val="{00000001-07B3-47BA-AB86-5DFCF8AA6DCA}"/>
            </c:ext>
          </c:extLst>
        </c:ser>
        <c:dLbls>
          <c:showLegendKey val="0"/>
          <c:showVal val="0"/>
          <c:showCatName val="0"/>
          <c:showSerName val="0"/>
          <c:showPercent val="0"/>
          <c:showBubbleSize val="0"/>
        </c:dLbls>
        <c:gapWidth val="150"/>
        <c:overlap val="100"/>
        <c:axId val="701686216"/>
        <c:axId val="701686608"/>
      </c:barChart>
      <c:catAx>
        <c:axId val="701686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solidFill>
                      <a:sysClr val="windowText" lastClr="000000"/>
                    </a:solidFill>
                    <a:latin typeface="Times New Roman" panose="02020603050405020304" pitchFamily="18" charset="0"/>
                    <a:cs typeface="Times New Roman" panose="02020603050405020304" pitchFamily="18" charset="0"/>
                  </a:rPr>
                  <a:t>Locations</a:t>
                </a:r>
                <a:r>
                  <a:rPr lang="en-US" sz="1000" baseline="0">
                    <a:solidFill>
                      <a:sysClr val="windowText" lastClr="000000"/>
                    </a:solidFill>
                    <a:latin typeface="Times New Roman" panose="02020603050405020304" pitchFamily="18" charset="0"/>
                    <a:cs typeface="Times New Roman" panose="02020603050405020304" pitchFamily="18" charset="0"/>
                  </a:rPr>
                  <a:t> within Radiotherapy Facility</a:t>
                </a:r>
                <a:endParaRPr lang="en-US"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GH"/>
          </a:p>
        </c:txPr>
        <c:crossAx val="701686608"/>
        <c:crosses val="autoZero"/>
        <c:auto val="1"/>
        <c:lblAlgn val="ctr"/>
        <c:lblOffset val="100"/>
        <c:noMultiLvlLbl val="0"/>
      </c:catAx>
      <c:valAx>
        <c:axId val="70168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Excess</a:t>
                </a:r>
                <a:r>
                  <a:rPr lang="en-US" sz="1000" baseline="0">
                    <a:latin typeface="Times New Roman" panose="02020603050405020304" pitchFamily="18" charset="0"/>
                    <a:cs typeface="Times New Roman" panose="02020603050405020304" pitchFamily="18" charset="0"/>
                  </a:rPr>
                  <a:t> Lifetime Cancer Risk</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70168621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G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5F6292-E5F8-4AA7-B7B2-8F6B0A9C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Microsoft Office User</cp:lastModifiedBy>
  <cp:revision>2</cp:revision>
  <dcterms:created xsi:type="dcterms:W3CDTF">2021-09-18T21:20:00Z</dcterms:created>
  <dcterms:modified xsi:type="dcterms:W3CDTF">2021-09-18T21:20:00Z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1b728c06-a1d7-3dc0-bb96-38c1d4e34453</vt:lpwstr>
  </property>
  <property fmtid="{D5CDD505-2E9C-101B-9397-08002B2CF9AE}" pid="24" name="Mendeley Citation Style_1">
    <vt:lpwstr>http://www.zotero.org/styles/chicago-author-date</vt:lpwstr>
  </property>
</Properties>
</file>