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B7AA" w14:textId="4ECAD384" w:rsidR="003E375E" w:rsidRPr="003E375E" w:rsidRDefault="003E375E" w:rsidP="003E375E">
      <w:pPr>
        <w:pStyle w:val="Heading1"/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/>
        <w:rPr>
          <w:bCs/>
          <w:noProof/>
          <w:szCs w:val="24"/>
          <w:lang w:val="en-DK"/>
        </w:rPr>
      </w:pPr>
      <w:r w:rsidRPr="003E375E">
        <w:rPr>
          <w:bCs/>
          <w:noProof/>
          <w:szCs w:val="24"/>
          <w:lang w:val="en-DK"/>
        </w:rPr>
        <w:t>Verification of multiphysics coupling techniques for modeling of molten</w:t>
      </w:r>
      <w:r>
        <w:rPr>
          <w:bCs/>
          <w:noProof/>
          <w:szCs w:val="24"/>
        </w:rPr>
        <w:t xml:space="preserve"> </w:t>
      </w:r>
      <w:r w:rsidRPr="003E375E">
        <w:rPr>
          <w:rFonts w:ascii="Times New Roman" w:hAnsi="Times New Roman"/>
          <w:bCs/>
          <w:noProof/>
          <w:szCs w:val="24"/>
          <w:lang w:val="en-DK"/>
        </w:rPr>
        <w:t>salt reactors</w:t>
      </w:r>
    </w:p>
    <w:p w14:paraId="14815A7B" w14:textId="2F049397" w:rsidR="00CD7ABF" w:rsidRDefault="00CD7ABF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2FD06590" w14:textId="66231F1F" w:rsidR="00CD7ABF" w:rsidRPr="00CD7ABF" w:rsidRDefault="00762E50" w:rsidP="00306628">
      <w:pPr>
        <w:pStyle w:val="Authornameandaffiliation"/>
        <w:ind w:left="0"/>
        <w:rPr>
          <w:sz w:val="24"/>
          <w:szCs w:val="24"/>
        </w:rPr>
      </w:pPr>
      <w:r w:rsidRPr="00762E50">
        <w:rPr>
          <w:sz w:val="24"/>
          <w:szCs w:val="24"/>
          <w:lang w:val="en-DK"/>
        </w:rPr>
        <w:t>J. Groth-Jensen</w:t>
      </w:r>
      <w:r w:rsidR="00CD7ABF" w:rsidRPr="00CD7ABF">
        <w:rPr>
          <w:sz w:val="24"/>
          <w:szCs w:val="24"/>
          <w:vertAlign w:val="superscript"/>
        </w:rPr>
        <w:t>1</w:t>
      </w:r>
      <w:r w:rsidR="00CD7ABF" w:rsidRPr="00CD7ABF">
        <w:rPr>
          <w:sz w:val="24"/>
          <w:szCs w:val="24"/>
        </w:rPr>
        <w:t>,</w:t>
      </w:r>
      <w:r w:rsidR="00DD4AAC">
        <w:rPr>
          <w:sz w:val="24"/>
          <w:szCs w:val="24"/>
        </w:rPr>
        <w:t xml:space="preserve"> </w:t>
      </w:r>
      <w:r w:rsidR="003F709F" w:rsidRPr="003F709F">
        <w:rPr>
          <w:sz w:val="24"/>
          <w:szCs w:val="24"/>
          <w:lang w:val="en-DK"/>
        </w:rPr>
        <w:t>A.V. Pedersen</w:t>
      </w:r>
      <w:r w:rsidR="003F709F" w:rsidRPr="00CD7ABF">
        <w:rPr>
          <w:sz w:val="24"/>
          <w:szCs w:val="24"/>
          <w:vertAlign w:val="superscript"/>
        </w:rPr>
        <w:t>1</w:t>
      </w:r>
      <w:r w:rsidR="003F709F">
        <w:rPr>
          <w:sz w:val="24"/>
          <w:szCs w:val="24"/>
        </w:rPr>
        <w:t xml:space="preserve">, </w:t>
      </w:r>
      <w:r w:rsidRPr="00762E50">
        <w:rPr>
          <w:sz w:val="24"/>
          <w:szCs w:val="24"/>
          <w:lang w:val="en-DK"/>
        </w:rPr>
        <w:t>A. Nalbandyan</w:t>
      </w:r>
      <w:r w:rsidR="003F709F">
        <w:rPr>
          <w:sz w:val="24"/>
          <w:szCs w:val="24"/>
          <w:vertAlign w:val="superscript"/>
        </w:rPr>
        <w:t>2</w:t>
      </w:r>
      <w:r w:rsidR="00CD7ABF" w:rsidRPr="00CD7ABF">
        <w:rPr>
          <w:sz w:val="24"/>
          <w:szCs w:val="24"/>
        </w:rPr>
        <w:t xml:space="preserve">, </w:t>
      </w:r>
      <w:r w:rsidR="000E7661" w:rsidRPr="000E7661">
        <w:rPr>
          <w:sz w:val="24"/>
          <w:szCs w:val="24"/>
          <w:lang w:val="en-DK"/>
        </w:rPr>
        <w:t>E.B. Klinkby</w:t>
      </w:r>
      <w:r w:rsidR="000E7661">
        <w:rPr>
          <w:sz w:val="24"/>
          <w:szCs w:val="24"/>
          <w:vertAlign w:val="superscript"/>
        </w:rPr>
        <w:t>2</w:t>
      </w:r>
      <w:r w:rsidR="00CD7ABF" w:rsidRPr="00CD7ABF">
        <w:rPr>
          <w:sz w:val="24"/>
          <w:szCs w:val="24"/>
        </w:rPr>
        <w:t>,</w:t>
      </w:r>
      <w:r w:rsidR="000E7661" w:rsidRPr="000E7661">
        <w:rPr>
          <w:rFonts w:ascii="AdvGulliv-R" w:hAnsi="AdvGulliv-R" w:cs="AdvGulliv-R"/>
          <w:sz w:val="21"/>
          <w:szCs w:val="21"/>
          <w:lang w:val="en-DK" w:eastAsia="en-GB"/>
        </w:rPr>
        <w:t xml:space="preserve"> </w:t>
      </w:r>
      <w:r w:rsidR="000E7661" w:rsidRPr="000E7661">
        <w:rPr>
          <w:sz w:val="24"/>
          <w:szCs w:val="24"/>
          <w:lang w:val="en-DK"/>
        </w:rPr>
        <w:t>B. Lauritzen</w:t>
      </w:r>
      <w:r w:rsidR="00CD7ABF" w:rsidRPr="00CD7ABF">
        <w:rPr>
          <w:sz w:val="24"/>
          <w:szCs w:val="24"/>
          <w:vertAlign w:val="superscript"/>
        </w:rPr>
        <w:t>2</w:t>
      </w:r>
      <w:r w:rsidR="00CD7ABF" w:rsidRPr="00CD7ABF">
        <w:rPr>
          <w:sz w:val="24"/>
          <w:szCs w:val="24"/>
        </w:rPr>
        <w:t xml:space="preserve">, </w:t>
      </w:r>
      <w:r w:rsidR="00AA292F" w:rsidRPr="00AA292F">
        <w:rPr>
          <w:sz w:val="24"/>
          <w:szCs w:val="24"/>
          <w:lang w:val="en-DK"/>
        </w:rPr>
        <w:t>P. Sabbagh</w:t>
      </w:r>
      <w:r w:rsidR="00CD7ABF" w:rsidRPr="00CD7ABF">
        <w:rPr>
          <w:sz w:val="24"/>
          <w:szCs w:val="24"/>
          <w:vertAlign w:val="superscript"/>
        </w:rPr>
        <w:t>3</w:t>
      </w:r>
      <w:r w:rsidR="00CD7ABF" w:rsidRPr="00CD7ABF">
        <w:rPr>
          <w:sz w:val="24"/>
          <w:szCs w:val="24"/>
        </w:rPr>
        <w:t xml:space="preserve">, </w:t>
      </w:r>
    </w:p>
    <w:p w14:paraId="68D50F1D" w14:textId="77777777" w:rsidR="00CD7ABF" w:rsidRPr="00CD7ABF" w:rsidRDefault="00CD7ABF" w:rsidP="00CD7ABF">
      <w:pPr>
        <w:pStyle w:val="Authornameandaffiliation"/>
        <w:ind w:left="0"/>
        <w:jc w:val="both"/>
        <w:rPr>
          <w:sz w:val="24"/>
          <w:szCs w:val="24"/>
        </w:rPr>
      </w:pPr>
    </w:p>
    <w:p w14:paraId="05B20EBF" w14:textId="1AEC7A2C" w:rsidR="00980B7C" w:rsidRDefault="00CD7ABF" w:rsidP="00CD7ABF">
      <w:pPr>
        <w:pStyle w:val="Authornameandaffiliation"/>
        <w:ind w:left="0"/>
        <w:jc w:val="both"/>
        <w:rPr>
          <w:sz w:val="24"/>
          <w:szCs w:val="24"/>
          <w:lang w:val="en-DK"/>
        </w:rPr>
      </w:pPr>
      <w:r w:rsidRPr="00AF71C3">
        <w:rPr>
          <w:sz w:val="24"/>
          <w:szCs w:val="24"/>
          <w:vertAlign w:val="superscript"/>
        </w:rPr>
        <w:t>1</w:t>
      </w:r>
      <w:r w:rsidR="00980B7C" w:rsidRPr="00980B7C">
        <w:rPr>
          <w:sz w:val="24"/>
          <w:szCs w:val="24"/>
          <w:lang w:val="en-DK"/>
        </w:rPr>
        <w:t>Seaborg Technologies, Copenhagen, Denmark</w:t>
      </w:r>
    </w:p>
    <w:p w14:paraId="25587DB8" w14:textId="4EDBCF3D" w:rsidR="000E38A2" w:rsidRDefault="00CD7ABF" w:rsidP="00CD7ABF">
      <w:pPr>
        <w:pStyle w:val="Authornameandaffiliation"/>
        <w:ind w:left="0"/>
        <w:jc w:val="both"/>
        <w:rPr>
          <w:sz w:val="24"/>
          <w:szCs w:val="24"/>
          <w:lang w:val="en-DK"/>
        </w:rPr>
      </w:pPr>
      <w:r w:rsidRPr="000E38A2">
        <w:rPr>
          <w:sz w:val="24"/>
          <w:szCs w:val="24"/>
          <w:vertAlign w:val="superscript"/>
        </w:rPr>
        <w:t>2</w:t>
      </w:r>
      <w:r w:rsidR="000E38A2" w:rsidRPr="000E38A2">
        <w:rPr>
          <w:sz w:val="24"/>
          <w:szCs w:val="24"/>
          <w:lang w:val="en-DK"/>
        </w:rPr>
        <w:t>DTU Physics, Roskilde, Denmark</w:t>
      </w:r>
    </w:p>
    <w:p w14:paraId="211481E8" w14:textId="7735EA5D" w:rsidR="000E38A2" w:rsidRDefault="00CD7ABF" w:rsidP="00CD7ABF">
      <w:pPr>
        <w:pStyle w:val="Authornameandaffiliation"/>
        <w:ind w:left="0"/>
        <w:jc w:val="both"/>
        <w:rPr>
          <w:sz w:val="24"/>
          <w:szCs w:val="24"/>
          <w:lang w:val="en-DK"/>
        </w:rPr>
      </w:pPr>
      <w:r w:rsidRPr="00CD7ABF">
        <w:rPr>
          <w:sz w:val="24"/>
          <w:szCs w:val="24"/>
          <w:vertAlign w:val="superscript"/>
        </w:rPr>
        <w:t>3</w:t>
      </w:r>
      <w:r w:rsidR="000E38A2" w:rsidRPr="000E38A2">
        <w:rPr>
          <w:sz w:val="24"/>
          <w:szCs w:val="24"/>
          <w:lang w:val="en-DK"/>
        </w:rPr>
        <w:t xml:space="preserve">DAES SA, Petit </w:t>
      </w:r>
      <w:proofErr w:type="spellStart"/>
      <w:r w:rsidR="000E38A2" w:rsidRPr="000E38A2">
        <w:rPr>
          <w:sz w:val="24"/>
          <w:szCs w:val="24"/>
          <w:lang w:val="en-DK"/>
        </w:rPr>
        <w:t>Lancy</w:t>
      </w:r>
      <w:proofErr w:type="spellEnd"/>
      <w:r w:rsidR="000E38A2" w:rsidRPr="000E38A2">
        <w:rPr>
          <w:sz w:val="24"/>
          <w:szCs w:val="24"/>
          <w:lang w:val="en-DK"/>
        </w:rPr>
        <w:t>, Switzerland</w:t>
      </w:r>
    </w:p>
    <w:p w14:paraId="5D9EC7B1" w14:textId="4EF54CB8" w:rsidR="00CD7ABF" w:rsidRDefault="00CD7ABF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0CC649E0" w14:textId="6B2B30C7" w:rsidR="00CD7ABF" w:rsidRDefault="00CD7ABF" w:rsidP="00CD7ABF">
      <w:pPr>
        <w:pStyle w:val="Authornameandaffiliation"/>
        <w:ind w:left="0"/>
        <w:jc w:val="both"/>
        <w:rPr>
          <w:sz w:val="24"/>
          <w:szCs w:val="24"/>
        </w:rPr>
      </w:pPr>
      <w:r w:rsidRPr="00CD7ABF">
        <w:rPr>
          <w:sz w:val="24"/>
          <w:szCs w:val="24"/>
        </w:rPr>
        <w:t xml:space="preserve">Email contact of corresponding author: </w:t>
      </w:r>
      <w:hyperlink r:id="rId8" w:history="1">
        <w:r w:rsidR="00AF71C3" w:rsidRPr="00604F97">
          <w:rPr>
            <w:rStyle w:val="Hyperlink"/>
            <w:sz w:val="24"/>
            <w:szCs w:val="24"/>
          </w:rPr>
          <w:t>jgj01@seaborg.com</w:t>
        </w:r>
      </w:hyperlink>
    </w:p>
    <w:p w14:paraId="4D6AFC61" w14:textId="26406128" w:rsidR="00AF71C3" w:rsidRDefault="00AF71C3" w:rsidP="00CD7ABF">
      <w:pPr>
        <w:pStyle w:val="Authornameandaffiliation"/>
        <w:ind w:left="0"/>
        <w:jc w:val="both"/>
        <w:rPr>
          <w:sz w:val="24"/>
          <w:szCs w:val="24"/>
        </w:rPr>
      </w:pPr>
    </w:p>
    <w:p w14:paraId="11DF5F0B" w14:textId="77777777" w:rsidR="00907356" w:rsidRPr="009B7A93" w:rsidRDefault="00907356" w:rsidP="00907356">
      <w:pPr>
        <w:pStyle w:val="BodyText"/>
        <w:rPr>
          <w:sz w:val="24"/>
          <w:szCs w:val="24"/>
        </w:rPr>
      </w:pPr>
    </w:p>
    <w:p w14:paraId="54BB0C99" w14:textId="7D085EBB" w:rsidR="00F91936" w:rsidRPr="009B7A93" w:rsidRDefault="00907356" w:rsidP="00907356">
      <w:pPr>
        <w:pStyle w:val="BodyText"/>
        <w:rPr>
          <w:sz w:val="24"/>
          <w:szCs w:val="24"/>
        </w:rPr>
      </w:pPr>
      <w:r w:rsidRPr="009B7A93">
        <w:rPr>
          <w:sz w:val="24"/>
          <w:szCs w:val="24"/>
        </w:rPr>
        <w:t>The Molten Salt Reactor (MSR)</w:t>
      </w:r>
      <w:r w:rsidR="00476A9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8368936"/>
          <w:citation/>
        </w:sdtPr>
        <w:sdtEndPr/>
        <w:sdtContent>
          <w:r w:rsidR="00326F2D">
            <w:rPr>
              <w:sz w:val="24"/>
              <w:szCs w:val="24"/>
            </w:rPr>
            <w:fldChar w:fldCharType="begin"/>
          </w:r>
          <w:r w:rsidR="00326F2D">
            <w:rPr>
              <w:sz w:val="24"/>
              <w:szCs w:val="24"/>
              <w:lang w:val="en-US"/>
            </w:rPr>
            <w:instrText xml:space="preserve">CITATION Bou12 \l 1033 </w:instrText>
          </w:r>
          <w:r w:rsidR="00326F2D">
            <w:rPr>
              <w:sz w:val="24"/>
              <w:szCs w:val="24"/>
            </w:rPr>
            <w:fldChar w:fldCharType="separate"/>
          </w:r>
          <w:r w:rsidR="00C867E2" w:rsidRPr="00C867E2">
            <w:rPr>
              <w:noProof/>
              <w:sz w:val="24"/>
              <w:szCs w:val="24"/>
              <w:lang w:val="en-US"/>
            </w:rPr>
            <w:t>[1]</w:t>
          </w:r>
          <w:r w:rsidR="00326F2D">
            <w:rPr>
              <w:sz w:val="24"/>
              <w:szCs w:val="24"/>
            </w:rPr>
            <w:fldChar w:fldCharType="end"/>
          </w:r>
        </w:sdtContent>
      </w:sdt>
      <w:r w:rsidRPr="009B7A93">
        <w:rPr>
          <w:sz w:val="24"/>
          <w:szCs w:val="24"/>
        </w:rPr>
        <w:t xml:space="preserve"> is a promising design concept for the next generation of nuclear power plants, with potential to meet the safety, </w:t>
      </w:r>
      <w:proofErr w:type="gramStart"/>
      <w:r w:rsidRPr="009B7A93">
        <w:rPr>
          <w:sz w:val="24"/>
          <w:szCs w:val="24"/>
        </w:rPr>
        <w:t>economy</w:t>
      </w:r>
      <w:proofErr w:type="gramEnd"/>
      <w:r w:rsidRPr="009B7A93">
        <w:rPr>
          <w:sz w:val="24"/>
          <w:szCs w:val="24"/>
        </w:rPr>
        <w:t xml:space="preserve"> and sustainability objectives of Generation IV reactors. The MSR employs a </w:t>
      </w:r>
      <w:proofErr w:type="gramStart"/>
      <w:r w:rsidRPr="009B7A93">
        <w:rPr>
          <w:sz w:val="24"/>
          <w:szCs w:val="24"/>
        </w:rPr>
        <w:t>high-temperature</w:t>
      </w:r>
      <w:proofErr w:type="gramEnd"/>
      <w:r w:rsidRPr="009B7A93">
        <w:rPr>
          <w:sz w:val="24"/>
          <w:szCs w:val="24"/>
        </w:rPr>
        <w:t xml:space="preserve"> circulating fuel which adds a series of inherent safety features. The MSRs require substantially different </w:t>
      </w:r>
      <w:proofErr w:type="spellStart"/>
      <w:r w:rsidRPr="009B7A93">
        <w:rPr>
          <w:sz w:val="24"/>
          <w:szCs w:val="24"/>
        </w:rPr>
        <w:t>modeling</w:t>
      </w:r>
      <w:proofErr w:type="spellEnd"/>
      <w:r w:rsidRPr="009B7A93">
        <w:rPr>
          <w:sz w:val="24"/>
          <w:szCs w:val="24"/>
        </w:rPr>
        <w:t xml:space="preserve"> approaches </w:t>
      </w:r>
      <w:r w:rsidR="009724C8">
        <w:rPr>
          <w:sz w:val="24"/>
          <w:szCs w:val="24"/>
        </w:rPr>
        <w:t xml:space="preserve">and codes </w:t>
      </w:r>
      <w:r w:rsidRPr="009B7A93">
        <w:rPr>
          <w:sz w:val="24"/>
          <w:szCs w:val="24"/>
        </w:rPr>
        <w:t xml:space="preserve">compared to the solid </w:t>
      </w:r>
      <w:proofErr w:type="spellStart"/>
      <w:r w:rsidRPr="009B7A93">
        <w:rPr>
          <w:sz w:val="24"/>
          <w:szCs w:val="24"/>
        </w:rPr>
        <w:t>fueled</w:t>
      </w:r>
      <w:proofErr w:type="spellEnd"/>
      <w:r w:rsidRPr="009B7A93">
        <w:rPr>
          <w:sz w:val="24"/>
          <w:szCs w:val="24"/>
        </w:rPr>
        <w:t xml:space="preserve"> reactor concepts, partially due to the transport of the delayed neutron precursors with the fuel flow, which affects the effective delayed neutron fraction in the core. </w:t>
      </w:r>
      <w:r w:rsidR="004B3406">
        <w:rPr>
          <w:sz w:val="24"/>
          <w:szCs w:val="24"/>
        </w:rPr>
        <w:t>T</w:t>
      </w:r>
      <w:r w:rsidR="00F91936" w:rsidRPr="009B7A93">
        <w:rPr>
          <w:sz w:val="24"/>
          <w:szCs w:val="24"/>
        </w:rPr>
        <w:t xml:space="preserve">he verification and validation of such codes are not a trivial task, </w:t>
      </w:r>
      <w:proofErr w:type="gramStart"/>
      <w:r w:rsidR="00F91936" w:rsidRPr="009B7A93">
        <w:rPr>
          <w:sz w:val="24"/>
          <w:szCs w:val="24"/>
        </w:rPr>
        <w:t>in particular for</w:t>
      </w:r>
      <w:proofErr w:type="gramEnd"/>
      <w:r w:rsidR="00F91936" w:rsidRPr="009B7A93">
        <w:rPr>
          <w:sz w:val="24"/>
          <w:szCs w:val="24"/>
        </w:rPr>
        <w:t xml:space="preserve"> fast reactor designs, where no experimental data are available. </w:t>
      </w:r>
      <w:r w:rsidR="006D7B3C" w:rsidRPr="006D7B3C">
        <w:rPr>
          <w:rFonts w:eastAsiaTheme="minorHAnsi"/>
          <w:sz w:val="24"/>
          <w:szCs w:val="24"/>
          <w:lang w:val="en-DK" w:eastAsia="ar-SA"/>
        </w:rPr>
        <w:t>In absence of experimental data, a benchmark was developed</w:t>
      </w:r>
      <w:r w:rsidR="006D7B3C" w:rsidRPr="006D7B3C">
        <w:rPr>
          <w:rFonts w:eastAsiaTheme="minorHAnsi"/>
          <w:sz w:val="24"/>
          <w:szCs w:val="24"/>
          <w:lang w:val="en-US" w:eastAsia="ar-SA"/>
        </w:rPr>
        <w:t xml:space="preserve"> </w:t>
      </w:r>
      <w:r w:rsidR="006D7B3C" w:rsidRPr="006D7B3C">
        <w:rPr>
          <w:rFonts w:eastAsiaTheme="minorHAnsi"/>
          <w:sz w:val="24"/>
          <w:szCs w:val="24"/>
          <w:lang w:val="en-DK" w:eastAsia="ar-SA"/>
        </w:rPr>
        <w:t>by LPSC/CNRS-Grenoble</w:t>
      </w:r>
      <w:sdt>
        <w:sdtPr>
          <w:rPr>
            <w:rFonts w:eastAsiaTheme="minorHAnsi"/>
            <w:sz w:val="24"/>
            <w:szCs w:val="24"/>
            <w:lang w:val="en-DK" w:eastAsia="ar-SA"/>
          </w:rPr>
          <w:id w:val="2086339049"/>
          <w:citation/>
        </w:sdtPr>
        <w:sdtEndPr/>
        <w:sdtContent>
          <w:r w:rsidR="006D7B3C" w:rsidRPr="006D7B3C">
            <w:rPr>
              <w:rFonts w:eastAsiaTheme="minorHAnsi"/>
              <w:sz w:val="24"/>
              <w:szCs w:val="24"/>
              <w:lang w:val="en-DK" w:eastAsia="ar-SA"/>
            </w:rPr>
            <w:fldChar w:fldCharType="begin"/>
          </w:r>
          <w:r w:rsidR="00326F2D">
            <w:rPr>
              <w:rFonts w:eastAsiaTheme="minorHAnsi"/>
              <w:sz w:val="24"/>
              <w:szCs w:val="24"/>
              <w:lang w:val="en-US" w:eastAsia="ar-SA"/>
            </w:rPr>
            <w:instrText xml:space="preserve">CITATION Auf18 \l 1030 </w:instrText>
          </w:r>
          <w:r w:rsidR="006D7B3C" w:rsidRPr="006D7B3C">
            <w:rPr>
              <w:rFonts w:eastAsiaTheme="minorHAnsi"/>
              <w:sz w:val="24"/>
              <w:szCs w:val="24"/>
              <w:lang w:val="en-DK" w:eastAsia="ar-SA"/>
            </w:rPr>
            <w:fldChar w:fldCharType="separate"/>
          </w:r>
          <w:r w:rsidR="00C867E2">
            <w:rPr>
              <w:rFonts w:eastAsiaTheme="minorHAnsi"/>
              <w:noProof/>
              <w:sz w:val="24"/>
              <w:szCs w:val="24"/>
              <w:lang w:val="en-US" w:eastAsia="ar-SA"/>
            </w:rPr>
            <w:t xml:space="preserve"> </w:t>
          </w:r>
          <w:r w:rsidR="00C867E2" w:rsidRPr="00C867E2">
            <w:rPr>
              <w:rFonts w:eastAsiaTheme="minorHAnsi"/>
              <w:noProof/>
              <w:sz w:val="24"/>
              <w:szCs w:val="24"/>
              <w:lang w:val="en-US" w:eastAsia="ar-SA"/>
            </w:rPr>
            <w:t>[2]</w:t>
          </w:r>
          <w:r w:rsidR="006D7B3C" w:rsidRPr="006D7B3C">
            <w:rPr>
              <w:rFonts w:eastAsiaTheme="minorHAnsi"/>
              <w:sz w:val="24"/>
              <w:szCs w:val="24"/>
              <w:lang w:val="en-DK" w:eastAsia="ar-SA"/>
            </w:rPr>
            <w:fldChar w:fldCharType="end"/>
          </w:r>
        </w:sdtContent>
      </w:sdt>
      <w:sdt>
        <w:sdtPr>
          <w:rPr>
            <w:rFonts w:eastAsiaTheme="minorHAnsi"/>
            <w:sz w:val="24"/>
            <w:szCs w:val="24"/>
            <w:lang w:val="en-DK" w:eastAsia="ar-SA"/>
          </w:rPr>
          <w:id w:val="-2132703421"/>
          <w:citation/>
        </w:sdtPr>
        <w:sdtEndPr/>
        <w:sdtContent>
          <w:r w:rsidR="009E1000">
            <w:rPr>
              <w:rFonts w:eastAsiaTheme="minorHAnsi"/>
              <w:sz w:val="24"/>
              <w:szCs w:val="24"/>
              <w:lang w:val="en-DK" w:eastAsia="ar-SA"/>
            </w:rPr>
            <w:fldChar w:fldCharType="begin"/>
          </w:r>
          <w:r w:rsidR="009E1000">
            <w:rPr>
              <w:rFonts w:eastAsiaTheme="minorHAnsi"/>
              <w:sz w:val="24"/>
              <w:szCs w:val="24"/>
              <w:lang w:val="en-US" w:eastAsia="ar-SA"/>
            </w:rPr>
            <w:instrText xml:space="preserve"> CITATION MTi20 \l 1033 </w:instrText>
          </w:r>
          <w:r w:rsidR="009E1000">
            <w:rPr>
              <w:rFonts w:eastAsiaTheme="minorHAnsi"/>
              <w:sz w:val="24"/>
              <w:szCs w:val="24"/>
              <w:lang w:val="en-DK" w:eastAsia="ar-SA"/>
            </w:rPr>
            <w:fldChar w:fldCharType="separate"/>
          </w:r>
          <w:r w:rsidR="00C867E2">
            <w:rPr>
              <w:rFonts w:eastAsiaTheme="minorHAnsi"/>
              <w:noProof/>
              <w:sz w:val="24"/>
              <w:szCs w:val="24"/>
              <w:lang w:val="en-US" w:eastAsia="ar-SA"/>
            </w:rPr>
            <w:t xml:space="preserve"> </w:t>
          </w:r>
          <w:r w:rsidR="00C867E2" w:rsidRPr="00C867E2">
            <w:rPr>
              <w:rFonts w:eastAsiaTheme="minorHAnsi"/>
              <w:noProof/>
              <w:sz w:val="24"/>
              <w:szCs w:val="24"/>
              <w:lang w:val="en-US" w:eastAsia="ar-SA"/>
            </w:rPr>
            <w:t>[3]</w:t>
          </w:r>
          <w:r w:rsidR="009E1000">
            <w:rPr>
              <w:rFonts w:eastAsiaTheme="minorHAnsi"/>
              <w:sz w:val="24"/>
              <w:szCs w:val="24"/>
              <w:lang w:val="en-DK" w:eastAsia="ar-SA"/>
            </w:rPr>
            <w:fldChar w:fldCharType="end"/>
          </w:r>
        </w:sdtContent>
      </w:sdt>
      <w:r w:rsidR="006D7B3C" w:rsidRPr="006D7B3C">
        <w:rPr>
          <w:rFonts w:eastAsiaTheme="minorHAnsi"/>
          <w:sz w:val="24"/>
          <w:szCs w:val="24"/>
          <w:lang w:val="en-DK" w:eastAsia="ar-SA"/>
        </w:rPr>
        <w:t xml:space="preserve"> for </w:t>
      </w:r>
      <w:proofErr w:type="spellStart"/>
      <w:r w:rsidR="006D7B3C" w:rsidRPr="006D7B3C">
        <w:rPr>
          <w:rFonts w:eastAsiaTheme="minorHAnsi"/>
          <w:sz w:val="24"/>
          <w:szCs w:val="24"/>
          <w:lang w:val="en-DK" w:eastAsia="ar-SA"/>
        </w:rPr>
        <w:t>multiphysics</w:t>
      </w:r>
      <w:proofErr w:type="spellEnd"/>
      <w:r w:rsidR="006D7B3C" w:rsidRPr="006D7B3C">
        <w:rPr>
          <w:rFonts w:eastAsiaTheme="minorHAnsi"/>
          <w:sz w:val="24"/>
          <w:szCs w:val="24"/>
          <w:lang w:val="en-DK" w:eastAsia="ar-SA"/>
        </w:rPr>
        <w:t xml:space="preserve"> codes dedicated to MSR studies.</w:t>
      </w:r>
    </w:p>
    <w:p w14:paraId="26DF2CB7" w14:textId="0959CD3D" w:rsidR="00F91936" w:rsidRPr="009B7A93" w:rsidRDefault="00F91936" w:rsidP="009B7A93">
      <w:pPr>
        <w:pStyle w:val="BodyText"/>
        <w:rPr>
          <w:sz w:val="24"/>
          <w:szCs w:val="24"/>
        </w:rPr>
      </w:pPr>
      <w:r w:rsidRPr="009B7A93">
        <w:rPr>
          <w:sz w:val="24"/>
          <w:szCs w:val="24"/>
        </w:rPr>
        <w:t xml:space="preserve">In this study we present two independent and novel </w:t>
      </w:r>
      <w:proofErr w:type="spellStart"/>
      <w:r w:rsidR="00476A92">
        <w:rPr>
          <w:sz w:val="24"/>
          <w:szCs w:val="24"/>
        </w:rPr>
        <w:t>m</w:t>
      </w:r>
      <w:r w:rsidRPr="009B7A93">
        <w:rPr>
          <w:sz w:val="24"/>
          <w:szCs w:val="24"/>
        </w:rPr>
        <w:t>ultiphysics</w:t>
      </w:r>
      <w:proofErr w:type="spellEnd"/>
      <w:r w:rsidRPr="009B7A93">
        <w:rPr>
          <w:sz w:val="24"/>
          <w:szCs w:val="24"/>
        </w:rPr>
        <w:t xml:space="preserve"> approaches and apply them to this benchmark. The first approach utilizes the SEALION framework</w:t>
      </w:r>
      <w:r w:rsidR="00F846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7634643"/>
          <w:citation/>
        </w:sdtPr>
        <w:sdtEndPr/>
        <w:sdtContent>
          <w:r w:rsidR="00FF3643">
            <w:rPr>
              <w:sz w:val="24"/>
              <w:szCs w:val="24"/>
            </w:rPr>
            <w:fldChar w:fldCharType="begin"/>
          </w:r>
          <w:r w:rsidR="00FF3643">
            <w:rPr>
              <w:sz w:val="24"/>
              <w:szCs w:val="24"/>
              <w:lang w:val="en-US"/>
            </w:rPr>
            <w:instrText xml:space="preserve"> CITATION JGr21 \l 1033 </w:instrText>
          </w:r>
          <w:r w:rsidR="00FF3643">
            <w:rPr>
              <w:sz w:val="24"/>
              <w:szCs w:val="24"/>
            </w:rPr>
            <w:fldChar w:fldCharType="separate"/>
          </w:r>
          <w:r w:rsidR="00C867E2" w:rsidRPr="00C867E2">
            <w:rPr>
              <w:noProof/>
              <w:sz w:val="24"/>
              <w:szCs w:val="24"/>
              <w:lang w:val="en-US"/>
            </w:rPr>
            <w:t>[4]</w:t>
          </w:r>
          <w:r w:rsidR="00FF3643">
            <w:rPr>
              <w:sz w:val="24"/>
              <w:szCs w:val="24"/>
            </w:rPr>
            <w:fldChar w:fldCharType="end"/>
          </w:r>
        </w:sdtContent>
      </w:sdt>
      <w:r w:rsidRPr="009B7A93">
        <w:rPr>
          <w:sz w:val="24"/>
          <w:szCs w:val="24"/>
        </w:rPr>
        <w:t xml:space="preserve">. The SEALION framework employs a specialized thermal hydraulics solver based on the finite volume CFD code </w:t>
      </w:r>
      <w:proofErr w:type="spellStart"/>
      <w:r w:rsidRPr="009B7A93">
        <w:rPr>
          <w:sz w:val="24"/>
          <w:szCs w:val="24"/>
        </w:rPr>
        <w:t>OpenFOAM</w:t>
      </w:r>
      <w:proofErr w:type="spellEnd"/>
      <w:r w:rsidR="00FF364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24245075"/>
          <w:citation/>
        </w:sdtPr>
        <w:sdtEndPr/>
        <w:sdtContent>
          <w:r w:rsidR="00FF3643">
            <w:rPr>
              <w:sz w:val="24"/>
              <w:szCs w:val="24"/>
            </w:rPr>
            <w:fldChar w:fldCharType="begin"/>
          </w:r>
          <w:r w:rsidR="00FF3643">
            <w:rPr>
              <w:sz w:val="24"/>
              <w:szCs w:val="24"/>
              <w:lang w:val="en-US"/>
            </w:rPr>
            <w:instrText xml:space="preserve"> CITATION Wel98 \l 1033 </w:instrText>
          </w:r>
          <w:r w:rsidR="00FF3643">
            <w:rPr>
              <w:sz w:val="24"/>
              <w:szCs w:val="24"/>
            </w:rPr>
            <w:fldChar w:fldCharType="separate"/>
          </w:r>
          <w:r w:rsidR="00C867E2" w:rsidRPr="00C867E2">
            <w:rPr>
              <w:noProof/>
              <w:sz w:val="24"/>
              <w:szCs w:val="24"/>
              <w:lang w:val="en-US"/>
            </w:rPr>
            <w:t>[5]</w:t>
          </w:r>
          <w:r w:rsidR="00FF3643">
            <w:rPr>
              <w:sz w:val="24"/>
              <w:szCs w:val="24"/>
            </w:rPr>
            <w:fldChar w:fldCharType="end"/>
          </w:r>
        </w:sdtContent>
      </w:sdt>
      <w:r w:rsidRPr="009B7A93">
        <w:rPr>
          <w:sz w:val="24"/>
          <w:szCs w:val="24"/>
        </w:rPr>
        <w:t xml:space="preserve"> that is coupled with a modified Point Kinetics neutronics solver. The main advantage of this approach is that it allows for a pre-determination of </w:t>
      </w:r>
      <w:proofErr w:type="gramStart"/>
      <w:r w:rsidRPr="009B7A93">
        <w:rPr>
          <w:sz w:val="24"/>
          <w:szCs w:val="24"/>
        </w:rPr>
        <w:t>the  reactivity</w:t>
      </w:r>
      <w:proofErr w:type="gramEnd"/>
      <w:r w:rsidRPr="009B7A93">
        <w:rPr>
          <w:sz w:val="24"/>
          <w:szCs w:val="24"/>
        </w:rPr>
        <w:t xml:space="preserve"> response to temperature perturbations using Monte-Carlo codes like Serpent2</w:t>
      </w:r>
      <w:r w:rsidR="00FF364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1792586"/>
          <w:citation/>
        </w:sdtPr>
        <w:sdtEndPr/>
        <w:sdtContent>
          <w:r w:rsidR="007C49B1">
            <w:rPr>
              <w:sz w:val="24"/>
              <w:szCs w:val="24"/>
            </w:rPr>
            <w:fldChar w:fldCharType="begin"/>
          </w:r>
          <w:r w:rsidR="007C49B1">
            <w:rPr>
              <w:sz w:val="24"/>
              <w:szCs w:val="24"/>
              <w:lang w:val="en-US"/>
            </w:rPr>
            <w:instrText xml:space="preserve"> CITATION Lep \l 1033 </w:instrText>
          </w:r>
          <w:r w:rsidR="007C49B1">
            <w:rPr>
              <w:sz w:val="24"/>
              <w:szCs w:val="24"/>
            </w:rPr>
            <w:fldChar w:fldCharType="separate"/>
          </w:r>
          <w:r w:rsidR="00C867E2" w:rsidRPr="00C867E2">
            <w:rPr>
              <w:noProof/>
              <w:sz w:val="24"/>
              <w:szCs w:val="24"/>
              <w:lang w:val="en-US"/>
            </w:rPr>
            <w:t>[6]</w:t>
          </w:r>
          <w:r w:rsidR="007C49B1">
            <w:rPr>
              <w:sz w:val="24"/>
              <w:szCs w:val="24"/>
            </w:rPr>
            <w:fldChar w:fldCharType="end"/>
          </w:r>
        </w:sdtContent>
      </w:sdt>
      <w:r w:rsidRPr="009B7A93">
        <w:rPr>
          <w:sz w:val="24"/>
          <w:szCs w:val="24"/>
        </w:rPr>
        <w:t xml:space="preserve">, leading to a significant reduction in computational requirements while retaining the quality expected from a Monte Carlo simulation. The second approach </w:t>
      </w:r>
      <w:sdt>
        <w:sdtPr>
          <w:rPr>
            <w:sz w:val="24"/>
            <w:szCs w:val="24"/>
          </w:rPr>
          <w:id w:val="870341212"/>
          <w:citation/>
        </w:sdtPr>
        <w:sdtEndPr/>
        <w:sdtContent>
          <w:r w:rsidR="007C49B1">
            <w:rPr>
              <w:sz w:val="24"/>
              <w:szCs w:val="24"/>
            </w:rPr>
            <w:fldChar w:fldCharType="begin"/>
          </w:r>
          <w:r w:rsidR="007C49B1">
            <w:rPr>
              <w:sz w:val="24"/>
              <w:szCs w:val="24"/>
              <w:lang w:val="en-US"/>
            </w:rPr>
            <w:instrText xml:space="preserve"> CITATION ANa19 \l 1033 </w:instrText>
          </w:r>
          <w:r w:rsidR="007C49B1">
            <w:rPr>
              <w:sz w:val="24"/>
              <w:szCs w:val="24"/>
            </w:rPr>
            <w:fldChar w:fldCharType="separate"/>
          </w:r>
          <w:r w:rsidR="00C867E2" w:rsidRPr="00C867E2">
            <w:rPr>
              <w:noProof/>
              <w:sz w:val="24"/>
              <w:szCs w:val="24"/>
              <w:lang w:val="en-US"/>
            </w:rPr>
            <w:t>[7]</w:t>
          </w:r>
          <w:r w:rsidR="007C49B1">
            <w:rPr>
              <w:sz w:val="24"/>
              <w:szCs w:val="24"/>
            </w:rPr>
            <w:fldChar w:fldCharType="end"/>
          </w:r>
        </w:sdtContent>
      </w:sdt>
      <w:r w:rsidRPr="009B7A93">
        <w:rPr>
          <w:sz w:val="24"/>
          <w:szCs w:val="24"/>
        </w:rPr>
        <w:t xml:space="preserve"> employs the Serpent2 </w:t>
      </w:r>
      <w:proofErr w:type="spellStart"/>
      <w:r w:rsidR="00A74CED">
        <w:rPr>
          <w:sz w:val="24"/>
          <w:szCs w:val="24"/>
        </w:rPr>
        <w:t>m</w:t>
      </w:r>
      <w:r w:rsidRPr="009B7A93">
        <w:rPr>
          <w:sz w:val="24"/>
          <w:szCs w:val="24"/>
        </w:rPr>
        <w:t>ultiphysics</w:t>
      </w:r>
      <w:proofErr w:type="spellEnd"/>
      <w:r w:rsidRPr="009B7A93">
        <w:rPr>
          <w:sz w:val="24"/>
          <w:szCs w:val="24"/>
        </w:rPr>
        <w:t xml:space="preserve"> interface, allowing for high fidelity coupling of </w:t>
      </w:r>
      <w:proofErr w:type="spellStart"/>
      <w:r w:rsidRPr="009B7A93">
        <w:rPr>
          <w:sz w:val="24"/>
          <w:szCs w:val="24"/>
        </w:rPr>
        <w:t>OpenFOAM</w:t>
      </w:r>
      <w:proofErr w:type="spellEnd"/>
      <w:r w:rsidRPr="009B7A93">
        <w:rPr>
          <w:sz w:val="24"/>
          <w:szCs w:val="24"/>
        </w:rPr>
        <w:t xml:space="preserve"> and Serpent2. In this approach, Serpent2 serves as the main neutronics solver and is coupled to an </w:t>
      </w:r>
      <w:proofErr w:type="spellStart"/>
      <w:r w:rsidRPr="009B7A93">
        <w:rPr>
          <w:sz w:val="24"/>
          <w:szCs w:val="24"/>
        </w:rPr>
        <w:t>OpenFOAM</w:t>
      </w:r>
      <w:proofErr w:type="spellEnd"/>
      <w:r w:rsidRPr="009B7A93">
        <w:rPr>
          <w:sz w:val="24"/>
          <w:szCs w:val="24"/>
        </w:rPr>
        <w:t xml:space="preserve"> based thermal-hydraulics solver and a delayed neutron transport solver implemented in </w:t>
      </w:r>
      <w:proofErr w:type="spellStart"/>
      <w:r w:rsidRPr="009B7A93">
        <w:rPr>
          <w:sz w:val="24"/>
          <w:szCs w:val="24"/>
        </w:rPr>
        <w:t>OpenFOAM</w:t>
      </w:r>
      <w:proofErr w:type="spellEnd"/>
      <w:r w:rsidRPr="009B7A93">
        <w:rPr>
          <w:sz w:val="24"/>
          <w:szCs w:val="24"/>
        </w:rPr>
        <w:t xml:space="preserve"> as well. The main advantage of this coupling approach is the possibility to use a high accuracy Monte-Carlo approach for solving the neutron transport equations. </w:t>
      </w:r>
    </w:p>
    <w:p w14:paraId="36695014" w14:textId="34196ABF" w:rsidR="00B90025" w:rsidRDefault="00F91936" w:rsidP="00C867E2">
      <w:pPr>
        <w:pStyle w:val="BodyText"/>
        <w:rPr>
          <w:sz w:val="24"/>
          <w:szCs w:val="24"/>
        </w:rPr>
      </w:pPr>
      <w:r w:rsidRPr="009B7A93">
        <w:rPr>
          <w:sz w:val="24"/>
          <w:szCs w:val="24"/>
        </w:rPr>
        <w:t xml:space="preserve">Both approaches are validated against the benchmark </w:t>
      </w:r>
      <w:sdt>
        <w:sdtPr>
          <w:rPr>
            <w:rFonts w:eastAsiaTheme="minorHAnsi"/>
            <w:sz w:val="24"/>
            <w:szCs w:val="24"/>
            <w:lang w:val="en-DK" w:eastAsia="ar-SA"/>
          </w:rPr>
          <w:id w:val="1694577375"/>
          <w:citation/>
        </w:sdtPr>
        <w:sdtEndPr/>
        <w:sdtContent>
          <w:r w:rsidR="007C49B1">
            <w:rPr>
              <w:rFonts w:eastAsiaTheme="minorHAnsi"/>
              <w:sz w:val="24"/>
              <w:szCs w:val="24"/>
              <w:lang w:val="en-DK" w:eastAsia="ar-SA"/>
            </w:rPr>
            <w:fldChar w:fldCharType="begin"/>
          </w:r>
          <w:r w:rsidR="007C49B1">
            <w:rPr>
              <w:rFonts w:eastAsiaTheme="minorHAnsi"/>
              <w:sz w:val="24"/>
              <w:szCs w:val="24"/>
              <w:lang w:val="en-US" w:eastAsia="ar-SA"/>
            </w:rPr>
            <w:instrText xml:space="preserve"> CITATION MTi20 \l 1033 </w:instrText>
          </w:r>
          <w:r w:rsidR="007C49B1">
            <w:rPr>
              <w:rFonts w:eastAsiaTheme="minorHAnsi"/>
              <w:sz w:val="24"/>
              <w:szCs w:val="24"/>
              <w:lang w:val="en-DK" w:eastAsia="ar-SA"/>
            </w:rPr>
            <w:fldChar w:fldCharType="separate"/>
          </w:r>
          <w:r w:rsidR="00C867E2" w:rsidRPr="00C867E2">
            <w:rPr>
              <w:rFonts w:eastAsiaTheme="minorHAnsi"/>
              <w:noProof/>
              <w:sz w:val="24"/>
              <w:szCs w:val="24"/>
              <w:lang w:val="en-US" w:eastAsia="ar-SA"/>
            </w:rPr>
            <w:t>[3]</w:t>
          </w:r>
          <w:r w:rsidR="007C49B1">
            <w:rPr>
              <w:rFonts w:eastAsiaTheme="minorHAnsi"/>
              <w:sz w:val="24"/>
              <w:szCs w:val="24"/>
              <w:lang w:val="en-DK" w:eastAsia="ar-SA"/>
            </w:rPr>
            <w:fldChar w:fldCharType="end"/>
          </w:r>
        </w:sdtContent>
      </w:sdt>
      <w:r w:rsidRPr="009B7A93">
        <w:rPr>
          <w:sz w:val="24"/>
          <w:szCs w:val="24"/>
        </w:rPr>
        <w:t xml:space="preserve">. An overall agreement between the results demonstrates the validity of both approaches. </w:t>
      </w:r>
    </w:p>
    <w:p w14:paraId="4E20E14D" w14:textId="74C10D93" w:rsidR="00755832" w:rsidRDefault="00755832" w:rsidP="00C867E2">
      <w:pPr>
        <w:pStyle w:val="BodyText"/>
        <w:rPr>
          <w:sz w:val="24"/>
          <w:szCs w:val="24"/>
        </w:rPr>
      </w:pPr>
    </w:p>
    <w:p w14:paraId="38C44A3A" w14:textId="5D6052FC" w:rsidR="001B17A3" w:rsidRDefault="001B17A3" w:rsidP="00C867E2">
      <w:pPr>
        <w:pStyle w:val="BodyText"/>
        <w:rPr>
          <w:sz w:val="24"/>
          <w:szCs w:val="24"/>
        </w:rPr>
      </w:pPr>
    </w:p>
    <w:p w14:paraId="535C6510" w14:textId="501ACF9B" w:rsidR="001B17A3" w:rsidRDefault="00BE61C9" w:rsidP="00A0185C">
      <w:pPr>
        <w:pStyle w:val="Heading3"/>
        <w:rPr>
          <w:rFonts w:eastAsiaTheme="minorHAnsi"/>
          <w:lang w:eastAsia="ar-SA"/>
        </w:rPr>
      </w:pPr>
      <w:r w:rsidRPr="00BE61C9">
        <w:rPr>
          <w:rFonts w:eastAsiaTheme="minorHAnsi"/>
          <w:lang w:eastAsia="ar-SA"/>
        </w:rPr>
        <w:t>Benchmark geometry and stages</w:t>
      </w:r>
    </w:p>
    <w:p w14:paraId="639437A4" w14:textId="7087D69D" w:rsidR="001B6386" w:rsidRDefault="00773A8C" w:rsidP="00C52A1C">
      <w:pPr>
        <w:pStyle w:val="BodyText"/>
        <w:rPr>
          <w:rFonts w:eastAsiaTheme="minorHAnsi"/>
          <w:sz w:val="24"/>
          <w:szCs w:val="24"/>
          <w:lang w:val="en-US" w:eastAsia="ar-SA"/>
        </w:rPr>
      </w:pPr>
      <w:r w:rsidRPr="00773A8C">
        <w:rPr>
          <w:rFonts w:eastAsiaTheme="minorHAnsi"/>
          <w:sz w:val="24"/>
          <w:szCs w:val="24"/>
          <w:lang w:eastAsia="ar-SA"/>
        </w:rPr>
        <w:t xml:space="preserve">One of the traditional benchmark cases used to validate thermal-hydraulics solvers for incompressible flow is the lid driven cavity model. The geometry is </w:t>
      </w:r>
      <w:proofErr w:type="gramStart"/>
      <w:r w:rsidRPr="00773A8C">
        <w:rPr>
          <w:rFonts w:eastAsiaTheme="minorHAnsi"/>
          <w:sz w:val="24"/>
          <w:szCs w:val="24"/>
          <w:lang w:eastAsia="ar-SA"/>
        </w:rPr>
        <w:t>fairly simple</w:t>
      </w:r>
      <w:proofErr w:type="gramEnd"/>
      <w:r w:rsidRPr="00773A8C">
        <w:rPr>
          <w:rFonts w:eastAsiaTheme="minorHAnsi"/>
          <w:sz w:val="24"/>
          <w:szCs w:val="24"/>
          <w:lang w:eastAsia="ar-SA"/>
        </w:rPr>
        <w:t xml:space="preserve">, it captures the main characteristics of the flow and provides a clear identification of relevant parameters for the simulation. The benchmark geometry has been adapted in </w:t>
      </w:r>
      <w:r>
        <w:rPr>
          <w:rFonts w:eastAsiaTheme="minorHAnsi"/>
          <w:sz w:val="24"/>
          <w:szCs w:val="24"/>
          <w:lang w:eastAsia="ar-SA"/>
        </w:rPr>
        <w:t>[2][3]</w:t>
      </w:r>
      <w:r w:rsidRPr="00773A8C">
        <w:rPr>
          <w:rFonts w:eastAsiaTheme="minorHAnsi"/>
          <w:sz w:val="24"/>
          <w:szCs w:val="24"/>
          <w:lang w:eastAsia="ar-SA"/>
        </w:rPr>
        <w:t xml:space="preserve"> as well as this work for validation of the neutronics-thermal hydraulics coupling techniques for MSRs; the cavity model also represents a simplified Molten Salt Fast Reactor design, with the fuel circulating inside a cylindrical cavity</w:t>
      </w:r>
      <w:r w:rsidR="007C2C98">
        <w:rPr>
          <w:rFonts w:eastAsiaTheme="minorHAnsi"/>
          <w:sz w:val="24"/>
          <w:szCs w:val="24"/>
          <w:lang w:eastAsia="ar-SA"/>
        </w:rPr>
        <w:t xml:space="preserve">. </w:t>
      </w:r>
      <w:r w:rsidR="00C52A1C" w:rsidRPr="00C52A1C">
        <w:rPr>
          <w:rFonts w:eastAsiaTheme="minorHAnsi"/>
          <w:sz w:val="24"/>
          <w:szCs w:val="24"/>
          <w:lang w:val="en-US" w:eastAsia="ar-SA"/>
        </w:rPr>
        <w:t xml:space="preserve">In Figure </w:t>
      </w:r>
      <w:r w:rsidR="001B6386">
        <w:rPr>
          <w:rFonts w:eastAsiaTheme="minorHAnsi"/>
          <w:sz w:val="24"/>
          <w:szCs w:val="24"/>
          <w:lang w:val="en-US" w:eastAsia="ar-SA"/>
        </w:rPr>
        <w:t>1</w:t>
      </w:r>
      <w:r w:rsidR="00C52A1C" w:rsidRPr="00C52A1C">
        <w:rPr>
          <w:rFonts w:eastAsiaTheme="minorHAnsi"/>
          <w:sz w:val="24"/>
          <w:szCs w:val="24"/>
          <w:lang w:val="en-US" w:eastAsia="ar-SA"/>
        </w:rPr>
        <w:t xml:space="preserve"> the lid driven</w:t>
      </w:r>
      <w:r w:rsidR="00C52A1C">
        <w:rPr>
          <w:rFonts w:eastAsiaTheme="minorHAnsi"/>
          <w:sz w:val="24"/>
          <w:szCs w:val="24"/>
          <w:lang w:val="en-US" w:eastAsia="ar-SA"/>
        </w:rPr>
        <w:t xml:space="preserve"> </w:t>
      </w:r>
      <w:r w:rsidR="00C52A1C" w:rsidRPr="00C52A1C">
        <w:rPr>
          <w:rFonts w:eastAsiaTheme="minorHAnsi"/>
          <w:sz w:val="24"/>
          <w:szCs w:val="24"/>
          <w:lang w:val="en-US" w:eastAsia="ar-SA"/>
        </w:rPr>
        <w:t xml:space="preserve">cavity model geometry is shown. </w:t>
      </w:r>
    </w:p>
    <w:p w14:paraId="2FC8A9E6" w14:textId="77777777" w:rsidR="001B6386" w:rsidRDefault="001B6386" w:rsidP="00C52A1C">
      <w:pPr>
        <w:pStyle w:val="BodyText"/>
        <w:rPr>
          <w:rFonts w:eastAsiaTheme="minorHAnsi"/>
          <w:sz w:val="24"/>
          <w:szCs w:val="24"/>
          <w:lang w:val="en-US" w:eastAsia="ar-SA"/>
        </w:rPr>
      </w:pPr>
    </w:p>
    <w:p w14:paraId="3B1FCD78" w14:textId="77777777" w:rsidR="001B6386" w:rsidRDefault="001B6386" w:rsidP="001B6386">
      <w:pPr>
        <w:pStyle w:val="BodyText"/>
        <w:keepNext/>
        <w:jc w:val="center"/>
      </w:pPr>
      <w:r>
        <w:rPr>
          <w:rFonts w:eastAsiaTheme="minorHAnsi"/>
          <w:noProof/>
          <w:sz w:val="24"/>
          <w:szCs w:val="24"/>
          <w:lang w:val="en-US" w:eastAsia="ar-SA"/>
        </w:rPr>
        <w:lastRenderedPageBreak/>
        <w:drawing>
          <wp:inline distT="0" distB="0" distL="0" distR="0" wp14:anchorId="559AEE59" wp14:editId="54BC167A">
            <wp:extent cx="2962073" cy="2719280"/>
            <wp:effectExtent l="0" t="0" r="0" b="508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192" cy="274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81680" w14:textId="2E77095A" w:rsidR="001B6386" w:rsidRDefault="001B6386" w:rsidP="001B6386">
      <w:pPr>
        <w:pStyle w:val="Caption"/>
        <w:jc w:val="both"/>
        <w:rPr>
          <w:rFonts w:eastAsiaTheme="minorHAnsi"/>
          <w:sz w:val="24"/>
          <w:szCs w:val="24"/>
          <w:lang w:eastAsia="ar-SA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D449C6">
        <w:rPr>
          <w:noProof/>
        </w:rPr>
        <w:t>1</w:t>
      </w:r>
      <w:r>
        <w:fldChar w:fldCharType="end"/>
      </w:r>
      <w:r>
        <w:t>: Benchmark geometry: a simple 2m times 2m cavity treated as a 2D</w:t>
      </w:r>
    </w:p>
    <w:p w14:paraId="2F9B58FB" w14:textId="4EB72182" w:rsidR="00BE61C9" w:rsidRDefault="00CD49F6" w:rsidP="00C52A1C">
      <w:pPr>
        <w:pStyle w:val="BodyText"/>
        <w:rPr>
          <w:rFonts w:eastAsiaTheme="minorHAnsi"/>
          <w:sz w:val="24"/>
          <w:szCs w:val="24"/>
          <w:lang w:val="en-US" w:eastAsia="ar-SA"/>
        </w:rPr>
      </w:pPr>
      <w:r w:rsidRPr="00CD49F6">
        <w:rPr>
          <w:rFonts w:eastAsiaTheme="minorHAnsi"/>
          <w:sz w:val="24"/>
          <w:szCs w:val="24"/>
          <w:lang w:val="en-US" w:eastAsia="ar-SA"/>
        </w:rPr>
        <w:t xml:space="preserve">The </w:t>
      </w:r>
      <w:proofErr w:type="spellStart"/>
      <w:r w:rsidRPr="00CD49F6">
        <w:rPr>
          <w:rFonts w:eastAsiaTheme="minorHAnsi"/>
          <w:sz w:val="24"/>
          <w:szCs w:val="24"/>
          <w:lang w:val="en-US" w:eastAsia="ar-SA"/>
        </w:rPr>
        <w:t>multiphysics</w:t>
      </w:r>
      <w:proofErr w:type="spellEnd"/>
      <w:r w:rsidRPr="00CD49F6">
        <w:rPr>
          <w:rFonts w:eastAsiaTheme="minorHAnsi"/>
          <w:sz w:val="24"/>
          <w:szCs w:val="24"/>
          <w:lang w:val="en-US" w:eastAsia="ar-SA"/>
        </w:rPr>
        <w:t xml:space="preserve"> benchmark is performed in three main stages: first the individual software for the neutronics and the </w:t>
      </w:r>
      <w:proofErr w:type="gramStart"/>
      <w:r w:rsidRPr="00CD49F6">
        <w:rPr>
          <w:rFonts w:eastAsiaTheme="minorHAnsi"/>
          <w:sz w:val="24"/>
          <w:szCs w:val="24"/>
          <w:lang w:val="en-US" w:eastAsia="ar-SA"/>
        </w:rPr>
        <w:t>thermal-hydraulics</w:t>
      </w:r>
      <w:proofErr w:type="gramEnd"/>
      <w:r w:rsidRPr="00CD49F6">
        <w:rPr>
          <w:rFonts w:eastAsiaTheme="minorHAnsi"/>
          <w:sz w:val="24"/>
          <w:szCs w:val="24"/>
          <w:lang w:val="en-US" w:eastAsia="ar-SA"/>
        </w:rPr>
        <w:t xml:space="preserve"> are tested, then a fully coupled steady state analysis of the model is carried out, and finally the coupling is tested for a forced convection transient scenario. The coupling in the second phase of the benchmark is introduced gradually: initially the impact of the fuel velocity field on the neutronics is investigated with a fixed temperature and power input, then the power distribution impact on the fuel temperature field is modeled and finally the buoyancy effects are encountered for.</w:t>
      </w:r>
      <w:r>
        <w:rPr>
          <w:rFonts w:eastAsiaTheme="minorHAnsi"/>
          <w:sz w:val="24"/>
          <w:szCs w:val="24"/>
          <w:lang w:val="en-US" w:eastAsia="ar-SA"/>
        </w:rPr>
        <w:t xml:space="preserve"> </w:t>
      </w:r>
    </w:p>
    <w:p w14:paraId="628D543D" w14:textId="62E58418" w:rsidR="00C1498B" w:rsidRDefault="00C1498B" w:rsidP="00C52A1C">
      <w:pPr>
        <w:pStyle w:val="BodyText"/>
        <w:rPr>
          <w:rFonts w:eastAsiaTheme="minorHAnsi"/>
          <w:sz w:val="24"/>
          <w:szCs w:val="24"/>
          <w:lang w:val="en-US" w:eastAsia="ar-SA"/>
        </w:rPr>
      </w:pPr>
    </w:p>
    <w:p w14:paraId="1A09880E" w14:textId="77777777" w:rsidR="00C1498B" w:rsidRDefault="00C1498B" w:rsidP="00C52A1C">
      <w:pPr>
        <w:pStyle w:val="BodyText"/>
        <w:rPr>
          <w:rFonts w:eastAsiaTheme="minorHAnsi"/>
          <w:sz w:val="24"/>
          <w:szCs w:val="24"/>
          <w:lang w:val="en-US" w:eastAsia="ar-SA"/>
        </w:rPr>
      </w:pPr>
    </w:p>
    <w:p w14:paraId="2E98FF08" w14:textId="1563AB1F" w:rsidR="00C1498B" w:rsidRDefault="00E250F8" w:rsidP="00C1498B">
      <w:pPr>
        <w:pStyle w:val="Heading3"/>
        <w:rPr>
          <w:rFonts w:eastAsiaTheme="minorHAnsi"/>
          <w:lang w:eastAsia="ar-SA"/>
        </w:rPr>
      </w:pPr>
      <w:r w:rsidRPr="00E250F8">
        <w:rPr>
          <w:rFonts w:eastAsiaTheme="minorHAnsi"/>
          <w:lang w:eastAsia="ar-SA"/>
        </w:rPr>
        <w:t>Benchmark results</w:t>
      </w:r>
    </w:p>
    <w:p w14:paraId="70F5D42F" w14:textId="428B45DB" w:rsidR="00446595" w:rsidRPr="00FE7100" w:rsidRDefault="00DF5863" w:rsidP="00FE7100">
      <w:pPr>
        <w:pStyle w:val="BodyText"/>
        <w:rPr>
          <w:rFonts w:eastAsiaTheme="minorHAnsi"/>
          <w:sz w:val="24"/>
          <w:szCs w:val="24"/>
        </w:rPr>
      </w:pPr>
      <w:r w:rsidRPr="001F3CFF">
        <w:rPr>
          <w:sz w:val="24"/>
          <w:szCs w:val="24"/>
        </w:rPr>
        <w:t>A standalone thermal hydraulics test is performed to</w:t>
      </w:r>
      <w:r w:rsidRPr="001F3CFF">
        <w:rPr>
          <w:rFonts w:eastAsiaTheme="minorHAnsi"/>
          <w:sz w:val="24"/>
          <w:szCs w:val="24"/>
        </w:rPr>
        <w:t xml:space="preserve"> </w:t>
      </w:r>
      <w:r w:rsidRPr="001F3CFF">
        <w:rPr>
          <w:sz w:val="24"/>
          <w:szCs w:val="24"/>
        </w:rPr>
        <w:t>obtain the velocity field of the fuel with a fixed lid velocity</w:t>
      </w:r>
      <w:r w:rsidRPr="001F3CFF">
        <w:rPr>
          <w:rFonts w:eastAsiaTheme="minorHAnsi"/>
          <w:sz w:val="24"/>
          <w:szCs w:val="24"/>
        </w:rPr>
        <w:t xml:space="preserve"> </w:t>
      </w:r>
      <w:r w:rsidRPr="001F3CFF">
        <w:rPr>
          <w:sz w:val="24"/>
          <w:szCs w:val="24"/>
        </w:rPr>
        <w:t>u=0.5m/s.</w:t>
      </w:r>
      <w:r w:rsidRPr="001F3CFF">
        <w:rPr>
          <w:rFonts w:eastAsiaTheme="minorHAnsi"/>
          <w:sz w:val="24"/>
          <w:szCs w:val="24"/>
        </w:rPr>
        <w:t xml:space="preserve"> </w:t>
      </w:r>
      <w:r w:rsidR="00047160" w:rsidRPr="001F3CFF">
        <w:rPr>
          <w:sz w:val="24"/>
          <w:szCs w:val="24"/>
        </w:rPr>
        <w:t>In</w:t>
      </w:r>
      <w:r w:rsidR="00C33924" w:rsidRPr="001F3CFF">
        <w:rPr>
          <w:rFonts w:eastAsiaTheme="minorHAnsi"/>
          <w:sz w:val="24"/>
          <w:szCs w:val="24"/>
        </w:rPr>
        <w:t xml:space="preserve"> </w:t>
      </w:r>
      <w:r w:rsidR="001F3CFF">
        <w:rPr>
          <w:rFonts w:eastAsiaTheme="minorHAnsi"/>
          <w:sz w:val="24"/>
          <w:szCs w:val="24"/>
        </w:rPr>
        <w:t>Figure 2</w:t>
      </w:r>
      <w:r w:rsidR="00047160" w:rsidRPr="001F3CFF">
        <w:rPr>
          <w:sz w:val="24"/>
          <w:szCs w:val="24"/>
        </w:rPr>
        <w:t xml:space="preserve"> the horizontal velocity component along the cavity vertical </w:t>
      </w:r>
      <w:proofErr w:type="spellStart"/>
      <w:r w:rsidR="00047160" w:rsidRPr="001F3CFF">
        <w:rPr>
          <w:sz w:val="24"/>
          <w:szCs w:val="24"/>
        </w:rPr>
        <w:t>centerline</w:t>
      </w:r>
      <w:proofErr w:type="spellEnd"/>
      <w:r w:rsidR="00047160" w:rsidRPr="001F3CFF">
        <w:rPr>
          <w:sz w:val="24"/>
          <w:szCs w:val="24"/>
        </w:rPr>
        <w:t xml:space="preserve"> is shown, providing a good agreement between the results of this work and the benchmark participants. </w:t>
      </w:r>
      <w:r w:rsidR="000248D6" w:rsidRPr="000248D6">
        <w:rPr>
          <w:sz w:val="24"/>
          <w:szCs w:val="24"/>
        </w:rPr>
        <w:t>The second standalone physics test is the test of the neutronics module, in terms of the fission rate density shown</w:t>
      </w:r>
      <w:r w:rsidR="000248D6">
        <w:rPr>
          <w:sz w:val="24"/>
          <w:szCs w:val="24"/>
        </w:rPr>
        <w:t xml:space="preserve"> </w:t>
      </w:r>
      <w:r w:rsidR="000248D6" w:rsidRPr="000248D6">
        <w:rPr>
          <w:sz w:val="24"/>
          <w:szCs w:val="24"/>
        </w:rPr>
        <w:t xml:space="preserve">Figure </w:t>
      </w:r>
      <w:r w:rsidR="000248D6">
        <w:rPr>
          <w:sz w:val="24"/>
          <w:szCs w:val="24"/>
        </w:rPr>
        <w:t xml:space="preserve">3. </w:t>
      </w:r>
      <w:r w:rsidR="006304A4">
        <w:rPr>
          <w:sz w:val="24"/>
          <w:szCs w:val="24"/>
        </w:rPr>
        <w:t>A</w:t>
      </w:r>
      <w:r w:rsidR="006304A4" w:rsidRPr="006304A4">
        <w:rPr>
          <w:sz w:val="24"/>
          <w:szCs w:val="24"/>
        </w:rPr>
        <w:t xml:space="preserve"> very good agreement with the benchmark </w:t>
      </w:r>
      <w:proofErr w:type="spellStart"/>
      <w:r w:rsidR="006304A4" w:rsidRPr="006304A4">
        <w:rPr>
          <w:sz w:val="24"/>
          <w:szCs w:val="24"/>
        </w:rPr>
        <w:t>isobserved</w:t>
      </w:r>
      <w:proofErr w:type="spellEnd"/>
      <w:r w:rsidR="006304A4" w:rsidRPr="006304A4">
        <w:rPr>
          <w:sz w:val="24"/>
          <w:szCs w:val="24"/>
        </w:rPr>
        <w:t xml:space="preserve"> both for the point-kinetics results (SEALION) and</w:t>
      </w:r>
      <w:r w:rsidR="006304A4">
        <w:rPr>
          <w:sz w:val="24"/>
          <w:szCs w:val="24"/>
        </w:rPr>
        <w:t xml:space="preserve"> </w:t>
      </w:r>
      <w:r w:rsidR="006304A4" w:rsidRPr="006304A4">
        <w:rPr>
          <w:sz w:val="24"/>
          <w:szCs w:val="24"/>
        </w:rPr>
        <w:t>for the Serpent results</w:t>
      </w:r>
      <w:r w:rsidR="006304A4">
        <w:rPr>
          <w:sz w:val="24"/>
          <w:szCs w:val="24"/>
        </w:rPr>
        <w:t xml:space="preserve"> </w:t>
      </w:r>
      <w:r w:rsidR="006304A4" w:rsidRPr="006304A4">
        <w:rPr>
          <w:sz w:val="24"/>
          <w:szCs w:val="24"/>
        </w:rPr>
        <w:t>(DTU)</w:t>
      </w:r>
    </w:p>
    <w:tbl>
      <w:tblPr>
        <w:tblStyle w:val="TableGrid"/>
        <w:tblW w:w="9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646"/>
      </w:tblGrid>
      <w:tr w:rsidR="00877C77" w14:paraId="2F422F4B" w14:textId="77777777" w:rsidTr="00341CC6">
        <w:tc>
          <w:tcPr>
            <w:tcW w:w="4390" w:type="dxa"/>
          </w:tcPr>
          <w:p w14:paraId="786B07F5" w14:textId="77777777" w:rsidR="00341CC6" w:rsidRDefault="00877C77" w:rsidP="00341CC6">
            <w:pPr>
              <w:pStyle w:val="BodyText"/>
              <w:keepNext/>
              <w:ind w:firstLine="0"/>
            </w:pPr>
            <w:r>
              <w:rPr>
                <w:rFonts w:eastAsiaTheme="minorHAnsi"/>
                <w:noProof/>
                <w:lang w:val="en-US" w:eastAsia="ar-SA"/>
              </w:rPr>
              <w:lastRenderedPageBreak/>
              <w:drawing>
                <wp:inline distT="0" distB="0" distL="0" distR="0" wp14:anchorId="3A79202E" wp14:editId="4230D5CF">
                  <wp:extent cx="2608377" cy="2079882"/>
                  <wp:effectExtent l="0" t="0" r="1905" b="0"/>
                  <wp:docPr id="2" name="Picture 2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line 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370" cy="208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1BA3E" w14:textId="24FAF683" w:rsidR="00877C77" w:rsidRDefault="00341CC6" w:rsidP="00341CC6">
            <w:pPr>
              <w:pStyle w:val="Caption"/>
              <w:jc w:val="both"/>
              <w:rPr>
                <w:rFonts w:eastAsiaTheme="minorHAnsi"/>
                <w:lang w:eastAsia="ar-SA"/>
              </w:rPr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 w:rsidR="00D449C6">
              <w:rPr>
                <w:noProof/>
              </w:rPr>
              <w:t>2</w:t>
            </w:r>
            <w:r>
              <w:fldChar w:fldCharType="end"/>
            </w:r>
            <w:r>
              <w:t xml:space="preserve"> : </w:t>
            </w:r>
            <w:r w:rsidRPr="001F4ACA">
              <w:t>Horizontal velocity component along</w:t>
            </w:r>
            <w:r>
              <w:t xml:space="preserve"> AA'</w:t>
            </w:r>
          </w:p>
        </w:tc>
        <w:tc>
          <w:tcPr>
            <w:tcW w:w="4641" w:type="dxa"/>
          </w:tcPr>
          <w:p w14:paraId="42B2FA36" w14:textId="77777777" w:rsidR="00341CC6" w:rsidRDefault="00877C77" w:rsidP="00341CC6">
            <w:pPr>
              <w:pStyle w:val="BodyText"/>
              <w:keepNext/>
              <w:ind w:firstLine="0"/>
            </w:pPr>
            <w:r>
              <w:rPr>
                <w:rFonts w:eastAsiaTheme="minorHAnsi"/>
                <w:noProof/>
                <w:lang w:val="en-US" w:eastAsia="ar-SA"/>
              </w:rPr>
              <w:drawing>
                <wp:inline distT="0" distB="0" distL="0" distR="0" wp14:anchorId="0BCED622" wp14:editId="40CA7D0E">
                  <wp:extent cx="3441281" cy="2091759"/>
                  <wp:effectExtent l="0" t="0" r="6985" b="3810"/>
                  <wp:docPr id="4" name="Picture 4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074" cy="210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5C1E1" w14:textId="5E63787B" w:rsidR="00341CC6" w:rsidRDefault="00341CC6" w:rsidP="00341CC6">
            <w:pPr>
              <w:pStyle w:val="Caption"/>
              <w:jc w:val="both"/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 w:rsidR="00D449C6">
              <w:rPr>
                <w:noProof/>
              </w:rPr>
              <w:t>3</w:t>
            </w:r>
            <w:r>
              <w:fldChar w:fldCharType="end"/>
            </w:r>
            <w:r>
              <w:t xml:space="preserve">: </w:t>
            </w:r>
            <w:r w:rsidRPr="006968A2">
              <w:t>Fission rate density along</w:t>
            </w:r>
            <w:r>
              <w:t xml:space="preserve"> </w:t>
            </w:r>
            <w:r w:rsidRPr="006968A2">
              <w:t>AA</w:t>
            </w:r>
            <w:r>
              <w:t>'</w:t>
            </w:r>
          </w:p>
          <w:p w14:paraId="29C2BFBB" w14:textId="32D8D011" w:rsidR="00877C77" w:rsidRDefault="00877C77" w:rsidP="00446595">
            <w:pPr>
              <w:pStyle w:val="BodyText"/>
              <w:ind w:firstLine="0"/>
              <w:rPr>
                <w:rFonts w:eastAsiaTheme="minorHAnsi"/>
                <w:lang w:val="en-US" w:eastAsia="ar-SA"/>
              </w:rPr>
            </w:pPr>
          </w:p>
        </w:tc>
      </w:tr>
    </w:tbl>
    <w:p w14:paraId="18BA004F" w14:textId="3DBCB465" w:rsidR="00DF5863" w:rsidRDefault="00887681" w:rsidP="00446595">
      <w:pPr>
        <w:pStyle w:val="BodyText"/>
        <w:rPr>
          <w:rFonts w:eastAsiaTheme="minorHAnsi"/>
          <w:sz w:val="24"/>
          <w:szCs w:val="24"/>
          <w:lang w:eastAsia="ar-SA"/>
        </w:rPr>
      </w:pPr>
      <w:r w:rsidRPr="00887681">
        <w:rPr>
          <w:rFonts w:eastAsiaTheme="minorHAnsi"/>
          <w:sz w:val="24"/>
          <w:szCs w:val="24"/>
          <w:lang w:val="en-US" w:eastAsia="ar-SA"/>
        </w:rPr>
        <w:t xml:space="preserve">In the </w:t>
      </w:r>
      <w:r>
        <w:rPr>
          <w:rFonts w:eastAsiaTheme="minorHAnsi"/>
          <w:sz w:val="24"/>
          <w:szCs w:val="24"/>
          <w:lang w:val="en-US" w:eastAsia="ar-SA"/>
        </w:rPr>
        <w:t xml:space="preserve">latter phases of the benchmark </w:t>
      </w:r>
      <w:r w:rsidR="00096E99">
        <w:rPr>
          <w:rFonts w:eastAsiaTheme="minorHAnsi"/>
          <w:sz w:val="24"/>
          <w:szCs w:val="24"/>
          <w:lang w:eastAsia="ar-SA"/>
        </w:rPr>
        <w:t>t</w:t>
      </w:r>
      <w:r w:rsidR="00096E99" w:rsidRPr="00096E99">
        <w:rPr>
          <w:rFonts w:eastAsiaTheme="minorHAnsi"/>
          <w:sz w:val="24"/>
          <w:szCs w:val="24"/>
          <w:lang w:eastAsia="ar-SA"/>
        </w:rPr>
        <w:t>he impact of a non-uniform temperature on the flux and</w:t>
      </w:r>
      <w:r w:rsidR="00096E99">
        <w:rPr>
          <w:rFonts w:eastAsiaTheme="minorHAnsi"/>
          <w:sz w:val="24"/>
          <w:szCs w:val="24"/>
          <w:lang w:eastAsia="ar-SA"/>
        </w:rPr>
        <w:t xml:space="preserve"> </w:t>
      </w:r>
      <w:r w:rsidR="00096E99" w:rsidRPr="00096E99">
        <w:rPr>
          <w:rFonts w:eastAsiaTheme="minorHAnsi"/>
          <w:sz w:val="24"/>
          <w:szCs w:val="24"/>
          <w:lang w:eastAsia="ar-SA"/>
        </w:rPr>
        <w:t>in turn the effect of the flux deformation on the temperature is</w:t>
      </w:r>
      <w:r w:rsidR="00096E99">
        <w:rPr>
          <w:rFonts w:eastAsiaTheme="minorHAnsi"/>
          <w:sz w:val="24"/>
          <w:szCs w:val="24"/>
          <w:lang w:eastAsia="ar-SA"/>
        </w:rPr>
        <w:t xml:space="preserve"> </w:t>
      </w:r>
      <w:r w:rsidR="00096E99" w:rsidRPr="00096E99">
        <w:rPr>
          <w:rFonts w:eastAsiaTheme="minorHAnsi"/>
          <w:sz w:val="24"/>
          <w:szCs w:val="24"/>
          <w:lang w:eastAsia="ar-SA"/>
        </w:rPr>
        <w:t>evaluated.</w:t>
      </w:r>
      <w:r w:rsidR="00096E99">
        <w:rPr>
          <w:rFonts w:eastAsiaTheme="minorHAnsi"/>
          <w:sz w:val="24"/>
          <w:szCs w:val="24"/>
          <w:lang w:eastAsia="ar-SA"/>
        </w:rPr>
        <w:t xml:space="preserve"> </w:t>
      </w:r>
      <w:r w:rsidR="009B5178">
        <w:rPr>
          <w:rFonts w:eastAsiaTheme="minorHAnsi"/>
          <w:sz w:val="24"/>
          <w:szCs w:val="24"/>
          <w:lang w:eastAsia="ar-SA"/>
        </w:rPr>
        <w:t>A</w:t>
      </w:r>
      <w:r w:rsidR="009B5178" w:rsidRPr="009B5178">
        <w:rPr>
          <w:rFonts w:eastAsiaTheme="minorHAnsi"/>
          <w:sz w:val="24"/>
          <w:szCs w:val="24"/>
          <w:lang w:eastAsia="ar-SA"/>
        </w:rPr>
        <w:t xml:space="preserve"> sinusoidal perturbation to the heat transfer coefficient is considered with various</w:t>
      </w:r>
      <w:r w:rsidR="009B5178">
        <w:rPr>
          <w:rFonts w:eastAsiaTheme="minorHAnsi"/>
          <w:sz w:val="24"/>
          <w:szCs w:val="24"/>
          <w:lang w:eastAsia="ar-SA"/>
        </w:rPr>
        <w:t xml:space="preserve"> </w:t>
      </w:r>
      <w:r w:rsidR="009B5178" w:rsidRPr="009B5178">
        <w:rPr>
          <w:rFonts w:eastAsiaTheme="minorHAnsi"/>
          <w:sz w:val="24"/>
          <w:szCs w:val="24"/>
          <w:lang w:eastAsia="ar-SA"/>
        </w:rPr>
        <w:t>frequencies and a constant amplitude. The effect</w:t>
      </w:r>
      <w:r w:rsidR="009B5178">
        <w:rPr>
          <w:rFonts w:eastAsiaTheme="minorHAnsi"/>
          <w:sz w:val="24"/>
          <w:szCs w:val="24"/>
          <w:lang w:eastAsia="ar-SA"/>
        </w:rPr>
        <w:t xml:space="preserve"> </w:t>
      </w:r>
      <w:r w:rsidR="009B5178" w:rsidRPr="009B5178">
        <w:rPr>
          <w:rFonts w:eastAsiaTheme="minorHAnsi"/>
          <w:sz w:val="24"/>
          <w:szCs w:val="24"/>
          <w:lang w:eastAsia="ar-SA"/>
        </w:rPr>
        <w:t>of non-homogeneous salt cooling on the power is observed</w:t>
      </w:r>
      <w:r w:rsidR="009B5178">
        <w:rPr>
          <w:rFonts w:eastAsiaTheme="minorHAnsi"/>
          <w:sz w:val="24"/>
          <w:szCs w:val="24"/>
          <w:lang w:eastAsia="ar-SA"/>
        </w:rPr>
        <w:t xml:space="preserve"> </w:t>
      </w:r>
      <w:r w:rsidR="009B5178" w:rsidRPr="009B5178">
        <w:rPr>
          <w:rFonts w:eastAsiaTheme="minorHAnsi"/>
          <w:sz w:val="24"/>
          <w:szCs w:val="24"/>
          <w:lang w:eastAsia="ar-SA"/>
        </w:rPr>
        <w:t>and reported as a function of the power gain</w:t>
      </w:r>
      <w:r w:rsidR="009B5178">
        <w:rPr>
          <w:rFonts w:eastAsiaTheme="minorHAnsi"/>
          <w:sz w:val="24"/>
          <w:szCs w:val="24"/>
          <w:lang w:eastAsia="ar-SA"/>
        </w:rPr>
        <w:t xml:space="preserve">. </w:t>
      </w:r>
      <w:r w:rsidR="00D01134">
        <w:rPr>
          <w:rFonts w:eastAsiaTheme="minorHAnsi"/>
          <w:sz w:val="24"/>
          <w:szCs w:val="24"/>
          <w:lang w:eastAsia="ar-SA"/>
        </w:rPr>
        <w:t>Figure 4</w:t>
      </w:r>
      <w:r w:rsidR="00D01134" w:rsidRPr="00D01134">
        <w:rPr>
          <w:rFonts w:eastAsiaTheme="minorHAnsi"/>
          <w:sz w:val="24"/>
          <w:szCs w:val="24"/>
          <w:lang w:eastAsia="ar-SA"/>
        </w:rPr>
        <w:t xml:space="preserve"> shows the power gain as a function</w:t>
      </w:r>
      <w:r w:rsidR="00D01134">
        <w:rPr>
          <w:rFonts w:eastAsiaTheme="minorHAnsi"/>
          <w:sz w:val="24"/>
          <w:szCs w:val="24"/>
          <w:lang w:eastAsia="ar-SA"/>
        </w:rPr>
        <w:t xml:space="preserve"> </w:t>
      </w:r>
      <w:r w:rsidR="00D01134" w:rsidRPr="00D01134">
        <w:rPr>
          <w:rFonts w:eastAsiaTheme="minorHAnsi"/>
          <w:sz w:val="24"/>
          <w:szCs w:val="24"/>
          <w:lang w:eastAsia="ar-SA"/>
        </w:rPr>
        <w:t>of frequency for all the participants</w:t>
      </w:r>
      <w:r w:rsidR="00D01134">
        <w:rPr>
          <w:rFonts w:eastAsiaTheme="minorHAnsi"/>
          <w:sz w:val="24"/>
          <w:szCs w:val="24"/>
          <w:lang w:eastAsia="ar-SA"/>
        </w:rPr>
        <w:t xml:space="preserve"> of the benchmark. </w:t>
      </w:r>
      <w:r w:rsidR="00BD6C89" w:rsidRPr="00BD6C89">
        <w:rPr>
          <w:rFonts w:eastAsiaTheme="minorHAnsi"/>
          <w:sz w:val="24"/>
          <w:szCs w:val="24"/>
          <w:lang w:eastAsia="ar-SA"/>
        </w:rPr>
        <w:t xml:space="preserve">The SEALION results agrees </w:t>
      </w:r>
      <w:proofErr w:type="gramStart"/>
      <w:r w:rsidR="00BD6C89" w:rsidRPr="00BD6C89">
        <w:rPr>
          <w:rFonts w:eastAsiaTheme="minorHAnsi"/>
          <w:sz w:val="24"/>
          <w:szCs w:val="24"/>
          <w:lang w:eastAsia="ar-SA"/>
        </w:rPr>
        <w:t>fairly well</w:t>
      </w:r>
      <w:proofErr w:type="gramEnd"/>
      <w:r w:rsidR="00BD6C89">
        <w:rPr>
          <w:rFonts w:eastAsiaTheme="minorHAnsi"/>
          <w:sz w:val="24"/>
          <w:szCs w:val="24"/>
          <w:lang w:eastAsia="ar-SA"/>
        </w:rPr>
        <w:t xml:space="preserve"> </w:t>
      </w:r>
      <w:r w:rsidR="00BD6C89" w:rsidRPr="00BD6C89">
        <w:rPr>
          <w:rFonts w:eastAsiaTheme="minorHAnsi"/>
          <w:sz w:val="24"/>
          <w:szCs w:val="24"/>
          <w:lang w:eastAsia="ar-SA"/>
        </w:rPr>
        <w:t xml:space="preserve">with the benchmarks participants but undershoots </w:t>
      </w:r>
      <w:r w:rsidR="00DF4276">
        <w:rPr>
          <w:rFonts w:eastAsiaTheme="minorHAnsi"/>
          <w:sz w:val="24"/>
          <w:szCs w:val="24"/>
          <w:lang w:eastAsia="ar-SA"/>
        </w:rPr>
        <w:t xml:space="preserve">the power gain at higher frequencies. </w:t>
      </w:r>
    </w:p>
    <w:p w14:paraId="5EAB4BD1" w14:textId="6C886A2A" w:rsidR="00D449C6" w:rsidRDefault="00D449C6" w:rsidP="00446595">
      <w:pPr>
        <w:pStyle w:val="BodyText"/>
        <w:rPr>
          <w:rFonts w:eastAsiaTheme="minorHAnsi"/>
          <w:sz w:val="24"/>
          <w:szCs w:val="24"/>
          <w:lang w:eastAsia="ar-SA"/>
        </w:rPr>
      </w:pPr>
    </w:p>
    <w:p w14:paraId="29101D95" w14:textId="77777777" w:rsidR="00D449C6" w:rsidRDefault="00D449C6" w:rsidP="00D449C6">
      <w:pPr>
        <w:pStyle w:val="BodyText"/>
        <w:keepNext/>
        <w:jc w:val="center"/>
      </w:pPr>
      <w:r>
        <w:rPr>
          <w:rFonts w:eastAsiaTheme="minorHAnsi"/>
          <w:noProof/>
          <w:sz w:val="24"/>
          <w:szCs w:val="24"/>
          <w:lang w:val="en-US" w:eastAsia="ar-SA"/>
        </w:rPr>
        <w:drawing>
          <wp:inline distT="0" distB="0" distL="0" distR="0" wp14:anchorId="60AE6D8B" wp14:editId="59B5197F">
            <wp:extent cx="2929519" cy="2343745"/>
            <wp:effectExtent l="0" t="0" r="4445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774" cy="2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B3E9" w14:textId="68BCCD6C" w:rsidR="00D449C6" w:rsidRPr="00887681" w:rsidRDefault="00D449C6" w:rsidP="00D449C6">
      <w:pPr>
        <w:pStyle w:val="Caption"/>
        <w:jc w:val="center"/>
        <w:rPr>
          <w:rFonts w:eastAsiaTheme="minorHAnsi"/>
          <w:sz w:val="24"/>
          <w:szCs w:val="24"/>
          <w:lang w:eastAsia="ar-SA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: </w:t>
      </w:r>
      <w:r w:rsidRPr="00E8067D">
        <w:t>Bode diagrams of power gain as a function of the frequency</w:t>
      </w:r>
    </w:p>
    <w:p w14:paraId="76868DF2" w14:textId="5B402C47" w:rsidR="00CD49F6" w:rsidRDefault="00CD49F6" w:rsidP="00C52A1C">
      <w:pPr>
        <w:pStyle w:val="BodyText"/>
        <w:rPr>
          <w:rFonts w:eastAsiaTheme="minorHAnsi"/>
          <w:sz w:val="24"/>
          <w:szCs w:val="24"/>
          <w:lang w:val="en-US" w:eastAsia="ar-SA"/>
        </w:rPr>
      </w:pPr>
    </w:p>
    <w:p w14:paraId="47EF919C" w14:textId="7F5DD854" w:rsidR="00FE7100" w:rsidRDefault="00FE7100" w:rsidP="00FE7100">
      <w:pPr>
        <w:pStyle w:val="Heading3"/>
        <w:rPr>
          <w:rFonts w:eastAsiaTheme="minorHAnsi"/>
          <w:lang w:val="en-US" w:eastAsia="ar-SA"/>
        </w:rPr>
      </w:pPr>
      <w:r>
        <w:rPr>
          <w:rFonts w:eastAsiaTheme="minorHAnsi"/>
          <w:lang w:val="en-US" w:eastAsia="ar-SA"/>
        </w:rPr>
        <w:t xml:space="preserve">Conclusion and some remarks on the importance of </w:t>
      </w:r>
      <w:r w:rsidR="00B61D3D">
        <w:rPr>
          <w:rFonts w:eastAsiaTheme="minorHAnsi"/>
          <w:lang w:val="en-US" w:eastAsia="ar-SA"/>
        </w:rPr>
        <w:t>the open-source approach.</w:t>
      </w:r>
    </w:p>
    <w:p w14:paraId="50555D3C" w14:textId="506ACA67" w:rsidR="00B61D3D" w:rsidRDefault="00B61D3D" w:rsidP="00B61D3D">
      <w:pPr>
        <w:pStyle w:val="BodyText"/>
        <w:ind w:firstLine="0"/>
        <w:rPr>
          <w:rFonts w:eastAsiaTheme="minorHAnsi"/>
          <w:sz w:val="24"/>
          <w:szCs w:val="24"/>
          <w:lang w:eastAsia="ar-SA"/>
        </w:rPr>
      </w:pPr>
      <w:r w:rsidRPr="00B61D3D">
        <w:rPr>
          <w:rFonts w:eastAsiaTheme="minorHAnsi"/>
          <w:sz w:val="24"/>
          <w:szCs w:val="24"/>
          <w:lang w:eastAsia="ar-SA"/>
        </w:rPr>
        <w:t>At all stages of the benchmark reasonable agreement is</w:t>
      </w:r>
      <w:r w:rsidR="00640D3C">
        <w:rPr>
          <w:rFonts w:eastAsiaTheme="minorHAnsi"/>
          <w:sz w:val="24"/>
          <w:szCs w:val="24"/>
          <w:lang w:eastAsia="ar-SA"/>
        </w:rPr>
        <w:t xml:space="preserve"> </w:t>
      </w:r>
      <w:r w:rsidRPr="00B61D3D">
        <w:rPr>
          <w:rFonts w:eastAsiaTheme="minorHAnsi"/>
          <w:sz w:val="24"/>
          <w:szCs w:val="24"/>
          <w:lang w:eastAsia="ar-SA"/>
        </w:rPr>
        <w:t>demonstrated with the benchmark participants. The standalone</w:t>
      </w:r>
      <w:r w:rsidR="00640D3C">
        <w:rPr>
          <w:rFonts w:eastAsiaTheme="minorHAnsi"/>
          <w:sz w:val="24"/>
          <w:szCs w:val="24"/>
          <w:lang w:eastAsia="ar-SA"/>
        </w:rPr>
        <w:t xml:space="preserve"> </w:t>
      </w:r>
      <w:r w:rsidRPr="00B61D3D">
        <w:rPr>
          <w:rFonts w:eastAsiaTheme="minorHAnsi"/>
          <w:sz w:val="24"/>
          <w:szCs w:val="24"/>
          <w:lang w:eastAsia="ar-SA"/>
        </w:rPr>
        <w:t>physics modules yield almost identical results with the bench-mark participants. Gradual introduction of coupling terms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B61D3D">
        <w:rPr>
          <w:rFonts w:eastAsiaTheme="minorHAnsi"/>
          <w:sz w:val="24"/>
          <w:szCs w:val="24"/>
          <w:lang w:eastAsia="ar-SA"/>
        </w:rPr>
        <w:t>shows good reflection of neutronics feedback mechanisms</w:t>
      </w:r>
      <w:r>
        <w:rPr>
          <w:rFonts w:eastAsiaTheme="minorHAnsi"/>
          <w:sz w:val="24"/>
          <w:szCs w:val="24"/>
          <w:lang w:eastAsia="ar-SA"/>
        </w:rPr>
        <w:t xml:space="preserve"> as well as the implementation of the thermal-hydraulics solver. </w:t>
      </w:r>
    </w:p>
    <w:p w14:paraId="5CC64BF4" w14:textId="6939A32A" w:rsidR="00B61D3D" w:rsidRDefault="00B61D3D" w:rsidP="00B61D3D">
      <w:pPr>
        <w:pStyle w:val="BodyText"/>
        <w:ind w:firstLine="0"/>
        <w:rPr>
          <w:rFonts w:eastAsiaTheme="minorHAnsi"/>
          <w:sz w:val="24"/>
          <w:szCs w:val="24"/>
          <w:lang w:eastAsia="ar-SA"/>
        </w:rPr>
      </w:pPr>
    </w:p>
    <w:p w14:paraId="75A85A45" w14:textId="42FD8FD5" w:rsidR="00FB6E68" w:rsidRDefault="00F139EE" w:rsidP="00FB6E68">
      <w:pPr>
        <w:pStyle w:val="BodyText"/>
        <w:ind w:firstLine="0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The availability of </w:t>
      </w:r>
      <w:r w:rsidR="00F2695B">
        <w:rPr>
          <w:rFonts w:eastAsiaTheme="minorHAnsi"/>
          <w:sz w:val="24"/>
          <w:szCs w:val="24"/>
          <w:lang w:eastAsia="ar-SA"/>
        </w:rPr>
        <w:t>benchmark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="005F393B">
        <w:rPr>
          <w:rFonts w:eastAsiaTheme="minorHAnsi"/>
          <w:sz w:val="24"/>
          <w:szCs w:val="24"/>
          <w:lang w:eastAsia="ar-SA"/>
        </w:rPr>
        <w:t xml:space="preserve">like the one presented here is crucial to the development of </w:t>
      </w:r>
      <w:proofErr w:type="spellStart"/>
      <w:r w:rsidR="00BD1480">
        <w:rPr>
          <w:rFonts w:eastAsiaTheme="minorHAnsi"/>
          <w:sz w:val="24"/>
          <w:szCs w:val="24"/>
          <w:lang w:eastAsia="ar-SA"/>
        </w:rPr>
        <w:t>m</w:t>
      </w:r>
      <w:r w:rsidR="00E25EDF">
        <w:rPr>
          <w:rFonts w:eastAsiaTheme="minorHAnsi"/>
          <w:sz w:val="24"/>
          <w:szCs w:val="24"/>
          <w:lang w:eastAsia="ar-SA"/>
        </w:rPr>
        <w:t>ultiphysics</w:t>
      </w:r>
      <w:proofErr w:type="spellEnd"/>
      <w:r w:rsidR="00E25EDF">
        <w:rPr>
          <w:rFonts w:eastAsiaTheme="minorHAnsi"/>
          <w:sz w:val="24"/>
          <w:szCs w:val="24"/>
          <w:lang w:eastAsia="ar-SA"/>
        </w:rPr>
        <w:t xml:space="preserve"> simulations codes</w:t>
      </w:r>
      <w:r w:rsidR="00075D40">
        <w:rPr>
          <w:rFonts w:eastAsiaTheme="minorHAnsi"/>
          <w:sz w:val="24"/>
          <w:szCs w:val="24"/>
          <w:lang w:eastAsia="ar-SA"/>
        </w:rPr>
        <w:t xml:space="preserve"> in the absence of experimental data. They provide state</w:t>
      </w:r>
      <w:r w:rsidR="00C83D2E">
        <w:rPr>
          <w:rFonts w:eastAsiaTheme="minorHAnsi"/>
          <w:sz w:val="24"/>
          <w:szCs w:val="24"/>
          <w:lang w:eastAsia="ar-SA"/>
        </w:rPr>
        <w:t>-</w:t>
      </w:r>
      <w:r w:rsidR="00075D40">
        <w:rPr>
          <w:rFonts w:eastAsiaTheme="minorHAnsi"/>
          <w:sz w:val="24"/>
          <w:szCs w:val="24"/>
          <w:lang w:eastAsia="ar-SA"/>
        </w:rPr>
        <w:t>of</w:t>
      </w:r>
      <w:r w:rsidR="00C83D2E">
        <w:rPr>
          <w:rFonts w:eastAsiaTheme="minorHAnsi"/>
          <w:sz w:val="24"/>
          <w:szCs w:val="24"/>
          <w:lang w:eastAsia="ar-SA"/>
        </w:rPr>
        <w:t>-</w:t>
      </w:r>
      <w:r w:rsidR="00075D40">
        <w:rPr>
          <w:rFonts w:eastAsiaTheme="minorHAnsi"/>
          <w:sz w:val="24"/>
          <w:szCs w:val="24"/>
          <w:lang w:eastAsia="ar-SA"/>
        </w:rPr>
        <w:t>the</w:t>
      </w:r>
      <w:r w:rsidR="00C83D2E">
        <w:rPr>
          <w:rFonts w:eastAsiaTheme="minorHAnsi"/>
          <w:sz w:val="24"/>
          <w:szCs w:val="24"/>
          <w:lang w:eastAsia="ar-SA"/>
        </w:rPr>
        <w:t>-</w:t>
      </w:r>
      <w:r w:rsidR="00075D40">
        <w:rPr>
          <w:rFonts w:eastAsiaTheme="minorHAnsi"/>
          <w:sz w:val="24"/>
          <w:szCs w:val="24"/>
          <w:lang w:eastAsia="ar-SA"/>
        </w:rPr>
        <w:t>art</w:t>
      </w:r>
      <w:r w:rsidR="00C83D2E">
        <w:rPr>
          <w:rFonts w:eastAsiaTheme="minorHAnsi"/>
          <w:sz w:val="24"/>
          <w:szCs w:val="24"/>
          <w:lang w:eastAsia="ar-SA"/>
        </w:rPr>
        <w:t xml:space="preserve"> knowledge </w:t>
      </w:r>
      <w:r w:rsidR="00BA2408">
        <w:rPr>
          <w:rFonts w:eastAsiaTheme="minorHAnsi"/>
          <w:sz w:val="24"/>
          <w:szCs w:val="24"/>
          <w:lang w:eastAsia="ar-SA"/>
        </w:rPr>
        <w:t xml:space="preserve">and examples of best practice </w:t>
      </w:r>
      <w:r w:rsidR="00D531A2">
        <w:rPr>
          <w:rFonts w:eastAsiaTheme="minorHAnsi"/>
          <w:sz w:val="24"/>
          <w:szCs w:val="24"/>
          <w:lang w:eastAsia="ar-SA"/>
        </w:rPr>
        <w:t xml:space="preserve">implementation using </w:t>
      </w:r>
      <w:r w:rsidR="00FB6E68">
        <w:rPr>
          <w:rFonts w:eastAsiaTheme="minorHAnsi"/>
          <w:sz w:val="24"/>
          <w:szCs w:val="24"/>
          <w:lang w:eastAsia="ar-SA"/>
        </w:rPr>
        <w:t>an open-source approach.</w:t>
      </w:r>
      <w:r w:rsidR="00DF7F61">
        <w:rPr>
          <w:rFonts w:eastAsiaTheme="minorHAnsi"/>
          <w:sz w:val="24"/>
          <w:szCs w:val="24"/>
          <w:lang w:eastAsia="ar-SA"/>
        </w:rPr>
        <w:t xml:space="preserve"> They also help to set standards for </w:t>
      </w:r>
      <w:r w:rsidR="00091233">
        <w:rPr>
          <w:rFonts w:eastAsiaTheme="minorHAnsi"/>
          <w:sz w:val="24"/>
          <w:szCs w:val="24"/>
          <w:lang w:eastAsia="ar-SA"/>
        </w:rPr>
        <w:t xml:space="preserve">testing requirement management and can potentially be a powerful tool in a </w:t>
      </w:r>
      <w:r w:rsidR="00A83A9A">
        <w:rPr>
          <w:rFonts w:eastAsiaTheme="minorHAnsi"/>
          <w:sz w:val="24"/>
          <w:szCs w:val="24"/>
          <w:lang w:eastAsia="ar-SA"/>
        </w:rPr>
        <w:t xml:space="preserve">licensing process. </w:t>
      </w:r>
      <w:r w:rsidR="00FB6E68">
        <w:rPr>
          <w:rFonts w:eastAsiaTheme="minorHAnsi"/>
          <w:sz w:val="24"/>
          <w:szCs w:val="24"/>
          <w:lang w:eastAsia="ar-SA"/>
        </w:rPr>
        <w:t xml:space="preserve"> </w:t>
      </w:r>
      <w:r w:rsidR="00D531A2">
        <w:rPr>
          <w:rFonts w:eastAsiaTheme="minorHAnsi"/>
          <w:sz w:val="24"/>
          <w:szCs w:val="24"/>
          <w:lang w:eastAsia="ar-SA"/>
        </w:rPr>
        <w:t xml:space="preserve"> </w:t>
      </w:r>
      <w:r w:rsidR="00075D40">
        <w:rPr>
          <w:rFonts w:eastAsiaTheme="minorHAnsi"/>
          <w:sz w:val="24"/>
          <w:szCs w:val="24"/>
          <w:lang w:eastAsia="ar-SA"/>
        </w:rPr>
        <w:t xml:space="preserve"> </w:t>
      </w:r>
    </w:p>
    <w:p w14:paraId="64BE5A5D" w14:textId="77777777" w:rsidR="00CD49F6" w:rsidRPr="00FE7100" w:rsidRDefault="00CD49F6" w:rsidP="00C52A1C">
      <w:pPr>
        <w:pStyle w:val="BodyText"/>
        <w:rPr>
          <w:rFonts w:eastAsiaTheme="minorHAnsi"/>
          <w:sz w:val="24"/>
          <w:szCs w:val="24"/>
          <w:lang w:eastAsia="ar-SA"/>
        </w:rPr>
      </w:pPr>
    </w:p>
    <w:p w14:paraId="55EE2405" w14:textId="3F7F3108" w:rsidR="00B54CDF" w:rsidRDefault="00604C59" w:rsidP="008A7A97">
      <w:pPr>
        <w:pStyle w:val="Otherunnumberedheadings"/>
        <w:spacing w:before="280" w:beforeAutospacing="0" w:after="280" w:afterAutospacing="0"/>
        <w:rPr>
          <w:rFonts w:ascii="Times New Roman" w:hAnsi="Times New Roman"/>
          <w:sz w:val="24"/>
          <w:szCs w:val="24"/>
        </w:rPr>
      </w:pPr>
      <w:r w:rsidRPr="00DF3A79">
        <w:rPr>
          <w:rFonts w:ascii="Times New Roman" w:hAnsi="Times New Roman"/>
          <w:sz w:val="24"/>
          <w:szCs w:val="24"/>
        </w:rPr>
        <w:t>References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"/>
        <w:gridCol w:w="252"/>
        <w:gridCol w:w="8600"/>
        <w:gridCol w:w="45"/>
      </w:tblGrid>
      <w:tr w:rsidR="003111B3" w14:paraId="4D40966A" w14:textId="77777777" w:rsidTr="003111B3">
        <w:trPr>
          <w:gridAfter w:val="1"/>
          <w:tblCellSpacing w:w="15" w:type="dxa"/>
        </w:trPr>
        <w:tc>
          <w:tcPr>
            <w:tcW w:w="173" w:type="pct"/>
            <w:gridSpan w:val="2"/>
            <w:hideMark/>
          </w:tcPr>
          <w:p w14:paraId="1ED146CB" w14:textId="77777777" w:rsidR="003111B3" w:rsidRDefault="003111B3" w:rsidP="00FC3116">
            <w:pPr>
              <w:pStyle w:val="Bibliography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t xml:space="preserve">[1] </w:t>
            </w:r>
          </w:p>
        </w:tc>
        <w:tc>
          <w:tcPr>
            <w:tcW w:w="0" w:type="auto"/>
            <w:hideMark/>
          </w:tcPr>
          <w:p w14:paraId="5D958C9F" w14:textId="3BEE0DAE" w:rsidR="003111B3" w:rsidRDefault="003111B3" w:rsidP="00FC3116">
            <w:pPr>
              <w:pStyle w:val="Bibliography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H. </w:t>
            </w:r>
            <w:r w:rsidR="00281E6E">
              <w:rPr>
                <w:noProof/>
                <w:lang w:val="en-US"/>
              </w:rPr>
              <w:t>Boussier</w:t>
            </w:r>
            <w:r>
              <w:rPr>
                <w:noProof/>
                <w:lang w:val="en-US"/>
              </w:rPr>
              <w:t>. e</w:t>
            </w:r>
            <w:r w:rsidR="00281E6E">
              <w:rPr>
                <w:noProof/>
                <w:lang w:val="en-US"/>
              </w:rPr>
              <w:t>t</w:t>
            </w:r>
            <w:r>
              <w:rPr>
                <w:noProof/>
                <w:lang w:val="en-US"/>
              </w:rPr>
              <w:t xml:space="preserve"> al., "The molten salt reactor in generation iv: Overview and perspectives," in </w:t>
            </w:r>
            <w:r>
              <w:rPr>
                <w:i/>
                <w:iCs/>
                <w:noProof/>
                <w:lang w:val="en-US"/>
              </w:rPr>
              <w:t>Generation4 International Forum Symposium,</w:t>
            </w:r>
            <w:r>
              <w:rPr>
                <w:noProof/>
                <w:lang w:val="en-US"/>
              </w:rPr>
              <w:t xml:space="preserve">, San Diego, USA, 2012. </w:t>
            </w:r>
          </w:p>
        </w:tc>
      </w:tr>
      <w:tr w:rsidR="003111B3" w14:paraId="19D7CE49" w14:textId="77777777" w:rsidTr="003111B3">
        <w:trPr>
          <w:gridAfter w:val="1"/>
          <w:tblCellSpacing w:w="15" w:type="dxa"/>
        </w:trPr>
        <w:tc>
          <w:tcPr>
            <w:tcW w:w="173" w:type="pct"/>
            <w:gridSpan w:val="2"/>
            <w:hideMark/>
          </w:tcPr>
          <w:p w14:paraId="41D73481" w14:textId="77777777" w:rsidR="003111B3" w:rsidRDefault="003111B3" w:rsidP="00FC3116">
            <w:pPr>
              <w:pStyle w:val="Bibliography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[2] </w:t>
            </w:r>
          </w:p>
        </w:tc>
        <w:tc>
          <w:tcPr>
            <w:tcW w:w="0" w:type="auto"/>
            <w:hideMark/>
          </w:tcPr>
          <w:p w14:paraId="78060417" w14:textId="79A85A81" w:rsidR="003111B3" w:rsidRDefault="003111B3" w:rsidP="00FC3116">
            <w:pPr>
              <w:pStyle w:val="Bibliography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M. </w:t>
            </w:r>
            <w:r w:rsidR="00727A6D">
              <w:rPr>
                <w:noProof/>
                <w:lang w:val="en-US"/>
              </w:rPr>
              <w:t>Aufiero</w:t>
            </w:r>
            <w:r>
              <w:rPr>
                <w:noProof/>
                <w:lang w:val="en-US"/>
              </w:rPr>
              <w:t xml:space="preserve"> e</w:t>
            </w:r>
            <w:r w:rsidR="00727A6D">
              <w:rPr>
                <w:noProof/>
                <w:lang w:val="en-US"/>
              </w:rPr>
              <w:t>t</w:t>
            </w:r>
            <w:r>
              <w:rPr>
                <w:noProof/>
                <w:lang w:val="en-US"/>
              </w:rPr>
              <w:t xml:space="preserve"> al., "Testing and verification of multiphysics tools for fastspectrum msrs: The cnrs benchmark," in </w:t>
            </w:r>
            <w:r>
              <w:rPr>
                <w:i/>
                <w:iCs/>
                <w:noProof/>
                <w:lang w:val="en-US"/>
              </w:rPr>
              <w:t>ANS Annual Meeting</w:t>
            </w:r>
            <w:r>
              <w:rPr>
                <w:noProof/>
                <w:lang w:val="en-US"/>
              </w:rPr>
              <w:t xml:space="preserve">, 2018. </w:t>
            </w:r>
          </w:p>
        </w:tc>
      </w:tr>
      <w:tr w:rsidR="003111B3" w14:paraId="01125C97" w14:textId="77777777" w:rsidTr="003111B3">
        <w:trPr>
          <w:gridAfter w:val="1"/>
          <w:tblCellSpacing w:w="15" w:type="dxa"/>
        </w:trPr>
        <w:tc>
          <w:tcPr>
            <w:tcW w:w="173" w:type="pct"/>
            <w:gridSpan w:val="2"/>
            <w:hideMark/>
          </w:tcPr>
          <w:p w14:paraId="0711779A" w14:textId="77777777" w:rsidR="003111B3" w:rsidRDefault="003111B3" w:rsidP="00FC3116">
            <w:pPr>
              <w:pStyle w:val="Bibliography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[3] </w:t>
            </w:r>
          </w:p>
        </w:tc>
        <w:tc>
          <w:tcPr>
            <w:tcW w:w="0" w:type="auto"/>
            <w:hideMark/>
          </w:tcPr>
          <w:p w14:paraId="44260172" w14:textId="368FA96C" w:rsidR="003111B3" w:rsidRDefault="003111B3" w:rsidP="00FC3116">
            <w:pPr>
              <w:pStyle w:val="Bibliography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M. T</w:t>
            </w:r>
            <w:r w:rsidR="000212CE">
              <w:rPr>
                <w:noProof/>
                <w:lang w:val="en-US"/>
              </w:rPr>
              <w:t>iberga</w:t>
            </w:r>
            <w:r>
              <w:rPr>
                <w:noProof/>
                <w:lang w:val="en-US"/>
              </w:rPr>
              <w:t xml:space="preserve"> e</w:t>
            </w:r>
            <w:r w:rsidR="000212CE">
              <w:rPr>
                <w:noProof/>
                <w:lang w:val="en-US"/>
              </w:rPr>
              <w:t>t</w:t>
            </w:r>
            <w:r>
              <w:rPr>
                <w:noProof/>
                <w:lang w:val="en-US"/>
              </w:rPr>
              <w:t xml:space="preserve">.al., " Results from a multiphysics numerical benchmark for codes," </w:t>
            </w:r>
            <w:r>
              <w:rPr>
                <w:i/>
                <w:iCs/>
                <w:noProof/>
                <w:lang w:val="en-US"/>
              </w:rPr>
              <w:t xml:space="preserve">Annals of Nuclear Energy, </w:t>
            </w:r>
            <w:r>
              <w:rPr>
                <w:noProof/>
                <w:lang w:val="en-US"/>
              </w:rPr>
              <w:t xml:space="preserve">vol. 142, 2020. </w:t>
            </w:r>
          </w:p>
        </w:tc>
      </w:tr>
      <w:tr w:rsidR="003111B3" w14:paraId="5BAAD889" w14:textId="77777777" w:rsidTr="003111B3">
        <w:trPr>
          <w:gridAfter w:val="1"/>
          <w:tblCellSpacing w:w="15" w:type="dxa"/>
        </w:trPr>
        <w:tc>
          <w:tcPr>
            <w:tcW w:w="173" w:type="pct"/>
            <w:gridSpan w:val="2"/>
            <w:hideMark/>
          </w:tcPr>
          <w:p w14:paraId="3876CF18" w14:textId="77777777" w:rsidR="003111B3" w:rsidRDefault="003111B3" w:rsidP="00FC3116">
            <w:pPr>
              <w:pStyle w:val="Bibliography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[4] </w:t>
            </w:r>
          </w:p>
        </w:tc>
        <w:tc>
          <w:tcPr>
            <w:tcW w:w="0" w:type="auto"/>
            <w:hideMark/>
          </w:tcPr>
          <w:p w14:paraId="40F39513" w14:textId="154F4AFB" w:rsidR="003111B3" w:rsidRDefault="003111B3" w:rsidP="00FC3116">
            <w:pPr>
              <w:pStyle w:val="Bibliography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J. G</w:t>
            </w:r>
            <w:r w:rsidR="000212CE">
              <w:rPr>
                <w:noProof/>
                <w:lang w:val="en-US"/>
              </w:rPr>
              <w:t>roth-Jensen</w:t>
            </w:r>
            <w:r>
              <w:rPr>
                <w:noProof/>
                <w:lang w:val="en-US"/>
              </w:rPr>
              <w:t>. e</w:t>
            </w:r>
            <w:r w:rsidR="000212CE">
              <w:rPr>
                <w:noProof/>
                <w:lang w:val="en-US"/>
              </w:rPr>
              <w:t>t</w:t>
            </w:r>
            <w:r>
              <w:rPr>
                <w:noProof/>
                <w:lang w:val="en-US"/>
              </w:rPr>
              <w:t xml:space="preserve"> al., "Verification of multiphysics coupling techniques for modeling of molten salt reactors," </w:t>
            </w:r>
            <w:r>
              <w:rPr>
                <w:i/>
                <w:iCs/>
                <w:noProof/>
                <w:lang w:val="en-US"/>
              </w:rPr>
              <w:t xml:space="preserve">Annals of Nuclear Energy, </w:t>
            </w:r>
            <w:r>
              <w:rPr>
                <w:noProof/>
                <w:lang w:val="en-US"/>
              </w:rPr>
              <w:t xml:space="preserve">vol. 164, 2021. </w:t>
            </w:r>
          </w:p>
        </w:tc>
      </w:tr>
      <w:tr w:rsidR="003111B3" w14:paraId="569DDB49" w14:textId="77777777" w:rsidTr="003111B3">
        <w:trPr>
          <w:gridAfter w:val="1"/>
          <w:tblCellSpacing w:w="15" w:type="dxa"/>
        </w:trPr>
        <w:tc>
          <w:tcPr>
            <w:tcW w:w="173" w:type="pct"/>
            <w:gridSpan w:val="2"/>
            <w:hideMark/>
          </w:tcPr>
          <w:p w14:paraId="4441E96B" w14:textId="77777777" w:rsidR="003111B3" w:rsidRDefault="003111B3" w:rsidP="00FC3116">
            <w:pPr>
              <w:pStyle w:val="Bibliography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[5] </w:t>
            </w:r>
          </w:p>
        </w:tc>
        <w:tc>
          <w:tcPr>
            <w:tcW w:w="0" w:type="auto"/>
            <w:hideMark/>
          </w:tcPr>
          <w:p w14:paraId="2FA48C0F" w14:textId="40636C93" w:rsidR="003111B3" w:rsidRDefault="003111B3" w:rsidP="00FC3116">
            <w:pPr>
              <w:pStyle w:val="Bibliography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  <w:r w:rsidR="00FE4072">
              <w:rPr>
                <w:noProof/>
                <w:lang w:val="en-US"/>
              </w:rPr>
              <w:t xml:space="preserve">. </w:t>
            </w:r>
            <w:r w:rsidR="00FE4072" w:rsidRPr="009A6F1D">
              <w:rPr>
                <w:noProof/>
                <w:lang w:val="en-US"/>
              </w:rPr>
              <w:t>Weller</w:t>
            </w:r>
            <w:r>
              <w:rPr>
                <w:noProof/>
                <w:lang w:val="en-US"/>
              </w:rPr>
              <w:t>. e</w:t>
            </w:r>
            <w:r w:rsidR="00FE4072">
              <w:rPr>
                <w:noProof/>
                <w:lang w:val="en-US"/>
              </w:rPr>
              <w:t>t</w:t>
            </w:r>
            <w:r>
              <w:rPr>
                <w:noProof/>
                <w:lang w:val="en-US"/>
              </w:rPr>
              <w:t xml:space="preserve"> al., "A tensorial approach to computational continuum mechanics using object-oriented techniques," </w:t>
            </w:r>
            <w:r>
              <w:rPr>
                <w:i/>
                <w:iCs/>
                <w:noProof/>
                <w:lang w:val="en-US"/>
              </w:rPr>
              <w:t xml:space="preserve">Computers in Physics, </w:t>
            </w:r>
            <w:r>
              <w:rPr>
                <w:noProof/>
                <w:lang w:val="en-US"/>
              </w:rPr>
              <w:t xml:space="preserve">vol. 12, pp. 620-631, 1998. </w:t>
            </w:r>
          </w:p>
        </w:tc>
      </w:tr>
      <w:tr w:rsidR="003111B3" w14:paraId="1A721FB0" w14:textId="77777777" w:rsidTr="003111B3">
        <w:trPr>
          <w:gridAfter w:val="1"/>
          <w:tblCellSpacing w:w="15" w:type="dxa"/>
        </w:trPr>
        <w:tc>
          <w:tcPr>
            <w:tcW w:w="173" w:type="pct"/>
            <w:gridSpan w:val="2"/>
            <w:hideMark/>
          </w:tcPr>
          <w:p w14:paraId="00F2766F" w14:textId="77777777" w:rsidR="003111B3" w:rsidRDefault="003111B3" w:rsidP="00FC3116">
            <w:pPr>
              <w:pStyle w:val="Bibliography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[6] </w:t>
            </w:r>
          </w:p>
        </w:tc>
        <w:tc>
          <w:tcPr>
            <w:tcW w:w="0" w:type="auto"/>
            <w:hideMark/>
          </w:tcPr>
          <w:p w14:paraId="70B63DEA" w14:textId="4D792786" w:rsidR="003111B3" w:rsidRDefault="003111B3" w:rsidP="00FC3116">
            <w:pPr>
              <w:pStyle w:val="Bibliography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J. </w:t>
            </w:r>
            <w:r w:rsidR="00936F68">
              <w:rPr>
                <w:noProof/>
                <w:lang w:val="en-US"/>
              </w:rPr>
              <w:t>Leppänen</w:t>
            </w:r>
            <w:r>
              <w:rPr>
                <w:noProof/>
                <w:lang w:val="en-US"/>
              </w:rPr>
              <w:t xml:space="preserve"> e</w:t>
            </w:r>
            <w:r w:rsidR="00936F68">
              <w:rPr>
                <w:noProof/>
                <w:lang w:val="en-US"/>
              </w:rPr>
              <w:t>t</w:t>
            </w:r>
            <w:r>
              <w:rPr>
                <w:noProof/>
                <w:lang w:val="en-US"/>
              </w:rPr>
              <w:t xml:space="preserve"> al., "The serpent monte carlo code: Status, development and applications in 2013," </w:t>
            </w:r>
            <w:r>
              <w:rPr>
                <w:i/>
                <w:iCs/>
                <w:noProof/>
                <w:lang w:val="en-US"/>
              </w:rPr>
              <w:t xml:space="preserve">Annals of Nuclear Energy, </w:t>
            </w:r>
            <w:r>
              <w:rPr>
                <w:noProof/>
                <w:lang w:val="en-US"/>
              </w:rPr>
              <w:t xml:space="preserve">vol. 82, p. 142–150. </w:t>
            </w:r>
          </w:p>
        </w:tc>
      </w:tr>
      <w:tr w:rsidR="003111B3" w14:paraId="4F7FC3ED" w14:textId="77777777" w:rsidTr="003111B3">
        <w:trPr>
          <w:gridAfter w:val="1"/>
          <w:tblCellSpacing w:w="15" w:type="dxa"/>
        </w:trPr>
        <w:tc>
          <w:tcPr>
            <w:tcW w:w="173" w:type="pct"/>
            <w:gridSpan w:val="2"/>
            <w:hideMark/>
          </w:tcPr>
          <w:p w14:paraId="273674B0" w14:textId="77777777" w:rsidR="003111B3" w:rsidRDefault="003111B3" w:rsidP="00FC3116">
            <w:pPr>
              <w:pStyle w:val="Bibliography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[7] </w:t>
            </w:r>
          </w:p>
        </w:tc>
        <w:tc>
          <w:tcPr>
            <w:tcW w:w="0" w:type="auto"/>
            <w:hideMark/>
          </w:tcPr>
          <w:p w14:paraId="6F273DEE" w14:textId="45B7EBF2" w:rsidR="003111B3" w:rsidRDefault="003111B3" w:rsidP="00FC3116">
            <w:pPr>
              <w:pStyle w:val="Bibliography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A. </w:t>
            </w:r>
            <w:r w:rsidR="00890205" w:rsidRPr="00890205">
              <w:rPr>
                <w:noProof/>
                <w:lang w:val="en-US"/>
              </w:rPr>
              <w:t>Nalbandyan</w:t>
            </w:r>
            <w:r>
              <w:rPr>
                <w:noProof/>
                <w:lang w:val="en-US"/>
              </w:rPr>
              <w:t xml:space="preserve"> e</w:t>
            </w:r>
            <w:r w:rsidR="00890205">
              <w:rPr>
                <w:noProof/>
                <w:lang w:val="en-US"/>
              </w:rPr>
              <w:t>t</w:t>
            </w:r>
            <w:r>
              <w:rPr>
                <w:noProof/>
                <w:lang w:val="en-US"/>
              </w:rPr>
              <w:t xml:space="preserve"> al., "Coupled neutronics thermal hydraulics assessment of graphite molten salt reactors," in </w:t>
            </w:r>
            <w:r>
              <w:rPr>
                <w:i/>
                <w:iCs/>
                <w:noProof/>
                <w:lang w:val="en-US"/>
              </w:rPr>
              <w:t>Proceedings of the NURETH18 conference</w:t>
            </w:r>
            <w:r>
              <w:rPr>
                <w:noProof/>
                <w:lang w:val="en-US"/>
              </w:rPr>
              <w:t xml:space="preserve">, 2019. </w:t>
            </w:r>
          </w:p>
        </w:tc>
      </w:tr>
      <w:tr w:rsidR="009A6F1D" w14:paraId="3C7BFDA1" w14:textId="77777777" w:rsidTr="003111B3">
        <w:trPr>
          <w:tblCellSpacing w:w="15" w:type="dxa"/>
        </w:trPr>
        <w:tc>
          <w:tcPr>
            <w:tcW w:w="48" w:type="pct"/>
          </w:tcPr>
          <w:p w14:paraId="71DAAE63" w14:textId="03BF3E0A" w:rsidR="009A6F1D" w:rsidRDefault="009A6F1D" w:rsidP="00D11E14">
            <w:pPr>
              <w:pStyle w:val="Bibliography"/>
              <w:rPr>
                <w:noProof/>
                <w:lang w:val="en-US"/>
              </w:rPr>
            </w:pPr>
          </w:p>
        </w:tc>
        <w:tc>
          <w:tcPr>
            <w:tcW w:w="0" w:type="auto"/>
            <w:gridSpan w:val="3"/>
          </w:tcPr>
          <w:p w14:paraId="6D60FAA2" w14:textId="3009D1B8" w:rsidR="009A6F1D" w:rsidRDefault="009A6F1D" w:rsidP="00D11E14">
            <w:pPr>
              <w:pStyle w:val="Bibliography"/>
              <w:rPr>
                <w:noProof/>
                <w:lang w:val="en-US"/>
              </w:rPr>
            </w:pPr>
          </w:p>
        </w:tc>
      </w:tr>
      <w:tr w:rsidR="009A6F1D" w14:paraId="7DE2688C" w14:textId="77777777" w:rsidTr="003111B3">
        <w:trPr>
          <w:tblCellSpacing w:w="15" w:type="dxa"/>
        </w:trPr>
        <w:tc>
          <w:tcPr>
            <w:tcW w:w="48" w:type="pct"/>
          </w:tcPr>
          <w:p w14:paraId="7BBDEF2A" w14:textId="6D5A889E" w:rsidR="009A6F1D" w:rsidRDefault="009A6F1D" w:rsidP="00D11E14">
            <w:pPr>
              <w:pStyle w:val="Bibliography"/>
              <w:rPr>
                <w:noProof/>
                <w:lang w:val="en-US"/>
              </w:rPr>
            </w:pPr>
          </w:p>
        </w:tc>
        <w:tc>
          <w:tcPr>
            <w:tcW w:w="0" w:type="auto"/>
            <w:gridSpan w:val="3"/>
          </w:tcPr>
          <w:p w14:paraId="408D0AC1" w14:textId="5ABBAFF7" w:rsidR="009A6F1D" w:rsidRDefault="009A6F1D" w:rsidP="00D11E14">
            <w:pPr>
              <w:pStyle w:val="Bibliography"/>
              <w:rPr>
                <w:noProof/>
                <w:lang w:val="en-US"/>
              </w:rPr>
            </w:pPr>
          </w:p>
        </w:tc>
      </w:tr>
      <w:tr w:rsidR="009A6F1D" w14:paraId="655424CD" w14:textId="77777777" w:rsidTr="003111B3">
        <w:trPr>
          <w:tblCellSpacing w:w="15" w:type="dxa"/>
        </w:trPr>
        <w:tc>
          <w:tcPr>
            <w:tcW w:w="48" w:type="pct"/>
          </w:tcPr>
          <w:p w14:paraId="71D1CC46" w14:textId="142B807D" w:rsidR="009A6F1D" w:rsidRDefault="009A6F1D" w:rsidP="00D11E14">
            <w:pPr>
              <w:pStyle w:val="Bibliography"/>
              <w:rPr>
                <w:noProof/>
                <w:lang w:val="en-US"/>
              </w:rPr>
            </w:pPr>
          </w:p>
        </w:tc>
        <w:tc>
          <w:tcPr>
            <w:tcW w:w="0" w:type="auto"/>
            <w:gridSpan w:val="3"/>
          </w:tcPr>
          <w:p w14:paraId="18969EBB" w14:textId="45381933" w:rsidR="009A6F1D" w:rsidRDefault="009A6F1D" w:rsidP="00D11E14">
            <w:pPr>
              <w:pStyle w:val="Bibliography"/>
              <w:rPr>
                <w:noProof/>
                <w:lang w:val="en-US"/>
              </w:rPr>
            </w:pPr>
          </w:p>
        </w:tc>
      </w:tr>
      <w:tr w:rsidR="009A6F1D" w14:paraId="465D6F40" w14:textId="77777777" w:rsidTr="003111B3">
        <w:trPr>
          <w:tblCellSpacing w:w="15" w:type="dxa"/>
        </w:trPr>
        <w:tc>
          <w:tcPr>
            <w:tcW w:w="48" w:type="pct"/>
          </w:tcPr>
          <w:p w14:paraId="6814C781" w14:textId="13A96B3C" w:rsidR="009A6F1D" w:rsidRDefault="009A6F1D" w:rsidP="00D11E14">
            <w:pPr>
              <w:pStyle w:val="Bibliography"/>
              <w:rPr>
                <w:noProof/>
                <w:lang w:val="en-US"/>
              </w:rPr>
            </w:pPr>
          </w:p>
        </w:tc>
        <w:tc>
          <w:tcPr>
            <w:tcW w:w="0" w:type="auto"/>
            <w:gridSpan w:val="3"/>
          </w:tcPr>
          <w:p w14:paraId="00368372" w14:textId="63ECEF69" w:rsidR="009A6F1D" w:rsidRDefault="009A6F1D" w:rsidP="00D11E14">
            <w:pPr>
              <w:pStyle w:val="Bibliography"/>
              <w:rPr>
                <w:noProof/>
                <w:lang w:val="en-US"/>
              </w:rPr>
            </w:pPr>
          </w:p>
        </w:tc>
      </w:tr>
    </w:tbl>
    <w:p w14:paraId="00CCB2CF" w14:textId="77A51D14" w:rsidR="008A7A97" w:rsidRPr="009A6F1D" w:rsidRDefault="008A7A97" w:rsidP="0058079B">
      <w:pPr>
        <w:rPr>
          <w:lang w:val="en-US"/>
        </w:rPr>
      </w:pPr>
    </w:p>
    <w:sectPr w:rsidR="008A7A97" w:rsidRPr="009A6F1D" w:rsidSect="0026525A"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ECC7" w14:textId="77777777" w:rsidR="00684298" w:rsidRDefault="00684298">
      <w:r>
        <w:separator/>
      </w:r>
    </w:p>
  </w:endnote>
  <w:endnote w:type="continuationSeparator" w:id="0">
    <w:p w14:paraId="39BAEB0A" w14:textId="77777777" w:rsidR="00684298" w:rsidRDefault="006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CF06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B193" w14:textId="6E1AF563" w:rsidR="00E20E70" w:rsidRPr="00C95D35" w:rsidRDefault="00E20E70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02140AC5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" w:name="DOC_bkmFileName"/>
  <w:p w14:paraId="1F07BD0C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0601" w14:textId="77777777" w:rsidR="00684298" w:rsidRDefault="00684298">
      <w:r>
        <w:t>___________________________________________________________________________</w:t>
      </w:r>
    </w:p>
  </w:footnote>
  <w:footnote w:type="continuationSeparator" w:id="0">
    <w:p w14:paraId="29D3A23B" w14:textId="77777777" w:rsidR="00684298" w:rsidRDefault="00684298">
      <w:r>
        <w:t>___________________________________________________________________________</w:t>
      </w:r>
    </w:p>
  </w:footnote>
  <w:footnote w:type="continuationNotice" w:id="1">
    <w:p w14:paraId="192EC5B7" w14:textId="77777777" w:rsidR="00684298" w:rsidRDefault="006842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0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0"/>
        <w:p w14:paraId="618A6006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Heading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DK" w:vendorID="64" w:dllVersion="0" w:nlCheck="1" w:checkStyle="0"/>
  <w:activeWritingStyle w:appName="MSWord" w:lang="da-DK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2A40"/>
    <w:rsid w:val="00011C41"/>
    <w:rsid w:val="000212CE"/>
    <w:rsid w:val="000229AB"/>
    <w:rsid w:val="000248D6"/>
    <w:rsid w:val="0002569A"/>
    <w:rsid w:val="000300A7"/>
    <w:rsid w:val="00037321"/>
    <w:rsid w:val="00046928"/>
    <w:rsid w:val="00047160"/>
    <w:rsid w:val="000552F9"/>
    <w:rsid w:val="00073700"/>
    <w:rsid w:val="00075D40"/>
    <w:rsid w:val="00091233"/>
    <w:rsid w:val="00096E99"/>
    <w:rsid w:val="000A0299"/>
    <w:rsid w:val="000C6874"/>
    <w:rsid w:val="000E38A2"/>
    <w:rsid w:val="000E7661"/>
    <w:rsid w:val="000F7E94"/>
    <w:rsid w:val="00107F61"/>
    <w:rsid w:val="001119D6"/>
    <w:rsid w:val="0012117D"/>
    <w:rsid w:val="00126389"/>
    <w:rsid w:val="001308F2"/>
    <w:rsid w:val="001313E8"/>
    <w:rsid w:val="00153527"/>
    <w:rsid w:val="0019014D"/>
    <w:rsid w:val="001A763F"/>
    <w:rsid w:val="001B17A3"/>
    <w:rsid w:val="001B6386"/>
    <w:rsid w:val="001C1E17"/>
    <w:rsid w:val="001C58F5"/>
    <w:rsid w:val="001D5CEE"/>
    <w:rsid w:val="001F3CFF"/>
    <w:rsid w:val="001F49FB"/>
    <w:rsid w:val="002071D9"/>
    <w:rsid w:val="00235900"/>
    <w:rsid w:val="00256822"/>
    <w:rsid w:val="0026525A"/>
    <w:rsid w:val="00265CBF"/>
    <w:rsid w:val="00274790"/>
    <w:rsid w:val="00281E6E"/>
    <w:rsid w:val="00285755"/>
    <w:rsid w:val="002A1F9C"/>
    <w:rsid w:val="002B29C2"/>
    <w:rsid w:val="002C4208"/>
    <w:rsid w:val="00306628"/>
    <w:rsid w:val="003111B3"/>
    <w:rsid w:val="00326F2D"/>
    <w:rsid w:val="00341CC6"/>
    <w:rsid w:val="00352DE1"/>
    <w:rsid w:val="003728E6"/>
    <w:rsid w:val="003A5AB0"/>
    <w:rsid w:val="003B5E0E"/>
    <w:rsid w:val="003D255A"/>
    <w:rsid w:val="003E375E"/>
    <w:rsid w:val="003F709F"/>
    <w:rsid w:val="00416949"/>
    <w:rsid w:val="00416F96"/>
    <w:rsid w:val="004370D8"/>
    <w:rsid w:val="00446113"/>
    <w:rsid w:val="00446595"/>
    <w:rsid w:val="00454AD2"/>
    <w:rsid w:val="00472C43"/>
    <w:rsid w:val="00476A92"/>
    <w:rsid w:val="00477B19"/>
    <w:rsid w:val="004910D8"/>
    <w:rsid w:val="004B3406"/>
    <w:rsid w:val="00537496"/>
    <w:rsid w:val="00544ED3"/>
    <w:rsid w:val="00547F26"/>
    <w:rsid w:val="0057131A"/>
    <w:rsid w:val="0058079B"/>
    <w:rsid w:val="0058477B"/>
    <w:rsid w:val="0058654F"/>
    <w:rsid w:val="00596ACA"/>
    <w:rsid w:val="005B57D5"/>
    <w:rsid w:val="005B7E6B"/>
    <w:rsid w:val="005C5D2D"/>
    <w:rsid w:val="005E39BC"/>
    <w:rsid w:val="005F00A0"/>
    <w:rsid w:val="005F3848"/>
    <w:rsid w:val="005F393B"/>
    <w:rsid w:val="005F4AF8"/>
    <w:rsid w:val="006000B2"/>
    <w:rsid w:val="00604C59"/>
    <w:rsid w:val="00612CB0"/>
    <w:rsid w:val="006304A4"/>
    <w:rsid w:val="00640D3C"/>
    <w:rsid w:val="00647F33"/>
    <w:rsid w:val="00654B09"/>
    <w:rsid w:val="00662532"/>
    <w:rsid w:val="00663EDC"/>
    <w:rsid w:val="00675240"/>
    <w:rsid w:val="00684298"/>
    <w:rsid w:val="006B2274"/>
    <w:rsid w:val="006D7B3C"/>
    <w:rsid w:val="00717C6F"/>
    <w:rsid w:val="00727A6D"/>
    <w:rsid w:val="007445DA"/>
    <w:rsid w:val="00755832"/>
    <w:rsid w:val="00762E50"/>
    <w:rsid w:val="00765630"/>
    <w:rsid w:val="00773A8C"/>
    <w:rsid w:val="00790E9A"/>
    <w:rsid w:val="007939CD"/>
    <w:rsid w:val="007B4FD1"/>
    <w:rsid w:val="007B57CF"/>
    <w:rsid w:val="007C2C98"/>
    <w:rsid w:val="007C49B1"/>
    <w:rsid w:val="007D0519"/>
    <w:rsid w:val="00800B84"/>
    <w:rsid w:val="00802381"/>
    <w:rsid w:val="00815F3A"/>
    <w:rsid w:val="0082380C"/>
    <w:rsid w:val="008270D0"/>
    <w:rsid w:val="00827B38"/>
    <w:rsid w:val="00837A60"/>
    <w:rsid w:val="0085046A"/>
    <w:rsid w:val="008601BE"/>
    <w:rsid w:val="008710BF"/>
    <w:rsid w:val="00877C77"/>
    <w:rsid w:val="00883848"/>
    <w:rsid w:val="00887681"/>
    <w:rsid w:val="00890205"/>
    <w:rsid w:val="00897ED5"/>
    <w:rsid w:val="008A7A97"/>
    <w:rsid w:val="008B6BB9"/>
    <w:rsid w:val="008C3C89"/>
    <w:rsid w:val="008E0B54"/>
    <w:rsid w:val="008F4C98"/>
    <w:rsid w:val="008F536F"/>
    <w:rsid w:val="00907356"/>
    <w:rsid w:val="00911543"/>
    <w:rsid w:val="00936F68"/>
    <w:rsid w:val="009519C9"/>
    <w:rsid w:val="009724C8"/>
    <w:rsid w:val="009777FE"/>
    <w:rsid w:val="00980B7C"/>
    <w:rsid w:val="009A6F1D"/>
    <w:rsid w:val="009B5178"/>
    <w:rsid w:val="009B7A93"/>
    <w:rsid w:val="009D0B86"/>
    <w:rsid w:val="009D21F0"/>
    <w:rsid w:val="009E0D5B"/>
    <w:rsid w:val="009E1000"/>
    <w:rsid w:val="009E1558"/>
    <w:rsid w:val="00A0185C"/>
    <w:rsid w:val="00A42898"/>
    <w:rsid w:val="00A74CED"/>
    <w:rsid w:val="00A75497"/>
    <w:rsid w:val="00A83A9A"/>
    <w:rsid w:val="00A964E3"/>
    <w:rsid w:val="00AA292F"/>
    <w:rsid w:val="00AB6ACE"/>
    <w:rsid w:val="00AC1201"/>
    <w:rsid w:val="00AC5A3A"/>
    <w:rsid w:val="00AD6BB4"/>
    <w:rsid w:val="00AE0AE2"/>
    <w:rsid w:val="00AE6705"/>
    <w:rsid w:val="00AF71C3"/>
    <w:rsid w:val="00B1443F"/>
    <w:rsid w:val="00B4072F"/>
    <w:rsid w:val="00B54CDF"/>
    <w:rsid w:val="00B61D3D"/>
    <w:rsid w:val="00B62AD5"/>
    <w:rsid w:val="00B808D8"/>
    <w:rsid w:val="00B82FA5"/>
    <w:rsid w:val="00B90025"/>
    <w:rsid w:val="00BA2408"/>
    <w:rsid w:val="00BC0D33"/>
    <w:rsid w:val="00BC4E13"/>
    <w:rsid w:val="00BD1400"/>
    <w:rsid w:val="00BD1480"/>
    <w:rsid w:val="00BD196C"/>
    <w:rsid w:val="00BD605C"/>
    <w:rsid w:val="00BD66CD"/>
    <w:rsid w:val="00BD6C89"/>
    <w:rsid w:val="00BE2A76"/>
    <w:rsid w:val="00BE50C9"/>
    <w:rsid w:val="00BE61C9"/>
    <w:rsid w:val="00C1498B"/>
    <w:rsid w:val="00C33924"/>
    <w:rsid w:val="00C520EE"/>
    <w:rsid w:val="00C52A1C"/>
    <w:rsid w:val="00C65E60"/>
    <w:rsid w:val="00C83D2E"/>
    <w:rsid w:val="00C867E2"/>
    <w:rsid w:val="00C95D35"/>
    <w:rsid w:val="00CB0288"/>
    <w:rsid w:val="00CD49F6"/>
    <w:rsid w:val="00CD7ABF"/>
    <w:rsid w:val="00CE5A52"/>
    <w:rsid w:val="00CF7AF3"/>
    <w:rsid w:val="00D01134"/>
    <w:rsid w:val="00D2004F"/>
    <w:rsid w:val="00D26ADA"/>
    <w:rsid w:val="00D35A78"/>
    <w:rsid w:val="00D449C6"/>
    <w:rsid w:val="00D531A2"/>
    <w:rsid w:val="00D555A1"/>
    <w:rsid w:val="00D64DC2"/>
    <w:rsid w:val="00D70084"/>
    <w:rsid w:val="00DA46CA"/>
    <w:rsid w:val="00DC3F48"/>
    <w:rsid w:val="00DD4AAC"/>
    <w:rsid w:val="00DE7061"/>
    <w:rsid w:val="00DF21EB"/>
    <w:rsid w:val="00DF3A79"/>
    <w:rsid w:val="00DF4276"/>
    <w:rsid w:val="00DF5863"/>
    <w:rsid w:val="00DF7F61"/>
    <w:rsid w:val="00E20E70"/>
    <w:rsid w:val="00E250F8"/>
    <w:rsid w:val="00E25B68"/>
    <w:rsid w:val="00E25EDF"/>
    <w:rsid w:val="00E84003"/>
    <w:rsid w:val="00EC10FC"/>
    <w:rsid w:val="00EE0041"/>
    <w:rsid w:val="00EE29B9"/>
    <w:rsid w:val="00EE30B2"/>
    <w:rsid w:val="00EF5DCA"/>
    <w:rsid w:val="00F004EE"/>
    <w:rsid w:val="00F041CD"/>
    <w:rsid w:val="00F139EE"/>
    <w:rsid w:val="00F2695B"/>
    <w:rsid w:val="00F42E23"/>
    <w:rsid w:val="00F45EEE"/>
    <w:rsid w:val="00F51E9C"/>
    <w:rsid w:val="00F523CA"/>
    <w:rsid w:val="00F530AC"/>
    <w:rsid w:val="00F70F80"/>
    <w:rsid w:val="00F74A9D"/>
    <w:rsid w:val="00F81411"/>
    <w:rsid w:val="00F846B3"/>
    <w:rsid w:val="00F91936"/>
    <w:rsid w:val="00F9590C"/>
    <w:rsid w:val="00FB4809"/>
    <w:rsid w:val="00FB6E68"/>
    <w:rsid w:val="00FE4072"/>
    <w:rsid w:val="00FE7100"/>
    <w:rsid w:val="00FF3643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7D0A9FC1"/>
  <w15:docId w15:val="{1D5323B3-0188-4AAC-A100-D147430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9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link w:val="Heading1Char"/>
    <w:uiPriority w:val="9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link w:val="Heading2Ch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customStyle="1" w:styleId="Heading1Char">
    <w:name w:val="Heading 1 Char"/>
    <w:aliases w:val="Paper title Char"/>
    <w:basedOn w:val="DefaultParagraphFont"/>
    <w:link w:val="Heading1"/>
    <w:uiPriority w:val="9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Heading2Char">
    <w:name w:val="Heading 2 Char"/>
    <w:aliases w:val="1st level paper heading Char"/>
    <w:basedOn w:val="DefaultParagraphFont"/>
    <w:link w:val="Heading2"/>
    <w:rsid w:val="00011C41"/>
    <w:rPr>
      <w:caps/>
      <w:lang w:eastAsia="en-US"/>
    </w:rPr>
  </w:style>
  <w:style w:type="paragraph" w:styleId="Bibliography">
    <w:name w:val="Bibliography"/>
    <w:basedOn w:val="Normal"/>
    <w:next w:val="Normal"/>
    <w:uiPriority w:val="37"/>
    <w:unhideWhenUsed/>
    <w:locked/>
    <w:rsid w:val="008A7A97"/>
  </w:style>
  <w:style w:type="character" w:styleId="Hyperlink">
    <w:name w:val="Hyperlink"/>
    <w:basedOn w:val="DefaultParagraphFont"/>
    <w:uiPriority w:val="49"/>
    <w:unhideWhenUsed/>
    <w:locked/>
    <w:rsid w:val="00AF71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j01@seaborg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ANa19</b:Tag>
    <b:SourceType>ConferenceProceedings</b:SourceType>
    <b:Guid>{F6E5F005-470E-4C34-AA14-29CD641C703E}</b:Guid>
    <b:Title>Coupled neutronics thermal hydraulics assessment of graphite molten salt reactors</b:Title>
    <b:Year>2019</b:Year>
    <b:Author>
      <b:Author>
        <b:NameList>
          <b:Person>
            <b:Last>al.</b:Last>
            <b:First>A.</b:First>
            <b:Middle>Nalbandyan et</b:Middle>
          </b:Person>
        </b:NameList>
      </b:Author>
    </b:Author>
    <b:ConferenceName> Proceedings of the NURETH18 conference</b:ConferenceName>
    <b:RefOrder>7</b:RefOrder>
  </b:Source>
  <b:Source>
    <b:Tag>Auf18</b:Tag>
    <b:SourceType>ConferenceProceedings</b:SourceType>
    <b:Guid>{1401F02B-C6CD-4829-BFF2-C188B9B39359}</b:Guid>
    <b:Title>Testing and verification of multiphysics tools for fastspectrum msrs: The cnrs benchmark</b:Title>
    <b:Year>2018</b:Year>
    <b:ConferenceName>ANS Annual Meeting</b:ConferenceName>
    <b:Author>
      <b:Author>
        <b:NameList>
          <b:Person>
            <b:Last>al.</b:Last>
            <b:First>M.</b:First>
            <b:Middle>Aufiero et</b:Middle>
          </b:Person>
        </b:NameList>
      </b:Author>
    </b:Author>
    <b:RefOrder>2</b:RefOrder>
  </b:Source>
  <b:Source>
    <b:Tag>Bou12</b:Tag>
    <b:SourceType>ConferenceProceedings</b:SourceType>
    <b:Guid>{C57EBBE4-B880-45A5-942C-FA7D50ADFB40}</b:Guid>
    <b:Title>The molten salt reactor in generation iv: Overview and perspectives</b:Title>
    <b:Year>2012</b:Year>
    <b:City>San Diego, USA</b:City>
    <b:Author>
      <b:Author>
        <b:NameList>
          <b:Person>
            <b:Last>al.</b:Last>
            <b:First>H.</b:First>
            <b:Middle>Boussier et</b:Middle>
          </b:Person>
        </b:NameList>
      </b:Author>
    </b:Author>
    <b:ConferenceName>Generation4 International Forum Symposium,</b:ConferenceName>
    <b:RefOrder>1</b:RefOrder>
  </b:Source>
  <b:Source>
    <b:Tag>JGr21</b:Tag>
    <b:SourceType>JournalArticle</b:SourceType>
    <b:Guid>{AC5B80D0-76F8-471F-BEE0-915B32776F45}</b:Guid>
    <b:Author>
      <b:Author>
        <b:NameList>
          <b:Person>
            <b:Last>al.</b:Last>
            <b:First>J.</b:First>
            <b:Middle>Groth-Jensen et</b:Middle>
          </b:Person>
        </b:NameList>
      </b:Author>
    </b:Author>
    <b:Title>Verification of multiphysics coupling techniques for modeling of molten salt reactors</b:Title>
    <b:JournalName>Annals of Nuclear Energy</b:JournalName>
    <b:Year>2021</b:Year>
    <b:Volume>164</b:Volume>
    <b:RefOrder>4</b:RefOrder>
  </b:Source>
  <b:Source>
    <b:Tag>Lep</b:Tag>
    <b:SourceType>JournalArticle</b:SourceType>
    <b:Guid>{61260D80-A6C5-4217-B78D-32AB4A8986A2}</b:Guid>
    <b:Author>
      <b:Author>
        <b:NameList>
          <b:Person>
            <b:Last>al.</b:Last>
            <b:First>J.</b:First>
            <b:Middle>Leppänen et</b:Middle>
          </b:Person>
        </b:NameList>
      </b:Author>
    </b:Author>
    <b:Title>The serpent monte carlo code: Status, development and applications in 2013</b:Title>
    <b:JournalName>Annals of Nuclear Energy</b:JournalName>
    <b:Pages>142–150</b:Pages>
    <b:Volume>82</b:Volume>
    <b:RefOrder>6</b:RefOrder>
  </b:Source>
  <b:Source>
    <b:Tag>Wel98</b:Tag>
    <b:SourceType>JournalArticle</b:SourceType>
    <b:Guid>{5A1EC032-7705-47AB-A1A5-DAF27588BAD7}</b:Guid>
    <b:Author>
      <b:Author>
        <b:NameList>
          <b:Person>
            <b:Last>al.</b:Last>
            <b:First>H.</b:First>
            <b:Middle>Weller et</b:Middle>
          </b:Person>
        </b:NameList>
      </b:Author>
    </b:Author>
    <b:Title>A tensorial approach to computational continuum mechanics using object-oriented techniques</b:Title>
    <b:JournalName>Computers in Physics</b:JournalName>
    <b:Year>1998</b:Year>
    <b:Pages>620-631</b:Pages>
    <b:Volume>12</b:Volume>
    <b:RefOrder>5</b:RefOrder>
  </b:Source>
  <b:Source>
    <b:Tag>MTi20</b:Tag>
    <b:SourceType>JournalArticle</b:SourceType>
    <b:Guid>{2F76530A-08CF-45B8-8187-D2D23C13A0E8}</b:Guid>
    <b:Title> Results from a multiphysics numerical benchmark for codes</b:Title>
    <b:Year>2020</b:Year>
    <b:Author>
      <b:Author>
        <b:NameList>
          <b:Person>
            <b:Last>al.</b:Last>
            <b:First>M.</b:First>
            <b:Middle>Tiberga et</b:Middle>
          </b:Person>
        </b:NameList>
      </b:Author>
    </b:Author>
    <b:JournalName>Annals of Nuclear Energy</b:JournalName>
    <b:Volume>142</b:Volume>
    <b:RefOrder>3</b:RefOrder>
  </b:Source>
</b:Sources>
</file>

<file path=customXml/itemProps1.xml><?xml version="1.0" encoding="utf-8"?>
<ds:datastoreItem xmlns:ds="http://schemas.openxmlformats.org/officeDocument/2006/customXml" ds:itemID="{FE2F5A4B-96C7-49F8-BA7E-E3CB3B71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0</TotalTime>
  <Pages>4</Pages>
  <Words>1080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Abtract</dc:title>
  <dc:creator>Chirayu.Batra@iaea.org</dc:creator>
  <cp:lastModifiedBy>Jacob Groth Jensen</cp:lastModifiedBy>
  <cp:revision>3</cp:revision>
  <cp:lastPrinted>2015-12-01T10:27:00Z</cp:lastPrinted>
  <dcterms:created xsi:type="dcterms:W3CDTF">2022-02-23T16:23:00Z</dcterms:created>
  <dcterms:modified xsi:type="dcterms:W3CDTF">2022-02-23T16:24:00Z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