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Document.xml" ContentType="application/vnd.openxmlformats-officedocument.wordprocessingml.commentsExtensible+xml"/>
  <Override PartName="/word/commentsExtensible.xml" ContentType="application/vnd.openxmlformats-officedocument.wordprocessingml.commentsExtensible+xml"/>
  <Override PartName="/word/commentsExtendedDocument.xml" ContentType="application/vnd.openxmlformats-officedocument.wordprocessingml.commentsExtended+xml"/>
  <Override PartName="/word/peopleDocument.xml" ContentType="application/vnd.openxmlformats-officedocument.wordprocessingml.people+xml"/>
  <Override PartName="/word/commentsDocument.xml" ContentType="application/vnd.openxmlformats-officedocument.wordprocessingml.comments+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AD207" w14:textId="77777777" w:rsidR="00F60C7F" w:rsidRDefault="00B66839">
      <w:pPr>
        <w:pStyle w:val="Titre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jc w:val="center"/>
        <w:rPr>
          <w:rFonts w:ascii="Times New Roman" w:hAnsi="Times New Roman"/>
          <w:bCs/>
          <w:szCs w:val="24"/>
          <w:lang w:val="en-GB"/>
        </w:rPr>
      </w:pPr>
      <w:r>
        <w:rPr>
          <w:rFonts w:ascii="Times New Roman" w:hAnsi="Times New Roman"/>
          <w:bCs/>
          <w:szCs w:val="24"/>
          <w:lang w:val="en-GB"/>
        </w:rPr>
        <w:t>HIGH PERFORMENCE CALCULATION ENHANCEMENT USING MASSIVE PARALLELIZATION WITH TRUST AND TRIOCFD</w:t>
      </w:r>
    </w:p>
    <w:p w14:paraId="2E581B8E" w14:textId="77777777" w:rsidR="00F60C7F" w:rsidRDefault="00F60C7F">
      <w:pPr>
        <w:pStyle w:val="Authornameandaffiliation"/>
        <w:ind w:left="0"/>
        <w:jc w:val="both"/>
        <w:rPr>
          <w:sz w:val="24"/>
          <w:szCs w:val="24"/>
          <w:lang w:val="en-GB"/>
        </w:rPr>
      </w:pPr>
    </w:p>
    <w:p w14:paraId="0525D53B" w14:textId="77777777" w:rsidR="00F60C7F" w:rsidRDefault="00F60C7F">
      <w:pPr>
        <w:pStyle w:val="Authornameandaffiliation"/>
        <w:ind w:left="0"/>
        <w:jc w:val="both"/>
        <w:rPr>
          <w:sz w:val="24"/>
          <w:szCs w:val="24"/>
          <w:lang w:val="en-GB"/>
        </w:rPr>
      </w:pPr>
    </w:p>
    <w:p w14:paraId="1771E638" w14:textId="77777777" w:rsidR="00F60C7F" w:rsidRPr="00B66839" w:rsidRDefault="00B66839">
      <w:pPr>
        <w:pStyle w:val="Authornameandaffiliation"/>
        <w:ind w:left="0"/>
        <w:jc w:val="both"/>
        <w:rPr>
          <w:sz w:val="24"/>
          <w:szCs w:val="24"/>
          <w:vertAlign w:val="superscript"/>
          <w:lang w:val="fr-FR"/>
        </w:rPr>
      </w:pPr>
      <w:r w:rsidRPr="00B66839">
        <w:rPr>
          <w:sz w:val="24"/>
          <w:szCs w:val="24"/>
          <w:lang w:val="fr-FR"/>
        </w:rPr>
        <w:t>R. NOP, A. BRUNETON, J. DARONA, E. SAIKALI, U. BIEDER, P. LEDAC, A. KHIZAR, N. DORVILLE, E. ADAM</w:t>
      </w:r>
    </w:p>
    <w:p w14:paraId="0799A526" w14:textId="77777777" w:rsidR="00F60C7F" w:rsidRPr="00B66839" w:rsidRDefault="00F60C7F">
      <w:pPr>
        <w:pStyle w:val="Authornameandaffiliation"/>
        <w:ind w:left="0"/>
        <w:jc w:val="both"/>
        <w:rPr>
          <w:sz w:val="24"/>
          <w:szCs w:val="24"/>
          <w:lang w:val="fr-FR"/>
        </w:rPr>
      </w:pPr>
    </w:p>
    <w:p w14:paraId="2C615C20" w14:textId="77777777" w:rsidR="00F60C7F" w:rsidRPr="00B66839" w:rsidRDefault="00B66839">
      <w:pPr>
        <w:pStyle w:val="Authornameandaffiliation"/>
        <w:ind w:left="0"/>
        <w:jc w:val="both"/>
        <w:rPr>
          <w:sz w:val="24"/>
          <w:szCs w:val="24"/>
          <w:lang w:val="fr-FR"/>
        </w:rPr>
      </w:pPr>
      <w:r w:rsidRPr="00B66839">
        <w:rPr>
          <w:sz w:val="24"/>
          <w:szCs w:val="24"/>
          <w:lang w:val="fr-FR"/>
        </w:rPr>
        <w:t>Université Paris-Saclay, CEA, Service de Thermo-hydraulique et de Mécanique des Fluides, 91191, Gif-sur-Yvette, France.</w:t>
      </w:r>
    </w:p>
    <w:p w14:paraId="2E180FBE" w14:textId="77777777" w:rsidR="00F60C7F" w:rsidRPr="00B66839" w:rsidRDefault="00F60C7F">
      <w:pPr>
        <w:pStyle w:val="Authornameandaffiliation"/>
        <w:ind w:left="0"/>
        <w:jc w:val="both"/>
        <w:rPr>
          <w:sz w:val="24"/>
          <w:szCs w:val="24"/>
          <w:lang w:val="fr-FR"/>
        </w:rPr>
      </w:pPr>
    </w:p>
    <w:p w14:paraId="6C20B6E0" w14:textId="77777777" w:rsidR="00F60C7F" w:rsidRDefault="00B66839">
      <w:pPr>
        <w:pStyle w:val="Authornameandaffiliation"/>
        <w:ind w:left="0"/>
        <w:jc w:val="both"/>
        <w:rPr>
          <w:sz w:val="24"/>
          <w:szCs w:val="24"/>
          <w:lang w:val="en-GB"/>
        </w:rPr>
      </w:pPr>
      <w:r>
        <w:rPr>
          <w:sz w:val="24"/>
          <w:szCs w:val="24"/>
        </w:rPr>
        <w:t>Email contact of corresponding author</w:t>
      </w:r>
      <w:r>
        <w:rPr>
          <w:sz w:val="24"/>
          <w:szCs w:val="24"/>
          <w:lang w:val="en-GB"/>
        </w:rPr>
        <w:t>: raksmy</w:t>
      </w:r>
      <w:r>
        <w:rPr>
          <w:sz w:val="24"/>
          <w:szCs w:val="24"/>
        </w:rPr>
        <w:t>.nop@cea.fr</w:t>
      </w:r>
    </w:p>
    <w:p w14:paraId="3E149AD3" w14:textId="77777777" w:rsidR="00F60C7F" w:rsidRDefault="00F60C7F">
      <w:pPr>
        <w:pStyle w:val="Authornameandaffiliation"/>
        <w:ind w:left="0"/>
        <w:jc w:val="both"/>
        <w:rPr>
          <w:sz w:val="24"/>
          <w:szCs w:val="24"/>
          <w:lang w:val="en-GB"/>
        </w:rPr>
      </w:pPr>
    </w:p>
    <w:p w14:paraId="37845669" w14:textId="77777777" w:rsidR="00F60C7F" w:rsidRDefault="00B66839">
      <w:pPr>
        <w:pStyle w:val="Paragraphedeliste"/>
        <w:numPr>
          <w:ilvl w:val="0"/>
          <w:numId w:val="41"/>
        </w:numPr>
        <w:spacing w:before="280" w:after="280"/>
        <w:ind w:left="425" w:hanging="425"/>
        <w:jc w:val="both"/>
        <w:rPr>
          <w:rFonts w:eastAsia="Calibri"/>
          <w:lang w:eastAsia="ar-SA"/>
        </w:rPr>
      </w:pPr>
      <w:r>
        <w:rPr>
          <w:rFonts w:eastAsia="Calibri"/>
          <w:sz w:val="24"/>
          <w:szCs w:val="24"/>
          <w:lang w:eastAsia="ar-SA"/>
        </w:rPr>
        <w:t>Overview of TRUST/TrioCFD Platform</w:t>
      </w:r>
    </w:p>
    <w:p w14:paraId="6AF3D81A" w14:textId="77777777" w:rsidR="00F60C7F" w:rsidRDefault="00B66839">
      <w:pPr>
        <w:spacing w:before="280" w:after="280"/>
        <w:jc w:val="both"/>
        <w:rPr>
          <w:rFonts w:eastAsia="Calibri"/>
          <w:lang w:eastAsia="ar-SA"/>
        </w:rPr>
      </w:pPr>
      <w:r>
        <w:rPr>
          <w:rFonts w:eastAsia="Calibri"/>
          <w:sz w:val="24"/>
          <w:szCs w:val="24"/>
          <w:lang w:eastAsia="ar-SA"/>
        </w:rPr>
        <w:t>TRUST/TrioCFD [1] is an open-source platfo</w:t>
      </w:r>
      <w:r>
        <w:rPr>
          <w:rFonts w:eastAsia="Calibri"/>
          <w:sz w:val="24"/>
          <w:szCs w:val="24"/>
          <w:lang w:eastAsia="ar-SA"/>
        </w:rPr>
        <w:t>rm of fluid mechanics and thermohydraulics develop</w:t>
      </w:r>
      <w:bookmarkStart w:id="0" w:name="_GoBack"/>
      <w:bookmarkEnd w:id="0"/>
      <w:r>
        <w:rPr>
          <w:rFonts w:eastAsia="Calibri"/>
          <w:sz w:val="24"/>
          <w:szCs w:val="24"/>
          <w:lang w:eastAsia="ar-SA"/>
        </w:rPr>
        <w:t>ed at CEA. The latter is made up of 2 codes:</w:t>
      </w:r>
    </w:p>
    <w:p w14:paraId="27B6551C" w14:textId="77777777" w:rsidR="00F60C7F" w:rsidRDefault="00B66839">
      <w:pPr>
        <w:pStyle w:val="Paragraphedeliste"/>
        <w:numPr>
          <w:ilvl w:val="0"/>
          <w:numId w:val="40"/>
        </w:numPr>
        <w:spacing w:before="280" w:after="280"/>
        <w:jc w:val="both"/>
        <w:rPr>
          <w:rFonts w:eastAsia="Calibri"/>
          <w:lang w:eastAsia="ar-SA"/>
        </w:rPr>
      </w:pPr>
      <w:r>
        <w:rPr>
          <w:rFonts w:eastAsia="Calibri"/>
          <w:sz w:val="24"/>
          <w:szCs w:val="24"/>
          <w:lang w:eastAsia="ar-SA"/>
        </w:rPr>
        <w:t>TRUST in which are implemented the general architecture and all the basic IT tools namely the classes and methods necessary to solve basic problems (operators, s</w:t>
      </w:r>
      <w:r>
        <w:rPr>
          <w:rFonts w:eastAsia="Calibri"/>
          <w:sz w:val="24"/>
          <w:szCs w:val="24"/>
          <w:lang w:eastAsia="ar-SA"/>
        </w:rPr>
        <w:t>tandard Navier-Stokes, solvers,...). Several advanced codes specialized to treat specific industrial applications are developed at CEA based on TRUST (e.g. steam generator, reactor core, chemical reactions). In each of them, specific advanced models are im</w:t>
      </w:r>
      <w:r>
        <w:rPr>
          <w:rFonts w:eastAsia="Calibri"/>
          <w:sz w:val="24"/>
          <w:szCs w:val="24"/>
          <w:lang w:eastAsia="ar-SA"/>
        </w:rPr>
        <w:t>plemented from the TRUST toolbox and benefit from its massive parallel capabilities;</w:t>
      </w:r>
    </w:p>
    <w:p w14:paraId="18EBC9CC" w14:textId="77777777" w:rsidR="00F60C7F" w:rsidRDefault="00B66839">
      <w:pPr>
        <w:pStyle w:val="Paragraphedeliste"/>
        <w:numPr>
          <w:ilvl w:val="0"/>
          <w:numId w:val="40"/>
        </w:numPr>
        <w:spacing w:before="280" w:after="280"/>
        <w:jc w:val="both"/>
        <w:rPr>
          <w:rFonts w:eastAsia="Calibri"/>
          <w:lang w:eastAsia="ar-SA"/>
        </w:rPr>
      </w:pPr>
      <w:r>
        <w:rPr>
          <w:rFonts w:eastAsia="Calibri"/>
          <w:sz w:val="24"/>
          <w:szCs w:val="24"/>
          <w:lang w:eastAsia="ar-SA"/>
        </w:rPr>
        <w:t>TrioCFD is one of the advanced codes developed at CEA based on TRUST. It includes specific and advanced models, particularly in fluid mechanics and heat transfer modelling</w:t>
      </w:r>
      <w:r>
        <w:rPr>
          <w:rFonts w:eastAsia="Calibri"/>
          <w:sz w:val="24"/>
          <w:szCs w:val="24"/>
          <w:lang w:eastAsia="ar-SA"/>
        </w:rPr>
        <w:t xml:space="preserve">. TrioCFD is therefore able to solve more complex problems than laminar flows such as </w:t>
      </w:r>
      <w:r>
        <w:rPr>
          <w:rFonts w:eastAsia="Calibri"/>
          <w:sz w:val="24"/>
          <w:szCs w:val="24"/>
          <w:lang w:eastAsia="ar-SA"/>
        </w:rPr>
        <w:t>turbulent flow models, fluid-structure interactions, multiphase flows or flows in porous media.</w:t>
      </w:r>
    </w:p>
    <w:p w14:paraId="28A95A8C" w14:textId="77777777" w:rsidR="00F60C7F" w:rsidRDefault="00B66839">
      <w:pPr>
        <w:spacing w:before="280" w:after="280"/>
        <w:jc w:val="both"/>
      </w:pPr>
      <w:r>
        <w:rPr>
          <w:rFonts w:eastAsia="Calibri"/>
          <w:sz w:val="24"/>
          <w:szCs w:val="24"/>
          <w:lang w:eastAsia="ar-SA"/>
        </w:rPr>
        <w:t>This allows the resolution of the incompressible Navier-Stokes equations t</w:t>
      </w:r>
      <w:r>
        <w:rPr>
          <w:rFonts w:eastAsia="Calibri"/>
          <w:sz w:val="24"/>
          <w:szCs w:val="24"/>
          <w:lang w:eastAsia="ar-SA"/>
        </w:rPr>
        <w:t>o which can be added more complex models, according to a specific problem to be investigated (through TrioCFD), and offers massive parallel computing capabilities (through TRUST). Initially, designed for nuclear industry, it can also be used for a wide ran</w:t>
      </w:r>
      <w:r>
        <w:rPr>
          <w:rFonts w:eastAsia="Calibri"/>
          <w:sz w:val="24"/>
          <w:szCs w:val="24"/>
          <w:lang w:eastAsia="ar-SA"/>
        </w:rPr>
        <w:t>ge of applications</w:t>
      </w:r>
      <w:commentRangeStart w:id="1"/>
      <w:commentRangeStart w:id="2"/>
      <w:commentRangeStart w:id="3"/>
      <w:commentRangeEnd w:id="1"/>
      <w:commentRangeEnd w:id="2"/>
      <w:commentRangeEnd w:id="3"/>
      <w:r>
        <w:rPr>
          <w:rFonts w:eastAsia="Calibri"/>
          <w:sz w:val="24"/>
          <w:szCs w:val="24"/>
          <w:lang w:eastAsia="ar-SA"/>
        </w:rPr>
        <w:t>. Meanwhile the platform is flexible: its object-oriented architecture developed in C++ allows for the development of target-oriented applications as fast-neutron reactor simulation, nuclear propulsion, but also now fuel cells si</w:t>
      </w:r>
      <w:r>
        <w:rPr>
          <w:rFonts w:eastAsia="Calibri"/>
          <w:sz w:val="24"/>
          <w:szCs w:val="24"/>
          <w:lang w:eastAsia="ar-SA"/>
        </w:rPr>
        <w:t>mulations or chemistry.</w:t>
      </w:r>
    </w:p>
    <w:p w14:paraId="59E5D4F1" w14:textId="77777777" w:rsidR="00F60C7F" w:rsidRDefault="00B66839">
      <w:pPr>
        <w:spacing w:before="280" w:after="280"/>
        <w:jc w:val="both"/>
        <w:rPr>
          <w:rFonts w:eastAsia="Calibri"/>
          <w:sz w:val="24"/>
          <w:szCs w:val="24"/>
          <w:lang w:eastAsia="ar-SA"/>
        </w:rPr>
      </w:pPr>
      <w:r>
        <w:rPr>
          <w:rFonts w:eastAsia="Calibri"/>
          <w:sz w:val="24"/>
          <w:szCs w:val="24"/>
          <w:lang w:eastAsia="ar-SA"/>
        </w:rPr>
        <w:t>The rigorous V&amp;V process of the platform allows continuous integration of developments/corrections. The interested readers may refer to [2].</w:t>
      </w:r>
    </w:p>
    <w:p w14:paraId="612711CB" w14:textId="77777777" w:rsidR="00F60C7F" w:rsidRDefault="00B66839">
      <w:pPr>
        <w:spacing w:before="280" w:after="280"/>
        <w:jc w:val="both"/>
        <w:rPr>
          <w:rFonts w:eastAsia="Calibri"/>
          <w:sz w:val="24"/>
          <w:szCs w:val="24"/>
          <w:lang w:eastAsia="ar-SA"/>
        </w:rPr>
      </w:pPr>
      <w:r>
        <w:rPr>
          <w:rFonts w:eastAsia="Calibri"/>
          <w:sz w:val="24"/>
          <w:szCs w:val="24"/>
          <w:lang w:eastAsia="ar-SA"/>
        </w:rPr>
        <w:t xml:space="preserve">In 2015, TRUST/TrioCFD was able to handle cases with </w:t>
      </w:r>
      <w:r>
        <w:rPr>
          <w:rFonts w:eastAsia="Calibri"/>
          <w:sz w:val="24"/>
          <w:szCs w:val="24"/>
          <w:lang w:eastAsia="ar-SA"/>
        </w:rPr>
        <w:t>more than 650 million cells and 1.3 billion degrees of freedom. The computation was performed on 10,000 processor cores [3]. Recently, the needs in terms of modelling precision have greatly increased and TRUST/TrioCFD has been able to adapt:  a computation</w:t>
      </w:r>
      <w:r>
        <w:rPr>
          <w:rFonts w:eastAsia="Calibri"/>
          <w:sz w:val="24"/>
          <w:szCs w:val="24"/>
          <w:lang w:eastAsia="ar-SA"/>
        </w:rPr>
        <w:t xml:space="preserve"> was realized with a mesh of 1 billion elements in 2020, and more recently 2 billion elements in 2021. Technical limitations had to be pushed back and significant improvements were made to the platform to achieve these performances. These improvements will</w:t>
      </w:r>
      <w:r>
        <w:rPr>
          <w:rFonts w:eastAsia="Calibri"/>
          <w:sz w:val="24"/>
          <w:szCs w:val="24"/>
          <w:lang w:eastAsia="ar-SA"/>
        </w:rPr>
        <w:t xml:space="preserve"> be presented in the next section. Applications with 1 and 2 billion cells will then be presented.</w:t>
      </w:r>
    </w:p>
    <w:p w14:paraId="32E27655" w14:textId="77777777" w:rsidR="00F60C7F" w:rsidRDefault="00B66839">
      <w:pPr>
        <w:pStyle w:val="Paragraphedeliste"/>
        <w:numPr>
          <w:ilvl w:val="0"/>
          <w:numId w:val="44"/>
        </w:numPr>
        <w:spacing w:before="280" w:after="280"/>
        <w:ind w:left="425" w:hanging="425"/>
        <w:jc w:val="both"/>
        <w:rPr>
          <w:rFonts w:eastAsia="Calibri"/>
          <w:lang w:eastAsia="ar-SA"/>
        </w:rPr>
      </w:pPr>
      <w:r>
        <w:rPr>
          <w:rFonts w:eastAsia="Calibri"/>
          <w:sz w:val="24"/>
          <w:szCs w:val="24"/>
          <w:lang w:eastAsia="ar-SA"/>
        </w:rPr>
        <w:lastRenderedPageBreak/>
        <w:t>Parallel computation enhancement</w:t>
      </w:r>
    </w:p>
    <w:p w14:paraId="34E26FB3" w14:textId="77777777" w:rsidR="00F60C7F" w:rsidRDefault="00B66839">
      <w:pPr>
        <w:spacing w:before="280" w:after="280"/>
        <w:jc w:val="both"/>
        <w:rPr>
          <w:rFonts w:eastAsia="Calibri"/>
          <w:sz w:val="24"/>
          <w:szCs w:val="24"/>
          <w:lang w:eastAsia="ar-SA"/>
        </w:rPr>
      </w:pPr>
      <w:r>
        <w:rPr>
          <w:rFonts w:eastAsia="Calibri"/>
          <w:sz w:val="24"/>
          <w:szCs w:val="24"/>
          <w:lang w:eastAsia="ar-SA"/>
        </w:rPr>
        <w:t>Recently the platform has benefited from several enhancements allowing it to reach new HPC capabilities.</w:t>
      </w:r>
      <w:r>
        <w:rPr>
          <w:rFonts w:eastAsia="Calibri"/>
          <w:sz w:val="24"/>
          <w:szCs w:val="24"/>
          <w:lang w:eastAsia="ar-SA"/>
        </w:rPr>
        <w:br/>
        <w:t>First of all, sever</w:t>
      </w:r>
      <w:r>
        <w:rPr>
          <w:rFonts w:eastAsia="Calibri"/>
          <w:sz w:val="24"/>
          <w:szCs w:val="24"/>
          <w:lang w:eastAsia="ar-SA"/>
        </w:rPr>
        <w:t>al I/O processes have been improved: the code used to write some of its output data on an MPI-processor basis, meaning that we had as many files as MPI processors in the computation. While acceptable for small simulation (up to 500-1000 MPI nodes) This bec</w:t>
      </w:r>
      <w:r>
        <w:rPr>
          <w:rFonts w:eastAsia="Calibri"/>
          <w:sz w:val="24"/>
          <w:szCs w:val="24"/>
          <w:lang w:eastAsia="ar-SA"/>
        </w:rPr>
        <w:t>omes un-tractable when reaching 10,000 MPI-nodes or more. This has now been rationalized thanks to the support of the HDF5 format [6]. The data structure remains similar (one piece of data per processor), but a given physical file is now replaced by a corr</w:t>
      </w:r>
      <w:r>
        <w:rPr>
          <w:rFonts w:eastAsia="Calibri"/>
          <w:sz w:val="24"/>
          <w:szCs w:val="24"/>
          <w:lang w:eastAsia="ar-SA"/>
        </w:rPr>
        <w:t>esponding dataset in a single HDF5 file. This strategy has successfully been put in place for the checkpoint/restart files and for the domain splitting information storage, allowing a drastic reduction in the number of i-nodes used on the cluster file syst</w:t>
      </w:r>
      <w:r>
        <w:rPr>
          <w:rFonts w:eastAsia="Calibri"/>
          <w:sz w:val="24"/>
          <w:szCs w:val="24"/>
          <w:lang w:eastAsia="ar-SA"/>
        </w:rPr>
        <w:t xml:space="preserve">em. </w:t>
      </w:r>
    </w:p>
    <w:p w14:paraId="6DE3F12E" w14:textId="77777777" w:rsidR="00F60C7F" w:rsidRDefault="00B66839">
      <w:pPr>
        <w:spacing w:before="280" w:after="280"/>
        <w:jc w:val="both"/>
        <w:rPr>
          <w:rFonts w:eastAsia="Calibri"/>
          <w:sz w:val="24"/>
          <w:szCs w:val="24"/>
          <w:lang w:eastAsia="ar-SA"/>
        </w:rPr>
      </w:pPr>
      <w:r>
        <w:rPr>
          <w:rFonts w:eastAsia="Calibri"/>
          <w:sz w:val="24"/>
          <w:szCs w:val="24"/>
          <w:lang w:eastAsia="ar-SA"/>
        </w:rPr>
        <w:t>Second, the porting of the code to 64-bit long identifiers has been conducted since the 32-bit format was proven too limiting for the mesh sizes at hand in a massive simulation. Indeed the various entities (vertices, faces, volumes) of a 2 billion-ele</w:t>
      </w:r>
      <w:r>
        <w:rPr>
          <w:rFonts w:eastAsia="Calibri"/>
          <w:sz w:val="24"/>
          <w:szCs w:val="24"/>
          <w:lang w:eastAsia="ar-SA"/>
        </w:rPr>
        <w:t>ment mesh can not be indexed using only 4 bytes (32 bits). The core of the C++ code has been ported as well as various tools coming along with the platform (notably the visualization plugins for the VisIt software).</w:t>
      </w:r>
    </w:p>
    <w:p w14:paraId="5CA852AB" w14:textId="77777777" w:rsidR="00F60C7F" w:rsidRDefault="00B66839">
      <w:pPr>
        <w:spacing w:before="280" w:after="280"/>
        <w:jc w:val="both"/>
        <w:rPr>
          <w:rFonts w:eastAsia="Calibri"/>
          <w:sz w:val="24"/>
          <w:szCs w:val="24"/>
          <w:lang w:eastAsia="ar-SA"/>
        </w:rPr>
      </w:pPr>
      <w:r>
        <w:rPr>
          <w:rFonts w:eastAsia="Calibri"/>
          <w:sz w:val="24"/>
          <w:szCs w:val="24"/>
          <w:lang w:eastAsia="ar-SA"/>
        </w:rPr>
        <w:t>Finally memory optimisations have been c</w:t>
      </w:r>
      <w:r>
        <w:rPr>
          <w:rFonts w:eastAsia="Calibri"/>
          <w:sz w:val="24"/>
          <w:szCs w:val="24"/>
          <w:lang w:eastAsia="ar-SA"/>
        </w:rPr>
        <w:t>onducted, allowing to reduce significantly the memory footprint of a typical CFD simulation. TRUST/TrioCFD relies heavily on the PETSc  sparse linear algebra library [7], and some of the matrices of the computation were not optimally filled (notably the Ja</w:t>
      </w:r>
      <w:r>
        <w:rPr>
          <w:rFonts w:eastAsia="Calibri"/>
          <w:sz w:val="24"/>
          <w:szCs w:val="24"/>
          <w:lang w:eastAsia="ar-SA"/>
        </w:rPr>
        <w:t xml:space="preserve">cobian matrix used in the implicit numerical schemes). </w:t>
      </w:r>
    </w:p>
    <w:p w14:paraId="407845C2" w14:textId="77777777" w:rsidR="00F60C7F" w:rsidRDefault="00B66839">
      <w:pPr>
        <w:spacing w:before="280" w:after="280"/>
        <w:jc w:val="both"/>
        <w:rPr>
          <w:rFonts w:eastAsia="Calibri"/>
          <w:sz w:val="24"/>
          <w:szCs w:val="24"/>
          <w:lang w:eastAsia="ar-SA"/>
        </w:rPr>
      </w:pPr>
      <w:r>
        <w:rPr>
          <w:rFonts w:eastAsia="Calibri"/>
          <w:sz w:val="24"/>
          <w:szCs w:val="24"/>
          <w:lang w:eastAsia="ar-SA"/>
        </w:rPr>
        <w:t xml:space="preserve">Thanks to these improvements on the parallelization and performances, TRUST/TrioCFD is now able to handle massive numerical simulations rarely reached by other open-source computational codes. On the </w:t>
      </w:r>
      <w:r>
        <w:rPr>
          <w:rFonts w:eastAsia="Calibri"/>
          <w:sz w:val="24"/>
          <w:szCs w:val="24"/>
          <w:lang w:eastAsia="ar-SA"/>
        </w:rPr>
        <w:t>following, we present two simulations with mesh sizes above the billion elements, which investigate two industrial cases involving different physical phenomena.</w:t>
      </w:r>
    </w:p>
    <w:p w14:paraId="611902EF" w14:textId="77777777" w:rsidR="00F60C7F" w:rsidRDefault="00B66839">
      <w:pPr>
        <w:pStyle w:val="Paragraphedeliste"/>
        <w:numPr>
          <w:ilvl w:val="0"/>
          <w:numId w:val="42"/>
        </w:numPr>
        <w:spacing w:before="280" w:after="280"/>
        <w:ind w:left="425" w:hanging="425"/>
        <w:jc w:val="both"/>
        <w:rPr>
          <w:rFonts w:eastAsia="Calibri"/>
          <w:lang w:eastAsia="ar-SA"/>
        </w:rPr>
      </w:pPr>
      <w:r>
        <w:rPr>
          <w:rFonts w:eastAsia="Calibri"/>
          <w:sz w:val="24"/>
          <w:szCs w:val="24"/>
          <w:lang w:eastAsia="ar-SA"/>
        </w:rPr>
        <w:t>Example of a 1 billion-element computation in 2020</w:t>
      </w:r>
    </w:p>
    <w:p w14:paraId="17927467" w14:textId="77777777" w:rsidR="00F60C7F" w:rsidRDefault="00B66839">
      <w:pPr>
        <w:spacing w:before="280" w:after="280"/>
        <w:jc w:val="both"/>
        <w:rPr>
          <w:sz w:val="24"/>
          <w:szCs w:val="24"/>
        </w:rPr>
      </w:pPr>
      <w:r>
        <w:rPr>
          <w:rFonts w:eastAsia="Calibri"/>
          <w:sz w:val="24"/>
          <w:szCs w:val="24"/>
          <w:lang w:eastAsia="ar-SA"/>
        </w:rPr>
        <w:t>In 2020, h</w:t>
      </w:r>
      <w:r>
        <w:rPr>
          <w:sz w:val="24"/>
        </w:rPr>
        <w:t>ydraulic forces on fuel assemblies</w:t>
      </w:r>
      <w:r>
        <w:rPr>
          <w:sz w:val="24"/>
        </w:rPr>
        <w:t xml:space="preserve"> with different sizes of water gaps were computed using TrioCFD [4]. The objectives of this study was to quantify the forces acting on the mixing grids as well as the behaviour of the fuel assemblies in case one of them is not axially aligned. In order to </w:t>
      </w:r>
      <w:r>
        <w:rPr>
          <w:sz w:val="24"/>
        </w:rPr>
        <w:t>catch the interaction between fuel assemblies, several of them should be simulated, needing a large number of cells. In this work, meshes with up to 1 billion tetrahedrons were used to investigate configurations up to a group of 3 fuel assemblies of 17 x 1</w:t>
      </w:r>
      <w:r>
        <w:rPr>
          <w:sz w:val="24"/>
        </w:rPr>
        <w:t>7 rods with different tilts.</w:t>
      </w:r>
    </w:p>
    <w:p w14:paraId="68884445" w14:textId="77777777" w:rsidR="00F60C7F" w:rsidRDefault="00B66839">
      <w:pPr>
        <w:spacing w:before="280" w:after="280"/>
        <w:jc w:val="both"/>
        <w:rPr>
          <w:sz w:val="24"/>
          <w:szCs w:val="24"/>
        </w:rPr>
      </w:pPr>
      <w:r>
        <w:rPr>
          <w:sz w:val="24"/>
          <w:szCs w:val="24"/>
        </w:rPr>
        <w:t>The typical fuel assembly considered is presented in Fig.1 (left)</w:t>
      </w:r>
      <w:r>
        <w:rPr>
          <w:sz w:val="24"/>
          <w:szCs w:val="24"/>
        </w:rPr>
        <w:t xml:space="preserve"> as well as the corresponding mixing grid (Fig.1 center). In order to investigate the forced on the mixing grid as well the flow structure around the the rods, we have considered the calculation domain around the mixing grid as presented in Fig.1 (right). </w:t>
      </w:r>
    </w:p>
    <w:p w14:paraId="4EAFF564" w14:textId="77777777" w:rsidR="00F60C7F" w:rsidRDefault="00B66839">
      <w:pPr>
        <w:spacing w:before="280" w:after="280"/>
        <w:jc w:val="center"/>
        <w:rPr>
          <w:sz w:val="24"/>
          <w:szCs w:val="24"/>
        </w:rPr>
      </w:pPr>
      <w:r>
        <w:rPr>
          <w:noProof/>
          <w:sz w:val="24"/>
          <w:lang w:val="fr-FR" w:eastAsia="fr-FR"/>
        </w:rPr>
        <w:lastRenderedPageBreak/>
        <mc:AlternateContent>
          <mc:Choice Requires="wpg">
            <w:drawing>
              <wp:inline distT="0" distB="0" distL="0" distR="0">
                <wp:extent cx="2335656" cy="17779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8"/>
                        <a:stretch/>
                      </pic:blipFill>
                      <pic:spPr bwMode="auto">
                        <a:xfrm>
                          <a:off x="0" y="0"/>
                          <a:ext cx="2335655" cy="177792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83.9pt;height:140.0pt;" stroked="false">
                <v:path textboxrect="0,0,0,0"/>
                <v:imagedata r:id="rId14" o:title=""/>
              </v:shape>
            </w:pict>
          </mc:Fallback>
        </mc:AlternateContent>
      </w:r>
      <w:r>
        <w:rPr>
          <w:noProof/>
          <w:sz w:val="24"/>
          <w:lang w:val="fr-FR" w:eastAsia="fr-FR"/>
        </w:rPr>
        <mc:AlternateContent>
          <mc:Choice Requires="wpg">
            <w:drawing>
              <wp:inline distT="0" distB="0" distL="0" distR="0">
                <wp:extent cx="2934358" cy="17990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5"/>
                        <a:stretch/>
                      </pic:blipFill>
                      <pic:spPr bwMode="auto">
                        <a:xfrm>
                          <a:off x="0" y="0"/>
                          <a:ext cx="2934357" cy="17990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31.1pt;height:141.7pt;" stroked="false">
                <v:path textboxrect="0,0,0,0"/>
                <v:imagedata r:id="rId16" o:title=""/>
              </v:shape>
            </w:pict>
          </mc:Fallback>
        </mc:AlternateContent>
      </w:r>
    </w:p>
    <w:p w14:paraId="4F65CD80" w14:textId="77777777" w:rsidR="00F60C7F" w:rsidRDefault="00B66839">
      <w:pPr>
        <w:spacing w:before="280" w:after="280"/>
        <w:jc w:val="both"/>
        <w:rPr>
          <w:i/>
          <w:szCs w:val="24"/>
        </w:rPr>
      </w:pPr>
      <w:r>
        <w:rPr>
          <w:i/>
        </w:rPr>
        <w:t>Fig. 1 Geometry overview. Typical fuel assembly (left). Mixing grid of the generic fuel assembly (center). Calculation domain (right) [4]</w:t>
      </w:r>
    </w:p>
    <w:p w14:paraId="0F898EFB" w14:textId="77777777" w:rsidR="00F60C7F" w:rsidRDefault="00B66839">
      <w:pPr>
        <w:spacing w:before="280" w:after="280"/>
        <w:jc w:val="both"/>
        <w:rPr>
          <w:rFonts w:eastAsia="Calibri"/>
          <w:sz w:val="24"/>
          <w:lang w:eastAsia="ar-SA"/>
        </w:rPr>
      </w:pPr>
      <w:r>
        <w:rPr>
          <w:sz w:val="24"/>
          <w:szCs w:val="24"/>
        </w:rPr>
        <w:t xml:space="preserve">The problem consists in a forced flow coming from the inlet part with a Reynolds number about 500,000. </w:t>
      </w:r>
      <w:r>
        <w:rPr>
          <w:rFonts w:eastAsia="Calibri"/>
          <w:sz w:val="24"/>
          <w:szCs w:val="24"/>
          <w:lang w:eastAsia="ar-SA"/>
        </w:rPr>
        <w:t>As only iso</w:t>
      </w:r>
      <w:r>
        <w:rPr>
          <w:rFonts w:eastAsia="Calibri"/>
          <w:sz w:val="24"/>
          <w:szCs w:val="24"/>
          <w:lang w:eastAsia="ar-SA"/>
        </w:rPr>
        <w:t>thermal flow is treated, buoyancy effects are not taken into account. Turbulence is modelled by unsteady Reynolds averaged Navier-Stokes approach (U-RANS) using a k-ε model to compute the eddy viscosity. Besides, the numerical details are summarized in Tab</w:t>
      </w:r>
      <w:r>
        <w:rPr>
          <w:rFonts w:eastAsia="Calibri"/>
          <w:sz w:val="24"/>
          <w:szCs w:val="24"/>
          <w:lang w:eastAsia="ar-SA"/>
        </w:rPr>
        <w:t>le 1 and been realized on about 17,000 processor cores.</w:t>
      </w:r>
    </w:p>
    <w:p w14:paraId="2B3EE0BE" w14:textId="77777777" w:rsidR="00F60C7F" w:rsidRDefault="00B66839">
      <w:pPr>
        <w:spacing w:before="280" w:after="280"/>
        <w:jc w:val="both"/>
        <w:rPr>
          <w:sz w:val="24"/>
          <w:szCs w:val="24"/>
        </w:rPr>
      </w:pPr>
      <w:r>
        <w:rPr>
          <w:noProof/>
          <w:lang w:val="fr-FR" w:eastAsia="fr-FR"/>
        </w:rPr>
        <mc:AlternateContent>
          <mc:Choice Requires="wpg">
            <w:drawing>
              <wp:inline distT="0" distB="0" distL="0" distR="0">
                <wp:extent cx="4582500" cy="121919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7"/>
                        <a:stretch/>
                      </pic:blipFill>
                      <pic:spPr bwMode="auto">
                        <a:xfrm>
                          <a:off x="0" y="0"/>
                          <a:ext cx="4582499" cy="121919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360.8pt;height:96.0pt;" stroked="false">
                <v:path textboxrect="0,0,0,0"/>
                <v:imagedata r:id="rId18" o:title=""/>
              </v:shape>
            </w:pict>
          </mc:Fallback>
        </mc:AlternateContent>
      </w:r>
    </w:p>
    <w:p w14:paraId="26409D49" w14:textId="77777777" w:rsidR="00F60C7F" w:rsidRDefault="00B66839">
      <w:pPr>
        <w:spacing w:before="280" w:after="280"/>
        <w:jc w:val="both"/>
        <w:rPr>
          <w:rFonts w:eastAsia="Calibri"/>
          <w:lang w:eastAsia="ar-SA"/>
        </w:rPr>
      </w:pPr>
      <w:r>
        <w:rPr>
          <w:i/>
          <w:szCs w:val="24"/>
        </w:rPr>
        <w:t>Table 1 Summary of the numerical scheme [4]</w:t>
      </w:r>
    </w:p>
    <w:p w14:paraId="17DEBF35" w14:textId="77777777" w:rsidR="00F60C7F" w:rsidRDefault="00B66839">
      <w:pPr>
        <w:spacing w:before="280" w:after="280"/>
        <w:jc w:val="both"/>
        <w:rPr>
          <w:rFonts w:eastAsia="Calibri"/>
          <w:sz w:val="24"/>
          <w:szCs w:val="24"/>
          <w:lang w:eastAsia="ar-SA"/>
        </w:rPr>
      </w:pPr>
      <w:r>
        <w:rPr>
          <w:rFonts w:eastAsia="Calibri"/>
          <w:sz w:val="24"/>
          <w:szCs w:val="24"/>
          <w:lang w:eastAsia="ar-SA"/>
        </w:rPr>
        <w:t>From the velocity and pressure fields obtained by the simulation (e.g. Fig.2), we can quantify the forces on the mixing grids and the fuel assemblies. Par</w:t>
      </w:r>
      <w:r>
        <w:rPr>
          <w:rFonts w:eastAsia="Calibri"/>
          <w:sz w:val="24"/>
          <w:szCs w:val="24"/>
          <w:lang w:eastAsia="ar-SA"/>
        </w:rPr>
        <w:t>ticularly, the analysis permitted to conclude that the horizontally acting pressure force (Venturi force) affects the fuel assemblies in the reactor core in a way that the force tries to adjust automatically the width of water gaps to  similar values (self</w:t>
      </w:r>
      <w:r>
        <w:rPr>
          <w:rFonts w:eastAsia="Calibri"/>
          <w:sz w:val="24"/>
          <w:szCs w:val="24"/>
          <w:lang w:eastAsia="ar-SA"/>
        </w:rPr>
        <w:t>-stabilizing effect).</w:t>
      </w:r>
    </w:p>
    <w:p w14:paraId="575A04E2" w14:textId="77777777" w:rsidR="00F60C7F" w:rsidRDefault="00F60C7F">
      <w:pPr>
        <w:spacing w:before="280" w:after="280"/>
        <w:jc w:val="both"/>
        <w:rPr>
          <w:rFonts w:eastAsia="Calibri"/>
          <w:sz w:val="24"/>
          <w:szCs w:val="24"/>
          <w:lang w:eastAsia="ar-SA"/>
        </w:rPr>
      </w:pPr>
    </w:p>
    <w:p w14:paraId="337A2785" w14:textId="77777777" w:rsidR="00F60C7F" w:rsidRDefault="00B66839">
      <w:pPr>
        <w:spacing w:before="280" w:after="280"/>
        <w:jc w:val="center"/>
        <w:rPr>
          <w:rFonts w:eastAsia="Calibri"/>
          <w:sz w:val="24"/>
          <w:szCs w:val="24"/>
          <w:lang w:eastAsia="ar-SA"/>
        </w:rPr>
      </w:pPr>
      <w:r>
        <w:rPr>
          <w:noProof/>
          <w:lang w:val="fr-FR" w:eastAsia="fr-FR"/>
        </w:rPr>
        <w:lastRenderedPageBreak/>
        <mc:AlternateContent>
          <mc:Choice Requires="wpg">
            <w:drawing>
              <wp:inline distT="0" distB="0" distL="0" distR="0">
                <wp:extent cx="5288777" cy="234971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9"/>
                        <a:stretch/>
                      </pic:blipFill>
                      <pic:spPr bwMode="auto">
                        <a:xfrm>
                          <a:off x="0" y="0"/>
                          <a:ext cx="5288776" cy="23497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16.4pt;height:185.0pt;" stroked="false">
                <v:path textboxrect="0,0,0,0"/>
                <v:imagedata r:id="rId20" o:title=""/>
              </v:shape>
            </w:pict>
          </mc:Fallback>
        </mc:AlternateContent>
      </w:r>
    </w:p>
    <w:p w14:paraId="704AF5DA" w14:textId="77777777" w:rsidR="00F60C7F" w:rsidRDefault="00B66839">
      <w:pPr>
        <w:spacing w:before="280" w:after="280"/>
        <w:jc w:val="both"/>
        <w:rPr>
          <w:i/>
        </w:rPr>
      </w:pPr>
      <w:r>
        <w:rPr>
          <w:i/>
        </w:rPr>
        <w:t>Fig 2. Cross flow velocity (a) and pressure (b) in the inclined assembly at z = 0,35 m [4]</w:t>
      </w:r>
    </w:p>
    <w:p w14:paraId="06C6928D" w14:textId="77777777" w:rsidR="00F60C7F" w:rsidRDefault="00F60C7F">
      <w:pPr>
        <w:spacing w:before="280" w:after="280"/>
        <w:jc w:val="both"/>
        <w:rPr>
          <w:rFonts w:eastAsia="Calibri"/>
        </w:rPr>
      </w:pPr>
    </w:p>
    <w:p w14:paraId="0AF0E37F" w14:textId="77777777" w:rsidR="00F60C7F" w:rsidRDefault="00B66839">
      <w:pPr>
        <w:pStyle w:val="Paragraphedeliste"/>
        <w:numPr>
          <w:ilvl w:val="0"/>
          <w:numId w:val="43"/>
        </w:numPr>
        <w:spacing w:before="280" w:after="280"/>
        <w:ind w:left="425" w:hanging="425"/>
        <w:jc w:val="both"/>
        <w:rPr>
          <w:rFonts w:eastAsia="Calibri"/>
          <w:lang w:eastAsia="ar-SA"/>
        </w:rPr>
      </w:pPr>
      <w:r>
        <w:rPr>
          <w:rFonts w:eastAsia="Calibri"/>
          <w:sz w:val="24"/>
          <w:szCs w:val="24"/>
          <w:lang w:eastAsia="ar-SA"/>
        </w:rPr>
        <w:t>Example of a 2 billion-element computation in 2021</w:t>
      </w:r>
    </w:p>
    <w:p w14:paraId="5654426C" w14:textId="77777777" w:rsidR="00F60C7F" w:rsidRDefault="00B66839">
      <w:pPr>
        <w:spacing w:before="280" w:after="280"/>
        <w:jc w:val="both"/>
        <w:rPr>
          <w:rFonts w:eastAsia="Calibri"/>
          <w:sz w:val="24"/>
          <w:szCs w:val="24"/>
          <w:lang w:val="en-US"/>
        </w:rPr>
      </w:pPr>
      <w:r>
        <w:rPr>
          <w:rFonts w:eastAsia="Calibri"/>
          <w:sz w:val="24"/>
          <w:szCs w:val="24"/>
          <w:lang w:eastAsia="ar-SA"/>
        </w:rPr>
        <w:t>In 2021, simulations with TRUST using meshes up to 2 billion cells were realized to investigate a hydrogen leakage in a typical two-vented fuel cell configuration. The latter aims to understand the physical behaviour of the plume in such a configuration an</w:t>
      </w:r>
      <w:r>
        <w:rPr>
          <w:rFonts w:eastAsia="Calibri"/>
          <w:sz w:val="24"/>
          <w:szCs w:val="24"/>
          <w:lang w:eastAsia="ar-SA"/>
        </w:rPr>
        <w:t>d to estimate the non-constant entrainment coefficient which is of key importance</w:t>
      </w:r>
      <w:r>
        <w:rPr>
          <w:color w:val="000000"/>
          <w:sz w:val="24"/>
        </w:rPr>
        <w:t xml:space="preserve"> for industrial models employed</w:t>
      </w:r>
      <w:r>
        <w:rPr>
          <w:rFonts w:eastAsia="Calibri"/>
          <w:sz w:val="24"/>
          <w:szCs w:val="24"/>
          <w:lang w:eastAsia="ar-SA"/>
        </w:rPr>
        <w:t xml:space="preserve"> for the safety of parking garages containing hydrogen cars.</w:t>
      </w:r>
      <w:r>
        <w:rPr>
          <w:rFonts w:eastAsia="Calibri"/>
          <w:sz w:val="24"/>
          <w:szCs w:val="24"/>
          <w:lang w:val="en-US" w:eastAsia="ar-SA"/>
        </w:rPr>
        <w:t xml:space="preserve"> This work realized by Saikali et al. is soon to be published.</w:t>
      </w:r>
    </w:p>
    <w:p w14:paraId="7985076B" w14:textId="77777777" w:rsidR="00F60C7F" w:rsidRDefault="00B66839">
      <w:pPr>
        <w:spacing w:before="280" w:after="280"/>
        <w:jc w:val="both"/>
        <w:rPr>
          <w:rFonts w:eastAsia="Calibri"/>
          <w:sz w:val="24"/>
          <w:szCs w:val="24"/>
          <w:lang w:eastAsia="ar-SA"/>
        </w:rPr>
      </w:pPr>
      <w:r>
        <w:rPr>
          <w:rFonts w:eastAsia="Calibri"/>
          <w:sz w:val="24"/>
          <w:szCs w:val="24"/>
          <w:lang w:eastAsia="ar-SA"/>
        </w:rPr>
        <w:t>The plume resulted fr</w:t>
      </w:r>
      <w:r>
        <w:rPr>
          <w:rFonts w:eastAsia="Calibri"/>
          <w:sz w:val="24"/>
          <w:szCs w:val="24"/>
          <w:lang w:eastAsia="ar-SA"/>
        </w:rPr>
        <w:t>om a hydrogen leakage and its entrainment by ventilation is turbulent. Unfortunately, the comparisons with experiments have shown that this turbulent flow and the maximal concentration cannot be properly caught using RANS or LES (Large Eddy Simulation) sim</w:t>
      </w:r>
      <w:r>
        <w:rPr>
          <w:rFonts w:eastAsia="Calibri"/>
          <w:sz w:val="24"/>
          <w:szCs w:val="24"/>
          <w:lang w:eastAsia="ar-SA"/>
        </w:rPr>
        <w:t>ulations. It was then necessary to simulate this phenomenon using DNS (Direct Numerical Simulation) where the equations governing the flow are directly simulated. However, the latter approach needs a very fine space resolution and consequently, a large qua</w:t>
      </w:r>
      <w:r>
        <w:rPr>
          <w:rFonts w:eastAsia="Calibri"/>
          <w:sz w:val="24"/>
          <w:szCs w:val="24"/>
          <w:lang w:eastAsia="ar-SA"/>
        </w:rPr>
        <w:t>ntity of cells.</w:t>
      </w:r>
    </w:p>
    <w:p w14:paraId="7F7A7A12" w14:textId="77777777" w:rsidR="00F60C7F" w:rsidRDefault="00B66839">
      <w:pPr>
        <w:spacing w:before="280" w:after="280"/>
        <w:jc w:val="both"/>
        <w:rPr>
          <w:rFonts w:eastAsia="Calibri"/>
          <w:sz w:val="24"/>
          <w:szCs w:val="24"/>
          <w:lang w:eastAsia="ar-SA"/>
        </w:rPr>
      </w:pPr>
      <w:r>
        <w:rPr>
          <w:rFonts w:eastAsia="Calibri"/>
          <w:sz w:val="24"/>
          <w:szCs w:val="24"/>
          <w:lang w:eastAsia="ar-SA"/>
        </w:rPr>
        <w:t>This work simulates an experiment in a two-vent cell of one cubic meter presented in [6] and illustrated in Fig.3. At the middle of the bottom square is placed an injector releasing hydrogen with a volumetric flow rate relevant with the app</w:t>
      </w:r>
      <w:r>
        <w:rPr>
          <w:rFonts w:eastAsia="Calibri"/>
          <w:sz w:val="24"/>
          <w:szCs w:val="24"/>
          <w:lang w:eastAsia="ar-SA"/>
        </w:rPr>
        <w:t>lication and corresponding to a typical accidental scenario. Two vents located are considered to enhance the passive ventilation. At the injection, the characteristic non-dimensional quantities are given by a Richardson number of about 10 and a Reynolds nu</w:t>
      </w:r>
      <w:r>
        <w:rPr>
          <w:rFonts w:eastAsia="Calibri"/>
          <w:sz w:val="24"/>
          <w:szCs w:val="24"/>
          <w:lang w:eastAsia="ar-SA"/>
        </w:rPr>
        <w:t>mber of about 160. By the nature of the phenomena involved, various coupled mechanism has to be included in the DNS simulation: forced convection, natural convection and buoyancy which are included in TRUST.</w:t>
      </w:r>
    </w:p>
    <w:p w14:paraId="18A9FB74" w14:textId="77777777" w:rsidR="00F60C7F" w:rsidRDefault="00B66839">
      <w:pPr>
        <w:spacing w:before="280" w:after="280"/>
        <w:jc w:val="both"/>
        <w:rPr>
          <w:rFonts w:eastAsia="Calibri"/>
          <w:sz w:val="24"/>
          <w:szCs w:val="24"/>
          <w:lang w:eastAsia="ar-SA"/>
        </w:rPr>
      </w:pPr>
      <w:r>
        <w:rPr>
          <w:noProof/>
          <w:lang w:val="fr-FR" w:eastAsia="fr-FR"/>
        </w:rPr>
        <w:lastRenderedPageBreak/>
        <mc:AlternateContent>
          <mc:Choice Requires="wpg">
            <w:drawing>
              <wp:inline distT="0" distB="0" distL="0" distR="0">
                <wp:extent cx="5252175" cy="26205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21"/>
                        <a:stretch/>
                      </pic:blipFill>
                      <pic:spPr bwMode="auto">
                        <a:xfrm>
                          <a:off x="0" y="0"/>
                          <a:ext cx="5252173" cy="262059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13.6pt;height:206.3pt;" stroked="false">
                <v:path textboxrect="0,0,0,0"/>
                <v:imagedata r:id="rId22" o:title=""/>
              </v:shape>
            </w:pict>
          </mc:Fallback>
        </mc:AlternateContent>
      </w:r>
    </w:p>
    <w:p w14:paraId="4C204ECE" w14:textId="77777777" w:rsidR="00F60C7F" w:rsidRDefault="00B66839">
      <w:pPr>
        <w:spacing w:before="280" w:after="280"/>
        <w:jc w:val="both"/>
        <w:rPr>
          <w:rFonts w:eastAsia="Calibri"/>
          <w:i/>
          <w:szCs w:val="24"/>
        </w:rPr>
      </w:pPr>
      <w:r>
        <w:rPr>
          <w:rFonts w:eastAsia="Calibri"/>
          <w:i/>
          <w:szCs w:val="24"/>
          <w:lang w:eastAsia="ar-SA"/>
        </w:rPr>
        <w:t>Fig.3 Schematics (left) and photography (right) of the two-vent cell experimental facility</w:t>
      </w:r>
    </w:p>
    <w:p w14:paraId="0E7C217C" w14:textId="77777777" w:rsidR="00F60C7F" w:rsidRDefault="00B66839">
      <w:pPr>
        <w:spacing w:before="280" w:after="280"/>
        <w:jc w:val="both"/>
        <w:rPr>
          <w:rFonts w:eastAsia="Calibri"/>
          <w:sz w:val="24"/>
          <w:szCs w:val="24"/>
          <w:lang w:eastAsia="ar-SA"/>
        </w:rPr>
      </w:pPr>
      <w:r>
        <w:rPr>
          <w:rFonts w:eastAsia="Calibri"/>
          <w:sz w:val="24"/>
          <w:szCs w:val="24"/>
          <w:lang w:eastAsia="ar-SA"/>
        </w:rPr>
        <w:t>In order to optimize the computational cost, two meshes are used. The computational domain (Fig.4 left) is first discretized as Mesh 1 gathers 250 million cubes (Fig</w:t>
      </w:r>
      <w:r>
        <w:rPr>
          <w:rFonts w:eastAsia="Calibri"/>
          <w:sz w:val="24"/>
          <w:szCs w:val="24"/>
          <w:lang w:eastAsia="ar-SA"/>
        </w:rPr>
        <w:t>.4 right) distributed over about 5,400 processors for the calculation. It is used to compute the transient from an initial state where the cavity is filled with pure air at rest to reach a quasi steady-state for the velocity field and the hydrogen volume f</w:t>
      </w:r>
      <w:r>
        <w:rPr>
          <w:rFonts w:eastAsia="Calibri"/>
          <w:sz w:val="24"/>
          <w:szCs w:val="24"/>
          <w:lang w:eastAsia="ar-SA"/>
        </w:rPr>
        <w:t>raction. The problem is computed during a physical time of 175 seconds to ensure to reach the quasi steady-state regime. The results of this computation are then used as the initial condition of the second computation. Mesh 2 gathers 2 billion cubes distri</w:t>
      </w:r>
      <w:r>
        <w:rPr>
          <w:rFonts w:eastAsia="Calibri"/>
          <w:sz w:val="24"/>
          <w:szCs w:val="24"/>
          <w:lang w:eastAsia="ar-SA"/>
        </w:rPr>
        <w:t>buted over more that 50,000 processors. Mesh 2 is generated based on Mesh 1 by dividing each cube into 8 sub-cubes. The given cubes being under the predicted Kolmogorov and Batchlor length scales, the computation using Mesh 2 is then the reference DNS solu</w:t>
      </w:r>
      <w:r>
        <w:rPr>
          <w:rFonts w:eastAsia="Calibri"/>
          <w:sz w:val="24"/>
          <w:szCs w:val="24"/>
          <w:lang w:eastAsia="ar-SA"/>
        </w:rPr>
        <w:t>tion.</w:t>
      </w:r>
    </w:p>
    <w:p w14:paraId="4B1D540F" w14:textId="77777777" w:rsidR="00F60C7F" w:rsidRDefault="00F60C7F">
      <w:pPr>
        <w:spacing w:before="280" w:after="280"/>
        <w:jc w:val="both"/>
        <w:rPr>
          <w:rFonts w:eastAsia="Calibri"/>
          <w:sz w:val="24"/>
          <w:szCs w:val="24"/>
          <w:lang w:eastAsia="ar-SA"/>
        </w:rPr>
      </w:pPr>
    </w:p>
    <w:p w14:paraId="3F2E9E43" w14:textId="77777777" w:rsidR="00F60C7F" w:rsidRDefault="00B66839">
      <w:pPr>
        <w:spacing w:before="280" w:after="280"/>
        <w:jc w:val="both"/>
        <w:rPr>
          <w:rFonts w:eastAsia="Calibri"/>
          <w:sz w:val="24"/>
          <w:szCs w:val="24"/>
          <w:lang w:eastAsia="ar-SA"/>
        </w:rPr>
      </w:pPr>
      <w:r>
        <w:rPr>
          <w:noProof/>
          <w:lang w:val="fr-FR" w:eastAsia="fr-FR"/>
        </w:rPr>
        <mc:AlternateContent>
          <mc:Choice Requires="wpg">
            <w:drawing>
              <wp:inline distT="0" distB="0" distL="0" distR="0">
                <wp:extent cx="2807692" cy="151145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23"/>
                        <a:stretch/>
                      </pic:blipFill>
                      <pic:spPr bwMode="auto">
                        <a:xfrm>
                          <a:off x="0" y="0"/>
                          <a:ext cx="2807691" cy="151145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21.1pt;height:119.0pt;" stroked="false">
                <v:path textboxrect="0,0,0,0"/>
                <v:imagedata r:id="rId24" o:title=""/>
              </v:shape>
            </w:pict>
          </mc:Fallback>
        </mc:AlternateContent>
      </w:r>
      <w:r>
        <w:rPr>
          <w:noProof/>
          <w:lang w:val="fr-FR" w:eastAsia="fr-FR"/>
        </w:rPr>
        <mc:AlternateContent>
          <mc:Choice Requires="wpg">
            <w:drawing>
              <wp:inline distT="0" distB="0" distL="0" distR="0">
                <wp:extent cx="2868000" cy="14631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5"/>
                        <a:stretch/>
                      </pic:blipFill>
                      <pic:spPr bwMode="auto">
                        <a:xfrm>
                          <a:off x="0" y="0"/>
                          <a:ext cx="2867999" cy="14631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25.8pt;height:115.2pt;" stroked="false">
                <v:path textboxrect="0,0,0,0"/>
                <v:imagedata r:id="rId26" o:title=""/>
              </v:shape>
            </w:pict>
          </mc:Fallback>
        </mc:AlternateContent>
      </w:r>
    </w:p>
    <w:p w14:paraId="7A7A4FDF" w14:textId="77777777" w:rsidR="00F60C7F" w:rsidRDefault="00B66839">
      <w:pPr>
        <w:spacing w:before="280" w:after="280"/>
        <w:jc w:val="both"/>
        <w:rPr>
          <w:rFonts w:eastAsia="Calibri"/>
          <w:sz w:val="24"/>
          <w:szCs w:val="24"/>
          <w:lang w:eastAsia="ar-SA"/>
        </w:rPr>
      </w:pPr>
      <w:r>
        <w:rPr>
          <w:rFonts w:eastAsia="Calibri"/>
          <w:i/>
          <w:szCs w:val="24"/>
          <w:lang w:eastAsia="ar-SA"/>
        </w:rPr>
        <w:t>Fig. 4 Schematics of the DNS computational domain with the exterior region in red and the injection pipe in green (left). 2D visualization of Mesh 1 cross-section (right)</w:t>
      </w:r>
    </w:p>
    <w:p w14:paraId="41570E8E" w14:textId="77777777" w:rsidR="00F60C7F" w:rsidRDefault="00B66839">
      <w:pPr>
        <w:spacing w:before="280" w:after="280"/>
        <w:jc w:val="both"/>
        <w:rPr>
          <w:rFonts w:eastAsia="Calibri"/>
          <w:sz w:val="24"/>
          <w:szCs w:val="24"/>
          <w:lang w:eastAsia="ar-SA"/>
        </w:rPr>
      </w:pPr>
      <w:r>
        <w:rPr>
          <w:rFonts w:eastAsia="Calibri"/>
          <w:sz w:val="24"/>
          <w:szCs w:val="24"/>
          <w:lang w:eastAsia="ar-SA"/>
        </w:rPr>
        <w:t xml:space="preserve">The DNS computation enables then to extract various quantities relevant to </w:t>
      </w:r>
      <w:r>
        <w:rPr>
          <w:rFonts w:eastAsia="Calibri"/>
          <w:sz w:val="24"/>
          <w:szCs w:val="24"/>
          <w:lang w:eastAsia="ar-SA"/>
        </w:rPr>
        <w:t xml:space="preserve">have a better understanding of the phenomena (turbulent statistics,...) which are not caught by lower resolution simulations such as by using RANS or LES approaches. We can for example observe in Fig.5 that some turbulent structures are only caught by the </w:t>
      </w:r>
      <w:r>
        <w:rPr>
          <w:rFonts w:eastAsia="Calibri"/>
          <w:sz w:val="24"/>
          <w:szCs w:val="24"/>
          <w:lang w:eastAsia="ar-SA"/>
        </w:rPr>
        <w:t>fine mesh allowed by the parallel computation offered by TRUST. As these results are in really good agreement with the experimental data, they may thus be used as reference data for future work in the community. Moreover, they also permits to compute quant</w:t>
      </w:r>
      <w:r>
        <w:rPr>
          <w:rFonts w:eastAsia="Calibri"/>
          <w:sz w:val="24"/>
          <w:szCs w:val="24"/>
          <w:lang w:eastAsia="ar-SA"/>
        </w:rPr>
        <w:t xml:space="preserve">ities of interest for industrial applications such </w:t>
      </w:r>
      <w:r>
        <w:rPr>
          <w:rFonts w:eastAsia="Calibri"/>
          <w:sz w:val="24"/>
          <w:szCs w:val="24"/>
          <w:lang w:eastAsia="ar-SA"/>
        </w:rPr>
        <w:lastRenderedPageBreak/>
        <w:t>as the non-constant entrainment coefficient, which would increase the safety of such facilities and open the door to new analytic approach.</w:t>
      </w:r>
    </w:p>
    <w:p w14:paraId="43D630D5" w14:textId="77777777" w:rsidR="00F60C7F" w:rsidRDefault="00B66839">
      <w:pPr>
        <w:spacing w:before="280" w:after="280"/>
        <w:jc w:val="both"/>
        <w:rPr>
          <w:rFonts w:eastAsia="Calibri"/>
          <w:sz w:val="24"/>
          <w:lang w:eastAsia="ar-SA"/>
        </w:rPr>
      </w:pPr>
      <w:r>
        <w:rPr>
          <w:noProof/>
          <w:lang w:val="fr-FR" w:eastAsia="fr-FR"/>
        </w:rPr>
        <mc:AlternateContent>
          <mc:Choice Requires="wpg">
            <w:drawing>
              <wp:inline distT="0" distB="0" distL="0" distR="0">
                <wp:extent cx="5135073" cy="33579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27"/>
                        <a:stretch/>
                      </pic:blipFill>
                      <pic:spPr bwMode="auto">
                        <a:xfrm>
                          <a:off x="0" y="0"/>
                          <a:ext cx="5135073" cy="335797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04.3pt;height:264.4pt;" stroked="false">
                <v:path textboxrect="0,0,0,0"/>
                <v:imagedata r:id="rId28" o:title=""/>
              </v:shape>
            </w:pict>
          </mc:Fallback>
        </mc:AlternateContent>
      </w:r>
    </w:p>
    <w:p w14:paraId="0B1C2DA7" w14:textId="77777777" w:rsidR="00F60C7F" w:rsidRDefault="00B66839">
      <w:pPr>
        <w:spacing w:before="280" w:after="280"/>
        <w:jc w:val="both"/>
        <w:rPr>
          <w:rFonts w:eastAsia="Calibri"/>
          <w:sz w:val="24"/>
          <w:szCs w:val="24"/>
          <w:lang w:eastAsia="ar-SA"/>
        </w:rPr>
      </w:pPr>
      <w:r>
        <w:rPr>
          <w:rFonts w:eastAsia="Calibri"/>
          <w:i/>
          <w:szCs w:val="24"/>
          <w:lang w:eastAsia="ar-SA"/>
        </w:rPr>
        <w:t>Fig.5 Iso-contour of the norm of the velocity at the vicinity o</w:t>
      </w:r>
      <w:r>
        <w:rPr>
          <w:rFonts w:eastAsia="Calibri"/>
          <w:i/>
          <w:szCs w:val="24"/>
          <w:lang w:eastAsia="ar-SA"/>
        </w:rPr>
        <w:t xml:space="preserve">f the release position illustrating the small turbulent scales observed with the mesh 2 (right) but not the mesh 1 (left) </w:t>
      </w:r>
    </w:p>
    <w:p w14:paraId="53102414" w14:textId="77777777" w:rsidR="00F60C7F" w:rsidRDefault="00F60C7F">
      <w:pPr>
        <w:spacing w:before="280" w:after="280"/>
        <w:jc w:val="both"/>
        <w:rPr>
          <w:rFonts w:eastAsia="Calibri"/>
          <w:sz w:val="24"/>
          <w:szCs w:val="24"/>
          <w:lang w:eastAsia="ar-SA"/>
        </w:rPr>
      </w:pPr>
    </w:p>
    <w:p w14:paraId="2D44E6E3" w14:textId="77777777" w:rsidR="00F60C7F" w:rsidRDefault="00B66839">
      <w:pPr>
        <w:spacing w:before="280" w:after="280"/>
        <w:jc w:val="both"/>
        <w:rPr>
          <w:rFonts w:eastAsia="Calibri"/>
          <w:sz w:val="24"/>
          <w:szCs w:val="24"/>
          <w:lang w:eastAsia="ar-SA"/>
        </w:rPr>
      </w:pPr>
      <w:r>
        <w:rPr>
          <w:rFonts w:eastAsia="Calibri"/>
          <w:sz w:val="24"/>
          <w:szCs w:val="24"/>
          <w:lang w:eastAsia="ar-SA"/>
        </w:rPr>
        <w:t>Thanks to the various improvements conducted in the recent years on the architecture of the code and its optimization, the TRUST/Tri</w:t>
      </w:r>
      <w:r>
        <w:rPr>
          <w:rFonts w:eastAsia="Calibri"/>
          <w:sz w:val="24"/>
          <w:szCs w:val="24"/>
          <w:lang w:eastAsia="ar-SA"/>
        </w:rPr>
        <w:t>oCFD platform is now able to perform simulations of more than 2 billion cells on clusters of up to 50,000 processors. This work also proved beneficial to smaller calculations, as the platform also gained in performance for more “common” size simulations on</w:t>
      </w:r>
      <w:r>
        <w:rPr>
          <w:rFonts w:eastAsia="Calibri"/>
          <w:sz w:val="24"/>
          <w:szCs w:val="24"/>
          <w:lang w:eastAsia="ar-SA"/>
        </w:rPr>
        <w:t xml:space="preserve"> 10, 100, or 1000 processors.</w:t>
      </w:r>
    </w:p>
    <w:p w14:paraId="475A6137" w14:textId="77777777" w:rsidR="00F60C7F" w:rsidRDefault="00F60C7F">
      <w:pPr>
        <w:spacing w:before="280" w:after="280"/>
        <w:jc w:val="both"/>
        <w:rPr>
          <w:rFonts w:eastAsia="Calibri"/>
          <w:sz w:val="24"/>
          <w:szCs w:val="24"/>
          <w:lang w:eastAsia="ar-SA"/>
        </w:rPr>
      </w:pPr>
    </w:p>
    <w:p w14:paraId="71505125" w14:textId="77777777" w:rsidR="00F60C7F" w:rsidRDefault="00B66839">
      <w:pPr>
        <w:pStyle w:val="Otherunnumberedheadings"/>
        <w:spacing w:before="280" w:beforeAutospacing="0" w:after="280" w:afterAutospacing="0"/>
        <w:rPr>
          <w:rFonts w:ascii="Times New Roman" w:hAnsi="Times New Roman"/>
          <w:sz w:val="24"/>
          <w:szCs w:val="24"/>
        </w:rPr>
      </w:pPr>
      <w:r>
        <w:rPr>
          <w:rFonts w:ascii="Times New Roman" w:hAnsi="Times New Roman"/>
          <w:sz w:val="24"/>
          <w:szCs w:val="24"/>
        </w:rPr>
        <w:t>References</w:t>
      </w:r>
    </w:p>
    <w:p w14:paraId="3145F44D" w14:textId="77777777" w:rsidR="00F60C7F" w:rsidRDefault="00B66839">
      <w:pPr>
        <w:pStyle w:val="Referencelist"/>
        <w:ind w:left="360"/>
        <w:rPr>
          <w:sz w:val="22"/>
          <w:szCs w:val="22"/>
        </w:rPr>
      </w:pPr>
      <w:r>
        <w:rPr>
          <w:sz w:val="22"/>
          <w:szCs w:val="22"/>
        </w:rPr>
        <w:t>ANGELI P.-E., BIEDER U., FAUCHET G., “Overview of the TrioCFD code: Main features, V&amp;V procedures and typical applications to engineering”, NURETH-16, Chicago, IL, August 30-September 4, 2015</w:t>
      </w:r>
    </w:p>
    <w:p w14:paraId="63B9EB30" w14:textId="77777777" w:rsidR="00F60C7F" w:rsidRDefault="00B66839">
      <w:pPr>
        <w:pStyle w:val="Referencelist"/>
        <w:ind w:left="360"/>
        <w:rPr>
          <w:sz w:val="22"/>
          <w:szCs w:val="22"/>
        </w:rPr>
      </w:pPr>
      <w:r>
        <w:rPr>
          <w:sz w:val="22"/>
          <w:szCs w:val="24"/>
        </w:rPr>
        <w:t>BRUNETON A., DARONA J.</w:t>
      </w:r>
      <w:r>
        <w:rPr>
          <w:sz w:val="22"/>
          <w:szCs w:val="24"/>
        </w:rPr>
        <w:t>, NOP R., P. LEDAC P., SAIKALI E., KHIZAR A., BIEDER U., DORVILLE N., ADAM</w:t>
      </w:r>
      <w:r>
        <w:rPr>
          <w:sz w:val="22"/>
          <w:szCs w:val="22"/>
        </w:rPr>
        <w:t xml:space="preserve"> E., “Verification &amp; Validation process in the open-source TRUST/TrioCFD platform, Technical Meeting on the Development and Application of Open-Source Modelling and Simulation Tools </w:t>
      </w:r>
      <w:r>
        <w:rPr>
          <w:sz w:val="22"/>
          <w:szCs w:val="22"/>
        </w:rPr>
        <w:t>for Nuclear Reactors, Vienna, AUSTRIA, October 27-29, 2021</w:t>
      </w:r>
    </w:p>
    <w:p w14:paraId="6E8079A2" w14:textId="77777777" w:rsidR="00F60C7F" w:rsidRDefault="00B66839">
      <w:pPr>
        <w:pStyle w:val="Referencelist"/>
        <w:ind w:left="360"/>
      </w:pPr>
      <w:r>
        <w:rPr>
          <w:sz w:val="22"/>
          <w:szCs w:val="22"/>
        </w:rPr>
        <w:t>BIEDER U., FAUCHET G., C. CALVIN C., “High performance Large Eddy Simulation of turbulent flows around PWR mixing grids”, Proceedings of 16th IEEE International Conference on High Performance Compu</w:t>
      </w:r>
      <w:r>
        <w:rPr>
          <w:sz w:val="22"/>
          <w:szCs w:val="22"/>
        </w:rPr>
        <w:t>ting and Communications (HPCC 2014) - First International Workshop on HPC-CFD in Energy/Transport Domains, Paris, FRANCE, August, 2014.</w:t>
      </w:r>
    </w:p>
    <w:p w14:paraId="51C73CF4" w14:textId="77777777" w:rsidR="00F60C7F" w:rsidRDefault="00B66839">
      <w:pPr>
        <w:pStyle w:val="Referencelist"/>
        <w:ind w:left="360"/>
        <w:rPr>
          <w:sz w:val="22"/>
        </w:rPr>
      </w:pPr>
      <w:r>
        <w:rPr>
          <w:rFonts w:eastAsia="Calibri"/>
          <w:sz w:val="22"/>
          <w:szCs w:val="20"/>
          <w:lang w:eastAsia="ar-SA"/>
        </w:rPr>
        <w:lastRenderedPageBreak/>
        <w:t>BIEDER U., GENRAULT C., LEDAC P., Hydraulic forces acting on full cross section fuel assemblies with 17×17 fuel rods, Pr</w:t>
      </w:r>
      <w:r>
        <w:rPr>
          <w:rFonts w:eastAsia="Calibri"/>
          <w:sz w:val="22"/>
          <w:szCs w:val="20"/>
          <w:lang w:eastAsia="ar-SA"/>
        </w:rPr>
        <w:t>ogress in Nuclear Energy, Volume 130, 2020.</w:t>
      </w:r>
    </w:p>
    <w:p w14:paraId="637A3547" w14:textId="77777777" w:rsidR="00F60C7F" w:rsidRDefault="00B66839">
      <w:pPr>
        <w:pStyle w:val="Referencelist"/>
        <w:ind w:left="360"/>
      </w:pPr>
      <w:r>
        <w:rPr>
          <w:rFonts w:eastAsia="Calibri"/>
          <w:sz w:val="22"/>
          <w:szCs w:val="20"/>
          <w:lang w:eastAsia="ar-SA"/>
        </w:rPr>
        <w:t>BERNARD-MICHEL G., HOUSSIN-AGBOMSON D., Comparison of helium and hydrogen releases in 1 m3 and 2 m3 two vents enclosures: Concentration measurements at different flow rates and for two diameters of injection nozz</w:t>
      </w:r>
      <w:r>
        <w:rPr>
          <w:rFonts w:eastAsia="Calibri"/>
          <w:sz w:val="22"/>
          <w:szCs w:val="20"/>
          <w:lang w:eastAsia="ar-SA"/>
        </w:rPr>
        <w:t>le, International Journal of Hydrogen Energy 42, 7542 (2017), ISSN 0360-3199.</w:t>
      </w:r>
    </w:p>
    <w:p w14:paraId="625AE06C" w14:textId="77777777" w:rsidR="00F60C7F" w:rsidRDefault="00B66839">
      <w:pPr>
        <w:pStyle w:val="Referencelist"/>
        <w:ind w:left="360"/>
      </w:pPr>
      <w:r>
        <w:rPr>
          <w:rFonts w:eastAsia="Calibri"/>
          <w:sz w:val="22"/>
          <w:szCs w:val="20"/>
          <w:lang w:eastAsia="ar-SA"/>
        </w:rPr>
        <w:t>HDF5 file format - https://www.hdfgroup.org</w:t>
      </w:r>
    </w:p>
    <w:p w14:paraId="53608432" w14:textId="77777777" w:rsidR="00F60C7F" w:rsidRDefault="00B66839">
      <w:pPr>
        <w:pStyle w:val="Referencelist"/>
        <w:ind w:left="360"/>
      </w:pPr>
      <w:r>
        <w:rPr>
          <w:rFonts w:eastAsia="Calibri"/>
          <w:sz w:val="22"/>
          <w:szCs w:val="20"/>
          <w:lang w:eastAsia="ar-SA"/>
        </w:rPr>
        <w:t>PETSc numerical library - https://www.mcs.anl.gov/petsc</w:t>
      </w:r>
    </w:p>
    <w:sectPr w:rsidR="00F60C7F">
      <w:footerReference w:type="even" r:id="rId29"/>
      <w:footerReference w:type="default" r:id="rId30"/>
      <w:headerReference w:type="first" r:id="rId31"/>
      <w:footerReference w:type="first" r:id="rId32"/>
      <w:type w:val="oddPage"/>
      <w:pgSz w:w="11907" w:h="16840"/>
      <w:pgMar w:top="1440" w:right="1440" w:bottom="1440" w:left="1440" w:header="539" w:footer="964" w:gutter="0"/>
      <w:pgNumType w:start="1"/>
      <w:cols w:space="720"/>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aksmy Nop" w:date="2021-06-04T19:12:10Z" w:initials="RN">
    <w:p w14:paraId="00000001" w14:textId="00000001">
      <w:pPr>
        <w:spacing w:line="240" w:after="0" w:lineRule="auto" w:before="0"/>
        <w:ind w:firstLine="0" w:left="0" w:right="0"/>
        <w:jc w:val="left"/>
      </w:pPr>
      <w:r>
        <w:rPr>
          <w:rFonts w:eastAsia="Arial" w:ascii="Arial" w:hAnsi="Arial" w:cs="Arial"/>
          <w:sz w:val="22"/>
        </w:rPr>
        <w:t xml:space="preserve">mettre un truc genre, but is relevent to deal other of industrial applications as well as academic studies</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60424E6" w16cex:dateUtc="1970-01-01T00:00:00Z"/>
  <w16cex:commentExtensible w16cex:durableId="2AEC728A" w16cex:dateUtc="1970-01-01T00:00:00Z"/>
  <w16cex:commentExtensible w16cex:durableId="102C074D" w16cex:dateUtc="1970-01-01T00:00: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A4AB5DB" w16cex:dateUtc="1970-01-01T00:00:00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560424E6"/>
  <w16cid:commentId w16cid:paraId="00000002" w16cid:durableId="2AEC728A"/>
  <w16cid:commentId w16cid:paraId="00000003" w16cid:durableId="102C074D"/>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6A4AB5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858C7" w14:textId="77777777" w:rsidR="00F60C7F" w:rsidRDefault="00B66839">
      <w:r>
        <w:separator/>
      </w:r>
    </w:p>
  </w:endnote>
  <w:endnote w:type="continuationSeparator" w:id="0">
    <w:p w14:paraId="04828D95" w14:textId="77777777" w:rsidR="00F60C7F" w:rsidRDefault="00B6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7678" w14:textId="77777777" w:rsidR="00F60C7F" w:rsidRDefault="00B66839">
    <w:pPr>
      <w:pStyle w:val="zyxClassification1"/>
    </w:pPr>
    <w:r>
      <w:fldChar w:fldCharType="begin"/>
    </w:r>
    <w:r>
      <w:instrText xml:space="preserve"> DOCPROPERTY "IaeaClassification"  \* MERGEFORMAT </w:instrText>
    </w:r>
    <w:r>
      <w:fldChar w:fldCharType="end"/>
    </w:r>
  </w:p>
  <w:p w14:paraId="0A66B037" w14:textId="77777777" w:rsidR="00F60C7F" w:rsidRDefault="00B6683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C6C93" w14:textId="77777777" w:rsidR="00F60C7F" w:rsidRDefault="00B66839">
    <w:pPr>
      <w:pStyle w:val="zyxClassification1"/>
    </w:pPr>
    <w:r>
      <w:fldChar w:fldCharType="begin"/>
    </w:r>
    <w:r>
      <w:instrText xml:space="preserve"> DOCPROPERTY "IaeaClassification"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W w:w="10314" w:type="dxa"/>
      <w:tblLook w:val="0000" w:firstRow="0" w:lastRow="0" w:firstColumn="0" w:lastColumn="0" w:noHBand="0" w:noVBand="0"/>
    </w:tblPr>
    <w:tblGrid>
      <w:gridCol w:w="4644"/>
      <w:gridCol w:w="5670"/>
    </w:tblGrid>
    <w:tr w:rsidR="00F60C7F" w14:paraId="21D37772" w14:textId="77777777">
      <w:trPr>
        <w:cantSplit/>
      </w:trPr>
      <w:tc>
        <w:tcPr>
          <w:tcW w:w="4644" w:type="dxa"/>
        </w:tcPr>
        <w:p w14:paraId="57ED98BA" w14:textId="77777777" w:rsidR="00F60C7F" w:rsidRDefault="00B66839">
          <w:pPr>
            <w:pStyle w:val="zyxDistribution"/>
            <w:framePr w:wrap="auto" w:vAnchor="margin" w:hAnchor="text" w:xAlign="left" w:yAlign="inline"/>
          </w:pPr>
          <w:r>
            <w:fldChar w:fldCharType="begin"/>
          </w:r>
          <w:r>
            <w:instrText xml:space="preserve"> DOCPROPERTY "IaeaDistribution"  \* MERGEFORMAT </w:instrText>
          </w:r>
          <w:r>
            <w:fldChar w:fldCharType="end"/>
          </w:r>
        </w:p>
        <w:p w14:paraId="5108FC0C" w14:textId="77777777" w:rsidR="00F60C7F" w:rsidRDefault="00B66839">
          <w:pPr>
            <w:pStyle w:val="zyxSensitivity"/>
            <w:framePr w:wrap="auto" w:vAnchor="margin" w:hAnchor="text" w:xAlign="left" w:yAlign="inline"/>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60BA4873" w14:textId="77777777" w:rsidR="00F60C7F" w:rsidRDefault="00B66839">
          <w:pPr>
            <w:pStyle w:val="zyxConfidBlack"/>
            <w:framePr w:wrap="auto" w:vAnchor="margin" w:hAnchor="text" w:xAlign="left" w:yAlign="inline"/>
          </w:pPr>
          <w:r>
            <w:fldChar w:fldCharType="begin"/>
          </w:r>
          <w:r>
            <w:instrText xml:space="preserve"> DOCPROPERTY "IaeaClassification"  \* MERGEFORMAT </w:instrText>
          </w:r>
          <w:r>
            <w:fldChar w:fldCharType="end"/>
          </w:r>
          <w:bookmarkEnd w:id="5"/>
        </w:p>
        <w:p w14:paraId="657A59CA" w14:textId="77777777" w:rsidR="00F60C7F" w:rsidRDefault="00B6683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w:instrText>
          </w:r>
          <w:r>
            <w:rPr>
              <w:rFonts w:ascii="Arial" w:hAnsi="Arial"/>
              <w:b/>
            </w:rPr>
            <w:instrText>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89A1AD1" w14:textId="77777777" w:rsidR="00F60C7F" w:rsidRDefault="00B66839">
    <w:r>
      <w:rPr>
        <w:sz w:val="16"/>
      </w:rPr>
      <w:fldChar w:fldCharType="begin"/>
    </w:r>
    <w:r>
      <w:rPr>
        <w:sz w:val="16"/>
      </w:rPr>
      <w:instrText xml:space="preserve"> FILENAME \* MERGEFORMAT </w:instrText>
    </w:r>
    <w:r>
      <w:rPr>
        <w:sz w:val="16"/>
      </w:rPr>
      <w:fldChar w:fldCharType="separate"/>
    </w:r>
    <w:r>
      <w:rPr>
        <w:sz w:val="16"/>
      </w:rPr>
      <w:t>Example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3ABED" w14:textId="77777777" w:rsidR="00F60C7F" w:rsidRDefault="00B66839">
      <w:r>
        <w:t>___________________________________________________________________________</w:t>
      </w:r>
    </w:p>
  </w:footnote>
  <w:footnote w:type="continuationSeparator" w:id="0">
    <w:p w14:paraId="36E7816F" w14:textId="77777777" w:rsidR="00F60C7F" w:rsidRDefault="00B66839">
      <w:r>
        <w:t>___________________________________________________________________________</w:t>
      </w:r>
    </w:p>
  </w:footnote>
  <w:footnote w:type="continuationNotice" w:id="1">
    <w:p w14:paraId="4200F874" w14:textId="77777777" w:rsidR="00F60C7F" w:rsidRDefault="00F60C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W w:w="10319" w:type="dxa"/>
      <w:tblLayout w:type="fixed"/>
      <w:tblLook w:val="0000" w:firstRow="0" w:lastRow="0" w:firstColumn="0" w:lastColumn="0" w:noHBand="0" w:noVBand="0"/>
    </w:tblPr>
    <w:tblGrid>
      <w:gridCol w:w="979"/>
      <w:gridCol w:w="3638"/>
      <w:gridCol w:w="5702"/>
    </w:tblGrid>
    <w:tr w:rsidR="00F60C7F" w14:paraId="793EBA6F" w14:textId="77777777">
      <w:trPr>
        <w:cantSplit/>
        <w:trHeight w:val="716"/>
      </w:trPr>
      <w:tc>
        <w:tcPr>
          <w:tcW w:w="979" w:type="dxa"/>
          <w:vMerge w:val="restart"/>
        </w:tcPr>
        <w:p w14:paraId="118CF170" w14:textId="77777777" w:rsidR="00F60C7F" w:rsidRDefault="00F60C7F">
          <w:pPr>
            <w:spacing w:before="180"/>
            <w:ind w:left="17"/>
          </w:pPr>
        </w:p>
      </w:tc>
      <w:tc>
        <w:tcPr>
          <w:tcW w:w="3638" w:type="dxa"/>
          <w:vAlign w:val="bottom"/>
        </w:tcPr>
        <w:p w14:paraId="67171B38" w14:textId="77777777" w:rsidR="00F60C7F" w:rsidRDefault="00F60C7F">
          <w:pPr>
            <w:spacing w:after="20"/>
          </w:pPr>
        </w:p>
      </w:tc>
      <w:bookmarkStart w:id="4" w:name="DOC_bkmClassification1"/>
      <w:tc>
        <w:tcPr>
          <w:tcW w:w="5702" w:type="dxa"/>
          <w:vMerge w:val="restart"/>
          <w:tcMar>
            <w:right w:w="193" w:type="dxa"/>
          </w:tcMar>
        </w:tcPr>
        <w:p w14:paraId="7C7C22C2" w14:textId="77777777" w:rsidR="00F60C7F" w:rsidRDefault="00B66839">
          <w:pPr>
            <w:pStyle w:val="zyxConfidBlack"/>
            <w:framePr w:wrap="auto" w:vAnchor="margin" w:hAnchor="text" w:xAlign="left" w:yAlign="inline"/>
          </w:pPr>
          <w:r>
            <w:fldChar w:fldCharType="begin"/>
          </w:r>
          <w:r>
            <w:instrText xml:space="preserve"> DOCPROPERTY "IaeaClassification"  \* MERGEFORMAT </w:instrText>
          </w:r>
          <w:r>
            <w:fldChar w:fldCharType="end"/>
          </w:r>
          <w:bookmarkEnd w:id="4"/>
        </w:p>
        <w:p w14:paraId="414E7080" w14:textId="77777777" w:rsidR="00F60C7F" w:rsidRDefault="00B66839">
          <w:pPr>
            <w:pStyle w:val="zyxConfid2Red"/>
          </w:pPr>
          <w:r>
            <w:fldChar w:fldCharType="begin"/>
          </w:r>
          <w:r>
            <w:instrText>DOCPROPERTY "IaeaClassification2"  \* MERGEFORMAT</w:instrText>
          </w:r>
          <w:r>
            <w:fldChar w:fldCharType="end"/>
          </w:r>
        </w:p>
      </w:tc>
    </w:tr>
    <w:tr w:rsidR="00F60C7F" w14:paraId="4D3B10B5" w14:textId="77777777">
      <w:trPr>
        <w:cantSplit/>
        <w:trHeight w:val="167"/>
      </w:trPr>
      <w:tc>
        <w:tcPr>
          <w:tcW w:w="979" w:type="dxa"/>
          <w:vMerge/>
        </w:tcPr>
        <w:p w14:paraId="76832FA7" w14:textId="77777777" w:rsidR="00F60C7F" w:rsidRDefault="00F60C7F">
          <w:pPr>
            <w:spacing w:before="57"/>
          </w:pPr>
        </w:p>
      </w:tc>
      <w:tc>
        <w:tcPr>
          <w:tcW w:w="3638" w:type="dxa"/>
          <w:vAlign w:val="bottom"/>
        </w:tcPr>
        <w:p w14:paraId="21C81946" w14:textId="77777777" w:rsidR="00F60C7F" w:rsidRDefault="00F60C7F">
          <w:pPr>
            <w:pStyle w:val="Titre9"/>
            <w:spacing w:before="0" w:after="10"/>
          </w:pPr>
        </w:p>
      </w:tc>
      <w:tc>
        <w:tcPr>
          <w:tcW w:w="5702" w:type="dxa"/>
          <w:vMerge/>
          <w:vAlign w:val="bottom"/>
        </w:tcPr>
        <w:p w14:paraId="147E52CC" w14:textId="77777777" w:rsidR="00F60C7F" w:rsidRDefault="00F60C7F">
          <w:pPr>
            <w:pStyle w:val="Titre9"/>
            <w:spacing w:before="0" w:after="10"/>
          </w:pPr>
        </w:p>
      </w:tc>
    </w:tr>
  </w:tbl>
  <w:p w14:paraId="6DFCDD39" w14:textId="77777777" w:rsidR="00F60C7F" w:rsidRDefault="00F60C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6A7"/>
    <w:multiLevelType w:val="hybridMultilevel"/>
    <w:tmpl w:val="FB14E294"/>
    <w:lvl w:ilvl="0" w:tplc="F030F48A">
      <w:start w:val="1"/>
      <w:numFmt w:val="bullet"/>
      <w:lvlText w:val="–"/>
      <w:lvlJc w:val="left"/>
      <w:pPr>
        <w:ind w:left="709" w:hanging="360"/>
      </w:pPr>
      <w:rPr>
        <w:rFonts w:ascii="Arial" w:eastAsia="Arial" w:hAnsi="Arial" w:cs="Arial"/>
      </w:rPr>
    </w:lvl>
    <w:lvl w:ilvl="1" w:tplc="FDB8360C">
      <w:start w:val="1"/>
      <w:numFmt w:val="bullet"/>
      <w:lvlText w:val="o"/>
      <w:lvlJc w:val="left"/>
      <w:pPr>
        <w:ind w:left="1429" w:hanging="360"/>
      </w:pPr>
      <w:rPr>
        <w:rFonts w:ascii="Courier New" w:eastAsia="Courier New" w:hAnsi="Courier New" w:cs="Courier New"/>
      </w:rPr>
    </w:lvl>
    <w:lvl w:ilvl="2" w:tplc="D0504430">
      <w:start w:val="1"/>
      <w:numFmt w:val="bullet"/>
      <w:lvlText w:val="§"/>
      <w:lvlJc w:val="left"/>
      <w:pPr>
        <w:ind w:left="2149" w:hanging="360"/>
      </w:pPr>
      <w:rPr>
        <w:rFonts w:ascii="Wingdings" w:eastAsia="Wingdings" w:hAnsi="Wingdings" w:cs="Wingdings"/>
      </w:rPr>
    </w:lvl>
    <w:lvl w:ilvl="3" w:tplc="410E3F22">
      <w:start w:val="1"/>
      <w:numFmt w:val="bullet"/>
      <w:lvlText w:val="·"/>
      <w:lvlJc w:val="left"/>
      <w:pPr>
        <w:ind w:left="2869" w:hanging="360"/>
      </w:pPr>
      <w:rPr>
        <w:rFonts w:ascii="Symbol" w:eastAsia="Symbol" w:hAnsi="Symbol" w:cs="Symbol"/>
      </w:rPr>
    </w:lvl>
    <w:lvl w:ilvl="4" w:tplc="6C521D6A">
      <w:start w:val="1"/>
      <w:numFmt w:val="bullet"/>
      <w:lvlText w:val="o"/>
      <w:lvlJc w:val="left"/>
      <w:pPr>
        <w:ind w:left="3589" w:hanging="360"/>
      </w:pPr>
      <w:rPr>
        <w:rFonts w:ascii="Courier New" w:eastAsia="Courier New" w:hAnsi="Courier New" w:cs="Courier New"/>
      </w:rPr>
    </w:lvl>
    <w:lvl w:ilvl="5" w:tplc="F1B69616">
      <w:start w:val="1"/>
      <w:numFmt w:val="bullet"/>
      <w:lvlText w:val="§"/>
      <w:lvlJc w:val="left"/>
      <w:pPr>
        <w:ind w:left="4309" w:hanging="360"/>
      </w:pPr>
      <w:rPr>
        <w:rFonts w:ascii="Wingdings" w:eastAsia="Wingdings" w:hAnsi="Wingdings" w:cs="Wingdings"/>
      </w:rPr>
    </w:lvl>
    <w:lvl w:ilvl="6" w:tplc="7812C32C">
      <w:start w:val="1"/>
      <w:numFmt w:val="bullet"/>
      <w:lvlText w:val="·"/>
      <w:lvlJc w:val="left"/>
      <w:pPr>
        <w:ind w:left="5029" w:hanging="360"/>
      </w:pPr>
      <w:rPr>
        <w:rFonts w:ascii="Symbol" w:eastAsia="Symbol" w:hAnsi="Symbol" w:cs="Symbol"/>
      </w:rPr>
    </w:lvl>
    <w:lvl w:ilvl="7" w:tplc="18A01364">
      <w:start w:val="1"/>
      <w:numFmt w:val="bullet"/>
      <w:lvlText w:val="o"/>
      <w:lvlJc w:val="left"/>
      <w:pPr>
        <w:ind w:left="5749" w:hanging="360"/>
      </w:pPr>
      <w:rPr>
        <w:rFonts w:ascii="Courier New" w:eastAsia="Courier New" w:hAnsi="Courier New" w:cs="Courier New"/>
      </w:rPr>
    </w:lvl>
    <w:lvl w:ilvl="8" w:tplc="24B6E55C">
      <w:start w:val="1"/>
      <w:numFmt w:val="bullet"/>
      <w:lvlText w:val="§"/>
      <w:lvlJc w:val="left"/>
      <w:pPr>
        <w:ind w:left="6469" w:hanging="360"/>
      </w:pPr>
      <w:rPr>
        <w:rFonts w:ascii="Wingdings" w:eastAsia="Wingdings" w:hAnsi="Wingdings" w:cs="Wingdings"/>
      </w:rPr>
    </w:lvl>
  </w:abstractNum>
  <w:abstractNum w:abstractNumId="1" w15:restartNumberingAfterBreak="0">
    <w:nsid w:val="0EDE0105"/>
    <w:multiLevelType w:val="multilevel"/>
    <w:tmpl w:val="3EFC944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 w15:restartNumberingAfterBreak="0">
    <w:nsid w:val="0EF91124"/>
    <w:multiLevelType w:val="hybridMultilevel"/>
    <w:tmpl w:val="B02C0A90"/>
    <w:lvl w:ilvl="0" w:tplc="92881398">
      <w:start w:val="1"/>
      <w:numFmt w:val="lowerLetter"/>
      <w:lvlText w:val="(%1)"/>
      <w:lvlJc w:val="left"/>
      <w:pPr>
        <w:ind w:left="720" w:hanging="360"/>
      </w:pPr>
      <w:rPr>
        <w:rFonts w:hint="default"/>
      </w:rPr>
    </w:lvl>
    <w:lvl w:ilvl="1" w:tplc="34200130">
      <w:start w:val="1"/>
      <w:numFmt w:val="lowerLetter"/>
      <w:lvlText w:val="%2."/>
      <w:lvlJc w:val="left"/>
      <w:pPr>
        <w:ind w:left="1440" w:hanging="360"/>
      </w:pPr>
    </w:lvl>
    <w:lvl w:ilvl="2" w:tplc="040EDB00">
      <w:start w:val="1"/>
      <w:numFmt w:val="lowerRoman"/>
      <w:lvlText w:val="%3."/>
      <w:lvlJc w:val="right"/>
      <w:pPr>
        <w:ind w:left="2160" w:hanging="180"/>
      </w:pPr>
    </w:lvl>
    <w:lvl w:ilvl="3" w:tplc="2D7402A0">
      <w:start w:val="1"/>
      <w:numFmt w:val="decimal"/>
      <w:lvlText w:val="%4."/>
      <w:lvlJc w:val="left"/>
      <w:pPr>
        <w:ind w:left="2880" w:hanging="360"/>
      </w:pPr>
    </w:lvl>
    <w:lvl w:ilvl="4" w:tplc="1FF66E98">
      <w:start w:val="1"/>
      <w:numFmt w:val="lowerLetter"/>
      <w:lvlText w:val="%5."/>
      <w:lvlJc w:val="left"/>
      <w:pPr>
        <w:ind w:left="3600" w:hanging="360"/>
      </w:pPr>
    </w:lvl>
    <w:lvl w:ilvl="5" w:tplc="1D76AE1E">
      <w:start w:val="1"/>
      <w:numFmt w:val="lowerRoman"/>
      <w:lvlText w:val="%6."/>
      <w:lvlJc w:val="right"/>
      <w:pPr>
        <w:ind w:left="4320" w:hanging="180"/>
      </w:pPr>
    </w:lvl>
    <w:lvl w:ilvl="6" w:tplc="3E7EE7AC">
      <w:start w:val="1"/>
      <w:numFmt w:val="decimal"/>
      <w:lvlText w:val="%7."/>
      <w:lvlJc w:val="left"/>
      <w:pPr>
        <w:ind w:left="5040" w:hanging="360"/>
      </w:pPr>
    </w:lvl>
    <w:lvl w:ilvl="7" w:tplc="6D20E60E">
      <w:start w:val="1"/>
      <w:numFmt w:val="lowerLetter"/>
      <w:lvlText w:val="%8."/>
      <w:lvlJc w:val="left"/>
      <w:pPr>
        <w:ind w:left="5760" w:hanging="360"/>
      </w:pPr>
    </w:lvl>
    <w:lvl w:ilvl="8" w:tplc="61F21D02">
      <w:start w:val="1"/>
      <w:numFmt w:val="lowerRoman"/>
      <w:lvlText w:val="%9."/>
      <w:lvlJc w:val="right"/>
      <w:pPr>
        <w:ind w:left="6480" w:hanging="180"/>
      </w:pPr>
    </w:lvl>
  </w:abstractNum>
  <w:abstractNum w:abstractNumId="3" w15:restartNumberingAfterBreak="0">
    <w:nsid w:val="14565F35"/>
    <w:multiLevelType w:val="hybridMultilevel"/>
    <w:tmpl w:val="A1D045C4"/>
    <w:lvl w:ilvl="0" w:tplc="F718DD12">
      <w:start w:val="1"/>
      <w:numFmt w:val="decimal"/>
      <w:pStyle w:val="Referencelist"/>
      <w:lvlText w:val="[%1]"/>
      <w:lvlJc w:val="left"/>
      <w:pPr>
        <w:ind w:left="720" w:hanging="360"/>
      </w:pPr>
    </w:lvl>
    <w:lvl w:ilvl="1" w:tplc="85D4C032">
      <w:start w:val="1"/>
      <w:numFmt w:val="lowerLetter"/>
      <w:lvlText w:val="%2."/>
      <w:lvlJc w:val="left"/>
      <w:pPr>
        <w:ind w:left="1440" w:hanging="360"/>
      </w:pPr>
    </w:lvl>
    <w:lvl w:ilvl="2" w:tplc="CE80C06E">
      <w:start w:val="1"/>
      <w:numFmt w:val="lowerRoman"/>
      <w:lvlText w:val="%3."/>
      <w:lvlJc w:val="right"/>
      <w:pPr>
        <w:ind w:left="2160" w:hanging="180"/>
      </w:pPr>
    </w:lvl>
    <w:lvl w:ilvl="3" w:tplc="BD587822">
      <w:start w:val="1"/>
      <w:numFmt w:val="decimal"/>
      <w:lvlText w:val="%4."/>
      <w:lvlJc w:val="left"/>
      <w:pPr>
        <w:ind w:left="2880" w:hanging="360"/>
      </w:pPr>
    </w:lvl>
    <w:lvl w:ilvl="4" w:tplc="2E12B6F0">
      <w:start w:val="1"/>
      <w:numFmt w:val="lowerLetter"/>
      <w:lvlText w:val="%5."/>
      <w:lvlJc w:val="left"/>
      <w:pPr>
        <w:ind w:left="3600" w:hanging="360"/>
      </w:pPr>
    </w:lvl>
    <w:lvl w:ilvl="5" w:tplc="9766BE48">
      <w:start w:val="1"/>
      <w:numFmt w:val="lowerRoman"/>
      <w:lvlText w:val="%6."/>
      <w:lvlJc w:val="right"/>
      <w:pPr>
        <w:ind w:left="4320" w:hanging="180"/>
      </w:pPr>
    </w:lvl>
    <w:lvl w:ilvl="6" w:tplc="802A28D4">
      <w:start w:val="1"/>
      <w:numFmt w:val="decimal"/>
      <w:lvlText w:val="%7."/>
      <w:lvlJc w:val="left"/>
      <w:pPr>
        <w:ind w:left="5040" w:hanging="360"/>
      </w:pPr>
    </w:lvl>
    <w:lvl w:ilvl="7" w:tplc="C99E38F0">
      <w:start w:val="1"/>
      <w:numFmt w:val="lowerLetter"/>
      <w:lvlText w:val="%8."/>
      <w:lvlJc w:val="left"/>
      <w:pPr>
        <w:ind w:left="5760" w:hanging="360"/>
      </w:pPr>
    </w:lvl>
    <w:lvl w:ilvl="8" w:tplc="C2663D76">
      <w:start w:val="1"/>
      <w:numFmt w:val="lowerRoman"/>
      <w:lvlText w:val="%9."/>
      <w:lvlJc w:val="right"/>
      <w:pPr>
        <w:ind w:left="6480" w:hanging="180"/>
      </w:pPr>
    </w:lvl>
  </w:abstractNum>
  <w:abstractNum w:abstractNumId="4" w15:restartNumberingAfterBreak="0">
    <w:nsid w:val="184015C8"/>
    <w:multiLevelType w:val="hybridMultilevel"/>
    <w:tmpl w:val="B58AF958"/>
    <w:lvl w:ilvl="0" w:tplc="4DF0702E">
      <w:start w:val="1"/>
      <w:numFmt w:val="decimal"/>
      <w:lvlText w:val="%1."/>
      <w:lvlJc w:val="left"/>
      <w:pPr>
        <w:tabs>
          <w:tab w:val="num" w:pos="919"/>
        </w:tabs>
        <w:ind w:left="919" w:hanging="460"/>
      </w:pPr>
      <w:rPr>
        <w:rFonts w:ascii="Times New Roman" w:hAnsi="Times New Roman" w:hint="default"/>
        <w:b w:val="0"/>
        <w:i w:val="0"/>
        <w:caps w:val="0"/>
        <w:strike w:val="0"/>
        <w:vanish w:val="0"/>
        <w:color w:val="000000"/>
        <w:sz w:val="22"/>
        <w:vertAlign w:val="baseline"/>
        <w14:textOutline w14:w="0" w14:cap="rnd" w14:cmpd="sng" w14:algn="ctr">
          <w14:noFill/>
          <w14:prstDash w14:val="solid"/>
          <w14:bevel/>
        </w14:textOutline>
      </w:rPr>
    </w:lvl>
    <w:lvl w:ilvl="1" w:tplc="2C04EF08">
      <w:start w:val="1"/>
      <w:numFmt w:val="lowerLetter"/>
      <w:lvlText w:val="%2."/>
      <w:lvlJc w:val="left"/>
      <w:pPr>
        <w:tabs>
          <w:tab w:val="num" w:pos="1440"/>
        </w:tabs>
        <w:ind w:left="1440" w:hanging="360"/>
      </w:pPr>
    </w:lvl>
    <w:lvl w:ilvl="2" w:tplc="90DA8E14">
      <w:start w:val="1"/>
      <w:numFmt w:val="lowerRoman"/>
      <w:lvlText w:val="%3."/>
      <w:lvlJc w:val="right"/>
      <w:pPr>
        <w:tabs>
          <w:tab w:val="num" w:pos="2160"/>
        </w:tabs>
        <w:ind w:left="2160" w:hanging="180"/>
      </w:pPr>
    </w:lvl>
    <w:lvl w:ilvl="3" w:tplc="1F1A9C98">
      <w:start w:val="1"/>
      <w:numFmt w:val="decimal"/>
      <w:lvlText w:val="%4."/>
      <w:lvlJc w:val="left"/>
      <w:pPr>
        <w:tabs>
          <w:tab w:val="num" w:pos="2880"/>
        </w:tabs>
        <w:ind w:left="2880" w:hanging="360"/>
      </w:pPr>
    </w:lvl>
    <w:lvl w:ilvl="4" w:tplc="D93443C2">
      <w:start w:val="1"/>
      <w:numFmt w:val="lowerLetter"/>
      <w:lvlText w:val="%5."/>
      <w:lvlJc w:val="left"/>
      <w:pPr>
        <w:tabs>
          <w:tab w:val="num" w:pos="3600"/>
        </w:tabs>
        <w:ind w:left="3600" w:hanging="360"/>
      </w:pPr>
    </w:lvl>
    <w:lvl w:ilvl="5" w:tplc="E41A5626">
      <w:start w:val="1"/>
      <w:numFmt w:val="lowerRoman"/>
      <w:lvlText w:val="%6."/>
      <w:lvlJc w:val="right"/>
      <w:pPr>
        <w:tabs>
          <w:tab w:val="num" w:pos="4320"/>
        </w:tabs>
        <w:ind w:left="4320" w:hanging="180"/>
      </w:pPr>
    </w:lvl>
    <w:lvl w:ilvl="6" w:tplc="53ECF10C">
      <w:start w:val="1"/>
      <w:numFmt w:val="decimal"/>
      <w:lvlText w:val="%7."/>
      <w:lvlJc w:val="left"/>
      <w:pPr>
        <w:tabs>
          <w:tab w:val="num" w:pos="5040"/>
        </w:tabs>
        <w:ind w:left="5040" w:hanging="360"/>
      </w:pPr>
    </w:lvl>
    <w:lvl w:ilvl="7" w:tplc="181438C8">
      <w:start w:val="1"/>
      <w:numFmt w:val="lowerLetter"/>
      <w:lvlText w:val="%8."/>
      <w:lvlJc w:val="left"/>
      <w:pPr>
        <w:tabs>
          <w:tab w:val="num" w:pos="5760"/>
        </w:tabs>
        <w:ind w:left="5760" w:hanging="360"/>
      </w:pPr>
    </w:lvl>
    <w:lvl w:ilvl="8" w:tplc="BB6CAC32">
      <w:start w:val="1"/>
      <w:numFmt w:val="lowerRoman"/>
      <w:lvlText w:val="%9."/>
      <w:lvlJc w:val="right"/>
      <w:pPr>
        <w:tabs>
          <w:tab w:val="num" w:pos="6480"/>
        </w:tabs>
        <w:ind w:left="6480" w:hanging="180"/>
      </w:pPr>
    </w:lvl>
  </w:abstractNum>
  <w:abstractNum w:abstractNumId="5" w15:restartNumberingAfterBreak="0">
    <w:nsid w:val="18DB3EC2"/>
    <w:multiLevelType w:val="multilevel"/>
    <w:tmpl w:val="F87EB250"/>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 w15:restartNumberingAfterBreak="0">
    <w:nsid w:val="26B64CA4"/>
    <w:multiLevelType w:val="hybridMultilevel"/>
    <w:tmpl w:val="DE8669FC"/>
    <w:lvl w:ilvl="0" w:tplc="884C5990">
      <w:start w:val="1"/>
      <w:numFmt w:val="decimal"/>
      <w:pStyle w:val="AgendaList"/>
      <w:lvlText w:val="%1."/>
      <w:lvlJc w:val="left"/>
      <w:pPr>
        <w:tabs>
          <w:tab w:val="num" w:pos="459"/>
        </w:tabs>
        <w:ind w:left="459" w:hanging="459"/>
      </w:pPr>
      <w:rPr>
        <w:rFonts w:ascii="Times New Roman" w:hAnsi="Times New Roman" w:hint="default"/>
        <w:b w:val="0"/>
        <w:i w:val="0"/>
        <w:caps w:val="0"/>
        <w:strike w:val="0"/>
        <w:vanish w:val="0"/>
        <w:color w:val="000000"/>
        <w:sz w:val="22"/>
        <w:vertAlign w:val="baseline"/>
        <w14:textOutline w14:w="0" w14:cap="rnd" w14:cmpd="sng" w14:algn="ctr">
          <w14:noFill/>
          <w14:prstDash w14:val="solid"/>
          <w14:bevel/>
        </w14:textOutline>
      </w:rPr>
    </w:lvl>
    <w:lvl w:ilvl="1" w:tplc="45EAA8FE">
      <w:start w:val="1"/>
      <w:numFmt w:val="lowerLetter"/>
      <w:lvlText w:val="(%2)"/>
      <w:lvlJc w:val="left"/>
      <w:pPr>
        <w:tabs>
          <w:tab w:val="num" w:pos="919"/>
        </w:tabs>
        <w:ind w:left="919" w:hanging="459"/>
      </w:pPr>
      <w:rPr>
        <w:rFonts w:ascii="Times New Roman" w:hAnsi="Times New Roman" w:hint="default"/>
        <w:b w:val="0"/>
        <w:i w:val="0"/>
        <w:caps w:val="0"/>
        <w:strike w:val="0"/>
        <w:vanish w:val="0"/>
        <w:color w:val="000000"/>
        <w:sz w:val="22"/>
        <w:vertAlign w:val="baseline"/>
        <w14:textOutline w14:w="0" w14:cap="rnd" w14:cmpd="sng" w14:algn="ctr">
          <w14:noFill/>
          <w14:prstDash w14:val="solid"/>
          <w14:bevel/>
        </w14:textOutline>
      </w:rPr>
    </w:lvl>
    <w:lvl w:ilvl="2" w:tplc="B50C0C3C">
      <w:start w:val="1"/>
      <w:numFmt w:val="bullet"/>
      <w:lvlText w:val="-"/>
      <w:lvlJc w:val="left"/>
      <w:pPr>
        <w:tabs>
          <w:tab w:val="num" w:pos="1378"/>
        </w:tabs>
        <w:ind w:left="1378" w:hanging="459"/>
      </w:pPr>
      <w:rPr>
        <w:rFonts w:ascii="Times New Roman" w:cs="Times New Roman" w:hint="default"/>
        <w:b w:val="0"/>
        <w:i w:val="0"/>
        <w:caps w:val="0"/>
        <w:strike w:val="0"/>
        <w:vanish w:val="0"/>
        <w:color w:val="000000"/>
        <w:sz w:val="24"/>
        <w:vertAlign w:val="baseline"/>
        <w14:textOutline w14:w="0" w14:cap="rnd" w14:cmpd="sng" w14:algn="ctr">
          <w14:noFill/>
          <w14:prstDash w14:val="solid"/>
          <w14:bevel/>
        </w14:textOutline>
      </w:rPr>
    </w:lvl>
    <w:lvl w:ilvl="3" w:tplc="D86ADA44">
      <w:start w:val="1"/>
      <w:numFmt w:val="decimal"/>
      <w:lvlText w:val="(%4)"/>
      <w:lvlJc w:val="left"/>
      <w:pPr>
        <w:tabs>
          <w:tab w:val="num" w:pos="811"/>
        </w:tabs>
        <w:ind w:left="811" w:hanging="360"/>
      </w:pPr>
      <w:rPr>
        <w:rFonts w:hint="default"/>
      </w:rPr>
    </w:lvl>
    <w:lvl w:ilvl="4" w:tplc="E6D8995A">
      <w:start w:val="1"/>
      <w:numFmt w:val="lowerLetter"/>
      <w:lvlText w:val="(%5)"/>
      <w:lvlJc w:val="left"/>
      <w:pPr>
        <w:tabs>
          <w:tab w:val="num" w:pos="1171"/>
        </w:tabs>
        <w:ind w:left="1171" w:hanging="360"/>
      </w:pPr>
      <w:rPr>
        <w:rFonts w:hint="default"/>
      </w:rPr>
    </w:lvl>
    <w:lvl w:ilvl="5" w:tplc="B8DC5592">
      <w:start w:val="1"/>
      <w:numFmt w:val="lowerRoman"/>
      <w:lvlText w:val="(%6)"/>
      <w:lvlJc w:val="left"/>
      <w:pPr>
        <w:tabs>
          <w:tab w:val="num" w:pos="1531"/>
        </w:tabs>
        <w:ind w:left="1531" w:hanging="360"/>
      </w:pPr>
      <w:rPr>
        <w:rFonts w:hint="default"/>
      </w:rPr>
    </w:lvl>
    <w:lvl w:ilvl="6" w:tplc="2F5065CC">
      <w:start w:val="1"/>
      <w:numFmt w:val="decimal"/>
      <w:lvlText w:val="%7."/>
      <w:lvlJc w:val="left"/>
      <w:pPr>
        <w:tabs>
          <w:tab w:val="num" w:pos="1891"/>
        </w:tabs>
        <w:ind w:left="1891" w:hanging="360"/>
      </w:pPr>
      <w:rPr>
        <w:rFonts w:hint="default"/>
      </w:rPr>
    </w:lvl>
    <w:lvl w:ilvl="7" w:tplc="D32487F8">
      <w:start w:val="1"/>
      <w:numFmt w:val="lowerLetter"/>
      <w:lvlText w:val="%8."/>
      <w:lvlJc w:val="left"/>
      <w:pPr>
        <w:tabs>
          <w:tab w:val="num" w:pos="2251"/>
        </w:tabs>
        <w:ind w:left="2251" w:hanging="360"/>
      </w:pPr>
      <w:rPr>
        <w:rFonts w:hint="default"/>
      </w:rPr>
    </w:lvl>
    <w:lvl w:ilvl="8" w:tplc="C068D8F6">
      <w:start w:val="1"/>
      <w:numFmt w:val="lowerRoman"/>
      <w:lvlText w:val="%9."/>
      <w:lvlJc w:val="left"/>
      <w:pPr>
        <w:tabs>
          <w:tab w:val="num" w:pos="2611"/>
        </w:tabs>
        <w:ind w:left="2611" w:hanging="360"/>
      </w:pPr>
      <w:rPr>
        <w:rFonts w:hint="default"/>
      </w:rPr>
    </w:lvl>
  </w:abstractNum>
  <w:abstractNum w:abstractNumId="7" w15:restartNumberingAfterBreak="0">
    <w:nsid w:val="323D1C28"/>
    <w:multiLevelType w:val="hybridMultilevel"/>
    <w:tmpl w:val="C7F8F33A"/>
    <w:lvl w:ilvl="0" w:tplc="B9DA9652">
      <w:start w:val="1"/>
      <w:numFmt w:val="bullet"/>
      <w:pStyle w:val="BodyTextSummary"/>
      <w:lvlText w:val=""/>
      <w:lvlJc w:val="left"/>
      <w:pPr>
        <w:tabs>
          <w:tab w:val="num" w:pos="720"/>
        </w:tabs>
        <w:ind w:left="720" w:hanging="360"/>
      </w:pPr>
      <w:rPr>
        <w:rFonts w:ascii="Symbol" w:hAnsi="Symbol" w:hint="default"/>
      </w:rPr>
    </w:lvl>
    <w:lvl w:ilvl="1" w:tplc="30BE7240">
      <w:start w:val="1"/>
      <w:numFmt w:val="bullet"/>
      <w:lvlText w:val="o"/>
      <w:lvlJc w:val="left"/>
      <w:pPr>
        <w:tabs>
          <w:tab w:val="num" w:pos="1440"/>
        </w:tabs>
        <w:ind w:left="1440" w:hanging="360"/>
      </w:pPr>
      <w:rPr>
        <w:rFonts w:ascii="Courier New" w:hAnsi="Courier New" w:hint="default"/>
      </w:rPr>
    </w:lvl>
    <w:lvl w:ilvl="2" w:tplc="A00435FE">
      <w:start w:val="1"/>
      <w:numFmt w:val="bullet"/>
      <w:lvlText w:val=""/>
      <w:lvlJc w:val="left"/>
      <w:pPr>
        <w:tabs>
          <w:tab w:val="num" w:pos="2160"/>
        </w:tabs>
        <w:ind w:left="2160" w:hanging="360"/>
      </w:pPr>
      <w:rPr>
        <w:rFonts w:ascii="Wingdings" w:hAnsi="Wingdings" w:hint="default"/>
      </w:rPr>
    </w:lvl>
    <w:lvl w:ilvl="3" w:tplc="C074922A">
      <w:start w:val="1"/>
      <w:numFmt w:val="bullet"/>
      <w:lvlText w:val=""/>
      <w:lvlJc w:val="left"/>
      <w:pPr>
        <w:tabs>
          <w:tab w:val="num" w:pos="2880"/>
        </w:tabs>
        <w:ind w:left="2880" w:hanging="360"/>
      </w:pPr>
      <w:rPr>
        <w:rFonts w:ascii="Symbol" w:hAnsi="Symbol" w:hint="default"/>
      </w:rPr>
    </w:lvl>
    <w:lvl w:ilvl="4" w:tplc="C9BA886A">
      <w:start w:val="1"/>
      <w:numFmt w:val="bullet"/>
      <w:lvlText w:val="o"/>
      <w:lvlJc w:val="left"/>
      <w:pPr>
        <w:tabs>
          <w:tab w:val="num" w:pos="3600"/>
        </w:tabs>
        <w:ind w:left="3600" w:hanging="360"/>
      </w:pPr>
      <w:rPr>
        <w:rFonts w:ascii="Courier New" w:hAnsi="Courier New" w:hint="default"/>
      </w:rPr>
    </w:lvl>
    <w:lvl w:ilvl="5" w:tplc="C5889C0C">
      <w:start w:val="1"/>
      <w:numFmt w:val="bullet"/>
      <w:lvlText w:val=""/>
      <w:lvlJc w:val="left"/>
      <w:pPr>
        <w:tabs>
          <w:tab w:val="num" w:pos="4320"/>
        </w:tabs>
        <w:ind w:left="4320" w:hanging="360"/>
      </w:pPr>
      <w:rPr>
        <w:rFonts w:ascii="Wingdings" w:hAnsi="Wingdings" w:hint="default"/>
      </w:rPr>
    </w:lvl>
    <w:lvl w:ilvl="6" w:tplc="1A7A2538">
      <w:start w:val="1"/>
      <w:numFmt w:val="bullet"/>
      <w:lvlText w:val=""/>
      <w:lvlJc w:val="left"/>
      <w:pPr>
        <w:tabs>
          <w:tab w:val="num" w:pos="5040"/>
        </w:tabs>
        <w:ind w:left="5040" w:hanging="360"/>
      </w:pPr>
      <w:rPr>
        <w:rFonts w:ascii="Symbol" w:hAnsi="Symbol" w:hint="default"/>
      </w:rPr>
    </w:lvl>
    <w:lvl w:ilvl="7" w:tplc="404AE506">
      <w:start w:val="1"/>
      <w:numFmt w:val="bullet"/>
      <w:lvlText w:val="o"/>
      <w:lvlJc w:val="left"/>
      <w:pPr>
        <w:tabs>
          <w:tab w:val="num" w:pos="5760"/>
        </w:tabs>
        <w:ind w:left="5760" w:hanging="360"/>
      </w:pPr>
      <w:rPr>
        <w:rFonts w:ascii="Courier New" w:hAnsi="Courier New" w:hint="default"/>
      </w:rPr>
    </w:lvl>
    <w:lvl w:ilvl="8" w:tplc="C9F0975A">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DC714C"/>
    <w:multiLevelType w:val="hybridMultilevel"/>
    <w:tmpl w:val="7BDC4336"/>
    <w:lvl w:ilvl="0" w:tplc="03204FFE">
      <w:start w:val="1"/>
      <w:numFmt w:val="bullet"/>
      <w:lvlText w:val="·"/>
      <w:lvlJc w:val="left"/>
      <w:pPr>
        <w:ind w:left="709" w:hanging="360"/>
      </w:pPr>
      <w:rPr>
        <w:rFonts w:ascii="Symbol" w:eastAsia="Symbol" w:hAnsi="Symbol" w:cs="Symbol"/>
      </w:rPr>
    </w:lvl>
    <w:lvl w:ilvl="1" w:tplc="11B6C5F2">
      <w:start w:val="1"/>
      <w:numFmt w:val="bullet"/>
      <w:lvlText w:val="o"/>
      <w:lvlJc w:val="left"/>
      <w:pPr>
        <w:ind w:left="1429" w:hanging="360"/>
      </w:pPr>
      <w:rPr>
        <w:rFonts w:ascii="Courier New" w:eastAsia="Courier New" w:hAnsi="Courier New" w:cs="Courier New"/>
      </w:rPr>
    </w:lvl>
    <w:lvl w:ilvl="2" w:tplc="64163124">
      <w:start w:val="1"/>
      <w:numFmt w:val="bullet"/>
      <w:lvlText w:val="§"/>
      <w:lvlJc w:val="left"/>
      <w:pPr>
        <w:ind w:left="2149" w:hanging="360"/>
      </w:pPr>
      <w:rPr>
        <w:rFonts w:ascii="Wingdings" w:eastAsia="Wingdings" w:hAnsi="Wingdings" w:cs="Wingdings"/>
      </w:rPr>
    </w:lvl>
    <w:lvl w:ilvl="3" w:tplc="AF7A6874">
      <w:start w:val="1"/>
      <w:numFmt w:val="bullet"/>
      <w:lvlText w:val="·"/>
      <w:lvlJc w:val="left"/>
      <w:pPr>
        <w:ind w:left="2869" w:hanging="360"/>
      </w:pPr>
      <w:rPr>
        <w:rFonts w:ascii="Symbol" w:eastAsia="Symbol" w:hAnsi="Symbol" w:cs="Symbol"/>
      </w:rPr>
    </w:lvl>
    <w:lvl w:ilvl="4" w:tplc="BDF632BE">
      <w:start w:val="1"/>
      <w:numFmt w:val="bullet"/>
      <w:lvlText w:val="o"/>
      <w:lvlJc w:val="left"/>
      <w:pPr>
        <w:ind w:left="3589" w:hanging="360"/>
      </w:pPr>
      <w:rPr>
        <w:rFonts w:ascii="Courier New" w:eastAsia="Courier New" w:hAnsi="Courier New" w:cs="Courier New"/>
      </w:rPr>
    </w:lvl>
    <w:lvl w:ilvl="5" w:tplc="0BF07922">
      <w:start w:val="1"/>
      <w:numFmt w:val="bullet"/>
      <w:lvlText w:val="§"/>
      <w:lvlJc w:val="left"/>
      <w:pPr>
        <w:ind w:left="4309" w:hanging="360"/>
      </w:pPr>
      <w:rPr>
        <w:rFonts w:ascii="Wingdings" w:eastAsia="Wingdings" w:hAnsi="Wingdings" w:cs="Wingdings"/>
      </w:rPr>
    </w:lvl>
    <w:lvl w:ilvl="6" w:tplc="6AA0FC62">
      <w:start w:val="1"/>
      <w:numFmt w:val="bullet"/>
      <w:lvlText w:val="·"/>
      <w:lvlJc w:val="left"/>
      <w:pPr>
        <w:ind w:left="5029" w:hanging="360"/>
      </w:pPr>
      <w:rPr>
        <w:rFonts w:ascii="Symbol" w:eastAsia="Symbol" w:hAnsi="Symbol" w:cs="Symbol"/>
      </w:rPr>
    </w:lvl>
    <w:lvl w:ilvl="7" w:tplc="C290B91E">
      <w:start w:val="1"/>
      <w:numFmt w:val="bullet"/>
      <w:lvlText w:val="o"/>
      <w:lvlJc w:val="left"/>
      <w:pPr>
        <w:ind w:left="5749" w:hanging="360"/>
      </w:pPr>
      <w:rPr>
        <w:rFonts w:ascii="Courier New" w:eastAsia="Courier New" w:hAnsi="Courier New" w:cs="Courier New"/>
      </w:rPr>
    </w:lvl>
    <w:lvl w:ilvl="8" w:tplc="31D4F486">
      <w:start w:val="1"/>
      <w:numFmt w:val="bullet"/>
      <w:lvlText w:val="§"/>
      <w:lvlJc w:val="left"/>
      <w:pPr>
        <w:ind w:left="6469" w:hanging="360"/>
      </w:pPr>
      <w:rPr>
        <w:rFonts w:ascii="Wingdings" w:eastAsia="Wingdings" w:hAnsi="Wingdings" w:cs="Wingdings"/>
      </w:rPr>
    </w:lvl>
  </w:abstractNum>
  <w:abstractNum w:abstractNumId="9" w15:restartNumberingAfterBreak="0">
    <w:nsid w:val="3E97746E"/>
    <w:multiLevelType w:val="hybridMultilevel"/>
    <w:tmpl w:val="02FA909E"/>
    <w:lvl w:ilvl="0" w:tplc="A7EC93BE">
      <w:start w:val="1"/>
      <w:numFmt w:val="upperLetter"/>
      <w:lvlText w:val="%1."/>
      <w:lvlJc w:val="left"/>
      <w:pPr>
        <w:ind w:left="720" w:hanging="360"/>
      </w:pPr>
    </w:lvl>
    <w:lvl w:ilvl="1" w:tplc="7CF4FD82">
      <w:start w:val="1"/>
      <w:numFmt w:val="lowerLetter"/>
      <w:lvlText w:val="%2."/>
      <w:lvlJc w:val="left"/>
      <w:pPr>
        <w:ind w:left="1440" w:hanging="360"/>
      </w:pPr>
    </w:lvl>
    <w:lvl w:ilvl="2" w:tplc="151AFFDE">
      <w:start w:val="1"/>
      <w:numFmt w:val="lowerRoman"/>
      <w:lvlText w:val="%3."/>
      <w:lvlJc w:val="right"/>
      <w:pPr>
        <w:ind w:left="2160" w:hanging="180"/>
      </w:pPr>
    </w:lvl>
    <w:lvl w:ilvl="3" w:tplc="83F4B6E2">
      <w:start w:val="1"/>
      <w:numFmt w:val="decimal"/>
      <w:lvlText w:val="%4."/>
      <w:lvlJc w:val="left"/>
      <w:pPr>
        <w:ind w:left="2880" w:hanging="360"/>
      </w:pPr>
    </w:lvl>
    <w:lvl w:ilvl="4" w:tplc="A62EADA6">
      <w:start w:val="1"/>
      <w:numFmt w:val="lowerLetter"/>
      <w:lvlText w:val="%5."/>
      <w:lvlJc w:val="left"/>
      <w:pPr>
        <w:ind w:left="3600" w:hanging="360"/>
      </w:pPr>
    </w:lvl>
    <w:lvl w:ilvl="5" w:tplc="2BEC6CE4">
      <w:start w:val="1"/>
      <w:numFmt w:val="lowerRoman"/>
      <w:lvlText w:val="%6."/>
      <w:lvlJc w:val="right"/>
      <w:pPr>
        <w:ind w:left="4320" w:hanging="180"/>
      </w:pPr>
    </w:lvl>
    <w:lvl w:ilvl="6" w:tplc="CCA6B260">
      <w:start w:val="1"/>
      <w:numFmt w:val="decimal"/>
      <w:lvlText w:val="%7."/>
      <w:lvlJc w:val="left"/>
      <w:pPr>
        <w:ind w:left="5040" w:hanging="360"/>
      </w:pPr>
    </w:lvl>
    <w:lvl w:ilvl="7" w:tplc="8E22271C">
      <w:start w:val="1"/>
      <w:numFmt w:val="lowerLetter"/>
      <w:lvlText w:val="%8."/>
      <w:lvlJc w:val="left"/>
      <w:pPr>
        <w:ind w:left="5760" w:hanging="360"/>
      </w:pPr>
    </w:lvl>
    <w:lvl w:ilvl="8" w:tplc="B2FC0046">
      <w:start w:val="1"/>
      <w:numFmt w:val="lowerRoman"/>
      <w:lvlText w:val="%9."/>
      <w:lvlJc w:val="right"/>
      <w:pPr>
        <w:ind w:left="6480" w:hanging="180"/>
      </w:pPr>
    </w:lvl>
  </w:abstractNum>
  <w:abstractNum w:abstractNumId="10" w15:restartNumberingAfterBreak="0">
    <w:nsid w:val="405370EB"/>
    <w:multiLevelType w:val="hybridMultilevel"/>
    <w:tmpl w:val="75FCA75C"/>
    <w:lvl w:ilvl="0" w:tplc="13808F1E">
      <w:start w:val="1"/>
      <w:numFmt w:val="lowerRoman"/>
      <w:lvlText w:val="(%1)"/>
      <w:lvlJc w:val="left"/>
      <w:pPr>
        <w:ind w:left="1080" w:hanging="720"/>
      </w:pPr>
      <w:rPr>
        <w:rFonts w:hint="default"/>
      </w:rPr>
    </w:lvl>
    <w:lvl w:ilvl="1" w:tplc="F63E2F44">
      <w:start w:val="1"/>
      <w:numFmt w:val="lowerLetter"/>
      <w:lvlText w:val="%2."/>
      <w:lvlJc w:val="left"/>
      <w:pPr>
        <w:ind w:left="1440" w:hanging="360"/>
      </w:pPr>
    </w:lvl>
    <w:lvl w:ilvl="2" w:tplc="B986EF7A">
      <w:start w:val="1"/>
      <w:numFmt w:val="lowerRoman"/>
      <w:lvlText w:val="%3."/>
      <w:lvlJc w:val="right"/>
      <w:pPr>
        <w:ind w:left="2160" w:hanging="180"/>
      </w:pPr>
    </w:lvl>
    <w:lvl w:ilvl="3" w:tplc="BB785DDA">
      <w:start w:val="1"/>
      <w:numFmt w:val="decimal"/>
      <w:lvlText w:val="%4."/>
      <w:lvlJc w:val="left"/>
      <w:pPr>
        <w:ind w:left="2880" w:hanging="360"/>
      </w:pPr>
    </w:lvl>
    <w:lvl w:ilvl="4" w:tplc="E9BA482E">
      <w:start w:val="1"/>
      <w:numFmt w:val="lowerLetter"/>
      <w:lvlText w:val="%5."/>
      <w:lvlJc w:val="left"/>
      <w:pPr>
        <w:ind w:left="3600" w:hanging="360"/>
      </w:pPr>
    </w:lvl>
    <w:lvl w:ilvl="5" w:tplc="6538B5C4">
      <w:start w:val="1"/>
      <w:numFmt w:val="lowerRoman"/>
      <w:lvlText w:val="%6."/>
      <w:lvlJc w:val="right"/>
      <w:pPr>
        <w:ind w:left="4320" w:hanging="180"/>
      </w:pPr>
    </w:lvl>
    <w:lvl w:ilvl="6" w:tplc="9E3C10C4">
      <w:start w:val="1"/>
      <w:numFmt w:val="decimal"/>
      <w:lvlText w:val="%7."/>
      <w:lvlJc w:val="left"/>
      <w:pPr>
        <w:ind w:left="5040" w:hanging="360"/>
      </w:pPr>
    </w:lvl>
    <w:lvl w:ilvl="7" w:tplc="87D214E2">
      <w:start w:val="1"/>
      <w:numFmt w:val="lowerLetter"/>
      <w:lvlText w:val="%8."/>
      <w:lvlJc w:val="left"/>
      <w:pPr>
        <w:ind w:left="5760" w:hanging="360"/>
      </w:pPr>
    </w:lvl>
    <w:lvl w:ilvl="8" w:tplc="86CCA10E">
      <w:start w:val="1"/>
      <w:numFmt w:val="lowerRoman"/>
      <w:lvlText w:val="%9."/>
      <w:lvlJc w:val="right"/>
      <w:pPr>
        <w:ind w:left="6480" w:hanging="180"/>
      </w:pPr>
    </w:lvl>
  </w:abstractNum>
  <w:abstractNum w:abstractNumId="11" w15:restartNumberingAfterBreak="0">
    <w:nsid w:val="41261137"/>
    <w:multiLevelType w:val="hybridMultilevel"/>
    <w:tmpl w:val="3A16B682"/>
    <w:lvl w:ilvl="0" w:tplc="4C0248EC">
      <w:start w:val="1"/>
      <w:numFmt w:val="decimal"/>
      <w:lvlText w:val="*"/>
      <w:lvlJc w:val="left"/>
    </w:lvl>
    <w:lvl w:ilvl="1" w:tplc="FF761BF0">
      <w:start w:val="1"/>
      <w:numFmt w:val="bullet"/>
      <w:lvlText w:val="o"/>
      <w:lvlJc w:val="left"/>
      <w:pPr>
        <w:ind w:left="1440" w:hanging="360"/>
      </w:pPr>
      <w:rPr>
        <w:rFonts w:ascii="Courier New" w:eastAsia="Courier New" w:hAnsi="Courier New" w:cs="Courier New" w:hint="default"/>
      </w:rPr>
    </w:lvl>
    <w:lvl w:ilvl="2" w:tplc="0B28413E">
      <w:start w:val="1"/>
      <w:numFmt w:val="bullet"/>
      <w:lvlText w:val="§"/>
      <w:lvlJc w:val="left"/>
      <w:pPr>
        <w:ind w:left="2160" w:hanging="360"/>
      </w:pPr>
      <w:rPr>
        <w:rFonts w:ascii="Wingdings" w:eastAsia="Wingdings" w:hAnsi="Wingdings" w:cs="Wingdings" w:hint="default"/>
      </w:rPr>
    </w:lvl>
    <w:lvl w:ilvl="3" w:tplc="4308E37C">
      <w:start w:val="1"/>
      <w:numFmt w:val="bullet"/>
      <w:lvlText w:val="·"/>
      <w:lvlJc w:val="left"/>
      <w:pPr>
        <w:ind w:left="2880" w:hanging="360"/>
      </w:pPr>
      <w:rPr>
        <w:rFonts w:ascii="Symbol" w:eastAsia="Symbol" w:hAnsi="Symbol" w:cs="Symbol" w:hint="default"/>
      </w:rPr>
    </w:lvl>
    <w:lvl w:ilvl="4" w:tplc="A1FA6A28">
      <w:start w:val="1"/>
      <w:numFmt w:val="bullet"/>
      <w:lvlText w:val="o"/>
      <w:lvlJc w:val="left"/>
      <w:pPr>
        <w:ind w:left="3600" w:hanging="360"/>
      </w:pPr>
      <w:rPr>
        <w:rFonts w:ascii="Courier New" w:eastAsia="Courier New" w:hAnsi="Courier New" w:cs="Courier New" w:hint="default"/>
      </w:rPr>
    </w:lvl>
    <w:lvl w:ilvl="5" w:tplc="1EEE0A50">
      <w:start w:val="1"/>
      <w:numFmt w:val="bullet"/>
      <w:lvlText w:val="§"/>
      <w:lvlJc w:val="left"/>
      <w:pPr>
        <w:ind w:left="4320" w:hanging="360"/>
      </w:pPr>
      <w:rPr>
        <w:rFonts w:ascii="Wingdings" w:eastAsia="Wingdings" w:hAnsi="Wingdings" w:cs="Wingdings" w:hint="default"/>
      </w:rPr>
    </w:lvl>
    <w:lvl w:ilvl="6" w:tplc="F5DCA59E">
      <w:start w:val="1"/>
      <w:numFmt w:val="bullet"/>
      <w:lvlText w:val="·"/>
      <w:lvlJc w:val="left"/>
      <w:pPr>
        <w:ind w:left="5040" w:hanging="360"/>
      </w:pPr>
      <w:rPr>
        <w:rFonts w:ascii="Symbol" w:eastAsia="Symbol" w:hAnsi="Symbol" w:cs="Symbol" w:hint="default"/>
      </w:rPr>
    </w:lvl>
    <w:lvl w:ilvl="7" w:tplc="104EFC28">
      <w:start w:val="1"/>
      <w:numFmt w:val="bullet"/>
      <w:lvlText w:val="o"/>
      <w:lvlJc w:val="left"/>
      <w:pPr>
        <w:ind w:left="5760" w:hanging="360"/>
      </w:pPr>
      <w:rPr>
        <w:rFonts w:ascii="Courier New" w:eastAsia="Courier New" w:hAnsi="Courier New" w:cs="Courier New" w:hint="default"/>
      </w:rPr>
    </w:lvl>
    <w:lvl w:ilvl="8" w:tplc="2462437A">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4171425F"/>
    <w:multiLevelType w:val="hybridMultilevel"/>
    <w:tmpl w:val="F84E867A"/>
    <w:lvl w:ilvl="0" w:tplc="71822240">
      <w:start w:val="1"/>
      <w:numFmt w:val="bullet"/>
      <w:lvlText w:val="·"/>
      <w:lvlJc w:val="left"/>
      <w:pPr>
        <w:ind w:left="709" w:hanging="360"/>
      </w:pPr>
      <w:rPr>
        <w:rFonts w:ascii="Symbol" w:eastAsia="Symbol" w:hAnsi="Symbol" w:cs="Symbol"/>
      </w:rPr>
    </w:lvl>
    <w:lvl w:ilvl="1" w:tplc="6B82C7E8">
      <w:start w:val="1"/>
      <w:numFmt w:val="bullet"/>
      <w:lvlText w:val="o"/>
      <w:lvlJc w:val="left"/>
      <w:pPr>
        <w:ind w:left="1429" w:hanging="360"/>
      </w:pPr>
      <w:rPr>
        <w:rFonts w:ascii="Courier New" w:eastAsia="Courier New" w:hAnsi="Courier New" w:cs="Courier New"/>
      </w:rPr>
    </w:lvl>
    <w:lvl w:ilvl="2" w:tplc="945AC206">
      <w:start w:val="1"/>
      <w:numFmt w:val="bullet"/>
      <w:lvlText w:val="§"/>
      <w:lvlJc w:val="left"/>
      <w:pPr>
        <w:ind w:left="2149" w:hanging="360"/>
      </w:pPr>
      <w:rPr>
        <w:rFonts w:ascii="Wingdings" w:eastAsia="Wingdings" w:hAnsi="Wingdings" w:cs="Wingdings"/>
      </w:rPr>
    </w:lvl>
    <w:lvl w:ilvl="3" w:tplc="0DF27AE6">
      <w:start w:val="1"/>
      <w:numFmt w:val="bullet"/>
      <w:lvlText w:val="·"/>
      <w:lvlJc w:val="left"/>
      <w:pPr>
        <w:ind w:left="2869" w:hanging="360"/>
      </w:pPr>
      <w:rPr>
        <w:rFonts w:ascii="Symbol" w:eastAsia="Symbol" w:hAnsi="Symbol" w:cs="Symbol"/>
      </w:rPr>
    </w:lvl>
    <w:lvl w:ilvl="4" w:tplc="337A4D78">
      <w:start w:val="1"/>
      <w:numFmt w:val="bullet"/>
      <w:lvlText w:val="o"/>
      <w:lvlJc w:val="left"/>
      <w:pPr>
        <w:ind w:left="3589" w:hanging="360"/>
      </w:pPr>
      <w:rPr>
        <w:rFonts w:ascii="Courier New" w:eastAsia="Courier New" w:hAnsi="Courier New" w:cs="Courier New"/>
      </w:rPr>
    </w:lvl>
    <w:lvl w:ilvl="5" w:tplc="74BCCEC6">
      <w:start w:val="1"/>
      <w:numFmt w:val="bullet"/>
      <w:lvlText w:val="§"/>
      <w:lvlJc w:val="left"/>
      <w:pPr>
        <w:ind w:left="4309" w:hanging="360"/>
      </w:pPr>
      <w:rPr>
        <w:rFonts w:ascii="Wingdings" w:eastAsia="Wingdings" w:hAnsi="Wingdings" w:cs="Wingdings"/>
      </w:rPr>
    </w:lvl>
    <w:lvl w:ilvl="6" w:tplc="02FE0E42">
      <w:start w:val="1"/>
      <w:numFmt w:val="bullet"/>
      <w:lvlText w:val="·"/>
      <w:lvlJc w:val="left"/>
      <w:pPr>
        <w:ind w:left="5029" w:hanging="360"/>
      </w:pPr>
      <w:rPr>
        <w:rFonts w:ascii="Symbol" w:eastAsia="Symbol" w:hAnsi="Symbol" w:cs="Symbol"/>
      </w:rPr>
    </w:lvl>
    <w:lvl w:ilvl="7" w:tplc="4CE2D642">
      <w:start w:val="1"/>
      <w:numFmt w:val="bullet"/>
      <w:lvlText w:val="o"/>
      <w:lvlJc w:val="left"/>
      <w:pPr>
        <w:ind w:left="5749" w:hanging="360"/>
      </w:pPr>
      <w:rPr>
        <w:rFonts w:ascii="Courier New" w:eastAsia="Courier New" w:hAnsi="Courier New" w:cs="Courier New"/>
      </w:rPr>
    </w:lvl>
    <w:lvl w:ilvl="8" w:tplc="62B2BEA6">
      <w:start w:val="1"/>
      <w:numFmt w:val="bullet"/>
      <w:lvlText w:val="§"/>
      <w:lvlJc w:val="left"/>
      <w:pPr>
        <w:ind w:left="6469" w:hanging="360"/>
      </w:pPr>
      <w:rPr>
        <w:rFonts w:ascii="Wingdings" w:eastAsia="Wingdings" w:hAnsi="Wingdings" w:cs="Wingdings"/>
      </w:rPr>
    </w:lvl>
  </w:abstractNum>
  <w:abstractNum w:abstractNumId="13" w15:restartNumberingAfterBreak="0">
    <w:nsid w:val="41B91620"/>
    <w:multiLevelType w:val="hybridMultilevel"/>
    <w:tmpl w:val="0BA86FBE"/>
    <w:lvl w:ilvl="0" w:tplc="6E3ED644">
      <w:start w:val="1"/>
      <w:numFmt w:val="bullet"/>
      <w:lvlText w:val="–"/>
      <w:lvlJc w:val="left"/>
      <w:pPr>
        <w:ind w:left="709" w:hanging="360"/>
      </w:pPr>
      <w:rPr>
        <w:rFonts w:ascii="Arial" w:eastAsia="Arial" w:hAnsi="Arial" w:cs="Arial"/>
      </w:rPr>
    </w:lvl>
    <w:lvl w:ilvl="1" w:tplc="ADE6F19A">
      <w:start w:val="1"/>
      <w:numFmt w:val="bullet"/>
      <w:lvlText w:val="o"/>
      <w:lvlJc w:val="left"/>
      <w:pPr>
        <w:ind w:left="1429" w:hanging="360"/>
      </w:pPr>
      <w:rPr>
        <w:rFonts w:ascii="Courier New" w:eastAsia="Courier New" w:hAnsi="Courier New" w:cs="Courier New"/>
      </w:rPr>
    </w:lvl>
    <w:lvl w:ilvl="2" w:tplc="4F3E6DDC">
      <w:start w:val="1"/>
      <w:numFmt w:val="bullet"/>
      <w:lvlText w:val="§"/>
      <w:lvlJc w:val="left"/>
      <w:pPr>
        <w:ind w:left="2149" w:hanging="360"/>
      </w:pPr>
      <w:rPr>
        <w:rFonts w:ascii="Wingdings" w:eastAsia="Wingdings" w:hAnsi="Wingdings" w:cs="Wingdings"/>
      </w:rPr>
    </w:lvl>
    <w:lvl w:ilvl="3" w:tplc="ECA407E8">
      <w:start w:val="1"/>
      <w:numFmt w:val="bullet"/>
      <w:lvlText w:val="·"/>
      <w:lvlJc w:val="left"/>
      <w:pPr>
        <w:ind w:left="2869" w:hanging="360"/>
      </w:pPr>
      <w:rPr>
        <w:rFonts w:ascii="Symbol" w:eastAsia="Symbol" w:hAnsi="Symbol" w:cs="Symbol"/>
      </w:rPr>
    </w:lvl>
    <w:lvl w:ilvl="4" w:tplc="90300492">
      <w:start w:val="1"/>
      <w:numFmt w:val="bullet"/>
      <w:lvlText w:val="o"/>
      <w:lvlJc w:val="left"/>
      <w:pPr>
        <w:ind w:left="3589" w:hanging="360"/>
      </w:pPr>
      <w:rPr>
        <w:rFonts w:ascii="Courier New" w:eastAsia="Courier New" w:hAnsi="Courier New" w:cs="Courier New"/>
      </w:rPr>
    </w:lvl>
    <w:lvl w:ilvl="5" w:tplc="B782ACE4">
      <w:start w:val="1"/>
      <w:numFmt w:val="bullet"/>
      <w:lvlText w:val="§"/>
      <w:lvlJc w:val="left"/>
      <w:pPr>
        <w:ind w:left="4309" w:hanging="360"/>
      </w:pPr>
      <w:rPr>
        <w:rFonts w:ascii="Wingdings" w:eastAsia="Wingdings" w:hAnsi="Wingdings" w:cs="Wingdings"/>
      </w:rPr>
    </w:lvl>
    <w:lvl w:ilvl="6" w:tplc="40265738">
      <w:start w:val="1"/>
      <w:numFmt w:val="bullet"/>
      <w:lvlText w:val="·"/>
      <w:lvlJc w:val="left"/>
      <w:pPr>
        <w:ind w:left="5029" w:hanging="360"/>
      </w:pPr>
      <w:rPr>
        <w:rFonts w:ascii="Symbol" w:eastAsia="Symbol" w:hAnsi="Symbol" w:cs="Symbol"/>
      </w:rPr>
    </w:lvl>
    <w:lvl w:ilvl="7" w:tplc="97DE90E8">
      <w:start w:val="1"/>
      <w:numFmt w:val="bullet"/>
      <w:lvlText w:val="o"/>
      <w:lvlJc w:val="left"/>
      <w:pPr>
        <w:ind w:left="5749" w:hanging="360"/>
      </w:pPr>
      <w:rPr>
        <w:rFonts w:ascii="Courier New" w:eastAsia="Courier New" w:hAnsi="Courier New" w:cs="Courier New"/>
      </w:rPr>
    </w:lvl>
    <w:lvl w:ilvl="8" w:tplc="892496FE">
      <w:start w:val="1"/>
      <w:numFmt w:val="bullet"/>
      <w:lvlText w:val="§"/>
      <w:lvlJc w:val="left"/>
      <w:pPr>
        <w:ind w:left="6469" w:hanging="360"/>
      </w:pPr>
      <w:rPr>
        <w:rFonts w:ascii="Wingdings" w:eastAsia="Wingdings" w:hAnsi="Wingdings" w:cs="Wingdings"/>
      </w:rPr>
    </w:lvl>
  </w:abstractNum>
  <w:abstractNum w:abstractNumId="14" w15:restartNumberingAfterBreak="0">
    <w:nsid w:val="42520CDA"/>
    <w:multiLevelType w:val="hybridMultilevel"/>
    <w:tmpl w:val="52EEE71A"/>
    <w:lvl w:ilvl="0" w:tplc="656AEF46">
      <w:start w:val="1"/>
      <w:numFmt w:val="decimal"/>
      <w:lvlText w:val="[%1]"/>
      <w:lvlJc w:val="left"/>
      <w:pPr>
        <w:ind w:left="720" w:hanging="360"/>
      </w:pPr>
      <w:rPr>
        <w:b w:val="0"/>
      </w:rPr>
    </w:lvl>
    <w:lvl w:ilvl="1" w:tplc="F058192E">
      <w:start w:val="1"/>
      <w:numFmt w:val="lowerLetter"/>
      <w:lvlText w:val="%2."/>
      <w:lvlJc w:val="left"/>
      <w:pPr>
        <w:ind w:left="1440" w:hanging="360"/>
      </w:pPr>
    </w:lvl>
    <w:lvl w:ilvl="2" w:tplc="75805064">
      <w:start w:val="1"/>
      <w:numFmt w:val="lowerRoman"/>
      <w:lvlText w:val="%3."/>
      <w:lvlJc w:val="right"/>
      <w:pPr>
        <w:ind w:left="2160" w:hanging="180"/>
      </w:pPr>
    </w:lvl>
    <w:lvl w:ilvl="3" w:tplc="82486DC4">
      <w:start w:val="1"/>
      <w:numFmt w:val="decimal"/>
      <w:lvlText w:val="%4."/>
      <w:lvlJc w:val="left"/>
      <w:pPr>
        <w:ind w:left="2880" w:hanging="360"/>
      </w:pPr>
    </w:lvl>
    <w:lvl w:ilvl="4" w:tplc="8618CB84">
      <w:start w:val="1"/>
      <w:numFmt w:val="lowerLetter"/>
      <w:lvlText w:val="%5."/>
      <w:lvlJc w:val="left"/>
      <w:pPr>
        <w:ind w:left="3600" w:hanging="360"/>
      </w:pPr>
    </w:lvl>
    <w:lvl w:ilvl="5" w:tplc="FCF62D58">
      <w:start w:val="1"/>
      <w:numFmt w:val="lowerRoman"/>
      <w:lvlText w:val="%6."/>
      <w:lvlJc w:val="right"/>
      <w:pPr>
        <w:ind w:left="4320" w:hanging="180"/>
      </w:pPr>
    </w:lvl>
    <w:lvl w:ilvl="6" w:tplc="E7B21A68">
      <w:start w:val="1"/>
      <w:numFmt w:val="decimal"/>
      <w:lvlText w:val="%7."/>
      <w:lvlJc w:val="left"/>
      <w:pPr>
        <w:ind w:left="5040" w:hanging="360"/>
      </w:pPr>
    </w:lvl>
    <w:lvl w:ilvl="7" w:tplc="4E3CA53E">
      <w:start w:val="1"/>
      <w:numFmt w:val="lowerLetter"/>
      <w:lvlText w:val="%8."/>
      <w:lvlJc w:val="left"/>
      <w:pPr>
        <w:ind w:left="5760" w:hanging="360"/>
      </w:pPr>
    </w:lvl>
    <w:lvl w:ilvl="8" w:tplc="E3E20C62">
      <w:start w:val="1"/>
      <w:numFmt w:val="lowerRoman"/>
      <w:lvlText w:val="%9."/>
      <w:lvlJc w:val="right"/>
      <w:pPr>
        <w:ind w:left="6480" w:hanging="180"/>
      </w:pPr>
    </w:lvl>
  </w:abstractNum>
  <w:abstractNum w:abstractNumId="15" w15:restartNumberingAfterBreak="0">
    <w:nsid w:val="4C7025D8"/>
    <w:multiLevelType w:val="hybridMultilevel"/>
    <w:tmpl w:val="FDA2F50C"/>
    <w:lvl w:ilvl="0" w:tplc="4FF6F194">
      <w:start w:val="1"/>
      <w:numFmt w:val="bullet"/>
      <w:lvlText w:val="–"/>
      <w:lvlJc w:val="left"/>
      <w:pPr>
        <w:ind w:left="709" w:hanging="360"/>
      </w:pPr>
      <w:rPr>
        <w:rFonts w:ascii="Arial" w:eastAsia="Arial" w:hAnsi="Arial" w:cs="Arial"/>
      </w:rPr>
    </w:lvl>
    <w:lvl w:ilvl="1" w:tplc="4CB63EEE">
      <w:start w:val="1"/>
      <w:numFmt w:val="bullet"/>
      <w:lvlText w:val="o"/>
      <w:lvlJc w:val="left"/>
      <w:pPr>
        <w:ind w:left="1429" w:hanging="360"/>
      </w:pPr>
      <w:rPr>
        <w:rFonts w:ascii="Courier New" w:eastAsia="Courier New" w:hAnsi="Courier New" w:cs="Courier New"/>
      </w:rPr>
    </w:lvl>
    <w:lvl w:ilvl="2" w:tplc="9208B28A">
      <w:start w:val="1"/>
      <w:numFmt w:val="bullet"/>
      <w:lvlText w:val="§"/>
      <w:lvlJc w:val="left"/>
      <w:pPr>
        <w:ind w:left="2149" w:hanging="360"/>
      </w:pPr>
      <w:rPr>
        <w:rFonts w:ascii="Wingdings" w:eastAsia="Wingdings" w:hAnsi="Wingdings" w:cs="Wingdings"/>
      </w:rPr>
    </w:lvl>
    <w:lvl w:ilvl="3" w:tplc="D1068172">
      <w:start w:val="1"/>
      <w:numFmt w:val="bullet"/>
      <w:lvlText w:val="·"/>
      <w:lvlJc w:val="left"/>
      <w:pPr>
        <w:ind w:left="2869" w:hanging="360"/>
      </w:pPr>
      <w:rPr>
        <w:rFonts w:ascii="Symbol" w:eastAsia="Symbol" w:hAnsi="Symbol" w:cs="Symbol"/>
      </w:rPr>
    </w:lvl>
    <w:lvl w:ilvl="4" w:tplc="88769396">
      <w:start w:val="1"/>
      <w:numFmt w:val="bullet"/>
      <w:lvlText w:val="o"/>
      <w:lvlJc w:val="left"/>
      <w:pPr>
        <w:ind w:left="3589" w:hanging="360"/>
      </w:pPr>
      <w:rPr>
        <w:rFonts w:ascii="Courier New" w:eastAsia="Courier New" w:hAnsi="Courier New" w:cs="Courier New"/>
      </w:rPr>
    </w:lvl>
    <w:lvl w:ilvl="5" w:tplc="4D5AEF70">
      <w:start w:val="1"/>
      <w:numFmt w:val="bullet"/>
      <w:lvlText w:val="§"/>
      <w:lvlJc w:val="left"/>
      <w:pPr>
        <w:ind w:left="4309" w:hanging="360"/>
      </w:pPr>
      <w:rPr>
        <w:rFonts w:ascii="Wingdings" w:eastAsia="Wingdings" w:hAnsi="Wingdings" w:cs="Wingdings"/>
      </w:rPr>
    </w:lvl>
    <w:lvl w:ilvl="6" w:tplc="62F607F8">
      <w:start w:val="1"/>
      <w:numFmt w:val="bullet"/>
      <w:lvlText w:val="·"/>
      <w:lvlJc w:val="left"/>
      <w:pPr>
        <w:ind w:left="5029" w:hanging="360"/>
      </w:pPr>
      <w:rPr>
        <w:rFonts w:ascii="Symbol" w:eastAsia="Symbol" w:hAnsi="Symbol" w:cs="Symbol"/>
      </w:rPr>
    </w:lvl>
    <w:lvl w:ilvl="7" w:tplc="FEF46BC2">
      <w:start w:val="1"/>
      <w:numFmt w:val="bullet"/>
      <w:lvlText w:val="o"/>
      <w:lvlJc w:val="left"/>
      <w:pPr>
        <w:ind w:left="5749" w:hanging="360"/>
      </w:pPr>
      <w:rPr>
        <w:rFonts w:ascii="Courier New" w:eastAsia="Courier New" w:hAnsi="Courier New" w:cs="Courier New"/>
      </w:rPr>
    </w:lvl>
    <w:lvl w:ilvl="8" w:tplc="78C22BE8">
      <w:start w:val="1"/>
      <w:numFmt w:val="bullet"/>
      <w:lvlText w:val="§"/>
      <w:lvlJc w:val="left"/>
      <w:pPr>
        <w:ind w:left="6469" w:hanging="360"/>
      </w:pPr>
      <w:rPr>
        <w:rFonts w:ascii="Wingdings" w:eastAsia="Wingdings" w:hAnsi="Wingdings" w:cs="Wingdings"/>
      </w:rPr>
    </w:lvl>
  </w:abstractNum>
  <w:abstractNum w:abstractNumId="16" w15:restartNumberingAfterBreak="0">
    <w:nsid w:val="4EC23C9D"/>
    <w:multiLevelType w:val="hybridMultilevel"/>
    <w:tmpl w:val="4134E29C"/>
    <w:lvl w:ilvl="0" w:tplc="1A163388">
      <w:start w:val="1"/>
      <w:numFmt w:val="bullet"/>
      <w:lvlText w:val="–"/>
      <w:lvlJc w:val="left"/>
      <w:pPr>
        <w:ind w:left="709" w:hanging="360"/>
      </w:pPr>
      <w:rPr>
        <w:rFonts w:ascii="Arial" w:eastAsia="Arial" w:hAnsi="Arial" w:cs="Arial"/>
      </w:rPr>
    </w:lvl>
    <w:lvl w:ilvl="1" w:tplc="3CC6C8E0">
      <w:start w:val="1"/>
      <w:numFmt w:val="bullet"/>
      <w:lvlText w:val="o"/>
      <w:lvlJc w:val="left"/>
      <w:pPr>
        <w:ind w:left="1429" w:hanging="360"/>
      </w:pPr>
      <w:rPr>
        <w:rFonts w:ascii="Courier New" w:eastAsia="Courier New" w:hAnsi="Courier New" w:cs="Courier New"/>
      </w:rPr>
    </w:lvl>
    <w:lvl w:ilvl="2" w:tplc="EC5E7DE2">
      <w:start w:val="1"/>
      <w:numFmt w:val="bullet"/>
      <w:lvlText w:val="§"/>
      <w:lvlJc w:val="left"/>
      <w:pPr>
        <w:ind w:left="2149" w:hanging="360"/>
      </w:pPr>
      <w:rPr>
        <w:rFonts w:ascii="Wingdings" w:eastAsia="Wingdings" w:hAnsi="Wingdings" w:cs="Wingdings"/>
      </w:rPr>
    </w:lvl>
    <w:lvl w:ilvl="3" w:tplc="D0168058">
      <w:start w:val="1"/>
      <w:numFmt w:val="bullet"/>
      <w:lvlText w:val="·"/>
      <w:lvlJc w:val="left"/>
      <w:pPr>
        <w:ind w:left="2869" w:hanging="360"/>
      </w:pPr>
      <w:rPr>
        <w:rFonts w:ascii="Symbol" w:eastAsia="Symbol" w:hAnsi="Symbol" w:cs="Symbol"/>
      </w:rPr>
    </w:lvl>
    <w:lvl w:ilvl="4" w:tplc="10249506">
      <w:start w:val="1"/>
      <w:numFmt w:val="bullet"/>
      <w:lvlText w:val="o"/>
      <w:lvlJc w:val="left"/>
      <w:pPr>
        <w:ind w:left="3589" w:hanging="360"/>
      </w:pPr>
      <w:rPr>
        <w:rFonts w:ascii="Courier New" w:eastAsia="Courier New" w:hAnsi="Courier New" w:cs="Courier New"/>
      </w:rPr>
    </w:lvl>
    <w:lvl w:ilvl="5" w:tplc="AB7EAFE6">
      <w:start w:val="1"/>
      <w:numFmt w:val="bullet"/>
      <w:lvlText w:val="§"/>
      <w:lvlJc w:val="left"/>
      <w:pPr>
        <w:ind w:left="4309" w:hanging="360"/>
      </w:pPr>
      <w:rPr>
        <w:rFonts w:ascii="Wingdings" w:eastAsia="Wingdings" w:hAnsi="Wingdings" w:cs="Wingdings"/>
      </w:rPr>
    </w:lvl>
    <w:lvl w:ilvl="6" w:tplc="A26C70D2">
      <w:start w:val="1"/>
      <w:numFmt w:val="bullet"/>
      <w:lvlText w:val="·"/>
      <w:lvlJc w:val="left"/>
      <w:pPr>
        <w:ind w:left="5029" w:hanging="360"/>
      </w:pPr>
      <w:rPr>
        <w:rFonts w:ascii="Symbol" w:eastAsia="Symbol" w:hAnsi="Symbol" w:cs="Symbol"/>
      </w:rPr>
    </w:lvl>
    <w:lvl w:ilvl="7" w:tplc="B62A16F4">
      <w:start w:val="1"/>
      <w:numFmt w:val="bullet"/>
      <w:lvlText w:val="o"/>
      <w:lvlJc w:val="left"/>
      <w:pPr>
        <w:ind w:left="5749" w:hanging="360"/>
      </w:pPr>
      <w:rPr>
        <w:rFonts w:ascii="Courier New" w:eastAsia="Courier New" w:hAnsi="Courier New" w:cs="Courier New"/>
      </w:rPr>
    </w:lvl>
    <w:lvl w:ilvl="8" w:tplc="071C29A2">
      <w:start w:val="1"/>
      <w:numFmt w:val="bullet"/>
      <w:lvlText w:val="§"/>
      <w:lvlJc w:val="left"/>
      <w:pPr>
        <w:ind w:left="6469" w:hanging="360"/>
      </w:pPr>
      <w:rPr>
        <w:rFonts w:ascii="Wingdings" w:eastAsia="Wingdings" w:hAnsi="Wingdings" w:cs="Wingdings"/>
      </w:rPr>
    </w:lvl>
  </w:abstractNum>
  <w:abstractNum w:abstractNumId="17" w15:restartNumberingAfterBreak="0">
    <w:nsid w:val="5A274542"/>
    <w:multiLevelType w:val="hybridMultilevel"/>
    <w:tmpl w:val="8ACC4808"/>
    <w:lvl w:ilvl="0" w:tplc="DC0C7A3C">
      <w:start w:val="1"/>
      <w:numFmt w:val="bullet"/>
      <w:lvlText w:val="–"/>
      <w:lvlJc w:val="left"/>
      <w:pPr>
        <w:ind w:left="709" w:hanging="360"/>
      </w:pPr>
      <w:rPr>
        <w:rFonts w:ascii="Arial" w:eastAsia="Arial" w:hAnsi="Arial" w:cs="Arial"/>
      </w:rPr>
    </w:lvl>
    <w:lvl w:ilvl="1" w:tplc="C2002B2A">
      <w:start w:val="1"/>
      <w:numFmt w:val="bullet"/>
      <w:lvlText w:val="o"/>
      <w:lvlJc w:val="left"/>
      <w:pPr>
        <w:ind w:left="1429" w:hanging="360"/>
      </w:pPr>
      <w:rPr>
        <w:rFonts w:ascii="Courier New" w:eastAsia="Courier New" w:hAnsi="Courier New" w:cs="Courier New"/>
      </w:rPr>
    </w:lvl>
    <w:lvl w:ilvl="2" w:tplc="5ADAE35E">
      <w:start w:val="1"/>
      <w:numFmt w:val="bullet"/>
      <w:lvlText w:val="§"/>
      <w:lvlJc w:val="left"/>
      <w:pPr>
        <w:ind w:left="2149" w:hanging="360"/>
      </w:pPr>
      <w:rPr>
        <w:rFonts w:ascii="Wingdings" w:eastAsia="Wingdings" w:hAnsi="Wingdings" w:cs="Wingdings"/>
      </w:rPr>
    </w:lvl>
    <w:lvl w:ilvl="3" w:tplc="12A0DEC2">
      <w:start w:val="1"/>
      <w:numFmt w:val="bullet"/>
      <w:lvlText w:val="·"/>
      <w:lvlJc w:val="left"/>
      <w:pPr>
        <w:ind w:left="2869" w:hanging="360"/>
      </w:pPr>
      <w:rPr>
        <w:rFonts w:ascii="Symbol" w:eastAsia="Symbol" w:hAnsi="Symbol" w:cs="Symbol"/>
      </w:rPr>
    </w:lvl>
    <w:lvl w:ilvl="4" w:tplc="490493CA">
      <w:start w:val="1"/>
      <w:numFmt w:val="bullet"/>
      <w:lvlText w:val="o"/>
      <w:lvlJc w:val="left"/>
      <w:pPr>
        <w:ind w:left="3589" w:hanging="360"/>
      </w:pPr>
      <w:rPr>
        <w:rFonts w:ascii="Courier New" w:eastAsia="Courier New" w:hAnsi="Courier New" w:cs="Courier New"/>
      </w:rPr>
    </w:lvl>
    <w:lvl w:ilvl="5" w:tplc="17BCF3C6">
      <w:start w:val="1"/>
      <w:numFmt w:val="bullet"/>
      <w:lvlText w:val="§"/>
      <w:lvlJc w:val="left"/>
      <w:pPr>
        <w:ind w:left="4309" w:hanging="360"/>
      </w:pPr>
      <w:rPr>
        <w:rFonts w:ascii="Wingdings" w:eastAsia="Wingdings" w:hAnsi="Wingdings" w:cs="Wingdings"/>
      </w:rPr>
    </w:lvl>
    <w:lvl w:ilvl="6" w:tplc="7FC2B718">
      <w:start w:val="1"/>
      <w:numFmt w:val="bullet"/>
      <w:lvlText w:val="·"/>
      <w:lvlJc w:val="left"/>
      <w:pPr>
        <w:ind w:left="5029" w:hanging="360"/>
      </w:pPr>
      <w:rPr>
        <w:rFonts w:ascii="Symbol" w:eastAsia="Symbol" w:hAnsi="Symbol" w:cs="Symbol"/>
      </w:rPr>
    </w:lvl>
    <w:lvl w:ilvl="7" w:tplc="BE0A30EE">
      <w:start w:val="1"/>
      <w:numFmt w:val="bullet"/>
      <w:lvlText w:val="o"/>
      <w:lvlJc w:val="left"/>
      <w:pPr>
        <w:ind w:left="5749" w:hanging="360"/>
      </w:pPr>
      <w:rPr>
        <w:rFonts w:ascii="Courier New" w:eastAsia="Courier New" w:hAnsi="Courier New" w:cs="Courier New"/>
      </w:rPr>
    </w:lvl>
    <w:lvl w:ilvl="8" w:tplc="85E2D8DA">
      <w:start w:val="1"/>
      <w:numFmt w:val="bullet"/>
      <w:lvlText w:val="§"/>
      <w:lvlJc w:val="left"/>
      <w:pPr>
        <w:ind w:left="6469" w:hanging="360"/>
      </w:pPr>
      <w:rPr>
        <w:rFonts w:ascii="Wingdings" w:eastAsia="Wingdings" w:hAnsi="Wingdings" w:cs="Wingdings"/>
      </w:rPr>
    </w:lvl>
  </w:abstractNum>
  <w:abstractNum w:abstractNumId="18" w15:restartNumberingAfterBreak="0">
    <w:nsid w:val="63046024"/>
    <w:multiLevelType w:val="hybridMultilevel"/>
    <w:tmpl w:val="3F3EC12A"/>
    <w:lvl w:ilvl="0" w:tplc="EF58A83C">
      <w:start w:val="1"/>
      <w:numFmt w:val="bullet"/>
      <w:pStyle w:val="ListBulleted"/>
      <w:lvlText w:val=""/>
      <w:lvlJc w:val="left"/>
      <w:pPr>
        <w:tabs>
          <w:tab w:val="num" w:pos="1179"/>
        </w:tabs>
        <w:ind w:left="1179" w:hanging="360"/>
      </w:pPr>
      <w:rPr>
        <w:rFonts w:ascii="Symbol" w:hAnsi="Symbol" w:hint="default"/>
      </w:rPr>
    </w:lvl>
    <w:lvl w:ilvl="1" w:tplc="8DF465C4">
      <w:start w:val="1"/>
      <w:numFmt w:val="bullet"/>
      <w:lvlText w:val="o"/>
      <w:lvlJc w:val="left"/>
      <w:pPr>
        <w:tabs>
          <w:tab w:val="num" w:pos="1899"/>
        </w:tabs>
        <w:ind w:left="1899" w:hanging="360"/>
      </w:pPr>
      <w:rPr>
        <w:rFonts w:ascii="Courier New" w:hAnsi="Courier New" w:hint="default"/>
      </w:rPr>
    </w:lvl>
    <w:lvl w:ilvl="2" w:tplc="67FA6160">
      <w:start w:val="1"/>
      <w:numFmt w:val="bullet"/>
      <w:lvlText w:val=""/>
      <w:lvlJc w:val="left"/>
      <w:pPr>
        <w:tabs>
          <w:tab w:val="num" w:pos="2619"/>
        </w:tabs>
        <w:ind w:left="2619" w:hanging="360"/>
      </w:pPr>
      <w:rPr>
        <w:rFonts w:ascii="Wingdings" w:hAnsi="Wingdings" w:hint="default"/>
      </w:rPr>
    </w:lvl>
    <w:lvl w:ilvl="3" w:tplc="1C9AB692">
      <w:start w:val="1"/>
      <w:numFmt w:val="bullet"/>
      <w:lvlText w:val=""/>
      <w:lvlJc w:val="left"/>
      <w:pPr>
        <w:tabs>
          <w:tab w:val="num" w:pos="3339"/>
        </w:tabs>
        <w:ind w:left="3339" w:hanging="360"/>
      </w:pPr>
      <w:rPr>
        <w:rFonts w:ascii="Symbol" w:hAnsi="Symbol" w:hint="default"/>
      </w:rPr>
    </w:lvl>
    <w:lvl w:ilvl="4" w:tplc="7B3A02CA">
      <w:start w:val="1"/>
      <w:numFmt w:val="bullet"/>
      <w:lvlText w:val="o"/>
      <w:lvlJc w:val="left"/>
      <w:pPr>
        <w:tabs>
          <w:tab w:val="num" w:pos="4059"/>
        </w:tabs>
        <w:ind w:left="4059" w:hanging="360"/>
      </w:pPr>
      <w:rPr>
        <w:rFonts w:ascii="Courier New" w:hAnsi="Courier New" w:hint="default"/>
      </w:rPr>
    </w:lvl>
    <w:lvl w:ilvl="5" w:tplc="7034F656">
      <w:start w:val="1"/>
      <w:numFmt w:val="bullet"/>
      <w:lvlText w:val=""/>
      <w:lvlJc w:val="left"/>
      <w:pPr>
        <w:tabs>
          <w:tab w:val="num" w:pos="4779"/>
        </w:tabs>
        <w:ind w:left="4779" w:hanging="360"/>
      </w:pPr>
      <w:rPr>
        <w:rFonts w:ascii="Wingdings" w:hAnsi="Wingdings" w:hint="default"/>
      </w:rPr>
    </w:lvl>
    <w:lvl w:ilvl="6" w:tplc="FB72F748">
      <w:start w:val="1"/>
      <w:numFmt w:val="bullet"/>
      <w:lvlText w:val=""/>
      <w:lvlJc w:val="left"/>
      <w:pPr>
        <w:tabs>
          <w:tab w:val="num" w:pos="5499"/>
        </w:tabs>
        <w:ind w:left="5499" w:hanging="360"/>
      </w:pPr>
      <w:rPr>
        <w:rFonts w:ascii="Symbol" w:hAnsi="Symbol" w:hint="default"/>
      </w:rPr>
    </w:lvl>
    <w:lvl w:ilvl="7" w:tplc="475E2F80">
      <w:start w:val="1"/>
      <w:numFmt w:val="bullet"/>
      <w:lvlText w:val="o"/>
      <w:lvlJc w:val="left"/>
      <w:pPr>
        <w:tabs>
          <w:tab w:val="num" w:pos="6219"/>
        </w:tabs>
        <w:ind w:left="6219" w:hanging="360"/>
      </w:pPr>
      <w:rPr>
        <w:rFonts w:ascii="Courier New" w:hAnsi="Courier New" w:hint="default"/>
      </w:rPr>
    </w:lvl>
    <w:lvl w:ilvl="8" w:tplc="A32429F0">
      <w:start w:val="1"/>
      <w:numFmt w:val="bullet"/>
      <w:lvlText w:val=""/>
      <w:lvlJc w:val="left"/>
      <w:pPr>
        <w:tabs>
          <w:tab w:val="num" w:pos="6939"/>
        </w:tabs>
        <w:ind w:left="6939" w:hanging="360"/>
      </w:pPr>
      <w:rPr>
        <w:rFonts w:ascii="Wingdings" w:hAnsi="Wingdings" w:hint="default"/>
      </w:rPr>
    </w:lvl>
  </w:abstractNum>
  <w:abstractNum w:abstractNumId="19" w15:restartNumberingAfterBreak="0">
    <w:nsid w:val="64380DF7"/>
    <w:multiLevelType w:val="hybridMultilevel"/>
    <w:tmpl w:val="BC3273B6"/>
    <w:lvl w:ilvl="0" w:tplc="663A5852">
      <w:start w:val="1"/>
      <w:numFmt w:val="lowerLetter"/>
      <w:pStyle w:val="ListNumbered"/>
      <w:lvlText w:val="(%1)"/>
      <w:lvlJc w:val="left"/>
      <w:pPr>
        <w:ind w:left="720" w:hanging="360"/>
      </w:pPr>
      <w:rPr>
        <w:rFonts w:hint="default"/>
      </w:rPr>
    </w:lvl>
    <w:lvl w:ilvl="1" w:tplc="DD56AD14">
      <w:start w:val="1"/>
      <w:numFmt w:val="lowerLetter"/>
      <w:lvlText w:val="%2."/>
      <w:lvlJc w:val="left"/>
      <w:pPr>
        <w:ind w:left="1440" w:hanging="360"/>
      </w:pPr>
    </w:lvl>
    <w:lvl w:ilvl="2" w:tplc="487AC7C4">
      <w:start w:val="1"/>
      <w:numFmt w:val="lowerRoman"/>
      <w:lvlText w:val="%3."/>
      <w:lvlJc w:val="right"/>
      <w:pPr>
        <w:ind w:left="2160" w:hanging="180"/>
      </w:pPr>
    </w:lvl>
    <w:lvl w:ilvl="3" w:tplc="4C70D4E2">
      <w:start w:val="1"/>
      <w:numFmt w:val="decimal"/>
      <w:lvlText w:val="%4."/>
      <w:lvlJc w:val="left"/>
      <w:pPr>
        <w:ind w:left="2880" w:hanging="360"/>
      </w:pPr>
    </w:lvl>
    <w:lvl w:ilvl="4" w:tplc="691E337C">
      <w:start w:val="1"/>
      <w:numFmt w:val="lowerLetter"/>
      <w:lvlText w:val="%5."/>
      <w:lvlJc w:val="left"/>
      <w:pPr>
        <w:ind w:left="3600" w:hanging="360"/>
      </w:pPr>
    </w:lvl>
    <w:lvl w:ilvl="5" w:tplc="75EC588E">
      <w:start w:val="1"/>
      <w:numFmt w:val="lowerRoman"/>
      <w:lvlText w:val="%6."/>
      <w:lvlJc w:val="right"/>
      <w:pPr>
        <w:ind w:left="4320" w:hanging="180"/>
      </w:pPr>
    </w:lvl>
    <w:lvl w:ilvl="6" w:tplc="9C921E1A">
      <w:start w:val="1"/>
      <w:numFmt w:val="decimal"/>
      <w:lvlText w:val="%7."/>
      <w:lvlJc w:val="left"/>
      <w:pPr>
        <w:ind w:left="5040" w:hanging="360"/>
      </w:pPr>
    </w:lvl>
    <w:lvl w:ilvl="7" w:tplc="3DFE9E86">
      <w:start w:val="1"/>
      <w:numFmt w:val="lowerLetter"/>
      <w:lvlText w:val="%8."/>
      <w:lvlJc w:val="left"/>
      <w:pPr>
        <w:ind w:left="5760" w:hanging="360"/>
      </w:pPr>
    </w:lvl>
    <w:lvl w:ilvl="8" w:tplc="EC565CD8">
      <w:start w:val="1"/>
      <w:numFmt w:val="lowerRoman"/>
      <w:lvlText w:val="%9."/>
      <w:lvlJc w:val="right"/>
      <w:pPr>
        <w:ind w:left="6480" w:hanging="180"/>
      </w:pPr>
    </w:lvl>
  </w:abstractNum>
  <w:abstractNum w:abstractNumId="20" w15:restartNumberingAfterBreak="0">
    <w:nsid w:val="6E5C02F9"/>
    <w:multiLevelType w:val="hybridMultilevel"/>
    <w:tmpl w:val="75E8CA4E"/>
    <w:lvl w:ilvl="0" w:tplc="9E98CD8E">
      <w:start w:val="1"/>
      <w:numFmt w:val="bullet"/>
      <w:lvlText w:val="-"/>
      <w:lvlJc w:val="left"/>
      <w:pPr>
        <w:tabs>
          <w:tab w:val="num" w:pos="919"/>
        </w:tabs>
        <w:ind w:left="919" w:hanging="460"/>
      </w:pPr>
      <w:rPr>
        <w:rFonts w:ascii="Times New Roman" w:hAnsi="Times New Roman" w:cs="Times New Roman" w:hint="default"/>
        <w:b w:val="0"/>
        <w:i w:val="0"/>
        <w:caps w:val="0"/>
        <w:strike w:val="0"/>
        <w:vanish w:val="0"/>
        <w:color w:val="000000"/>
        <w:sz w:val="24"/>
        <w:vertAlign w:val="baseline"/>
        <w14:textOutline w14:w="0" w14:cap="rnd" w14:cmpd="sng" w14:algn="ctr">
          <w14:noFill/>
          <w14:prstDash w14:val="solid"/>
          <w14:bevel/>
        </w14:textOutline>
      </w:rPr>
    </w:lvl>
    <w:lvl w:ilvl="1" w:tplc="5C14DAB8">
      <w:start w:val="1"/>
      <w:numFmt w:val="bullet"/>
      <w:lvlText w:val="o"/>
      <w:lvlJc w:val="left"/>
      <w:pPr>
        <w:tabs>
          <w:tab w:val="num" w:pos="1440"/>
        </w:tabs>
        <w:ind w:left="1440" w:hanging="360"/>
      </w:pPr>
      <w:rPr>
        <w:rFonts w:ascii="Courier New" w:hAnsi="Courier New" w:hint="default"/>
      </w:rPr>
    </w:lvl>
    <w:lvl w:ilvl="2" w:tplc="6C84759C">
      <w:start w:val="1"/>
      <w:numFmt w:val="bullet"/>
      <w:lvlText w:val=""/>
      <w:lvlJc w:val="left"/>
      <w:pPr>
        <w:tabs>
          <w:tab w:val="num" w:pos="2160"/>
        </w:tabs>
        <w:ind w:left="2160" w:hanging="360"/>
      </w:pPr>
      <w:rPr>
        <w:rFonts w:ascii="Wingdings" w:hAnsi="Wingdings" w:hint="default"/>
      </w:rPr>
    </w:lvl>
    <w:lvl w:ilvl="3" w:tplc="7FA8D3E4">
      <w:start w:val="1"/>
      <w:numFmt w:val="bullet"/>
      <w:lvlText w:val=""/>
      <w:lvlJc w:val="left"/>
      <w:pPr>
        <w:tabs>
          <w:tab w:val="num" w:pos="2880"/>
        </w:tabs>
        <w:ind w:left="2880" w:hanging="360"/>
      </w:pPr>
      <w:rPr>
        <w:rFonts w:ascii="Symbol" w:hAnsi="Symbol" w:hint="default"/>
      </w:rPr>
    </w:lvl>
    <w:lvl w:ilvl="4" w:tplc="4F3061C4">
      <w:start w:val="1"/>
      <w:numFmt w:val="bullet"/>
      <w:lvlText w:val="o"/>
      <w:lvlJc w:val="left"/>
      <w:pPr>
        <w:tabs>
          <w:tab w:val="num" w:pos="3600"/>
        </w:tabs>
        <w:ind w:left="3600" w:hanging="360"/>
      </w:pPr>
      <w:rPr>
        <w:rFonts w:ascii="Courier New" w:hAnsi="Courier New" w:hint="default"/>
      </w:rPr>
    </w:lvl>
    <w:lvl w:ilvl="5" w:tplc="FEF802EE">
      <w:start w:val="1"/>
      <w:numFmt w:val="bullet"/>
      <w:lvlText w:val=""/>
      <w:lvlJc w:val="left"/>
      <w:pPr>
        <w:tabs>
          <w:tab w:val="num" w:pos="4320"/>
        </w:tabs>
        <w:ind w:left="4320" w:hanging="360"/>
      </w:pPr>
      <w:rPr>
        <w:rFonts w:ascii="Wingdings" w:hAnsi="Wingdings" w:hint="default"/>
      </w:rPr>
    </w:lvl>
    <w:lvl w:ilvl="6" w:tplc="A508AB92">
      <w:start w:val="1"/>
      <w:numFmt w:val="bullet"/>
      <w:lvlText w:val=""/>
      <w:lvlJc w:val="left"/>
      <w:pPr>
        <w:tabs>
          <w:tab w:val="num" w:pos="5040"/>
        </w:tabs>
        <w:ind w:left="5040" w:hanging="360"/>
      </w:pPr>
      <w:rPr>
        <w:rFonts w:ascii="Symbol" w:hAnsi="Symbol" w:hint="default"/>
      </w:rPr>
    </w:lvl>
    <w:lvl w:ilvl="7" w:tplc="6B68CCE2">
      <w:start w:val="1"/>
      <w:numFmt w:val="bullet"/>
      <w:lvlText w:val="o"/>
      <w:lvlJc w:val="left"/>
      <w:pPr>
        <w:tabs>
          <w:tab w:val="num" w:pos="5760"/>
        </w:tabs>
        <w:ind w:left="5760" w:hanging="360"/>
      </w:pPr>
      <w:rPr>
        <w:rFonts w:ascii="Courier New" w:hAnsi="Courier New" w:hint="default"/>
      </w:rPr>
    </w:lvl>
    <w:lvl w:ilvl="8" w:tplc="9A984A72">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AF4B99"/>
    <w:multiLevelType w:val="hybridMultilevel"/>
    <w:tmpl w:val="E17C1364"/>
    <w:lvl w:ilvl="0" w:tplc="47E6DABC">
      <w:start w:val="1"/>
      <w:numFmt w:val="bullet"/>
      <w:pStyle w:val="ListEmdash"/>
      <w:lvlText w:val="—"/>
      <w:lvlJc w:val="left"/>
      <w:pPr>
        <w:ind w:left="1287" w:hanging="360"/>
      </w:pPr>
      <w:rPr>
        <w:rFonts w:ascii="Times New Roman" w:hAnsi="Times New Roman" w:cs="Times New Roman" w:hint="default"/>
      </w:rPr>
    </w:lvl>
    <w:lvl w:ilvl="1" w:tplc="EF68EF12">
      <w:start w:val="1"/>
      <w:numFmt w:val="bullet"/>
      <w:lvlText w:val="o"/>
      <w:lvlJc w:val="left"/>
      <w:pPr>
        <w:ind w:left="2007" w:hanging="360"/>
      </w:pPr>
      <w:rPr>
        <w:rFonts w:ascii="Courier New" w:hAnsi="Courier New" w:cs="Courier New" w:hint="default"/>
      </w:rPr>
    </w:lvl>
    <w:lvl w:ilvl="2" w:tplc="2A184B50">
      <w:start w:val="1"/>
      <w:numFmt w:val="bullet"/>
      <w:lvlText w:val=""/>
      <w:lvlJc w:val="left"/>
      <w:pPr>
        <w:ind w:left="2727" w:hanging="360"/>
      </w:pPr>
      <w:rPr>
        <w:rFonts w:ascii="Wingdings" w:hAnsi="Wingdings" w:hint="default"/>
      </w:rPr>
    </w:lvl>
    <w:lvl w:ilvl="3" w:tplc="B92AEF06">
      <w:start w:val="1"/>
      <w:numFmt w:val="bullet"/>
      <w:lvlText w:val=""/>
      <w:lvlJc w:val="left"/>
      <w:pPr>
        <w:ind w:left="3447" w:hanging="360"/>
      </w:pPr>
      <w:rPr>
        <w:rFonts w:ascii="Symbol" w:hAnsi="Symbol" w:hint="default"/>
      </w:rPr>
    </w:lvl>
    <w:lvl w:ilvl="4" w:tplc="583427AC">
      <w:start w:val="1"/>
      <w:numFmt w:val="bullet"/>
      <w:lvlText w:val="o"/>
      <w:lvlJc w:val="left"/>
      <w:pPr>
        <w:ind w:left="4167" w:hanging="360"/>
      </w:pPr>
      <w:rPr>
        <w:rFonts w:ascii="Courier New" w:hAnsi="Courier New" w:cs="Courier New" w:hint="default"/>
      </w:rPr>
    </w:lvl>
    <w:lvl w:ilvl="5" w:tplc="79C2AC38">
      <w:start w:val="1"/>
      <w:numFmt w:val="bullet"/>
      <w:lvlText w:val=""/>
      <w:lvlJc w:val="left"/>
      <w:pPr>
        <w:ind w:left="4887" w:hanging="360"/>
      </w:pPr>
      <w:rPr>
        <w:rFonts w:ascii="Wingdings" w:hAnsi="Wingdings" w:hint="default"/>
      </w:rPr>
    </w:lvl>
    <w:lvl w:ilvl="6" w:tplc="74D0E148">
      <w:start w:val="1"/>
      <w:numFmt w:val="bullet"/>
      <w:lvlText w:val=""/>
      <w:lvlJc w:val="left"/>
      <w:pPr>
        <w:ind w:left="5607" w:hanging="360"/>
      </w:pPr>
      <w:rPr>
        <w:rFonts w:ascii="Symbol" w:hAnsi="Symbol" w:hint="default"/>
      </w:rPr>
    </w:lvl>
    <w:lvl w:ilvl="7" w:tplc="13E6DAFA">
      <w:start w:val="1"/>
      <w:numFmt w:val="bullet"/>
      <w:lvlText w:val="o"/>
      <w:lvlJc w:val="left"/>
      <w:pPr>
        <w:ind w:left="6327" w:hanging="360"/>
      </w:pPr>
      <w:rPr>
        <w:rFonts w:ascii="Courier New" w:hAnsi="Courier New" w:cs="Courier New" w:hint="default"/>
      </w:rPr>
    </w:lvl>
    <w:lvl w:ilvl="8" w:tplc="47E6CA8A">
      <w:start w:val="1"/>
      <w:numFmt w:val="bullet"/>
      <w:lvlText w:val=""/>
      <w:lvlJc w:val="left"/>
      <w:pPr>
        <w:ind w:left="7047" w:hanging="360"/>
      </w:pPr>
      <w:rPr>
        <w:rFonts w:ascii="Wingdings" w:hAnsi="Wingdings" w:hint="default"/>
      </w:rPr>
    </w:lvl>
  </w:abstractNum>
  <w:abstractNum w:abstractNumId="22" w15:restartNumberingAfterBreak="0">
    <w:nsid w:val="79F44797"/>
    <w:multiLevelType w:val="hybridMultilevel"/>
    <w:tmpl w:val="83ACBE4A"/>
    <w:lvl w:ilvl="0" w:tplc="8F58ACA8">
      <w:start w:val="1"/>
      <w:numFmt w:val="bullet"/>
      <w:lvlText w:val="·"/>
      <w:lvlJc w:val="left"/>
      <w:pPr>
        <w:ind w:left="709" w:hanging="360"/>
      </w:pPr>
      <w:rPr>
        <w:rFonts w:ascii="Symbol" w:eastAsia="Symbol" w:hAnsi="Symbol" w:cs="Symbol"/>
      </w:rPr>
    </w:lvl>
    <w:lvl w:ilvl="1" w:tplc="2774E4C4">
      <w:start w:val="1"/>
      <w:numFmt w:val="bullet"/>
      <w:lvlText w:val="o"/>
      <w:lvlJc w:val="left"/>
      <w:pPr>
        <w:ind w:left="1429" w:hanging="360"/>
      </w:pPr>
      <w:rPr>
        <w:rFonts w:ascii="Courier New" w:eastAsia="Courier New" w:hAnsi="Courier New" w:cs="Courier New"/>
      </w:rPr>
    </w:lvl>
    <w:lvl w:ilvl="2" w:tplc="CE9023E8">
      <w:start w:val="1"/>
      <w:numFmt w:val="bullet"/>
      <w:lvlText w:val="§"/>
      <w:lvlJc w:val="left"/>
      <w:pPr>
        <w:ind w:left="2149" w:hanging="360"/>
      </w:pPr>
      <w:rPr>
        <w:rFonts w:ascii="Wingdings" w:eastAsia="Wingdings" w:hAnsi="Wingdings" w:cs="Wingdings"/>
      </w:rPr>
    </w:lvl>
    <w:lvl w:ilvl="3" w:tplc="ED347CF2">
      <w:start w:val="1"/>
      <w:numFmt w:val="bullet"/>
      <w:lvlText w:val="·"/>
      <w:lvlJc w:val="left"/>
      <w:pPr>
        <w:ind w:left="2869" w:hanging="360"/>
      </w:pPr>
      <w:rPr>
        <w:rFonts w:ascii="Symbol" w:eastAsia="Symbol" w:hAnsi="Symbol" w:cs="Symbol"/>
      </w:rPr>
    </w:lvl>
    <w:lvl w:ilvl="4" w:tplc="EAF0BFFA">
      <w:start w:val="1"/>
      <w:numFmt w:val="bullet"/>
      <w:lvlText w:val="o"/>
      <w:lvlJc w:val="left"/>
      <w:pPr>
        <w:ind w:left="3589" w:hanging="360"/>
      </w:pPr>
      <w:rPr>
        <w:rFonts w:ascii="Courier New" w:eastAsia="Courier New" w:hAnsi="Courier New" w:cs="Courier New"/>
      </w:rPr>
    </w:lvl>
    <w:lvl w:ilvl="5" w:tplc="7F3214CA">
      <w:start w:val="1"/>
      <w:numFmt w:val="bullet"/>
      <w:lvlText w:val="§"/>
      <w:lvlJc w:val="left"/>
      <w:pPr>
        <w:ind w:left="4309" w:hanging="360"/>
      </w:pPr>
      <w:rPr>
        <w:rFonts w:ascii="Wingdings" w:eastAsia="Wingdings" w:hAnsi="Wingdings" w:cs="Wingdings"/>
      </w:rPr>
    </w:lvl>
    <w:lvl w:ilvl="6" w:tplc="02CEF614">
      <w:start w:val="1"/>
      <w:numFmt w:val="bullet"/>
      <w:lvlText w:val="·"/>
      <w:lvlJc w:val="left"/>
      <w:pPr>
        <w:ind w:left="5029" w:hanging="360"/>
      </w:pPr>
      <w:rPr>
        <w:rFonts w:ascii="Symbol" w:eastAsia="Symbol" w:hAnsi="Symbol" w:cs="Symbol"/>
      </w:rPr>
    </w:lvl>
    <w:lvl w:ilvl="7" w:tplc="0CA0DABE">
      <w:start w:val="1"/>
      <w:numFmt w:val="bullet"/>
      <w:lvlText w:val="o"/>
      <w:lvlJc w:val="left"/>
      <w:pPr>
        <w:ind w:left="5749" w:hanging="360"/>
      </w:pPr>
      <w:rPr>
        <w:rFonts w:ascii="Courier New" w:eastAsia="Courier New" w:hAnsi="Courier New" w:cs="Courier New"/>
      </w:rPr>
    </w:lvl>
    <w:lvl w:ilvl="8" w:tplc="3E9C6A04">
      <w:start w:val="1"/>
      <w:numFmt w:val="bullet"/>
      <w:lvlText w:val="§"/>
      <w:lvlJc w:val="left"/>
      <w:pPr>
        <w:ind w:left="6469" w:hanging="360"/>
      </w:pPr>
      <w:rPr>
        <w:rFonts w:ascii="Wingdings" w:eastAsia="Wingdings" w:hAnsi="Wingdings" w:cs="Wingdings"/>
      </w:rPr>
    </w:lvl>
  </w:abstractNum>
  <w:num w:numId="1">
    <w:abstractNumId w:val="5"/>
  </w:num>
  <w:num w:numId="2">
    <w:abstractNumId w:val="7"/>
  </w:num>
  <w:num w:numId="3">
    <w:abstractNumId w:val="1"/>
  </w:num>
  <w:num w:numId="4">
    <w:abstractNumId w:val="1"/>
  </w:num>
  <w:num w:numId="5">
    <w:abstractNumId w:val="1"/>
  </w:num>
  <w:num w:numId="6">
    <w:abstractNumId w:val="18"/>
  </w:num>
  <w:num w:numId="7">
    <w:abstractNumId w:val="20"/>
  </w:num>
  <w:num w:numId="8">
    <w:abstractNumId w:val="4"/>
  </w:num>
  <w:num w:numId="9">
    <w:abstractNumId w:val="6"/>
  </w:num>
  <w:num w:numId="10">
    <w:abstractNumId w:val="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
  </w:num>
  <w:num w:numId="12">
    <w:abstractNumId w:val="1"/>
  </w:num>
  <w:num w:numId="13">
    <w:abstractNumId w:val="1"/>
  </w:num>
  <w:num w:numId="14">
    <w:abstractNumId w:val="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
  </w:num>
  <w:num w:numId="16">
    <w:abstractNumId w:val="1"/>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1"/>
  </w:num>
  <w:num w:numId="21">
    <w:abstractNumId w:val="1"/>
  </w:num>
  <w:num w:numId="22">
    <w:abstractNumId w:val="19"/>
  </w:num>
  <w:num w:numId="23">
    <w:abstractNumId w:val="2"/>
  </w:num>
  <w:num w:numId="24">
    <w:abstractNumId w:val="10"/>
  </w:num>
  <w:num w:numId="25">
    <w:abstractNumId w:val="1"/>
  </w:num>
  <w:num w:numId="26">
    <w:abstractNumId w:val="1"/>
  </w:num>
  <w:num w:numId="27">
    <w:abstractNumId w:val="1"/>
  </w:num>
  <w:num w:numId="28">
    <w:abstractNumId w:val="1"/>
  </w:num>
  <w:num w:numId="29">
    <w:abstractNumId w:val="1"/>
  </w:num>
  <w:num w:numId="30">
    <w:abstractNumId w:val="3"/>
  </w:num>
  <w:num w:numId="31">
    <w:abstractNumId w:val="3"/>
  </w:num>
  <w:num w:numId="32">
    <w:abstractNumId w:val="1"/>
  </w:num>
  <w:num w:numId="33">
    <w:abstractNumId w:val="11"/>
    <w:lvlOverride w:ilvl="0">
      <w:lvl w:ilvl="0" w:tplc="4C0248EC">
        <w:start w:val="1"/>
        <w:numFmt w:val="bullet"/>
        <w:lvlText w:val=""/>
        <w:legacy w:legacy="1" w:legacySpace="0" w:legacyIndent="283"/>
        <w:lvlJc w:val="left"/>
        <w:pPr>
          <w:ind w:left="283" w:hanging="283"/>
        </w:pPr>
        <w:rPr>
          <w:rFonts w:ascii="Symbol" w:hAnsi="Symbol" w:hint="default"/>
        </w:rPr>
      </w:lvl>
    </w:lvlOverride>
  </w:num>
  <w:num w:numId="34">
    <w:abstractNumId w:val="21"/>
  </w:num>
  <w:num w:numId="35">
    <w:abstractNumId w:val="12"/>
  </w:num>
  <w:num w:numId="36">
    <w:abstractNumId w:val="14"/>
  </w:num>
  <w:num w:numId="37">
    <w:abstractNumId w:val="9"/>
  </w:num>
  <w:num w:numId="38">
    <w:abstractNumId w:val="22"/>
  </w:num>
  <w:num w:numId="39">
    <w:abstractNumId w:val="16"/>
  </w:num>
  <w:num w:numId="40">
    <w:abstractNumId w:val="8"/>
  </w:num>
  <w:num w:numId="41">
    <w:abstractNumId w:val="13"/>
  </w:num>
  <w:num w:numId="42">
    <w:abstractNumId w:val="0"/>
  </w:num>
  <w:num w:numId="43">
    <w:abstractNumId w:val="15"/>
  </w:num>
  <w:num w:numId="44">
    <w:abstractNumId w:val="17"/>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ksmy Nop">
    <w15:presenceInfo w15:providerId="Teamlab" w15:userId="raksmy-n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evenAndOddHeaders/>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C7F"/>
    <w:rsid w:val="00B66839"/>
    <w:rsid w:val="00F60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A3D7E-F0CD-4B5F-8232-7086C5AC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rPr>
      <w:sz w:val="22"/>
      <w:lang w:eastAsia="en-US"/>
    </w:rPr>
  </w:style>
  <w:style w:type="paragraph" w:styleId="Titre1">
    <w:name w:val="heading 1"/>
    <w:next w:val="Sous-titre"/>
    <w:link w:val="Titre1Car"/>
    <w:qFormat/>
    <w:pPr>
      <w:spacing w:line="280" w:lineRule="atLeast"/>
      <w:ind w:left="567" w:right="567"/>
      <w:outlineLvl w:val="0"/>
    </w:pPr>
    <w:rPr>
      <w:rFonts w:ascii="times new roman bold" w:hAnsi="times new roman bold"/>
      <w:b/>
      <w:caps/>
      <w:sz w:val="24"/>
      <w:lang w:val="en-US" w:eastAsia="en-US"/>
    </w:rPr>
  </w:style>
  <w:style w:type="paragraph" w:styleId="Titre2">
    <w:name w:val="heading 2"/>
    <w:next w:val="Corpsdetexte"/>
    <w:link w:val="Titre2Car"/>
    <w:qFormat/>
    <w:pPr>
      <w:widowControl w:val="0"/>
      <w:spacing w:before="100" w:beforeAutospacing="1" w:after="100" w:afterAutospacing="1" w:line="280" w:lineRule="atLeast"/>
      <w:outlineLvl w:val="1"/>
    </w:pPr>
    <w:rPr>
      <w:caps/>
      <w:lang w:eastAsia="en-US"/>
    </w:rPr>
  </w:style>
  <w:style w:type="paragraph" w:styleId="Titre3">
    <w:name w:val="heading 3"/>
    <w:next w:val="Corpsdetexte"/>
    <w:link w:val="Titre3Car"/>
    <w:uiPriority w:val="4"/>
    <w:qFormat/>
    <w:pPr>
      <w:widowControl w:val="0"/>
      <w:numPr>
        <w:ilvl w:val="2"/>
        <w:numId w:val="12"/>
      </w:numPr>
      <w:spacing w:before="240" w:after="240" w:line="240" w:lineRule="exact"/>
      <w:outlineLvl w:val="2"/>
    </w:pPr>
    <w:rPr>
      <w:b/>
      <w:lang w:eastAsia="en-US"/>
    </w:rPr>
  </w:style>
  <w:style w:type="paragraph" w:styleId="Titre4">
    <w:name w:val="heading 4"/>
    <w:basedOn w:val="Normal"/>
    <w:next w:val="Corpsdetexte"/>
    <w:link w:val="Titre4Car"/>
    <w:uiPriority w:val="4"/>
    <w:qFormat/>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link w:val="Titre5Car"/>
    <w:uiPriority w:val="19"/>
    <w:pPr>
      <w:spacing w:before="240" w:after="60"/>
      <w:outlineLvl w:val="4"/>
    </w:pPr>
    <w:rPr>
      <w:b/>
      <w:bCs/>
      <w:i/>
      <w:iCs/>
      <w:sz w:val="26"/>
      <w:szCs w:val="26"/>
      <w:lang w:val="en-US"/>
    </w:rPr>
  </w:style>
  <w:style w:type="paragraph" w:styleId="Titre6">
    <w:name w:val="heading 6"/>
    <w:basedOn w:val="Normal"/>
    <w:next w:val="Normal"/>
    <w:link w:val="Titre6Car"/>
    <w:uiPriority w:val="19"/>
    <w:pPr>
      <w:spacing w:before="240" w:after="60"/>
      <w:outlineLvl w:val="5"/>
    </w:pPr>
    <w:rPr>
      <w:b/>
      <w:bCs/>
      <w:szCs w:val="22"/>
      <w:lang w:val="en-US"/>
    </w:rPr>
  </w:style>
  <w:style w:type="paragraph" w:styleId="Titre7">
    <w:name w:val="heading 7"/>
    <w:basedOn w:val="Normal"/>
    <w:next w:val="Normal"/>
    <w:link w:val="Titre7Car"/>
    <w:uiPriority w:val="19"/>
    <w:pPr>
      <w:spacing w:before="240" w:after="60"/>
      <w:outlineLvl w:val="6"/>
    </w:pPr>
    <w:rPr>
      <w:sz w:val="24"/>
      <w:szCs w:val="24"/>
      <w:lang w:val="en-US"/>
    </w:rPr>
  </w:style>
  <w:style w:type="paragraph" w:styleId="Titre8">
    <w:name w:val="heading 8"/>
    <w:basedOn w:val="Normal"/>
    <w:next w:val="Normal"/>
    <w:link w:val="Titre8Car"/>
    <w:uiPriority w:val="19"/>
    <w:pPr>
      <w:spacing w:before="240" w:after="60"/>
      <w:outlineLvl w:val="7"/>
    </w:pPr>
    <w:rPr>
      <w:i/>
      <w:iCs/>
      <w:sz w:val="24"/>
      <w:szCs w:val="24"/>
      <w:lang w:val="en-US"/>
    </w:rPr>
  </w:style>
  <w:style w:type="paragraph" w:styleId="Titre9">
    <w:name w:val="heading 9"/>
    <w:basedOn w:val="Normal"/>
    <w:next w:val="Normal"/>
    <w:link w:val="Titre9Car"/>
    <w:uiPriority w:val="19"/>
    <w:pPr>
      <w:spacing w:before="240" w:after="60"/>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Pr>
      <w:i/>
    </w:rPr>
  </w:style>
  <w:style w:type="character" w:customStyle="1" w:styleId="En-tteCar">
    <w:name w:val="En-tête Car"/>
    <w:basedOn w:val="Policepardfaut"/>
    <w:link w:val="En-tte"/>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FFFFF"/>
      </w:tcPr>
    </w:tblStylePr>
    <w:tblStylePr w:type="band1Horz">
      <w:tblPr/>
      <w:tcPr>
        <w:shd w:val="clear" w:color="FFFFFF" w:fill="FFFFFF"/>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FFFFFF"/>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FFFFFF"/>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FFFFFF"/>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FFFFFF"/>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FFFFFF"/>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FFFFFF"/>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FFFFF"/>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FFF"/>
    </w:tblPr>
    <w:tblStylePr w:type="firstRow">
      <w:rPr>
        <w:rFonts w:ascii="Arial" w:hAnsi="Arial"/>
        <w:b/>
        <w:color w:val="FFFFFF"/>
        <w:sz w:val="22"/>
      </w:rPr>
      <w:tblPr/>
      <w:tcPr>
        <w:shd w:val="clear" w:color="FFFFFF" w:fill="FFFFFF"/>
      </w:tcPr>
    </w:tblStylePr>
    <w:tblStylePr w:type="lastRow">
      <w:rPr>
        <w:rFonts w:ascii="Arial" w:hAnsi="Arial"/>
        <w:b/>
        <w:color w:val="FFFFFF"/>
        <w:sz w:val="22"/>
      </w:rPr>
      <w:tblPr/>
      <w:tcPr>
        <w:tcBorders>
          <w:top w:val="single" w:sz="4" w:space="0" w:color="FFFFFF" w:themeColor="light1"/>
        </w:tcBorders>
        <w:shd w:val="clear" w:color="FFFFFF" w:fill="FFFFFF"/>
      </w:tcPr>
    </w:tblStylePr>
    <w:tblStylePr w:type="firstCol">
      <w:rPr>
        <w:rFonts w:ascii="Arial" w:hAnsi="Arial"/>
        <w:b/>
        <w:color w:val="FFFFFF"/>
        <w:sz w:val="22"/>
      </w:rPr>
      <w:tblPr/>
      <w:tcPr>
        <w:shd w:val="clear" w:color="FFFFFF" w:fill="FFFFFF"/>
      </w:tcPr>
    </w:tblStylePr>
    <w:tblStylePr w:type="lastCol">
      <w:rPr>
        <w:rFonts w:ascii="Arial" w:hAnsi="Arial"/>
        <w:b/>
        <w:color w:val="FFFFFF"/>
        <w:sz w:val="22"/>
      </w:rPr>
      <w:tblPr/>
      <w:tcPr>
        <w:shd w:val="clear" w:color="FFFFFF" w:fill="FFFFFF"/>
      </w:tcPr>
    </w:tblStylePr>
    <w:tblStylePr w:type="band1Vert">
      <w:tblPr/>
      <w:tcPr>
        <w:shd w:val="clear" w:color="FFFFFF" w:fill="FFFFFF"/>
      </w:tcPr>
    </w:tblStylePr>
    <w:tblStylePr w:type="band1Horz">
      <w:tblPr/>
      <w:tcPr>
        <w:shd w:val="clear" w:color="FFFFFF" w:fill="FFFFFF"/>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FFFFFF"/>
      </w:tcPr>
    </w:tblStylePr>
    <w:tblStylePr w:type="band1Horz">
      <w:rPr>
        <w:rFonts w:ascii="Arial" w:hAnsi="Arial"/>
        <w:color w:val="A6BFDD" w:themeColor="accent1" w:themeTint="80" w:themeShade="95"/>
        <w:sz w:val="22"/>
      </w:rPr>
      <w:tblPr/>
      <w:tcPr>
        <w:shd w:val="clear" w:color="FFFFFF" w:fill="FFFFFF"/>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FFFFF"/>
      </w:tcPr>
    </w:tblStylePr>
    <w:tblStylePr w:type="band1Horz">
      <w:rPr>
        <w:rFonts w:ascii="Arial" w:hAnsi="Arial"/>
        <w:color w:val="D99695" w:themeColor="accent2" w:themeTint="97" w:themeShade="95"/>
        <w:sz w:val="22"/>
      </w:rPr>
      <w:tblPr/>
      <w:tcPr>
        <w:shd w:val="clear" w:color="FFFFFF" w:fill="FFFFFF"/>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FFFFFF"/>
      </w:tcPr>
    </w:tblStylePr>
    <w:tblStylePr w:type="band1Horz">
      <w:rPr>
        <w:rFonts w:ascii="Arial" w:hAnsi="Arial"/>
        <w:color w:val="9ABB59" w:themeColor="accent3" w:themeTint="FE" w:themeShade="95"/>
        <w:sz w:val="22"/>
      </w:rPr>
      <w:tblPr/>
      <w:tcPr>
        <w:shd w:val="clear" w:color="FFFFFF" w:fill="FFFFFF"/>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FFFFFF"/>
      </w:tcPr>
    </w:tblStylePr>
    <w:tblStylePr w:type="band1Horz">
      <w:rPr>
        <w:rFonts w:ascii="Arial" w:hAnsi="Arial"/>
        <w:color w:val="B2A1C6" w:themeColor="accent4" w:themeTint="9A" w:themeShade="95"/>
        <w:sz w:val="22"/>
      </w:rPr>
      <w:tblPr/>
      <w:tcPr>
        <w:shd w:val="clear" w:color="FFFFFF" w:fill="FFFFFF"/>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FFFFF"/>
      </w:tcPr>
    </w:tblStylePr>
    <w:tblStylePr w:type="band1Horz">
      <w:rPr>
        <w:rFonts w:ascii="Arial" w:hAnsi="Arial"/>
        <w:color w:val="266779" w:themeColor="accent5" w:themeShade="95"/>
        <w:sz w:val="22"/>
      </w:rPr>
      <w:tblPr/>
      <w:tcPr>
        <w:shd w:val="clear" w:color="FFFFFF" w:fill="FFFFFF"/>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FFFFF"/>
      </w:tcPr>
    </w:tblStylePr>
    <w:tblStylePr w:type="band1Horz">
      <w:rPr>
        <w:rFonts w:ascii="Arial" w:hAnsi="Arial"/>
        <w:color w:val="266779" w:themeColor="accent5" w:themeShade="95"/>
        <w:sz w:val="22"/>
      </w:rPr>
      <w:tblPr/>
      <w:tcPr>
        <w:shd w:val="clear" w:color="FFFFFF" w:fill="FFFFFF"/>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A6BFDD" w:themeColor="accent1" w:themeTint="80" w:themeShade="95"/>
        <w:sz w:val="22"/>
      </w:rPr>
      <w:tblPr/>
      <w:tcPr>
        <w:shd w:val="clear" w:color="FFFFFF" w:fill="FFFFFF"/>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D99695" w:themeColor="accent2" w:themeTint="97" w:themeShade="95"/>
        <w:sz w:val="22"/>
      </w:rPr>
      <w:tblPr/>
      <w:tcPr>
        <w:shd w:val="clear" w:color="FFFFFF" w:fill="FFFFFF"/>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9ABB59" w:themeColor="accent3" w:themeTint="FE" w:themeShade="95"/>
        <w:sz w:val="22"/>
      </w:rPr>
      <w:tblPr/>
      <w:tcPr>
        <w:shd w:val="clear" w:color="FFFFFF" w:fill="FFFFFF"/>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B2A1C6" w:themeColor="accent4" w:themeTint="9A" w:themeShade="95"/>
        <w:sz w:val="22"/>
      </w:rPr>
      <w:tblPr/>
      <w:tcPr>
        <w:shd w:val="clear" w:color="FFFFFF" w:fill="FFFFFF"/>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266779" w:themeColor="accent5" w:themeShade="95"/>
        <w:sz w:val="22"/>
      </w:rPr>
      <w:tblPr/>
      <w:tcPr>
        <w:shd w:val="clear" w:color="FFFFFF" w:fill="FFFFFF"/>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B15407" w:themeColor="accent6" w:themeShade="95"/>
        <w:sz w:val="22"/>
      </w:rPr>
      <w:tblPr/>
      <w:tcPr>
        <w:shd w:val="clear" w:color="FFFFFF" w:fill="FFFFFF"/>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FFF"/>
      </w:tcPr>
    </w:tblStylePr>
    <w:tblStylePr w:type="band1Horz">
      <w:tblPr/>
      <w:tcPr>
        <w:shd w:val="clear" w:color="FFFFFF" w:fill="FFFFFF"/>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FFFFF"/>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FFF"/>
      </w:tcPr>
    </w:tblStylePr>
    <w:tblStylePr w:type="band1Horz">
      <w:rPr>
        <w:rFonts w:ascii="Arial" w:hAnsi="Arial"/>
        <w:color w:val="404040"/>
        <w:sz w:val="22"/>
      </w:rPr>
      <w:tblPr/>
      <w:tcPr>
        <w:shd w:val="clear" w:color="FFFFFF" w:fill="FFFFFF"/>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FFFFF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FFFFFF"/>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FFFFFF"/>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FFFFFF"/>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FFFFFF"/>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FFFFFF"/>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FFFFF"/>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FFFF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FFF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FFFF"/>
      </w:tcPr>
    </w:tblStylePr>
    <w:tblStylePr w:type="band2Horz">
      <w:tblPr/>
      <w:tcPr>
        <w:tcBorders>
          <w:top w:val="single" w:sz="4" w:space="0" w:color="FFFFFF" w:themeColor="light1"/>
          <w:bottom w:val="single" w:sz="4" w:space="0" w:color="FFFFFF" w:themeColor="light1"/>
        </w:tcBorders>
        <w:shd w:val="clear" w:color="FFFFFF" w:fill="FFFFFF"/>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FFFFFF"/>
      </w:tcPr>
    </w:tblStylePr>
    <w:tblStylePr w:type="band1Horz">
      <w:rPr>
        <w:rFonts w:ascii="Arial" w:hAnsi="Arial"/>
        <w:color w:val="000000" w:themeColor="text1"/>
        <w:sz w:val="22"/>
      </w:rPr>
      <w:tblPr/>
      <w:tcPr>
        <w:shd w:val="clear" w:color="FFFFFF" w:fill="FFFFFF"/>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FFFFFF"/>
      </w:tcPr>
    </w:tblStylePr>
    <w:tblStylePr w:type="band1Horz">
      <w:rPr>
        <w:rFonts w:ascii="Arial" w:hAnsi="Arial"/>
        <w:color w:val="2A4A71" w:themeColor="accent1" w:themeShade="95"/>
        <w:sz w:val="22"/>
      </w:rPr>
      <w:tblPr/>
      <w:tcPr>
        <w:shd w:val="clear" w:color="FFFFFF" w:fill="FFFFFF"/>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FFFFF"/>
      </w:tcPr>
    </w:tblStylePr>
    <w:tblStylePr w:type="band1Horz">
      <w:rPr>
        <w:rFonts w:ascii="Arial" w:hAnsi="Arial"/>
        <w:color w:val="D99695" w:themeColor="accent2" w:themeTint="97" w:themeShade="95"/>
        <w:sz w:val="22"/>
      </w:rPr>
      <w:tblPr/>
      <w:tcPr>
        <w:shd w:val="clear" w:color="FFFFFF" w:fill="FFFFFF"/>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FFFFFF"/>
      </w:tcPr>
    </w:tblStylePr>
    <w:tblStylePr w:type="band1Horz">
      <w:rPr>
        <w:rFonts w:ascii="Arial" w:hAnsi="Arial"/>
        <w:color w:val="C3D69B" w:themeColor="accent3" w:themeTint="98" w:themeShade="95"/>
        <w:sz w:val="22"/>
      </w:rPr>
      <w:tblPr/>
      <w:tcPr>
        <w:shd w:val="clear" w:color="FFFFFF" w:fill="FFFFFF"/>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FFFFFF"/>
      </w:tcPr>
    </w:tblStylePr>
    <w:tblStylePr w:type="band1Horz">
      <w:rPr>
        <w:rFonts w:ascii="Arial" w:hAnsi="Arial"/>
        <w:color w:val="B2A1C6" w:themeColor="accent4" w:themeTint="9A" w:themeShade="95"/>
        <w:sz w:val="22"/>
      </w:rPr>
      <w:tblPr/>
      <w:tcPr>
        <w:shd w:val="clear" w:color="FFFFFF" w:fill="FFFFFF"/>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FFFFFF"/>
      </w:tcPr>
    </w:tblStylePr>
    <w:tblStylePr w:type="band1Horz">
      <w:rPr>
        <w:rFonts w:ascii="Arial" w:hAnsi="Arial"/>
        <w:color w:val="92CCDC" w:themeColor="accent5" w:themeTint="9A" w:themeShade="95"/>
        <w:sz w:val="22"/>
      </w:rPr>
      <w:tblPr/>
      <w:tcPr>
        <w:shd w:val="clear" w:color="FFFFFF" w:fill="FFFFFF"/>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FFFFF"/>
      </w:tcPr>
    </w:tblStylePr>
    <w:tblStylePr w:type="band1Horz">
      <w:rPr>
        <w:rFonts w:ascii="Arial" w:hAnsi="Arial"/>
        <w:color w:val="FAC090" w:themeColor="accent6" w:themeTint="98" w:themeShade="95"/>
        <w:sz w:val="22"/>
      </w:rPr>
      <w:tblPr/>
      <w:tcPr>
        <w:shd w:val="clear" w:color="FFFFFF" w:fill="FFFFFF"/>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7F7F7F" w:themeColor="text1" w:themeTint="80" w:themeShade="95"/>
        <w:sz w:val="22"/>
      </w:rPr>
      <w:tblPr/>
      <w:tcPr>
        <w:shd w:val="clear" w:color="FFFFFF" w:fill="FFFFF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2A4A71" w:themeColor="accent1" w:themeShade="95"/>
        <w:sz w:val="22"/>
      </w:rPr>
      <w:tblPr/>
      <w:tcPr>
        <w:shd w:val="clear" w:color="FFFFFF" w:fill="FFFFFF"/>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D99695" w:themeColor="accent2" w:themeTint="97" w:themeShade="95"/>
        <w:sz w:val="22"/>
      </w:rPr>
      <w:tblPr/>
      <w:tcPr>
        <w:shd w:val="clear" w:color="FFFFFF" w:fill="FFFFFF"/>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C3D69B" w:themeColor="accent3" w:themeTint="98" w:themeShade="95"/>
        <w:sz w:val="22"/>
      </w:rPr>
      <w:tblPr/>
      <w:tcPr>
        <w:shd w:val="clear" w:color="FFFFFF" w:fill="FFFFFF"/>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B2A1C6" w:themeColor="accent4" w:themeTint="9A" w:themeShade="95"/>
        <w:sz w:val="22"/>
      </w:rPr>
      <w:tblPr/>
      <w:tcPr>
        <w:shd w:val="clear" w:color="FFFFFF" w:fill="FFFFFF"/>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92CCDC" w:themeColor="accent5" w:themeTint="9A" w:themeShade="95"/>
        <w:sz w:val="22"/>
      </w:rPr>
      <w:tblPr/>
      <w:tcPr>
        <w:shd w:val="clear" w:color="FFFFFF" w:fill="FFFFFF"/>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FFFFF"/>
      </w:tcPr>
    </w:tblStylePr>
    <w:tblStylePr w:type="band1Horz">
      <w:rPr>
        <w:rFonts w:ascii="Arial" w:hAnsi="Arial"/>
        <w:color w:val="FAC090" w:themeColor="accent6" w:themeTint="98" w:themeShade="95"/>
        <w:sz w:val="22"/>
      </w:rPr>
      <w:tblPr/>
      <w:tcPr>
        <w:shd w:val="clear" w:color="FFFFFF" w:fill="FFFFFF"/>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1">
    <w:name w:val="Lined - Accent 1"/>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2">
    <w:name w:val="Lined - Accent 2"/>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3">
    <w:name w:val="Lined - Accent 3"/>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4">
    <w:name w:val="Lined - Accent 4"/>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5">
    <w:name w:val="Lined - Accent 5"/>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Lined-Accent6">
    <w:name w:val="Lined - Accent 6"/>
    <w:basedOn w:val="TableauNormal"/>
    <w:uiPriority w:val="99"/>
    <w:rPr>
      <w:color w:val="404040"/>
      <w:lang w:val="fr-FR" w:eastAsia="fr-FR"/>
    </w:rPr>
    <w:tblPr>
      <w:tblStyleRowBandSize w:val="1"/>
      <w:tblStyleColBandSize w:val="1"/>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
    <w:name w:val="Bordered &amp; Lined - Accent"/>
    <w:basedOn w:val="TableauNormal"/>
    <w:uiPriority w:val="99"/>
    <w:rPr>
      <w:color w:val="40404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1">
    <w:name w:val="Bordered &amp; Lined - Accent 1"/>
    <w:basedOn w:val="TableauNormal"/>
    <w:uiPriority w:val="99"/>
    <w:rPr>
      <w:color w:val="404040"/>
      <w:lang w:val="fr-FR"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2">
    <w:name w:val="Bordered &amp; Lined - Accent 2"/>
    <w:basedOn w:val="TableauNormal"/>
    <w:uiPriority w:val="99"/>
    <w:rPr>
      <w:color w:val="404040"/>
      <w:lang w:val="fr-FR"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3">
    <w:name w:val="Bordered &amp; Lined - Accent 3"/>
    <w:basedOn w:val="TableauNormal"/>
    <w:uiPriority w:val="99"/>
    <w:rPr>
      <w:color w:val="404040"/>
      <w:lang w:val="fr-FR"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4">
    <w:name w:val="Bordered &amp; Lined - Accent 4"/>
    <w:basedOn w:val="TableauNormal"/>
    <w:uiPriority w:val="99"/>
    <w:rPr>
      <w:color w:val="404040"/>
      <w:lang w:val="fr-FR"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5">
    <w:name w:val="Bordered &amp; Lined - Accent 5"/>
    <w:basedOn w:val="TableauNormal"/>
    <w:uiPriority w:val="99"/>
    <w:rPr>
      <w:color w:val="404040"/>
      <w:lang w:val="fr-FR"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Lined-Accent6">
    <w:name w:val="Bordered &amp; Lined - Accent 6"/>
    <w:basedOn w:val="TableauNormal"/>
    <w:uiPriority w:val="99"/>
    <w:rPr>
      <w:color w:val="404040"/>
      <w:lang w:val="fr-FR"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FFFFF"/>
      </w:tcPr>
    </w:tblStylePr>
    <w:tblStylePr w:type="lastRow">
      <w:rPr>
        <w:rFonts w:ascii="Arial" w:hAnsi="Arial"/>
        <w:color w:val="F2F2F2"/>
        <w:sz w:val="22"/>
      </w:rPr>
      <w:tblPr/>
      <w:tcPr>
        <w:shd w:val="clear" w:color="FFFFFF" w:fill="FFFFFF"/>
      </w:tcPr>
    </w:tblStylePr>
    <w:tblStylePr w:type="firstCol">
      <w:rPr>
        <w:rFonts w:ascii="Arial" w:hAnsi="Arial"/>
        <w:color w:val="F2F2F2"/>
        <w:sz w:val="22"/>
      </w:rPr>
      <w:tblPr/>
      <w:tcPr>
        <w:shd w:val="clear" w:color="FFFFFF" w:fill="FFFFFF"/>
      </w:tcPr>
    </w:tblStylePr>
    <w:tblStylePr w:type="lastCol">
      <w:rPr>
        <w:rFonts w:ascii="Arial" w:hAnsi="Arial"/>
        <w:color w:val="F2F2F2"/>
        <w:sz w:val="22"/>
      </w:rPr>
      <w:tblPr/>
      <w:tcPr>
        <w:shd w:val="clear" w:color="FFFFFF" w:fill="FFFFFF"/>
      </w:tcPr>
    </w:tblStylePr>
    <w:tblStylePr w:type="band1Vert">
      <w:rPr>
        <w:rFonts w:ascii="Arial" w:hAnsi="Arial"/>
        <w:color w:val="404040"/>
        <w:sz w:val="22"/>
      </w:rPr>
    </w:tblStylePr>
    <w:tblStylePr w:type="band2Vert">
      <w:rPr>
        <w:rFonts w:ascii="Arial" w:hAnsi="Arial"/>
        <w:color w:val="404040"/>
        <w:sz w:val="22"/>
      </w:rPr>
      <w:tblPr/>
      <w:tcPr>
        <w:shd w:val="clear" w:color="FFFFFF" w:fill="FFFFFF"/>
      </w:tcPr>
    </w:tblStylePr>
    <w:tblStylePr w:type="band1Horz">
      <w:rPr>
        <w:rFonts w:ascii="Arial" w:hAnsi="Arial"/>
        <w:color w:val="404040"/>
        <w:sz w:val="22"/>
      </w:rPr>
    </w:tblStylePr>
    <w:tblStylePr w:type="band2Horz">
      <w:rPr>
        <w:rFonts w:ascii="Arial" w:hAnsi="Arial"/>
        <w:color w:val="404040"/>
        <w:sz w:val="22"/>
      </w:rPr>
      <w:tblPr/>
      <w:tcPr>
        <w:shd w:val="clear" w:color="FFFFFF" w:fill="FFFFFF"/>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character" w:customStyle="1" w:styleId="NotedebasdepageCar">
    <w:name w:val="Note de bas de page Car"/>
    <w:link w:val="Notedebasdepage"/>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Corpsdetexte">
    <w:name w:val="Body Text"/>
    <w:link w:val="CorpsdetexteCar"/>
    <w:qFormat/>
    <w:pPr>
      <w:spacing w:line="260" w:lineRule="atLeast"/>
      <w:ind w:firstLine="567"/>
      <w:contextualSpacing/>
      <w:jc w:val="both"/>
    </w:pPr>
    <w:rPr>
      <w:lang w:eastAsia="en-US"/>
    </w:rPr>
  </w:style>
  <w:style w:type="paragraph" w:styleId="Retraitcorpsdetexte">
    <w:name w:val="Body Text Indent"/>
    <w:basedOn w:val="Corpsdetexte"/>
    <w:uiPriority w:val="49"/>
    <w:pPr>
      <w:ind w:left="1134" w:hanging="675"/>
    </w:pPr>
  </w:style>
  <w:style w:type="paragraph" w:customStyle="1" w:styleId="BodyTextMultiline">
    <w:name w:val="Body Text Multiline"/>
    <w:basedOn w:val="Corpsdetexte"/>
    <w:pPr>
      <w:numPr>
        <w:numId w:val="1"/>
      </w:numPr>
    </w:pPr>
  </w:style>
  <w:style w:type="paragraph" w:customStyle="1" w:styleId="BodyTextSummary">
    <w:name w:val="Body Text Summary"/>
    <w:uiPriority w:val="49"/>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rPr>
      <w:sz w:val="2"/>
      <w:lang w:val="en-US"/>
    </w:rPr>
  </w:style>
  <w:style w:type="paragraph" w:styleId="Notedebasdepage">
    <w:name w:val="footnote text"/>
    <w:link w:val="NotedebasdepageCar"/>
    <w:semiHidden/>
    <w:pPr>
      <w:tabs>
        <w:tab w:val="left" w:pos="459"/>
      </w:tabs>
      <w:spacing w:before="142"/>
      <w:ind w:left="459"/>
      <w:jc w:val="both"/>
    </w:pPr>
    <w:rPr>
      <w:sz w:val="18"/>
      <w:lang w:eastAsia="en-US"/>
    </w:rPr>
  </w:style>
  <w:style w:type="paragraph" w:styleId="En-tte">
    <w:name w:val="header"/>
    <w:next w:val="Corpsdetexte"/>
    <w:link w:val="En-tteCar"/>
    <w:uiPriority w:val="49"/>
    <w:pPr>
      <w:spacing w:after="85"/>
    </w:pPr>
    <w:rPr>
      <w:sz w:val="18"/>
      <w:lang w:val="en-US" w:eastAsia="en-US"/>
    </w:rPr>
  </w:style>
  <w:style w:type="paragraph" w:customStyle="1" w:styleId="ListBulleted">
    <w:name w:val="List Bulleted"/>
    <w:uiPriority w:val="7"/>
    <w:qFormat/>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pPr>
      <w:numPr>
        <w:numId w:val="20"/>
      </w:numPr>
    </w:pPr>
  </w:style>
  <w:style w:type="paragraph" w:customStyle="1" w:styleId="ListNumbered">
    <w:name w:val="List Numbered"/>
    <w:basedOn w:val="Corpsdetexte"/>
    <w:uiPriority w:val="5"/>
    <w:qFormat/>
    <w:pPr>
      <w:numPr>
        <w:numId w:val="22"/>
      </w:numPr>
    </w:pPr>
  </w:style>
  <w:style w:type="paragraph" w:styleId="Titre">
    <w:name w:val="Title"/>
    <w:link w:val="TitreCar"/>
    <w:uiPriority w:val="2"/>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pPr>
      <w:spacing w:after="20" w:line="220" w:lineRule="exact"/>
      <w:jc w:val="right"/>
    </w:pPr>
    <w:rPr>
      <w:rFonts w:ascii="Arial" w:hAnsi="Arial" w:cs="Arial"/>
      <w:color w:val="FF0000"/>
    </w:rPr>
  </w:style>
  <w:style w:type="paragraph" w:customStyle="1" w:styleId="zyxConfidRed">
    <w:name w:val="zyxConfidRed"/>
    <w:uiPriority w:val="49"/>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pPr>
      <w:framePr w:wrap="auto" w:vAnchor="page" w:hAnchor="page" w:x="1333" w:y="228"/>
      <w:widowControl/>
    </w:pPr>
    <w:rPr>
      <w:rFonts w:cs="Arial"/>
      <w:bCs/>
      <w:color w:val="000000"/>
    </w:rPr>
  </w:style>
  <w:style w:type="paragraph" w:customStyle="1" w:styleId="zyxDistribution">
    <w:name w:val="zyxDistribution"/>
    <w:basedOn w:val="Normal"/>
    <w:uiPriority w:val="49"/>
    <w:pPr>
      <w:framePr w:wrap="around" w:vAnchor="page" w:hAnchor="page" w:x="1390" w:y="15707"/>
      <w:widowControl w:val="0"/>
      <w:spacing w:before="240" w:after="20"/>
      <w:ind w:left="142"/>
    </w:pPr>
    <w:rPr>
      <w:rFonts w:ascii="Arial" w:hAnsi="Arial"/>
      <w:b/>
    </w:rPr>
  </w:style>
  <w:style w:type="paragraph" w:customStyle="1" w:styleId="zyxPrePrint">
    <w:name w:val="zyxPrePrint"/>
    <w:uiPriority w:val="49"/>
    <w:pPr>
      <w:spacing w:after="60" w:line="280" w:lineRule="exact"/>
      <w:ind w:left="113"/>
    </w:pPr>
    <w:rPr>
      <w:sz w:val="22"/>
      <w:lang w:eastAsia="en-US"/>
    </w:rPr>
  </w:style>
  <w:style w:type="paragraph" w:customStyle="1" w:styleId="zyxFillIn">
    <w:name w:val="zyxFill_In"/>
    <w:basedOn w:val="zyxPrePrint"/>
    <w:uiPriority w:val="49"/>
    <w:rPr>
      <w:b/>
    </w:rPr>
  </w:style>
  <w:style w:type="paragraph" w:customStyle="1" w:styleId="zyxLogo">
    <w:name w:val="zyxLogo"/>
    <w:basedOn w:val="Normal"/>
    <w:uiPriority w:val="49"/>
    <w:pPr>
      <w:keepNext/>
      <w:spacing w:after="10"/>
    </w:pPr>
    <w:rPr>
      <w:rFonts w:ascii="Arial" w:hAnsi="Arial"/>
      <w:b/>
      <w:sz w:val="13"/>
    </w:rPr>
  </w:style>
  <w:style w:type="paragraph" w:customStyle="1" w:styleId="zyxP1Footer">
    <w:name w:val="zyxP1_Footer"/>
    <w:basedOn w:val="Normal"/>
    <w:uiPriority w:val="49"/>
    <w:pPr>
      <w:widowControl w:val="0"/>
      <w:spacing w:line="160" w:lineRule="exact"/>
      <w:ind w:left="108"/>
    </w:pPr>
    <w:rPr>
      <w:sz w:val="14"/>
    </w:rPr>
  </w:style>
  <w:style w:type="paragraph" w:customStyle="1" w:styleId="zyxSensitivity">
    <w:name w:val="zyxSensitivity"/>
    <w:basedOn w:val="Normal"/>
    <w:uiPriority w:val="49"/>
    <w:pPr>
      <w:framePr w:wrap="around" w:vAnchor="page" w:hAnchor="page" w:x="1390" w:y="15707"/>
      <w:widowControl w:val="0"/>
      <w:spacing w:line="220" w:lineRule="exact"/>
      <w:ind w:left="142"/>
    </w:pPr>
    <w:rPr>
      <w:rFonts w:ascii="Arial" w:hAnsi="Arial"/>
      <w:b/>
    </w:rPr>
  </w:style>
  <w:style w:type="paragraph" w:customStyle="1" w:styleId="zyxTitle">
    <w:name w:val="zyxTitle"/>
    <w:basedOn w:val="Normal"/>
    <w:uiPriority w:val="49"/>
    <w:pPr>
      <w:keepNext/>
      <w:spacing w:line="420" w:lineRule="exact"/>
    </w:pPr>
    <w:rPr>
      <w:rFonts w:ascii="Arial" w:hAnsi="Arial"/>
      <w:sz w:val="40"/>
    </w:rPr>
  </w:style>
  <w:style w:type="character" w:styleId="Appelnotedebasdep">
    <w:name w:val="footnote reference"/>
    <w:basedOn w:val="Policepardfaut"/>
    <w:semiHidden/>
    <w:rPr>
      <w:vertAlign w:val="superscript"/>
    </w:rPr>
  </w:style>
  <w:style w:type="paragraph" w:styleId="Sous-titre">
    <w:name w:val="Subtitle"/>
    <w:next w:val="Corpsdetexte"/>
    <w:link w:val="Sous-titreCar"/>
    <w:uiPriority w:val="3"/>
    <w:qFormat/>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pPr>
      <w:spacing w:line="280" w:lineRule="exact"/>
      <w:jc w:val="right"/>
    </w:pPr>
    <w:rPr>
      <w:rFonts w:ascii="Arial" w:hAnsi="Arial" w:cs="Arial"/>
      <w:b/>
      <w:bCs/>
      <w:caps/>
      <w:sz w:val="24"/>
    </w:rPr>
  </w:style>
  <w:style w:type="paragraph" w:customStyle="1" w:styleId="zyxClassification2">
    <w:name w:val="zyxClassification2"/>
    <w:basedOn w:val="Pieddepage"/>
    <w:uiPriority w:val="49"/>
    <w:pPr>
      <w:tabs>
        <w:tab w:val="center" w:pos="4320"/>
        <w:tab w:val="right" w:pos="8640"/>
      </w:tabs>
      <w:ind w:firstLine="567"/>
      <w:jc w:val="right"/>
    </w:pPr>
    <w:rPr>
      <w:rFonts w:ascii="Arial" w:hAnsi="Arial" w:cs="Arial"/>
      <w:sz w:val="16"/>
      <w:lang w:val="en-GB"/>
    </w:rPr>
  </w:style>
  <w:style w:type="character" w:customStyle="1" w:styleId="PieddepageCar">
    <w:name w:val="Pied de page Car"/>
    <w:basedOn w:val="Policepardfaut"/>
    <w:link w:val="Pieddepage"/>
    <w:uiPriority w:val="99"/>
    <w:rPr>
      <w:sz w:val="2"/>
      <w:lang w:val="en-US" w:eastAsia="en-US"/>
    </w:rPr>
  </w:style>
  <w:style w:type="paragraph" w:customStyle="1" w:styleId="Runninghead">
    <w:name w:val="Running head"/>
    <w:basedOn w:val="Normal"/>
    <w:link w:val="RunningheadChar"/>
    <w:uiPriority w:val="49"/>
    <w:qFormat/>
    <w:pPr>
      <w:jc w:val="center"/>
    </w:pPr>
    <w:rPr>
      <w:b/>
      <w:sz w:val="16"/>
      <w:szCs w:val="16"/>
    </w:rPr>
  </w:style>
  <w:style w:type="paragraph" w:customStyle="1" w:styleId="Authornameandaffiliation">
    <w:name w:val="Author name and affiliation"/>
    <w:link w:val="AuthornameandaffiliationChar"/>
    <w:uiPriority w:val="49"/>
    <w:qFormat/>
    <w:pPr>
      <w:ind w:left="567"/>
      <w:contextualSpacing/>
    </w:pPr>
    <w:rPr>
      <w:lang w:val="en-US" w:eastAsia="en-US"/>
    </w:rPr>
  </w:style>
  <w:style w:type="character" w:customStyle="1" w:styleId="RunningheadChar">
    <w:name w:val="Running head Char"/>
    <w:basedOn w:val="Policepardfaut"/>
    <w:link w:val="Runninghead"/>
    <w:uiPriority w:val="49"/>
    <w:rPr>
      <w:b/>
      <w:sz w:val="16"/>
      <w:szCs w:val="16"/>
      <w:lang w:eastAsia="en-US"/>
    </w:rPr>
  </w:style>
  <w:style w:type="paragraph" w:customStyle="1" w:styleId="Abstracttext">
    <w:name w:val="Abstract text"/>
    <w:basedOn w:val="Authornameandaffiliation"/>
    <w:link w:val="AbstracttextChar"/>
    <w:uiPriority w:val="49"/>
    <w:qFormat/>
    <w:pPr>
      <w:spacing w:line="240" w:lineRule="atLeast"/>
      <w:ind w:left="0" w:firstLine="567"/>
    </w:pPr>
    <w:rPr>
      <w:sz w:val="18"/>
    </w:rPr>
  </w:style>
  <w:style w:type="character" w:customStyle="1" w:styleId="CorpsdetexteCar">
    <w:name w:val="Corps de texte Car"/>
    <w:basedOn w:val="Policepardfaut"/>
    <w:link w:val="Corpsdetexte"/>
    <w:rPr>
      <w:lang w:eastAsia="en-US"/>
    </w:rPr>
  </w:style>
  <w:style w:type="character" w:customStyle="1" w:styleId="AuthornameandaffiliationChar">
    <w:name w:val="Author name and affiliation Char"/>
    <w:basedOn w:val="CorpsdetexteCar"/>
    <w:link w:val="Authornameandaffiliation"/>
    <w:uiPriority w:val="49"/>
    <w:rPr>
      <w:lang w:val="en-US" w:eastAsia="en-US"/>
    </w:rPr>
  </w:style>
  <w:style w:type="table" w:styleId="Grilledutableau">
    <w:name w:val="Table Grid"/>
    <w:basedOn w:val="Tableau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tracttextChar">
    <w:name w:val="Abstract text Char"/>
    <w:basedOn w:val="AuthornameandaffiliationChar"/>
    <w:link w:val="Abstracttext"/>
    <w:uiPriority w:val="49"/>
    <w:rPr>
      <w:sz w:val="18"/>
      <w:lang w:val="en-US" w:eastAsia="en-US"/>
    </w:rPr>
  </w:style>
  <w:style w:type="paragraph" w:styleId="Textedebulles">
    <w:name w:val="Balloon Text"/>
    <w:basedOn w:val="Normal"/>
    <w:link w:val="TextedebullesCar"/>
    <w:uiPriority w:val="49"/>
    <w:rPr>
      <w:rFonts w:ascii="Tahoma" w:hAnsi="Tahoma" w:cs="Tahoma"/>
      <w:sz w:val="16"/>
      <w:szCs w:val="16"/>
    </w:rPr>
  </w:style>
  <w:style w:type="character" w:customStyle="1" w:styleId="TextedebullesCar">
    <w:name w:val="Texte de bulles Car"/>
    <w:basedOn w:val="Policepardfaut"/>
    <w:link w:val="Textedebulles"/>
    <w:uiPriority w:val="49"/>
    <w:rPr>
      <w:rFonts w:ascii="Tahoma" w:hAnsi="Tahoma" w:cs="Tahoma"/>
      <w:sz w:val="16"/>
      <w:szCs w:val="16"/>
      <w:lang w:eastAsia="en-US"/>
    </w:rPr>
  </w:style>
  <w:style w:type="paragraph" w:customStyle="1" w:styleId="Figurecaption">
    <w:name w:val="Figure caption"/>
    <w:basedOn w:val="Corpsdetexte"/>
    <w:link w:val="FigurecaptionChar"/>
    <w:uiPriority w:val="49"/>
    <w:qFormat/>
    <w:pPr>
      <w:jc w:val="center"/>
    </w:pPr>
    <w:rPr>
      <w:i/>
      <w:sz w:val="18"/>
    </w:rPr>
  </w:style>
  <w:style w:type="paragraph" w:customStyle="1" w:styleId="Otherunnumberedheadings">
    <w:name w:val="Other unnumbered headings"/>
    <w:next w:val="Corpsdetexte"/>
    <w:link w:val="OtherunnumberedheadingsChar"/>
    <w:uiPriority w:val="49"/>
    <w:qFormat/>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Pr>
      <w:i/>
      <w:sz w:val="18"/>
      <w:lang w:eastAsia="en-US"/>
    </w:rPr>
  </w:style>
  <w:style w:type="paragraph" w:customStyle="1" w:styleId="Referencelist">
    <w:name w:val="Reference list"/>
    <w:basedOn w:val="Corpsdetexte"/>
    <w:link w:val="ReferencelistChar"/>
    <w:uiPriority w:val="49"/>
    <w:qFormat/>
    <w:pPr>
      <w:numPr>
        <w:numId w:val="30"/>
      </w:numPr>
    </w:pPr>
    <w:rPr>
      <w:sz w:val="18"/>
      <w:szCs w:val="18"/>
    </w:rPr>
  </w:style>
  <w:style w:type="character" w:customStyle="1" w:styleId="OtherunnumberedheadingsChar">
    <w:name w:val="Other unnumbered headings Char"/>
    <w:basedOn w:val="CorpsdetexteCar"/>
    <w:link w:val="Otherunnumberedheadings"/>
    <w:uiPriority w:val="49"/>
    <w:rPr>
      <w:rFonts w:ascii="times new roman bold" w:hAnsi="times new roman bold"/>
      <w:b/>
      <w:caps/>
      <w:lang w:eastAsia="en-US"/>
    </w:rPr>
  </w:style>
  <w:style w:type="character" w:customStyle="1" w:styleId="ReferencelistChar">
    <w:name w:val="Reference list Char"/>
    <w:basedOn w:val="CorpsdetexteCar"/>
    <w:link w:val="Referencelist"/>
    <w:uiPriority w:val="49"/>
    <w:rPr>
      <w:sz w:val="18"/>
      <w:szCs w:val="18"/>
      <w:lang w:eastAsia="en-US"/>
    </w:rPr>
  </w:style>
  <w:style w:type="paragraph" w:customStyle="1" w:styleId="Tabletext">
    <w:name w:val="Table text"/>
    <w:basedOn w:val="Corpsdetexte"/>
    <w:link w:val="TabletextChar"/>
    <w:uiPriority w:val="49"/>
    <w:qFormat/>
    <w:pPr>
      <w:ind w:firstLine="0"/>
    </w:pPr>
  </w:style>
  <w:style w:type="character" w:customStyle="1" w:styleId="TabletextChar">
    <w:name w:val="Table text Char"/>
    <w:basedOn w:val="CorpsdetexteCar"/>
    <w:link w:val="Tabletext"/>
    <w:uiPriority w:val="49"/>
    <w:rPr>
      <w:lang w:eastAsia="en-US"/>
    </w:rPr>
  </w:style>
  <w:style w:type="character" w:customStyle="1" w:styleId="Titre1Car">
    <w:name w:val="Titre 1 Car"/>
    <w:basedOn w:val="Policepardfaut"/>
    <w:link w:val="Titre1"/>
    <w:rPr>
      <w:rFonts w:ascii="times new roman bold" w:hAnsi="times new roman bold"/>
      <w:b/>
      <w:caps/>
      <w:sz w:val="24"/>
      <w:lang w:val="en-US" w:eastAsia="en-US"/>
    </w:rPr>
  </w:style>
  <w:style w:type="character" w:customStyle="1" w:styleId="Titre2Car">
    <w:name w:val="Titre 2 Car"/>
    <w:basedOn w:val="Policepardfaut"/>
    <w:link w:val="Titre2"/>
    <w:rPr>
      <w:caps/>
      <w:lang w:eastAsia="en-US"/>
    </w:rPr>
  </w:style>
  <w:style w:type="paragraph" w:styleId="Commentaire">
    <w:name w:val="annotation text"/>
    <w:basedOn w:val="Normal"/>
    <w:link w:val="CommentaireCar"/>
    <w:uiPriority w:val="99"/>
    <w:semiHidden/>
    <w:unhideWhenUsed/>
    <w:rPr>
      <w:sz w:val="20"/>
    </w:rPr>
  </w:style>
  <w:style w:type="character" w:customStyle="1" w:styleId="CommentaireCar">
    <w:name w:val="Commentaire Car"/>
    <w:basedOn w:val="Policepardfaut"/>
    <w:link w:val="Commentaire"/>
    <w:uiPriority w:val="99"/>
    <w:semiHidden/>
    <w:rPr>
      <w:lang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image" Target="media/image70.png"/><Relationship Id="rId39" Type="http://schemas.onlyoffice.com/peopleDocument" Target="peopleDocument.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ntTable" Target="fontTable.xml"/><Relationship Id="rId38" Type="http://schemas.onlyoffice.com/commentsExtendedDocument" Target="commentsExtendedDocument.xml"/><Relationship Id="rId2" Type="http://schemas.openxmlformats.org/officeDocument/2006/relationships/numbering" Target="numbering.xml"/><Relationship Id="rId16" Type="http://schemas.openxmlformats.org/officeDocument/2006/relationships/image" Target="media/image20.jpg"/><Relationship Id="rId20" Type="http://schemas.openxmlformats.org/officeDocument/2006/relationships/image" Target="media/image40.jpg"/><Relationship Id="rId29" Type="http://schemas.openxmlformats.org/officeDocument/2006/relationships/footer" Target="footer1.xml"/><Relationship Id="rId41" Type="http://schemas.onlyoffice.com/commentsIdsDocument" Target="commentsIdsDocument.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0.png"/><Relationship Id="rId32" Type="http://schemas.openxmlformats.org/officeDocument/2006/relationships/footer" Target="footer3.xml"/><Relationship Id="rId37" Type="http://schemas.microsoft.com/office/2018/08/relationships/commentsExtensible" Target="commentsExtensible.xml"/><Relationship Id="rId40" Type="http://schemas.onlyoffice.com/commentsDocument" Target="commentsDocument.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media/image80.png"/><Relationship Id="rId36" Type="http://schemas.onlyoffice.com/commentsExtensibleDocument" Target="commentsExtensibleDocument.xml"/><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footer" Target="footer2.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1973</Words>
  <Characters>10856</Characters>
  <Application>Microsoft Office Word</Application>
  <DocSecurity>0</DocSecurity>
  <Lines>90</Lines>
  <Paragraphs>25</Paragraphs>
  <ScaleCrop>false</ScaleCrop>
  <Company>IAEA</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Abtract</dc:title>
  <dc:subject/>
  <dc:creator>raksmy.nop@cea.fr</dc:creator>
  <dc:description/>
  <cp:lastModifiedBy>NOP Raksmy</cp:lastModifiedBy>
  <cp:revision>66</cp:revision>
  <dcterms:created xsi:type="dcterms:W3CDTF">2017-04-03T14:23:00Z</dcterms:created>
  <dcterms:modified xsi:type="dcterms:W3CDTF">2021-06-09T13:03:00Z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