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33BE" w14:textId="25AD07BB" w:rsidR="00D74A13" w:rsidRDefault="007A7D44">
      <w:pPr>
        <w:pStyle w:val="TtuloArtCOMNI"/>
        <w:keepNext/>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20" w:lineRule="atLeast"/>
        <w:rPr>
          <w:bCs/>
          <w:color w:val="000000"/>
          <w:sz w:val="24"/>
          <w:szCs w:val="24"/>
          <w:lang w:val="en-GB"/>
        </w:rPr>
      </w:pPr>
      <w:r>
        <w:rPr>
          <w:bCs/>
          <w:color w:val="000000"/>
          <w:sz w:val="24"/>
          <w:szCs w:val="24"/>
          <w:lang w:val="en-GB"/>
        </w:rPr>
        <w:t xml:space="preserve">Investigating </w:t>
      </w:r>
      <w:r w:rsidR="003E2F86">
        <w:rPr>
          <w:bCs/>
          <w:color w:val="000000"/>
          <w:sz w:val="24"/>
          <w:szCs w:val="24"/>
          <w:lang w:val="en-GB"/>
        </w:rPr>
        <w:t xml:space="preserve">efficient coupling of </w:t>
      </w:r>
      <w:r w:rsidR="00F43331">
        <w:rPr>
          <w:bCs/>
          <w:color w:val="000000"/>
          <w:sz w:val="24"/>
          <w:szCs w:val="24"/>
          <w:lang w:val="en-GB"/>
        </w:rPr>
        <w:t xml:space="preserve">Finite Element Analysis </w:t>
      </w:r>
      <w:r w:rsidR="00764F10">
        <w:rPr>
          <w:bCs/>
          <w:color w:val="000000"/>
          <w:sz w:val="24"/>
          <w:szCs w:val="24"/>
          <w:lang w:val="en-GB"/>
        </w:rPr>
        <w:t xml:space="preserve">with Machine Learning to </w:t>
      </w:r>
      <w:r w:rsidR="00B651C7">
        <w:rPr>
          <w:bCs/>
          <w:color w:val="000000"/>
          <w:sz w:val="24"/>
          <w:szCs w:val="24"/>
          <w:lang w:val="en-GB"/>
        </w:rPr>
        <w:t>optimise a lab</w:t>
      </w:r>
      <w:r w:rsidR="00643E9A">
        <w:rPr>
          <w:bCs/>
          <w:color w:val="000000"/>
          <w:sz w:val="24"/>
          <w:szCs w:val="24"/>
          <w:lang w:val="en-GB"/>
        </w:rPr>
        <w:t xml:space="preserve">oratory </w:t>
      </w:r>
      <w:r w:rsidR="00B36085">
        <w:rPr>
          <w:bCs/>
          <w:color w:val="000000"/>
          <w:sz w:val="24"/>
          <w:szCs w:val="24"/>
          <w:lang w:val="en-GB"/>
        </w:rPr>
        <w:t>experiment.</w:t>
      </w:r>
    </w:p>
    <w:p w14:paraId="672A6659" w14:textId="77777777" w:rsidR="00D74A13" w:rsidRDefault="00D74A13">
      <w:pPr>
        <w:pStyle w:val="Authornameandaffiliation"/>
        <w:ind w:left="0"/>
        <w:jc w:val="both"/>
      </w:pPr>
    </w:p>
    <w:p w14:paraId="465F7290" w14:textId="7B60E0BE" w:rsidR="00D74A13" w:rsidRDefault="00B04931">
      <w:pPr>
        <w:pStyle w:val="Heading1"/>
        <w:spacing w:line="120" w:lineRule="atLeast"/>
        <w:jc w:val="center"/>
      </w:pPr>
      <w:r>
        <w:rPr>
          <w:b w:val="0"/>
          <w:bCs/>
          <w:color w:val="000000"/>
        </w:rPr>
        <w:t>R. Lewis</w:t>
      </w:r>
      <w:r>
        <w:rPr>
          <w:b w:val="0"/>
          <w:bCs/>
          <w:color w:val="000000"/>
          <w:vertAlign w:val="superscript"/>
        </w:rPr>
        <w:t>1,2</w:t>
      </w:r>
      <w:r>
        <w:rPr>
          <w:b w:val="0"/>
          <w:bCs/>
          <w:color w:val="000000"/>
        </w:rPr>
        <w:t>, L</w:t>
      </w:r>
      <w:r w:rsidR="0075409E">
        <w:rPr>
          <w:b w:val="0"/>
          <w:bCs/>
          <w:color w:val="000000"/>
        </w:rPr>
        <w:t>l</w:t>
      </w:r>
      <w:r>
        <w:rPr>
          <w:b w:val="0"/>
          <w:bCs/>
          <w:color w:val="000000"/>
        </w:rPr>
        <w:t>.M. Evans</w:t>
      </w:r>
      <w:r>
        <w:rPr>
          <w:b w:val="0"/>
          <w:bCs/>
          <w:color w:val="000000"/>
          <w:vertAlign w:val="superscript"/>
        </w:rPr>
        <w:t>1,</w:t>
      </w:r>
      <w:r>
        <w:rPr>
          <w:b w:val="0"/>
          <w:bCs/>
          <w:vertAlign w:val="superscript"/>
        </w:rPr>
        <w:t>2</w:t>
      </w:r>
      <w:r>
        <w:rPr>
          <w:b w:val="0"/>
          <w:bCs/>
          <w:color w:val="000000"/>
        </w:rPr>
        <w:t>, R. Otin</w:t>
      </w:r>
      <w:r>
        <w:rPr>
          <w:b w:val="0"/>
          <w:bCs/>
          <w:color w:val="000000"/>
          <w:vertAlign w:val="superscript"/>
        </w:rPr>
        <w:t>2</w:t>
      </w:r>
      <w:r>
        <w:rPr>
          <w:b w:val="0"/>
          <w:bCs/>
          <w:color w:val="000000"/>
        </w:rPr>
        <w:t>, K. Leng</w:t>
      </w:r>
      <w:r>
        <w:rPr>
          <w:b w:val="0"/>
          <w:bCs/>
          <w:color w:val="000000"/>
          <w:vertAlign w:val="superscript"/>
        </w:rPr>
        <w:t>3</w:t>
      </w:r>
      <w:r>
        <w:rPr>
          <w:b w:val="0"/>
          <w:bCs/>
          <w:color w:val="000000"/>
        </w:rPr>
        <w:t>, A. Davis</w:t>
      </w:r>
      <w:r>
        <w:rPr>
          <w:b w:val="0"/>
          <w:bCs/>
          <w:color w:val="000000"/>
          <w:vertAlign w:val="superscript"/>
        </w:rPr>
        <w:t>2</w:t>
      </w:r>
      <w:r>
        <w:rPr>
          <w:b w:val="0"/>
          <w:bCs/>
          <w:color w:val="000000"/>
        </w:rPr>
        <w:t xml:space="preserve">, </w:t>
      </w:r>
    </w:p>
    <w:p w14:paraId="60C6333B" w14:textId="77777777" w:rsidR="00D74A13" w:rsidRDefault="00B04931">
      <w:pPr>
        <w:pStyle w:val="Heading1"/>
        <w:spacing w:line="120" w:lineRule="atLeast"/>
        <w:jc w:val="center"/>
      </w:pPr>
      <w:r>
        <w:rPr>
          <w:b w:val="0"/>
          <w:bCs/>
          <w:color w:val="000000"/>
        </w:rPr>
        <w:t>A.D.L. Hancock</w:t>
      </w:r>
      <w:r>
        <w:rPr>
          <w:b w:val="0"/>
          <w:bCs/>
          <w:color w:val="000000"/>
          <w:vertAlign w:val="superscript"/>
        </w:rPr>
        <w:t>2</w:t>
      </w:r>
      <w:r>
        <w:rPr>
          <w:b w:val="0"/>
          <w:bCs/>
          <w:color w:val="000000"/>
        </w:rPr>
        <w:t>, J. Thiyagalingam</w:t>
      </w:r>
      <w:r>
        <w:rPr>
          <w:b w:val="0"/>
          <w:bCs/>
          <w:color w:val="000000"/>
          <w:vertAlign w:val="superscript"/>
        </w:rPr>
        <w:t>3</w:t>
      </w:r>
      <w:r>
        <w:rPr>
          <w:b w:val="0"/>
          <w:bCs/>
          <w:color w:val="000000"/>
        </w:rPr>
        <w:t>, P. Nithiarasu</w:t>
      </w:r>
      <w:r>
        <w:rPr>
          <w:b w:val="0"/>
          <w:bCs/>
          <w:color w:val="000000"/>
          <w:vertAlign w:val="superscript"/>
        </w:rPr>
        <w:t>1</w:t>
      </w:r>
    </w:p>
    <w:p w14:paraId="0A37501D" w14:textId="77777777" w:rsidR="00D74A13" w:rsidRDefault="00D74A13">
      <w:pPr>
        <w:pStyle w:val="LiteWCCM"/>
        <w:rPr>
          <w:bCs/>
          <w:color w:val="000000"/>
          <w:vertAlign w:val="superscript"/>
          <w:lang w:val="es-ES"/>
        </w:rPr>
      </w:pPr>
    </w:p>
    <w:p w14:paraId="57B0DBE3" w14:textId="77777777" w:rsidR="00D74A13" w:rsidRDefault="00B04931">
      <w:pPr>
        <w:pStyle w:val="LiteWCCM"/>
      </w:pPr>
      <w:r>
        <w:rPr>
          <w:vertAlign w:val="superscript"/>
          <w:lang w:val="es-ES"/>
        </w:rPr>
        <w:t>1</w:t>
      </w:r>
      <w:r>
        <w:rPr>
          <w:lang w:val="es-ES"/>
        </w:rPr>
        <w:t xml:space="preserve"> </w:t>
      </w:r>
      <w:proofErr w:type="spellStart"/>
      <w:r>
        <w:rPr>
          <w:lang w:val="es-ES"/>
        </w:rPr>
        <w:t>College</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Engineering</w:t>
      </w:r>
      <w:proofErr w:type="spellEnd"/>
      <w:r>
        <w:rPr>
          <w:lang w:val="es-ES"/>
        </w:rPr>
        <w:t xml:space="preserve">, Swansea </w:t>
      </w:r>
      <w:proofErr w:type="spellStart"/>
      <w:r>
        <w:rPr>
          <w:lang w:val="es-ES"/>
        </w:rPr>
        <w:t>University</w:t>
      </w:r>
      <w:proofErr w:type="spellEnd"/>
      <w:r>
        <w:rPr>
          <w:lang w:val="es-ES"/>
        </w:rPr>
        <w:t xml:space="preserve">, Swansea, </w:t>
      </w:r>
      <w:proofErr w:type="spellStart"/>
      <w:r>
        <w:rPr>
          <w:lang w:val="es-ES"/>
        </w:rPr>
        <w:t>United</w:t>
      </w:r>
      <w:proofErr w:type="spellEnd"/>
      <w:r>
        <w:rPr>
          <w:lang w:val="es-ES"/>
        </w:rPr>
        <w:t xml:space="preserve"> </w:t>
      </w:r>
      <w:proofErr w:type="spellStart"/>
      <w:r>
        <w:rPr>
          <w:lang w:val="es-ES"/>
        </w:rPr>
        <w:t>Kingdom</w:t>
      </w:r>
      <w:proofErr w:type="spellEnd"/>
      <w:r>
        <w:rPr>
          <w:lang w:val="es-ES"/>
        </w:rPr>
        <w:t>.</w:t>
      </w:r>
    </w:p>
    <w:p w14:paraId="13D4AF20" w14:textId="77777777" w:rsidR="00D74A13" w:rsidRDefault="00B04931">
      <w:pPr>
        <w:pStyle w:val="LiteWCCM"/>
      </w:pPr>
      <w:r>
        <w:rPr>
          <w:vertAlign w:val="superscript"/>
        </w:rPr>
        <w:t>2</w:t>
      </w:r>
      <w:r>
        <w:t xml:space="preserve"> </w:t>
      </w:r>
      <w:r>
        <w:rPr>
          <w:color w:val="000000"/>
          <w:lang w:val="fr-FR"/>
        </w:rPr>
        <w:t xml:space="preserve">United </w:t>
      </w:r>
      <w:proofErr w:type="spellStart"/>
      <w:r>
        <w:rPr>
          <w:color w:val="000000"/>
          <w:lang w:val="fr-FR"/>
        </w:rPr>
        <w:t>Kingdom</w:t>
      </w:r>
      <w:proofErr w:type="spellEnd"/>
      <w:r>
        <w:rPr>
          <w:color w:val="000000"/>
          <w:lang w:val="fr-FR"/>
        </w:rPr>
        <w:t xml:space="preserve"> Atomic Energy </w:t>
      </w:r>
      <w:proofErr w:type="spellStart"/>
      <w:r>
        <w:rPr>
          <w:color w:val="000000"/>
          <w:lang w:val="fr-FR"/>
        </w:rPr>
        <w:t>Authority</w:t>
      </w:r>
      <w:proofErr w:type="spellEnd"/>
      <w:r>
        <w:rPr>
          <w:color w:val="000000"/>
          <w:lang w:val="fr-FR"/>
        </w:rPr>
        <w:t xml:space="preserve">, </w:t>
      </w:r>
      <w:proofErr w:type="spellStart"/>
      <w:r>
        <w:rPr>
          <w:color w:val="000000"/>
          <w:lang w:val="fr-FR"/>
        </w:rPr>
        <w:t>Culham</w:t>
      </w:r>
      <w:proofErr w:type="spellEnd"/>
      <w:r>
        <w:rPr>
          <w:color w:val="000000"/>
          <w:lang w:val="fr-FR"/>
        </w:rPr>
        <w:t xml:space="preserve">, United </w:t>
      </w:r>
      <w:proofErr w:type="spellStart"/>
      <w:r>
        <w:rPr>
          <w:color w:val="000000"/>
          <w:lang w:val="fr-FR"/>
        </w:rPr>
        <w:t>Kingdom</w:t>
      </w:r>
      <w:proofErr w:type="spellEnd"/>
    </w:p>
    <w:p w14:paraId="6B17A528" w14:textId="77777777" w:rsidR="00D74A13" w:rsidRDefault="00B04931">
      <w:pPr>
        <w:pStyle w:val="LiteWCCM"/>
        <w:rPr>
          <w:lang w:val="en-GB"/>
        </w:rPr>
      </w:pPr>
      <w:r>
        <w:rPr>
          <w:color w:val="000000"/>
          <w:vertAlign w:val="superscript"/>
          <w:lang w:val="fr-FR"/>
        </w:rPr>
        <w:t>3</w:t>
      </w:r>
      <w:r>
        <w:rPr>
          <w:color w:val="000000"/>
          <w:lang w:val="fr-FR"/>
        </w:rPr>
        <w:t xml:space="preserve"> Science and </w:t>
      </w:r>
      <w:proofErr w:type="spellStart"/>
      <w:r>
        <w:rPr>
          <w:color w:val="000000"/>
          <w:lang w:val="fr-FR"/>
        </w:rPr>
        <w:t>Technology</w:t>
      </w:r>
      <w:proofErr w:type="spellEnd"/>
      <w:r>
        <w:rPr>
          <w:color w:val="000000"/>
          <w:lang w:val="fr-FR"/>
        </w:rPr>
        <w:t xml:space="preserve"> Facilities Council, </w:t>
      </w:r>
      <w:proofErr w:type="spellStart"/>
      <w:r>
        <w:rPr>
          <w:color w:val="000000"/>
          <w:lang w:val="fr-FR"/>
        </w:rPr>
        <w:t>Didcot</w:t>
      </w:r>
      <w:proofErr w:type="spellEnd"/>
      <w:r>
        <w:rPr>
          <w:color w:val="000000"/>
          <w:lang w:val="fr-FR"/>
        </w:rPr>
        <w:t xml:space="preserve">, United </w:t>
      </w:r>
      <w:proofErr w:type="spellStart"/>
      <w:r>
        <w:rPr>
          <w:color w:val="000000"/>
          <w:lang w:val="fr-FR"/>
        </w:rPr>
        <w:t>Kingdom</w:t>
      </w:r>
      <w:proofErr w:type="spellEnd"/>
    </w:p>
    <w:p w14:paraId="5DAB6C7B" w14:textId="77777777" w:rsidR="00D74A13" w:rsidRDefault="00D74A13">
      <w:pPr>
        <w:pStyle w:val="Authornameandaffiliation"/>
        <w:ind w:left="0"/>
        <w:jc w:val="both"/>
        <w:rPr>
          <w:color w:val="548DD4"/>
          <w:sz w:val="24"/>
          <w:szCs w:val="24"/>
        </w:rPr>
      </w:pPr>
    </w:p>
    <w:p w14:paraId="311F7F0A" w14:textId="77777777" w:rsidR="00D74A13" w:rsidRDefault="00B04931">
      <w:pPr>
        <w:pStyle w:val="Authornameandaffiliation"/>
        <w:ind w:left="0"/>
        <w:jc w:val="both"/>
      </w:pPr>
      <w:r>
        <w:rPr>
          <w:sz w:val="24"/>
          <w:szCs w:val="24"/>
        </w:rPr>
        <w:t>Corresponding author: llion.evans@swansea.ac.uk</w:t>
      </w:r>
    </w:p>
    <w:p w14:paraId="6A05A809" w14:textId="77777777" w:rsidR="00D74A13" w:rsidRDefault="00D74A13">
      <w:pPr>
        <w:pStyle w:val="Authornameandaffiliation"/>
        <w:ind w:left="0"/>
        <w:jc w:val="both"/>
        <w:rPr>
          <w:sz w:val="24"/>
          <w:szCs w:val="24"/>
          <w:lang w:val="en-GB"/>
        </w:rPr>
      </w:pPr>
    </w:p>
    <w:p w14:paraId="7CBFD60A" w14:textId="77777777" w:rsidR="00D74A13" w:rsidRDefault="00B04931">
      <w:pPr>
        <w:pStyle w:val="Authornameandaffiliation"/>
        <w:ind w:left="0"/>
        <w:jc w:val="both"/>
        <w:rPr>
          <w:b/>
          <w:bCs/>
          <w:sz w:val="24"/>
          <w:szCs w:val="24"/>
          <w:lang w:val="en-GB"/>
        </w:rPr>
      </w:pPr>
      <w:r>
        <w:rPr>
          <w:b/>
          <w:bCs/>
          <w:sz w:val="24"/>
          <w:szCs w:val="24"/>
          <w:lang w:val="en-GB"/>
        </w:rPr>
        <w:t>Abstract</w:t>
      </w:r>
    </w:p>
    <w:p w14:paraId="5B08D8CC" w14:textId="77777777" w:rsidR="00D74A13" w:rsidRDefault="00B04931">
      <w:pPr>
        <w:pStyle w:val="Authornameandaffiliation"/>
        <w:ind w:left="0"/>
        <w:jc w:val="both"/>
        <w:rPr>
          <w:sz w:val="24"/>
          <w:szCs w:val="24"/>
          <w:lang w:val="en-GB"/>
        </w:rPr>
      </w:pPr>
      <w:r>
        <w:rPr>
          <w:sz w:val="24"/>
          <w:szCs w:val="24"/>
          <w:lang w:val="en-GB"/>
        </w:rPr>
        <w:t xml:space="preserve">The Heating by Induction to Verify Extremes (HIVE) testing facility at the UK Atomic Energy Authority is a high heat flux experiment to research and develop plasma-facing components for fusion devices. Induction heating delivers the extreme thermal loads to a component while high-pressure coolant passes through it. </w:t>
      </w:r>
    </w:p>
    <w:p w14:paraId="6FF7CDCF" w14:textId="6EBF90E2" w:rsidR="00D74A13" w:rsidRDefault="63446C7A">
      <w:pPr>
        <w:pStyle w:val="Authornameandaffiliation"/>
        <w:ind w:left="0"/>
        <w:jc w:val="both"/>
        <w:rPr>
          <w:sz w:val="24"/>
          <w:szCs w:val="24"/>
          <w:lang w:val="en-GB"/>
        </w:rPr>
      </w:pPr>
      <w:r w:rsidRPr="63446C7A">
        <w:rPr>
          <w:sz w:val="24"/>
          <w:szCs w:val="24"/>
          <w:lang w:val="en-GB"/>
        </w:rPr>
        <w:t xml:space="preserve">Performing these experiments is expensive, therefore it is imperative that the experimental parameters are correctly chosen to deliver the desired behaviour. Currently this inverse problem is solved using memories, experience, and gut-feeling of an experienced operator. A fully automated open-source framework, </w:t>
      </w:r>
      <w:proofErr w:type="spellStart"/>
      <w:r w:rsidRPr="63446C7A">
        <w:rPr>
          <w:sz w:val="24"/>
          <w:szCs w:val="24"/>
          <w:lang w:val="en-GB"/>
        </w:rPr>
        <w:t>VirtualLab</w:t>
      </w:r>
      <w:proofErr w:type="spellEnd"/>
      <w:r w:rsidRPr="63446C7A">
        <w:rPr>
          <w:sz w:val="24"/>
          <w:szCs w:val="24"/>
          <w:lang w:val="en-GB"/>
        </w:rPr>
        <w:t xml:space="preserve">, has been developed which </w:t>
      </w:r>
      <w:proofErr w:type="gramStart"/>
      <w:r w:rsidRPr="63446C7A">
        <w:rPr>
          <w:sz w:val="24"/>
          <w:szCs w:val="24"/>
          <w:lang w:val="en-GB"/>
        </w:rPr>
        <w:t>couples</w:t>
      </w:r>
      <w:proofErr w:type="gramEnd"/>
      <w:r w:rsidRPr="63446C7A">
        <w:rPr>
          <w:sz w:val="24"/>
          <w:szCs w:val="24"/>
          <w:lang w:val="en-GB"/>
        </w:rPr>
        <w:t xml:space="preserve"> simulation with machine learning to solve the inverse problem posed by HIVE,</w:t>
      </w:r>
      <w:r w:rsidR="001002E8">
        <w:rPr>
          <w:sz w:val="24"/>
          <w:szCs w:val="24"/>
          <w:lang w:val="en-GB"/>
        </w:rPr>
        <w:t xml:space="preserve"> giving the operator </w:t>
      </w:r>
      <w:r w:rsidR="003C0052">
        <w:rPr>
          <w:sz w:val="24"/>
          <w:szCs w:val="24"/>
          <w:lang w:val="en-GB"/>
        </w:rPr>
        <w:t xml:space="preserve">a selection of input parameters which deliver the </w:t>
      </w:r>
      <w:r w:rsidR="00567B2F">
        <w:rPr>
          <w:sz w:val="24"/>
          <w:szCs w:val="24"/>
          <w:lang w:val="en-GB"/>
        </w:rPr>
        <w:t>desired condition</w:t>
      </w:r>
      <w:r w:rsidRPr="63446C7A">
        <w:rPr>
          <w:sz w:val="24"/>
          <w:szCs w:val="24"/>
          <w:lang w:val="en-GB"/>
        </w:rPr>
        <w:t xml:space="preserve">. </w:t>
      </w:r>
    </w:p>
    <w:p w14:paraId="2EA07041" w14:textId="6FCB83DA" w:rsidR="00D74A13" w:rsidRDefault="00B04931">
      <w:pPr>
        <w:pStyle w:val="Authornameandaffiliation"/>
        <w:ind w:left="0"/>
        <w:jc w:val="both"/>
        <w:rPr>
          <w:sz w:val="24"/>
          <w:szCs w:val="24"/>
          <w:lang w:val="en-GB"/>
        </w:rPr>
      </w:pPr>
      <w:r>
        <w:rPr>
          <w:sz w:val="24"/>
          <w:szCs w:val="24"/>
          <w:lang w:val="en-GB"/>
        </w:rPr>
        <w:t xml:space="preserve">Using </w:t>
      </w:r>
      <w:r w:rsidR="00C15069">
        <w:rPr>
          <w:sz w:val="24"/>
          <w:szCs w:val="24"/>
          <w:lang w:val="en-GB"/>
        </w:rPr>
        <w:t xml:space="preserve">the </w:t>
      </w:r>
      <w:r>
        <w:rPr>
          <w:sz w:val="24"/>
          <w:szCs w:val="24"/>
          <w:lang w:val="en-GB"/>
        </w:rPr>
        <w:t xml:space="preserve">HIVE </w:t>
      </w:r>
      <w:r w:rsidR="00C15069">
        <w:rPr>
          <w:sz w:val="24"/>
          <w:szCs w:val="24"/>
          <w:lang w:val="en-GB"/>
        </w:rPr>
        <w:t xml:space="preserve">simulation </w:t>
      </w:r>
      <w:r>
        <w:rPr>
          <w:sz w:val="24"/>
          <w:szCs w:val="24"/>
          <w:lang w:val="en-GB"/>
        </w:rPr>
        <w:t xml:space="preserve">created </w:t>
      </w:r>
      <w:r w:rsidR="00C15069">
        <w:rPr>
          <w:sz w:val="24"/>
          <w:szCs w:val="24"/>
          <w:lang w:val="en-GB"/>
        </w:rPr>
        <w:t>in</w:t>
      </w:r>
      <w:r>
        <w:rPr>
          <w:sz w:val="24"/>
          <w:szCs w:val="24"/>
          <w:lang w:val="en-GB"/>
        </w:rPr>
        <w:t xml:space="preserve"> </w:t>
      </w:r>
      <w:proofErr w:type="spellStart"/>
      <w:r>
        <w:rPr>
          <w:sz w:val="24"/>
          <w:szCs w:val="24"/>
          <w:lang w:val="en-GB"/>
        </w:rPr>
        <w:t>VirtualLab</w:t>
      </w:r>
      <w:proofErr w:type="spellEnd"/>
      <w:r>
        <w:rPr>
          <w:sz w:val="24"/>
          <w:szCs w:val="24"/>
          <w:lang w:val="en-GB"/>
        </w:rPr>
        <w:t xml:space="preserve">, results at discrete points across the parameter space are evaluated. This data is used to train a Gaussian </w:t>
      </w:r>
      <w:r w:rsidR="00C13948">
        <w:rPr>
          <w:sz w:val="24"/>
          <w:szCs w:val="24"/>
          <w:lang w:val="en-GB"/>
        </w:rPr>
        <w:t>p</w:t>
      </w:r>
      <w:r>
        <w:rPr>
          <w:sz w:val="24"/>
          <w:szCs w:val="24"/>
          <w:lang w:val="en-GB"/>
        </w:rPr>
        <w:t xml:space="preserve">rocess </w:t>
      </w:r>
      <w:r w:rsidR="00C13948">
        <w:rPr>
          <w:sz w:val="24"/>
          <w:szCs w:val="24"/>
          <w:lang w:val="en-GB"/>
        </w:rPr>
        <w:t>r</w:t>
      </w:r>
      <w:r>
        <w:rPr>
          <w:sz w:val="24"/>
          <w:szCs w:val="24"/>
          <w:lang w:val="en-GB"/>
        </w:rPr>
        <w:t>egression model, creating a continuous mapping of inputs to outputs across the entire parameter space. This enables regions of interest, such as optima, in the parameter space to be quickly and easily identified for further investigation using the HIVE facility.</w:t>
      </w:r>
    </w:p>
    <w:p w14:paraId="049B1D09" w14:textId="3E2C88B8" w:rsidR="00D74A13" w:rsidRDefault="63446C7A">
      <w:pPr>
        <w:pStyle w:val="Authornameandaffiliation"/>
        <w:ind w:left="0"/>
        <w:jc w:val="both"/>
        <w:rPr>
          <w:sz w:val="24"/>
          <w:szCs w:val="24"/>
          <w:lang w:val="en-GB"/>
        </w:rPr>
      </w:pPr>
      <w:r w:rsidRPr="63446C7A">
        <w:rPr>
          <w:sz w:val="24"/>
          <w:szCs w:val="24"/>
          <w:lang w:val="en-GB"/>
        </w:rPr>
        <w:t>The framework developed utilises high performance computing clusters to dramatically reduce the time taken to generate and analyse the data, enabling rapid iterations of the engineering design cycle.</w:t>
      </w:r>
    </w:p>
    <w:p w14:paraId="5F7C2762" w14:textId="77777777" w:rsidR="00D74A13" w:rsidRDefault="00B04931">
      <w:pPr>
        <w:pStyle w:val="Authornameandaffiliation"/>
        <w:ind w:left="0"/>
        <w:jc w:val="both"/>
        <w:rPr>
          <w:sz w:val="24"/>
          <w:szCs w:val="24"/>
          <w:lang w:val="en-GB"/>
        </w:rPr>
      </w:pPr>
      <w:r>
        <w:rPr>
          <w:sz w:val="24"/>
          <w:szCs w:val="24"/>
          <w:lang w:val="en-GB"/>
        </w:rPr>
        <w:t>This is an example of human-machine collaboration guiding, but not making, decisions which is becoming an increasingly important and useful tool in a wide variety of fields.</w:t>
      </w:r>
    </w:p>
    <w:p w14:paraId="5A39BBE3" w14:textId="77777777" w:rsidR="00D74A13" w:rsidRDefault="00D74A13">
      <w:pPr>
        <w:pStyle w:val="Authornameandaffiliation"/>
        <w:ind w:left="0"/>
        <w:jc w:val="both"/>
        <w:rPr>
          <w:sz w:val="24"/>
          <w:szCs w:val="24"/>
          <w:lang w:val="en-GB"/>
        </w:rPr>
      </w:pPr>
    </w:p>
    <w:p w14:paraId="41C8F396" w14:textId="77777777" w:rsidR="00D74A13" w:rsidRDefault="00D74A13">
      <w:pPr>
        <w:pStyle w:val="Authornameandaffiliation"/>
        <w:ind w:left="0"/>
        <w:jc w:val="both"/>
        <w:rPr>
          <w:sz w:val="24"/>
          <w:szCs w:val="24"/>
          <w:lang w:val="en-GB"/>
        </w:rPr>
      </w:pPr>
    </w:p>
    <w:p w14:paraId="32A36C38" w14:textId="77777777" w:rsidR="00D74A13" w:rsidRDefault="00B04931">
      <w:pPr>
        <w:pStyle w:val="Authornameandaffiliation"/>
        <w:ind w:left="0"/>
        <w:jc w:val="both"/>
        <w:rPr>
          <w:b/>
          <w:bCs/>
          <w:sz w:val="24"/>
          <w:szCs w:val="24"/>
          <w:lang w:val="en-GB"/>
        </w:rPr>
      </w:pPr>
      <w:r>
        <w:rPr>
          <w:b/>
          <w:bCs/>
          <w:sz w:val="24"/>
          <w:szCs w:val="24"/>
          <w:lang w:val="en-GB"/>
        </w:rPr>
        <w:t>1. Introduction</w:t>
      </w:r>
    </w:p>
    <w:p w14:paraId="1996F8E8" w14:textId="37A72C38" w:rsidR="00D74A13" w:rsidRDefault="63446C7A">
      <w:pPr>
        <w:pStyle w:val="Authornameandaffiliation"/>
        <w:ind w:left="0"/>
        <w:jc w:val="both"/>
        <w:rPr>
          <w:sz w:val="24"/>
          <w:szCs w:val="24"/>
          <w:lang w:val="en-GB"/>
        </w:rPr>
      </w:pPr>
      <w:r w:rsidRPr="63446C7A">
        <w:rPr>
          <w:sz w:val="24"/>
          <w:szCs w:val="24"/>
          <w:lang w:val="en-GB"/>
        </w:rPr>
        <w:t xml:space="preserve">Fusion energy has the potential to supply the ever-growing energy requirements of </w:t>
      </w:r>
      <w:proofErr w:type="gramStart"/>
      <w:r w:rsidRPr="63446C7A">
        <w:rPr>
          <w:sz w:val="24"/>
          <w:szCs w:val="24"/>
          <w:lang w:val="en-GB"/>
        </w:rPr>
        <w:t>the human race</w:t>
      </w:r>
      <w:proofErr w:type="gramEnd"/>
      <w:r w:rsidRPr="63446C7A">
        <w:rPr>
          <w:sz w:val="24"/>
          <w:szCs w:val="24"/>
          <w:lang w:val="en-GB"/>
        </w:rPr>
        <w:t xml:space="preserve"> with a clean, sustainable energy source, however there are several challenges to overcome before this potential is realised [</w:t>
      </w:r>
      <w:r w:rsidR="00562BC2">
        <w:rPr>
          <w:sz w:val="24"/>
          <w:szCs w:val="24"/>
          <w:lang w:val="en-GB"/>
        </w:rPr>
        <w:t>1</w:t>
      </w:r>
      <w:r w:rsidRPr="63446C7A">
        <w:rPr>
          <w:sz w:val="24"/>
          <w:szCs w:val="24"/>
          <w:lang w:val="en-GB"/>
        </w:rPr>
        <w:t xml:space="preserve">]. </w:t>
      </w:r>
      <w:r w:rsidRPr="00A47D71">
        <w:rPr>
          <w:sz w:val="24"/>
          <w:szCs w:val="24"/>
          <w:lang w:val="en-GB"/>
        </w:rPr>
        <w:t>One of these is the construction of a commercially viable machine which can routinely withstand the extreme environments fusion requires. The Heating by Induction to Verify Extremes (HIVE) testing facility at the UK Atomic Energy Authority (UKAEA) was established to research and develop the plasma-facing components (PFC) which experience the most severe thermal loads. Induction heating delivers up to 20 MW/m</w:t>
      </w:r>
      <w:r w:rsidRPr="00A47D71">
        <w:rPr>
          <w:sz w:val="24"/>
          <w:szCs w:val="24"/>
          <w:vertAlign w:val="superscript"/>
          <w:lang w:val="en-GB"/>
        </w:rPr>
        <w:t>2</w:t>
      </w:r>
      <w:r w:rsidRPr="00A47D71">
        <w:rPr>
          <w:sz w:val="24"/>
          <w:szCs w:val="24"/>
          <w:lang w:val="en-GB"/>
        </w:rPr>
        <w:t xml:space="preserve"> of surface power to a component to replicate in-service loads, while components are actively cooled using high-pressure coolant.</w:t>
      </w:r>
      <w:r w:rsidRPr="63446C7A">
        <w:rPr>
          <w:color w:val="70AD47" w:themeColor="accent6"/>
          <w:sz w:val="24"/>
          <w:szCs w:val="24"/>
          <w:lang w:val="en-GB"/>
        </w:rPr>
        <w:t xml:space="preserve"> </w:t>
      </w:r>
    </w:p>
    <w:p w14:paraId="72A3D3EC" w14:textId="77777777" w:rsidR="00D74A13" w:rsidRDefault="00D74A13">
      <w:pPr>
        <w:pStyle w:val="Authornameandaffiliation"/>
        <w:ind w:left="0"/>
        <w:jc w:val="both"/>
        <w:rPr>
          <w:color w:val="000000"/>
          <w:sz w:val="24"/>
          <w:szCs w:val="24"/>
          <w:lang w:val="en-GB"/>
        </w:rPr>
      </w:pPr>
    </w:p>
    <w:p w14:paraId="456018E0" w14:textId="55EA10E2" w:rsidR="00A47D71" w:rsidRDefault="00B04931" w:rsidP="00A47D71">
      <w:pPr>
        <w:pStyle w:val="BodyText"/>
        <w:spacing w:after="120" w:line="240" w:lineRule="atLeast"/>
        <w:ind w:firstLine="0"/>
        <w:rPr>
          <w:sz w:val="24"/>
          <w:szCs w:val="24"/>
        </w:rPr>
      </w:pPr>
      <w:r>
        <w:rPr>
          <w:color w:val="000000"/>
          <w:sz w:val="24"/>
          <w:szCs w:val="22"/>
        </w:rPr>
        <w:t>HIVE’s main goal is to develop PFCs with improved component lifespan</w:t>
      </w:r>
      <w:r w:rsidR="005E669D">
        <w:rPr>
          <w:color w:val="000000"/>
          <w:sz w:val="24"/>
          <w:szCs w:val="22"/>
        </w:rPr>
        <w:t>. This can be achieved</w:t>
      </w:r>
      <w:r>
        <w:rPr>
          <w:color w:val="000000"/>
          <w:sz w:val="24"/>
          <w:szCs w:val="22"/>
        </w:rPr>
        <w:t xml:space="preserve"> by diffusing the surface thermal loads through the component, in a way which reduces thermal expansion related stresses particularly in regions of geometric features or bonding between dissimilar materials.</w:t>
      </w:r>
      <w:r>
        <w:rPr>
          <w:sz w:val="24"/>
          <w:szCs w:val="24"/>
        </w:rPr>
        <w:t xml:space="preserve"> Doing so increases the ratio of mean time between </w:t>
      </w:r>
      <w:r>
        <w:rPr>
          <w:sz w:val="24"/>
          <w:szCs w:val="24"/>
        </w:rPr>
        <w:lastRenderedPageBreak/>
        <w:t xml:space="preserve">failure (MTTF) and mean time to repair (MTTR), a crucial metric for any commercially viable power plant. </w:t>
      </w:r>
    </w:p>
    <w:p w14:paraId="32B3B2FF" w14:textId="77777777" w:rsidR="00A47D71" w:rsidRDefault="00A47D71" w:rsidP="00A47D71">
      <w:pPr>
        <w:pStyle w:val="BodyText"/>
        <w:spacing w:after="120" w:line="240" w:lineRule="atLeast"/>
        <w:ind w:firstLine="0"/>
        <w:rPr>
          <w:sz w:val="24"/>
          <w:szCs w:val="24"/>
        </w:rPr>
      </w:pPr>
    </w:p>
    <w:p w14:paraId="56D72109" w14:textId="6F02501F" w:rsidR="00D74A13" w:rsidRDefault="63446C7A" w:rsidP="00A47D71">
      <w:pPr>
        <w:pStyle w:val="BodyText"/>
        <w:spacing w:after="120" w:line="240" w:lineRule="atLeast"/>
        <w:ind w:firstLine="0"/>
        <w:rPr>
          <w:sz w:val="24"/>
          <w:szCs w:val="24"/>
        </w:rPr>
      </w:pPr>
      <w:r w:rsidRPr="63446C7A">
        <w:rPr>
          <w:sz w:val="24"/>
          <w:szCs w:val="24"/>
        </w:rPr>
        <w:t xml:space="preserve">Performing these experiments is expensive due to their high-power usage and the setup time required. Due to cost and limited opportunity it is crucial that the experimental parameters, such as induction coil design, coolant temperature and coil power, are correctly chosen to ensure that the desired behaviour is delivered. </w:t>
      </w:r>
      <w:r w:rsidR="00B55BBA">
        <w:rPr>
          <w:sz w:val="24"/>
          <w:szCs w:val="24"/>
        </w:rPr>
        <w:t>Currently, t</w:t>
      </w:r>
      <w:r w:rsidRPr="63446C7A">
        <w:rPr>
          <w:sz w:val="24"/>
          <w:szCs w:val="24"/>
        </w:rPr>
        <w:t xml:space="preserve">his inverse problem is solved by relying </w:t>
      </w:r>
      <w:r w:rsidR="006833CA">
        <w:rPr>
          <w:sz w:val="24"/>
          <w:szCs w:val="24"/>
        </w:rPr>
        <w:t>mostly</w:t>
      </w:r>
      <w:r w:rsidRPr="63446C7A">
        <w:rPr>
          <w:sz w:val="24"/>
          <w:szCs w:val="24"/>
        </w:rPr>
        <w:t xml:space="preserve"> on previous experiences of HIVE operators, however this knowledge takes years to build and is quickly lost through staff turnover, for example. In this work a more s</w:t>
      </w:r>
      <w:r w:rsidR="00916F3C">
        <w:rPr>
          <w:sz w:val="24"/>
          <w:szCs w:val="24"/>
        </w:rPr>
        <w:t>ustainable</w:t>
      </w:r>
      <w:r w:rsidRPr="63446C7A">
        <w:rPr>
          <w:sz w:val="24"/>
          <w:szCs w:val="24"/>
        </w:rPr>
        <w:t xml:space="preserve">, robust, and accurate approach to solving inverse problems using machine learning (ML) is presented. </w:t>
      </w:r>
    </w:p>
    <w:p w14:paraId="0D0B940D" w14:textId="77777777" w:rsidR="00D74A13" w:rsidRDefault="00D74A13">
      <w:pPr>
        <w:pStyle w:val="Authornameandaffiliation"/>
        <w:ind w:left="0"/>
        <w:jc w:val="both"/>
        <w:rPr>
          <w:sz w:val="24"/>
          <w:szCs w:val="24"/>
          <w:lang w:val="en-GB"/>
        </w:rPr>
      </w:pPr>
    </w:p>
    <w:p w14:paraId="59D644EA" w14:textId="77777777" w:rsidR="00D74A13" w:rsidRDefault="00B04931">
      <w:pPr>
        <w:pStyle w:val="Authornameandaffiliation"/>
        <w:ind w:left="0"/>
        <w:jc w:val="both"/>
        <w:rPr>
          <w:b/>
          <w:bCs/>
          <w:sz w:val="24"/>
          <w:szCs w:val="24"/>
          <w:lang w:val="en-GB"/>
        </w:rPr>
      </w:pPr>
      <w:r>
        <w:rPr>
          <w:b/>
          <w:bCs/>
          <w:sz w:val="24"/>
          <w:szCs w:val="24"/>
          <w:lang w:val="en-GB"/>
        </w:rPr>
        <w:t>2. Methodology</w:t>
      </w:r>
    </w:p>
    <w:p w14:paraId="397B4D06" w14:textId="5F497AC4" w:rsidR="00D74A13" w:rsidRDefault="00B04931">
      <w:pPr>
        <w:pStyle w:val="BodyText"/>
        <w:spacing w:after="120" w:line="240" w:lineRule="atLeast"/>
        <w:ind w:firstLine="0"/>
        <w:rPr>
          <w:sz w:val="24"/>
          <w:szCs w:val="24"/>
        </w:rPr>
      </w:pPr>
      <w:r>
        <w:rPr>
          <w:color w:val="000000"/>
          <w:sz w:val="24"/>
          <w:szCs w:val="22"/>
        </w:rPr>
        <w:t xml:space="preserve">While there </w:t>
      </w:r>
      <w:proofErr w:type="gramStart"/>
      <w:r>
        <w:rPr>
          <w:color w:val="000000"/>
          <w:sz w:val="24"/>
          <w:szCs w:val="22"/>
        </w:rPr>
        <w:t>are</w:t>
      </w:r>
      <w:proofErr w:type="gramEnd"/>
      <w:r>
        <w:rPr>
          <w:color w:val="000000"/>
          <w:sz w:val="24"/>
          <w:szCs w:val="22"/>
        </w:rPr>
        <w:t xml:space="preserve"> a plethora of experimental parameters in HIVE, th</w:t>
      </w:r>
      <w:r w:rsidR="008A456C">
        <w:rPr>
          <w:color w:val="000000"/>
          <w:sz w:val="24"/>
          <w:szCs w:val="22"/>
        </w:rPr>
        <w:t>e</w:t>
      </w:r>
      <w:r>
        <w:rPr>
          <w:color w:val="000000"/>
          <w:sz w:val="24"/>
          <w:szCs w:val="22"/>
        </w:rPr>
        <w:t xml:space="preserve"> work</w:t>
      </w:r>
      <w:r w:rsidR="008A456C">
        <w:rPr>
          <w:color w:val="000000"/>
          <w:sz w:val="24"/>
          <w:szCs w:val="22"/>
        </w:rPr>
        <w:t xml:space="preserve"> presented here</w:t>
      </w:r>
      <w:r>
        <w:rPr>
          <w:color w:val="000000"/>
          <w:sz w:val="24"/>
          <w:szCs w:val="22"/>
        </w:rPr>
        <w:t xml:space="preserve"> focuses on a subset of these relating to the design and orientation of the induction coil. The design of the induction coil significantly effects the heating profile imposed on the surface of the component [Fig. 1]. Moving the coil closer to the component increases the power delivered to the sample, however it also increases the unevenness of the heating profile. The thermal loads experienced by PFCs in a fusion device during normal operations are locally uniform with variations occurring over a larger length scale. Therefore, it is desirable to achieve as uniform a heat load as possible with HIVE to better replicate these conditions. </w:t>
      </w:r>
    </w:p>
    <w:tbl>
      <w:tblPr>
        <w:tblW w:w="9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26"/>
      </w:tblGrid>
      <w:tr w:rsidR="00D74A13" w14:paraId="0E27B00A" w14:textId="77777777" w:rsidTr="63446C7A">
        <w:tc>
          <w:tcPr>
            <w:tcW w:w="9026"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shd w:val="clear" w:color="auto" w:fill="auto"/>
          </w:tcPr>
          <w:p w14:paraId="60061E4C" w14:textId="77777777" w:rsidR="00D74A13" w:rsidRDefault="63446C7A">
            <w:pPr>
              <w:pStyle w:val="TableContents"/>
              <w:jc w:val="center"/>
              <w:rPr>
                <w:szCs w:val="24"/>
              </w:rPr>
            </w:pPr>
            <w:r>
              <w:rPr>
                <w:noProof/>
              </w:rPr>
              <w:drawing>
                <wp:inline distT="0" distB="0" distL="0" distR="0" wp14:anchorId="2E2948F3" wp14:editId="7835EEED">
                  <wp:extent cx="2757170" cy="149796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7">
                            <a:extLst>
                              <a:ext uri="{28A0092B-C50C-407E-A947-70E740481C1C}">
                                <a14:useLocalDpi xmlns:a14="http://schemas.microsoft.com/office/drawing/2010/main" val="0"/>
                              </a:ext>
                            </a:extLst>
                          </a:blip>
                          <a:stretch>
                            <a:fillRect/>
                          </a:stretch>
                        </pic:blipFill>
                        <pic:spPr>
                          <a:xfrm>
                            <a:off x="0" y="0"/>
                            <a:ext cx="2757170" cy="1497965"/>
                          </a:xfrm>
                          <a:prstGeom prst="rect">
                            <a:avLst/>
                          </a:prstGeom>
                        </pic:spPr>
                      </pic:pic>
                    </a:graphicData>
                  </a:graphic>
                </wp:inline>
              </w:drawing>
            </w:r>
          </w:p>
        </w:tc>
      </w:tr>
      <w:tr w:rsidR="00D74A13" w14:paraId="42B32F23" w14:textId="77777777" w:rsidTr="63446C7A">
        <w:tc>
          <w:tcPr>
            <w:tcW w:w="9026" w:type="dxa"/>
            <w:tcBorders>
              <w:left w:val="single" w:sz="2" w:space="0" w:color="70AD47" w:themeColor="accent6"/>
              <w:bottom w:val="single" w:sz="2" w:space="0" w:color="70AD47" w:themeColor="accent6"/>
              <w:right w:val="single" w:sz="2" w:space="0" w:color="70AD47" w:themeColor="accent6"/>
            </w:tcBorders>
            <w:shd w:val="clear" w:color="auto" w:fill="auto"/>
          </w:tcPr>
          <w:p w14:paraId="39C739BB" w14:textId="6A9B8CA2" w:rsidR="00D74A13" w:rsidRDefault="63446C7A" w:rsidP="63446C7A">
            <w:pPr>
              <w:pStyle w:val="TableContents"/>
              <w:jc w:val="center"/>
              <w:rPr>
                <w:i/>
                <w:iCs/>
              </w:rPr>
            </w:pPr>
            <w:r w:rsidRPr="63446C7A">
              <w:rPr>
                <w:i/>
                <w:iCs/>
              </w:rPr>
              <w:t>FIG. 1.  Non-uniform heating profile generated due to coil design.</w:t>
            </w:r>
          </w:p>
        </w:tc>
      </w:tr>
    </w:tbl>
    <w:p w14:paraId="44EAFD9C" w14:textId="77777777" w:rsidR="00D74A13" w:rsidRDefault="00D74A13">
      <w:pPr>
        <w:pStyle w:val="BodyText"/>
        <w:spacing w:after="120" w:line="240" w:lineRule="atLeast"/>
        <w:ind w:firstLine="0"/>
        <w:rPr>
          <w:color w:val="000000"/>
          <w:sz w:val="24"/>
          <w:szCs w:val="22"/>
        </w:rPr>
      </w:pPr>
    </w:p>
    <w:p w14:paraId="7C699EAF" w14:textId="36571081" w:rsidR="00D74A13" w:rsidRPr="00301C59" w:rsidRDefault="00B04931" w:rsidP="00301C59">
      <w:r>
        <w:rPr>
          <w:color w:val="000000"/>
          <w:sz w:val="24"/>
          <w:szCs w:val="22"/>
        </w:rPr>
        <w:t>The configuration of the component with respect to the coil has 4 degrees of freedom (</w:t>
      </w:r>
      <w:proofErr w:type="spellStart"/>
      <w:r>
        <w:rPr>
          <w:color w:val="000000"/>
          <w:sz w:val="24"/>
          <w:szCs w:val="22"/>
        </w:rPr>
        <w:t>DoFs</w:t>
      </w:r>
      <w:proofErr w:type="spellEnd"/>
      <w:r>
        <w:rPr>
          <w:color w:val="000000"/>
          <w:sz w:val="24"/>
          <w:szCs w:val="22"/>
        </w:rPr>
        <w:t>); displacement in x, y and z and rotation</w:t>
      </w:r>
      <w:r w:rsidR="00D457F7">
        <w:rPr>
          <w:color w:val="000000"/>
          <w:sz w:val="24"/>
          <w:szCs w:val="22"/>
        </w:rPr>
        <w:t>,</w:t>
      </w:r>
      <w:r w:rsidR="002749EA">
        <w:rPr>
          <w:color w:val="000000"/>
          <w:sz w:val="24"/>
          <w:szCs w:val="22"/>
        </w:rPr>
        <w:t xml:space="preserve"> </w:t>
      </w:r>
      <w:r w:rsidR="00D774A0" w:rsidRPr="00621AF6">
        <w:rPr>
          <w:color w:val="000000"/>
          <w:sz w:val="24"/>
          <w:szCs w:val="22"/>
        </w:rPr>
        <w:t>Ω</w:t>
      </w:r>
      <w:r w:rsidR="00621AF6">
        <w:rPr>
          <w:color w:val="000000"/>
          <w:sz w:val="24"/>
          <w:szCs w:val="22"/>
        </w:rPr>
        <w:t>,</w:t>
      </w:r>
      <w:r>
        <w:rPr>
          <w:color w:val="000000"/>
          <w:sz w:val="24"/>
          <w:szCs w:val="22"/>
        </w:rPr>
        <w:t xml:space="preserve"> along the y-axis, along which the coolant pipe sits [Fig. 2]. The inverse problem is then simply; wh</w:t>
      </w:r>
      <w:r w:rsidR="00E54B11">
        <w:rPr>
          <w:color w:val="000000"/>
          <w:sz w:val="24"/>
          <w:szCs w:val="22"/>
        </w:rPr>
        <w:t>ich</w:t>
      </w:r>
      <w:r>
        <w:rPr>
          <w:color w:val="000000"/>
          <w:sz w:val="24"/>
          <w:szCs w:val="22"/>
        </w:rPr>
        <w:t xml:space="preserve"> combination of these 4 </w:t>
      </w:r>
      <w:proofErr w:type="spellStart"/>
      <w:r>
        <w:rPr>
          <w:color w:val="000000"/>
          <w:sz w:val="24"/>
          <w:szCs w:val="22"/>
        </w:rPr>
        <w:t>DoFs</w:t>
      </w:r>
      <w:proofErr w:type="spellEnd"/>
      <w:r>
        <w:rPr>
          <w:color w:val="000000"/>
          <w:sz w:val="24"/>
          <w:szCs w:val="22"/>
        </w:rPr>
        <w:t xml:space="preserve"> </w:t>
      </w:r>
      <w:r w:rsidR="00D42DB9">
        <w:rPr>
          <w:color w:val="000000"/>
          <w:sz w:val="24"/>
          <w:szCs w:val="22"/>
        </w:rPr>
        <w:t>r</w:t>
      </w:r>
      <w:r>
        <w:rPr>
          <w:color w:val="000000"/>
          <w:sz w:val="24"/>
          <w:szCs w:val="22"/>
        </w:rPr>
        <w:t>esult</w:t>
      </w:r>
      <w:r w:rsidR="00D42DB9">
        <w:rPr>
          <w:color w:val="000000"/>
          <w:sz w:val="24"/>
          <w:szCs w:val="22"/>
        </w:rPr>
        <w:t>s</w:t>
      </w:r>
      <w:r>
        <w:rPr>
          <w:color w:val="000000"/>
          <w:sz w:val="24"/>
          <w:szCs w:val="22"/>
        </w:rPr>
        <w:t xml:space="preserve"> in a desired behaviour, such as maximum power or minimum variation of the heating profile?</w:t>
      </w:r>
    </w:p>
    <w:tbl>
      <w:tblPr>
        <w:tblW w:w="9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26"/>
      </w:tblGrid>
      <w:tr w:rsidR="00D74A13" w14:paraId="4B94D5A5" w14:textId="77777777" w:rsidTr="63446C7A">
        <w:tc>
          <w:tcPr>
            <w:tcW w:w="9026"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shd w:val="clear" w:color="auto" w:fill="auto"/>
          </w:tcPr>
          <w:p w14:paraId="3DEEC669" w14:textId="0DB32C90" w:rsidR="00D74A13" w:rsidRDefault="00755FB1">
            <w:pPr>
              <w:pStyle w:val="TableContents"/>
              <w:jc w:val="center"/>
            </w:pPr>
            <w:r>
              <w:rPr>
                <w:noProof/>
                <w:color w:val="000000"/>
                <w:sz w:val="24"/>
                <w:szCs w:val="22"/>
              </w:rPr>
              <w:drawing>
                <wp:inline distT="0" distB="0" distL="0" distR="0" wp14:anchorId="2DC143CA" wp14:editId="283954D5">
                  <wp:extent cx="2547876" cy="174375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876" cy="1743754"/>
                          </a:xfrm>
                          <a:prstGeom prst="rect">
                            <a:avLst/>
                          </a:prstGeom>
                          <a:noFill/>
                        </pic:spPr>
                      </pic:pic>
                    </a:graphicData>
                  </a:graphic>
                </wp:inline>
              </w:drawing>
            </w:r>
          </w:p>
        </w:tc>
      </w:tr>
      <w:tr w:rsidR="00D74A13" w14:paraId="15F4E689" w14:textId="77777777" w:rsidTr="63446C7A">
        <w:tc>
          <w:tcPr>
            <w:tcW w:w="9026" w:type="dxa"/>
            <w:tcBorders>
              <w:left w:val="single" w:sz="2" w:space="0" w:color="70AD47" w:themeColor="accent6"/>
              <w:bottom w:val="single" w:sz="2" w:space="0" w:color="70AD47" w:themeColor="accent6"/>
              <w:right w:val="single" w:sz="2" w:space="0" w:color="70AD47" w:themeColor="accent6"/>
            </w:tcBorders>
            <w:shd w:val="clear" w:color="auto" w:fill="auto"/>
          </w:tcPr>
          <w:p w14:paraId="78940C06" w14:textId="6D688411" w:rsidR="00D74A13" w:rsidRDefault="63446C7A" w:rsidP="63446C7A">
            <w:pPr>
              <w:pStyle w:val="TableContents"/>
              <w:jc w:val="center"/>
              <w:rPr>
                <w:i/>
                <w:iCs/>
              </w:rPr>
            </w:pPr>
            <w:r w:rsidRPr="63446C7A">
              <w:rPr>
                <w:i/>
                <w:iCs/>
              </w:rPr>
              <w:t>FIG. 2. Sample orientation with respect to coil.</w:t>
            </w:r>
          </w:p>
        </w:tc>
      </w:tr>
    </w:tbl>
    <w:p w14:paraId="3656B9AB" w14:textId="77777777" w:rsidR="00D74A13" w:rsidRDefault="00D74A13">
      <w:pPr>
        <w:pStyle w:val="Authornameandaffiliation"/>
        <w:ind w:left="0"/>
        <w:jc w:val="both"/>
        <w:rPr>
          <w:color w:val="000000"/>
          <w:sz w:val="24"/>
          <w:szCs w:val="24"/>
          <w:lang w:val="en-GB"/>
        </w:rPr>
      </w:pPr>
    </w:p>
    <w:p w14:paraId="408E7781" w14:textId="28223F9F" w:rsidR="00415793" w:rsidRDefault="63446C7A">
      <w:pPr>
        <w:pStyle w:val="Authornameandaffiliation"/>
        <w:ind w:left="0"/>
        <w:jc w:val="both"/>
        <w:rPr>
          <w:sz w:val="24"/>
          <w:szCs w:val="24"/>
          <w:lang w:val="en-GB"/>
        </w:rPr>
      </w:pPr>
      <w:r w:rsidRPr="00A47D71">
        <w:rPr>
          <w:sz w:val="24"/>
          <w:szCs w:val="24"/>
          <w:lang w:val="en-GB"/>
        </w:rPr>
        <w:lastRenderedPageBreak/>
        <w:t>Over the past three decades ML has been successfully applied to several research fields in computational mechanics [</w:t>
      </w:r>
      <w:r w:rsidR="0029038F">
        <w:rPr>
          <w:sz w:val="24"/>
          <w:szCs w:val="24"/>
          <w:lang w:val="en-GB"/>
        </w:rPr>
        <w:t>2</w:t>
      </w:r>
      <w:r w:rsidRPr="00A47D71">
        <w:rPr>
          <w:sz w:val="24"/>
          <w:szCs w:val="24"/>
          <w:lang w:val="en-GB"/>
        </w:rPr>
        <w:t>]. More recently, ML has been adopted to solve the inverse problems which arise in a variety of applications in science and engineering [</w:t>
      </w:r>
      <w:r w:rsidR="00412A36">
        <w:rPr>
          <w:sz w:val="24"/>
          <w:szCs w:val="24"/>
          <w:lang w:val="en-GB"/>
        </w:rPr>
        <w:t>3</w:t>
      </w:r>
      <w:r w:rsidRPr="00A47D71">
        <w:rPr>
          <w:sz w:val="24"/>
          <w:szCs w:val="24"/>
          <w:lang w:val="en-GB"/>
        </w:rPr>
        <w:t>]. Neural networks (NN) and its variations are commonly chosen due to their success in extracting high level features from data [</w:t>
      </w:r>
      <w:r w:rsidR="008573FE">
        <w:rPr>
          <w:sz w:val="24"/>
          <w:szCs w:val="24"/>
          <w:lang w:val="en-GB"/>
        </w:rPr>
        <w:t>4</w:t>
      </w:r>
      <w:r w:rsidRPr="00A47D71">
        <w:rPr>
          <w:sz w:val="24"/>
          <w:szCs w:val="24"/>
          <w:lang w:val="en-GB"/>
        </w:rPr>
        <w:t xml:space="preserve">], however they are an extremely </w:t>
      </w:r>
      <w:r w:rsidR="00D2430D">
        <w:rPr>
          <w:sz w:val="24"/>
          <w:szCs w:val="24"/>
          <w:lang w:val="en-GB"/>
        </w:rPr>
        <w:t>‘</w:t>
      </w:r>
      <w:r w:rsidRPr="00A47D71">
        <w:rPr>
          <w:sz w:val="24"/>
          <w:szCs w:val="24"/>
          <w:lang w:val="en-GB"/>
        </w:rPr>
        <w:t>data hungry</w:t>
      </w:r>
      <w:r w:rsidR="00D2430D">
        <w:rPr>
          <w:sz w:val="24"/>
          <w:szCs w:val="24"/>
          <w:lang w:val="en-GB"/>
        </w:rPr>
        <w:t>’</w:t>
      </w:r>
      <w:r w:rsidRPr="00A47D71">
        <w:rPr>
          <w:sz w:val="24"/>
          <w:szCs w:val="24"/>
          <w:lang w:val="en-GB"/>
        </w:rPr>
        <w:t xml:space="preserve"> algorithm. Given that </w:t>
      </w:r>
      <w:r w:rsidR="00BF0E71">
        <w:rPr>
          <w:sz w:val="24"/>
          <w:szCs w:val="24"/>
          <w:lang w:val="en-GB"/>
        </w:rPr>
        <w:t xml:space="preserve">computationally expensive </w:t>
      </w:r>
      <w:r w:rsidRPr="00A47D71">
        <w:rPr>
          <w:sz w:val="24"/>
          <w:szCs w:val="24"/>
          <w:lang w:val="en-GB"/>
        </w:rPr>
        <w:t xml:space="preserve">simulation data is generated to feed to a ML algorithm it is desirable to choose one which provides maximum insight for minimal data. </w:t>
      </w:r>
    </w:p>
    <w:p w14:paraId="619704C1" w14:textId="77777777" w:rsidR="00415793" w:rsidRDefault="00415793">
      <w:pPr>
        <w:pStyle w:val="Authornameandaffiliation"/>
        <w:ind w:left="0"/>
        <w:jc w:val="both"/>
        <w:rPr>
          <w:sz w:val="24"/>
          <w:szCs w:val="24"/>
          <w:lang w:val="en-GB"/>
        </w:rPr>
      </w:pPr>
    </w:p>
    <w:p w14:paraId="514E80D2" w14:textId="6B687835" w:rsidR="001A1C70" w:rsidRDefault="63446C7A">
      <w:pPr>
        <w:pStyle w:val="Authornameandaffiliation"/>
        <w:ind w:left="0"/>
        <w:jc w:val="both"/>
        <w:rPr>
          <w:sz w:val="24"/>
          <w:szCs w:val="24"/>
          <w:lang w:val="en-GB"/>
        </w:rPr>
      </w:pPr>
      <w:r w:rsidRPr="00A47D71">
        <w:rPr>
          <w:sz w:val="24"/>
          <w:szCs w:val="24"/>
          <w:lang w:val="en-GB"/>
        </w:rPr>
        <w:t>Gaussian process regression (GPR) takes a Bayesian approach to regression and has demonstrated excellent performance using small datasets [</w:t>
      </w:r>
      <w:r w:rsidR="00D06755">
        <w:rPr>
          <w:sz w:val="24"/>
          <w:szCs w:val="24"/>
          <w:lang w:val="en-GB"/>
        </w:rPr>
        <w:t>5</w:t>
      </w:r>
      <w:r w:rsidRPr="00A47D71">
        <w:rPr>
          <w:sz w:val="24"/>
          <w:szCs w:val="24"/>
          <w:lang w:val="en-GB"/>
        </w:rPr>
        <w:t xml:space="preserve">]. </w:t>
      </w:r>
      <w:r w:rsidR="00CD28B1">
        <w:rPr>
          <w:sz w:val="24"/>
          <w:szCs w:val="24"/>
          <w:lang w:val="en-GB"/>
        </w:rPr>
        <w:t>Also,</w:t>
      </w:r>
      <w:r w:rsidR="001A1C70">
        <w:rPr>
          <w:sz w:val="24"/>
          <w:szCs w:val="24"/>
          <w:lang w:val="en-GB"/>
        </w:rPr>
        <w:t xml:space="preserve"> </w:t>
      </w:r>
      <w:r w:rsidR="0067190C">
        <w:rPr>
          <w:sz w:val="24"/>
          <w:szCs w:val="24"/>
          <w:lang w:val="en-GB"/>
        </w:rPr>
        <w:t xml:space="preserve">GPR </w:t>
      </w:r>
      <w:r w:rsidR="001A1C70">
        <w:rPr>
          <w:sz w:val="24"/>
          <w:szCs w:val="24"/>
          <w:lang w:val="en-GB"/>
        </w:rPr>
        <w:t xml:space="preserve">requires choosing only </w:t>
      </w:r>
      <w:r w:rsidR="002C5D7B">
        <w:rPr>
          <w:sz w:val="24"/>
          <w:szCs w:val="24"/>
          <w:lang w:val="en-GB"/>
        </w:rPr>
        <w:t>a few</w:t>
      </w:r>
      <w:r w:rsidR="0067190C">
        <w:rPr>
          <w:sz w:val="24"/>
          <w:szCs w:val="24"/>
          <w:lang w:val="en-GB"/>
        </w:rPr>
        <w:t xml:space="preserve"> hyper-parameters</w:t>
      </w:r>
      <w:r w:rsidR="002C5D7B">
        <w:rPr>
          <w:sz w:val="24"/>
          <w:szCs w:val="24"/>
          <w:lang w:val="en-GB"/>
        </w:rPr>
        <w:t xml:space="preserve">, </w:t>
      </w:r>
      <w:r w:rsidR="00B178D4">
        <w:rPr>
          <w:sz w:val="24"/>
          <w:szCs w:val="24"/>
          <w:lang w:val="en-GB"/>
        </w:rPr>
        <w:t>with the</w:t>
      </w:r>
      <w:r w:rsidR="000B3311">
        <w:rPr>
          <w:sz w:val="24"/>
          <w:szCs w:val="24"/>
          <w:lang w:val="en-GB"/>
        </w:rPr>
        <w:t xml:space="preserve"> kernel</w:t>
      </w:r>
      <w:r w:rsidR="00D26199">
        <w:rPr>
          <w:sz w:val="24"/>
          <w:szCs w:val="24"/>
          <w:lang w:val="en-GB"/>
        </w:rPr>
        <w:t xml:space="preserve"> which describes the covariance of the </w:t>
      </w:r>
      <w:r w:rsidR="007D4F0C">
        <w:rPr>
          <w:sz w:val="24"/>
          <w:szCs w:val="24"/>
          <w:lang w:val="en-GB"/>
        </w:rPr>
        <w:t>random variables in the Gaussian process</w:t>
      </w:r>
      <w:r w:rsidR="00B178D4">
        <w:rPr>
          <w:sz w:val="24"/>
          <w:szCs w:val="24"/>
          <w:lang w:val="en-GB"/>
        </w:rPr>
        <w:t xml:space="preserve"> the most influential</w:t>
      </w:r>
      <w:r w:rsidR="007D4F0C">
        <w:rPr>
          <w:sz w:val="24"/>
          <w:szCs w:val="24"/>
          <w:lang w:val="en-GB"/>
        </w:rPr>
        <w:t>.</w:t>
      </w:r>
      <w:r w:rsidR="00190B16">
        <w:rPr>
          <w:sz w:val="24"/>
          <w:szCs w:val="24"/>
          <w:lang w:val="en-GB"/>
        </w:rPr>
        <w:t xml:space="preserve"> The </w:t>
      </w:r>
      <w:r w:rsidR="00190B16" w:rsidRPr="00A47D71">
        <w:rPr>
          <w:sz w:val="24"/>
          <w:szCs w:val="24"/>
          <w:lang w:val="en-GB"/>
        </w:rPr>
        <w:t>radial basis function (RBF)</w:t>
      </w:r>
      <w:r w:rsidR="002D691F">
        <w:rPr>
          <w:sz w:val="24"/>
          <w:szCs w:val="24"/>
          <w:lang w:val="en-GB"/>
        </w:rPr>
        <w:t xml:space="preserve"> kernel was chosen for this work </w:t>
      </w:r>
      <w:r w:rsidR="00725877">
        <w:rPr>
          <w:sz w:val="24"/>
          <w:szCs w:val="24"/>
          <w:lang w:val="en-GB"/>
        </w:rPr>
        <w:t xml:space="preserve">as it </w:t>
      </w:r>
      <w:r w:rsidR="002F107E">
        <w:rPr>
          <w:sz w:val="24"/>
          <w:szCs w:val="24"/>
          <w:lang w:val="en-GB"/>
        </w:rPr>
        <w:t>is continuously differentiable</w:t>
      </w:r>
      <w:r w:rsidR="002A09D9">
        <w:rPr>
          <w:sz w:val="24"/>
          <w:szCs w:val="24"/>
          <w:lang w:val="en-GB"/>
        </w:rPr>
        <w:t>, a</w:t>
      </w:r>
      <w:r w:rsidR="000E2B4D">
        <w:rPr>
          <w:sz w:val="24"/>
          <w:szCs w:val="24"/>
          <w:lang w:val="en-GB"/>
        </w:rPr>
        <w:t>n essential</w:t>
      </w:r>
      <w:r w:rsidR="002A09D9">
        <w:rPr>
          <w:sz w:val="24"/>
          <w:szCs w:val="24"/>
          <w:lang w:val="en-GB"/>
        </w:rPr>
        <w:t xml:space="preserve"> </w:t>
      </w:r>
      <w:r w:rsidR="00E86610">
        <w:rPr>
          <w:sz w:val="24"/>
          <w:szCs w:val="24"/>
          <w:lang w:val="en-GB"/>
        </w:rPr>
        <w:t>condition</w:t>
      </w:r>
      <w:r w:rsidR="00E90BBF">
        <w:rPr>
          <w:sz w:val="24"/>
          <w:szCs w:val="24"/>
          <w:lang w:val="en-GB"/>
        </w:rPr>
        <w:t xml:space="preserve"> for th</w:t>
      </w:r>
      <w:r w:rsidR="00580C62">
        <w:rPr>
          <w:sz w:val="24"/>
          <w:szCs w:val="24"/>
          <w:lang w:val="en-GB"/>
        </w:rPr>
        <w:t>is work</w:t>
      </w:r>
      <w:r w:rsidR="00294265">
        <w:rPr>
          <w:sz w:val="24"/>
          <w:szCs w:val="24"/>
          <w:lang w:val="en-GB"/>
        </w:rPr>
        <w:t>.</w:t>
      </w:r>
      <w:r w:rsidR="00D90783">
        <w:rPr>
          <w:sz w:val="24"/>
          <w:szCs w:val="24"/>
          <w:lang w:val="en-GB"/>
        </w:rPr>
        <w:t xml:space="preserve"> </w:t>
      </w:r>
      <w:r w:rsidR="009541E2">
        <w:rPr>
          <w:sz w:val="24"/>
          <w:szCs w:val="24"/>
          <w:lang w:val="en-GB"/>
        </w:rPr>
        <w:t xml:space="preserve">All hyper-parameters chosen for this work are </w:t>
      </w:r>
      <w:r w:rsidR="00F125DE">
        <w:rPr>
          <w:sz w:val="24"/>
          <w:szCs w:val="24"/>
          <w:lang w:val="en-GB"/>
        </w:rPr>
        <w:t xml:space="preserve">shown in </w:t>
      </w:r>
      <w:r w:rsidR="00F82A88">
        <w:rPr>
          <w:sz w:val="24"/>
          <w:szCs w:val="24"/>
          <w:lang w:val="en-GB"/>
        </w:rPr>
        <w:t>Table 1.</w:t>
      </w:r>
    </w:p>
    <w:p w14:paraId="3398B549" w14:textId="40199E5A" w:rsidR="006A0D89" w:rsidRPr="00DF3A79" w:rsidRDefault="000C5EF8" w:rsidP="006A0D89">
      <w:pPr>
        <w:pStyle w:val="BodyText"/>
        <w:spacing w:before="280" w:after="280" w:line="240" w:lineRule="auto"/>
        <w:ind w:firstLine="0"/>
        <w:rPr>
          <w:sz w:val="24"/>
          <w:szCs w:val="24"/>
        </w:rPr>
      </w:pPr>
      <w:r>
        <w:rPr>
          <w:sz w:val="24"/>
          <w:szCs w:val="24"/>
        </w:rPr>
        <w:t>Table 1</w:t>
      </w:r>
      <w:r w:rsidR="004B598D">
        <w:rPr>
          <w:sz w:val="24"/>
          <w:szCs w:val="24"/>
        </w:rPr>
        <w:t>. GPR hyper-parameters</w:t>
      </w:r>
    </w:p>
    <w:p w14:paraId="046F79AE" w14:textId="77777777" w:rsidR="006A0D89" w:rsidRPr="00DF3A79" w:rsidRDefault="006A0D89" w:rsidP="006A0D89">
      <w:pPr>
        <w:pStyle w:val="BodyText"/>
        <w:spacing w:line="240" w:lineRule="auto"/>
        <w:rPr>
          <w:sz w:val="24"/>
          <w:szCs w:val="24"/>
        </w:rPr>
      </w:pPr>
    </w:p>
    <w:tbl>
      <w:tblPr>
        <w:tblStyle w:val="PlainTable5"/>
        <w:tblW w:w="0" w:type="auto"/>
        <w:jc w:val="center"/>
        <w:shd w:val="clear" w:color="auto" w:fill="FFFFFF" w:themeFill="background1"/>
        <w:tblLook w:val="0480" w:firstRow="0" w:lastRow="0" w:firstColumn="1" w:lastColumn="0" w:noHBand="0" w:noVBand="1"/>
      </w:tblPr>
      <w:tblGrid>
        <w:gridCol w:w="1402"/>
        <w:gridCol w:w="3686"/>
      </w:tblGrid>
      <w:tr w:rsidR="00157C3F" w:rsidRPr="000552F9" w14:paraId="3DB08DBA" w14:textId="77777777" w:rsidTr="000537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2" w:type="dxa"/>
          </w:tcPr>
          <w:p w14:paraId="439BB89D" w14:textId="187E14C0" w:rsidR="00157C3F" w:rsidRPr="00E9298C" w:rsidRDefault="00D65C71" w:rsidP="00642130">
            <w:pPr>
              <w:pStyle w:val="BodyText"/>
              <w:ind w:firstLine="0"/>
              <w:rPr>
                <w:b/>
                <w:bCs/>
                <w:i w:val="0"/>
                <w:iCs w:val="0"/>
                <w:szCs w:val="22"/>
              </w:rPr>
            </w:pPr>
            <w:r>
              <w:rPr>
                <w:b/>
                <w:bCs/>
                <w:i w:val="0"/>
                <w:iCs w:val="0"/>
                <w:szCs w:val="22"/>
              </w:rPr>
              <w:t>Likelihood</w:t>
            </w:r>
          </w:p>
        </w:tc>
        <w:tc>
          <w:tcPr>
            <w:tcW w:w="3686" w:type="dxa"/>
            <w:shd w:val="clear" w:color="auto" w:fill="FFFFFF" w:themeFill="background1"/>
          </w:tcPr>
          <w:p w14:paraId="480645E9" w14:textId="701C9616" w:rsidR="00157C3F" w:rsidRPr="000552F9" w:rsidRDefault="00B203CC" w:rsidP="005A6653">
            <w:pPr>
              <w:pStyle w:val="BodyText"/>
              <w:ind w:firstLine="0"/>
              <w:jc w:val="left"/>
              <w:cnfStyle w:val="000000100000" w:firstRow="0" w:lastRow="0" w:firstColumn="0" w:lastColumn="0" w:oddVBand="0" w:evenVBand="0" w:oddHBand="1" w:evenHBand="0" w:firstRowFirstColumn="0" w:firstRowLastColumn="0" w:lastRowFirstColumn="0" w:lastRowLastColumn="0"/>
              <w:rPr>
                <w:szCs w:val="22"/>
              </w:rPr>
            </w:pPr>
            <w:r>
              <w:rPr>
                <w:szCs w:val="22"/>
              </w:rPr>
              <w:t xml:space="preserve">Gaussian </w:t>
            </w:r>
            <w:r w:rsidR="0059744F">
              <w:rPr>
                <w:szCs w:val="22"/>
              </w:rPr>
              <w:t>l</w:t>
            </w:r>
            <w:r>
              <w:rPr>
                <w:szCs w:val="22"/>
              </w:rPr>
              <w:t>ikelihood (</w:t>
            </w:r>
            <w:r w:rsidR="0059744F">
              <w:rPr>
                <w:szCs w:val="22"/>
              </w:rPr>
              <w:t>f</w:t>
            </w:r>
            <w:r>
              <w:rPr>
                <w:szCs w:val="22"/>
              </w:rPr>
              <w:t>ixed noise</w:t>
            </w:r>
            <w:r w:rsidR="00053774">
              <w:rPr>
                <w:szCs w:val="22"/>
              </w:rPr>
              <w:t>)</w:t>
            </w:r>
          </w:p>
        </w:tc>
      </w:tr>
      <w:tr w:rsidR="00157C3F" w:rsidRPr="000552F9" w14:paraId="771F30FE" w14:textId="77777777" w:rsidTr="00053774">
        <w:trPr>
          <w:jc w:val="center"/>
        </w:trPr>
        <w:tc>
          <w:tcPr>
            <w:cnfStyle w:val="001000000000" w:firstRow="0" w:lastRow="0" w:firstColumn="1" w:lastColumn="0" w:oddVBand="0" w:evenVBand="0" w:oddHBand="0" w:evenHBand="0" w:firstRowFirstColumn="0" w:firstRowLastColumn="0" w:lastRowFirstColumn="0" w:lastRowLastColumn="0"/>
            <w:tcW w:w="1402" w:type="dxa"/>
          </w:tcPr>
          <w:p w14:paraId="3939DB42" w14:textId="00C71A0C" w:rsidR="00157C3F" w:rsidRPr="00053774" w:rsidRDefault="00053774" w:rsidP="00642130">
            <w:pPr>
              <w:pStyle w:val="BodyText"/>
              <w:ind w:firstLine="0"/>
              <w:rPr>
                <w:b/>
                <w:bCs/>
                <w:i w:val="0"/>
                <w:iCs w:val="0"/>
                <w:szCs w:val="22"/>
              </w:rPr>
            </w:pPr>
            <w:r w:rsidRPr="00053774">
              <w:rPr>
                <w:rStyle w:val="TabletextChar"/>
                <w:b/>
                <w:bCs/>
                <w:i w:val="0"/>
                <w:iCs w:val="0"/>
              </w:rPr>
              <w:t>Mean</w:t>
            </w:r>
          </w:p>
        </w:tc>
        <w:tc>
          <w:tcPr>
            <w:tcW w:w="3686" w:type="dxa"/>
            <w:shd w:val="clear" w:color="auto" w:fill="FFFFFF" w:themeFill="background1"/>
          </w:tcPr>
          <w:p w14:paraId="7B9D3FC6" w14:textId="6767D2AE" w:rsidR="00157C3F" w:rsidRPr="000552F9" w:rsidRDefault="005A6653" w:rsidP="005A6653">
            <w:pPr>
              <w:pStyle w:val="BodyText"/>
              <w:ind w:firstLine="0"/>
              <w:jc w:val="left"/>
              <w:cnfStyle w:val="000000000000" w:firstRow="0" w:lastRow="0" w:firstColumn="0" w:lastColumn="0" w:oddVBand="0" w:evenVBand="0" w:oddHBand="0" w:evenHBand="0" w:firstRowFirstColumn="0" w:firstRowLastColumn="0" w:lastRowFirstColumn="0" w:lastRowLastColumn="0"/>
              <w:rPr>
                <w:szCs w:val="22"/>
              </w:rPr>
            </w:pPr>
            <w:r>
              <w:rPr>
                <w:szCs w:val="22"/>
              </w:rPr>
              <w:t>Constant mean</w:t>
            </w:r>
          </w:p>
        </w:tc>
      </w:tr>
      <w:tr w:rsidR="00157C3F" w:rsidRPr="000552F9" w14:paraId="35A0A8A4" w14:textId="77777777" w:rsidTr="000537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2" w:type="dxa"/>
          </w:tcPr>
          <w:p w14:paraId="02A78068" w14:textId="2E66E635" w:rsidR="00157C3F" w:rsidRPr="005A6653" w:rsidRDefault="005A6653" w:rsidP="00642130">
            <w:pPr>
              <w:pStyle w:val="BodyText"/>
              <w:ind w:firstLine="0"/>
              <w:rPr>
                <w:b/>
                <w:bCs/>
                <w:i w:val="0"/>
                <w:iCs w:val="0"/>
                <w:szCs w:val="22"/>
              </w:rPr>
            </w:pPr>
            <w:r>
              <w:rPr>
                <w:b/>
                <w:bCs/>
                <w:i w:val="0"/>
                <w:iCs w:val="0"/>
                <w:szCs w:val="22"/>
              </w:rPr>
              <w:t>Kernel</w:t>
            </w:r>
          </w:p>
        </w:tc>
        <w:tc>
          <w:tcPr>
            <w:tcW w:w="3686" w:type="dxa"/>
            <w:shd w:val="clear" w:color="auto" w:fill="FFFFFF" w:themeFill="background1"/>
          </w:tcPr>
          <w:p w14:paraId="6EF5BA45" w14:textId="1B7851B2" w:rsidR="00157C3F" w:rsidRPr="000552F9" w:rsidRDefault="00310656" w:rsidP="005A6653">
            <w:pPr>
              <w:pStyle w:val="BodyText"/>
              <w:ind w:firstLine="0"/>
              <w:jc w:val="left"/>
              <w:cnfStyle w:val="000000100000" w:firstRow="0" w:lastRow="0" w:firstColumn="0" w:lastColumn="0" w:oddVBand="0" w:evenVBand="0" w:oddHBand="1" w:evenHBand="0" w:firstRowFirstColumn="0" w:firstRowLastColumn="0" w:lastRowFirstColumn="0" w:lastRowLastColumn="0"/>
              <w:rPr>
                <w:szCs w:val="22"/>
              </w:rPr>
            </w:pPr>
            <w:r>
              <w:rPr>
                <w:szCs w:val="22"/>
              </w:rPr>
              <w:t>Radial basis function</w:t>
            </w:r>
          </w:p>
        </w:tc>
      </w:tr>
    </w:tbl>
    <w:p w14:paraId="62403945" w14:textId="77777777" w:rsidR="0009123D" w:rsidRDefault="0009123D" w:rsidP="0009123D">
      <w:pPr>
        <w:pStyle w:val="Authornameandaffiliation"/>
        <w:ind w:left="0"/>
        <w:jc w:val="both"/>
        <w:rPr>
          <w:sz w:val="24"/>
          <w:szCs w:val="24"/>
          <w:lang w:val="en-GB"/>
        </w:rPr>
      </w:pPr>
    </w:p>
    <w:p w14:paraId="2B3CB337" w14:textId="4A266794" w:rsidR="0009123D" w:rsidRDefault="0063191D" w:rsidP="0009123D">
      <w:pPr>
        <w:pStyle w:val="Authornameandaffiliation"/>
        <w:ind w:left="0"/>
        <w:jc w:val="both"/>
        <w:rPr>
          <w:sz w:val="24"/>
          <w:szCs w:val="24"/>
          <w:lang w:val="en-GB"/>
        </w:rPr>
      </w:pPr>
      <w:r>
        <w:rPr>
          <w:sz w:val="24"/>
          <w:szCs w:val="24"/>
          <w:lang w:val="en-GB"/>
        </w:rPr>
        <w:t>Th</w:t>
      </w:r>
      <w:r w:rsidR="00580C62">
        <w:rPr>
          <w:sz w:val="24"/>
          <w:szCs w:val="24"/>
          <w:lang w:val="en-GB"/>
        </w:rPr>
        <w:t>is</w:t>
      </w:r>
      <w:r>
        <w:rPr>
          <w:sz w:val="24"/>
          <w:szCs w:val="24"/>
          <w:lang w:val="en-GB"/>
        </w:rPr>
        <w:t xml:space="preserve"> GPR model was implemented using the </w:t>
      </w:r>
      <w:proofErr w:type="spellStart"/>
      <w:r>
        <w:rPr>
          <w:sz w:val="24"/>
          <w:szCs w:val="24"/>
          <w:lang w:val="en-GB"/>
        </w:rPr>
        <w:t>GPyTorch</w:t>
      </w:r>
      <w:proofErr w:type="spellEnd"/>
      <w:r w:rsidR="00D541D7">
        <w:rPr>
          <w:sz w:val="24"/>
          <w:szCs w:val="24"/>
          <w:lang w:val="en-GB"/>
        </w:rPr>
        <w:t xml:space="preserve"> package [</w:t>
      </w:r>
      <w:r w:rsidR="005E43F7">
        <w:rPr>
          <w:sz w:val="24"/>
          <w:szCs w:val="24"/>
          <w:lang w:val="en-GB"/>
        </w:rPr>
        <w:t>6</w:t>
      </w:r>
      <w:r w:rsidR="00D541D7">
        <w:rPr>
          <w:sz w:val="24"/>
          <w:szCs w:val="24"/>
          <w:lang w:val="en-GB"/>
        </w:rPr>
        <w:t>]</w:t>
      </w:r>
      <w:r w:rsidR="0043305F">
        <w:rPr>
          <w:sz w:val="24"/>
          <w:szCs w:val="24"/>
          <w:lang w:val="en-GB"/>
        </w:rPr>
        <w:t>,</w:t>
      </w:r>
      <w:r w:rsidR="00580C62">
        <w:rPr>
          <w:sz w:val="24"/>
          <w:szCs w:val="24"/>
          <w:lang w:val="en-GB"/>
        </w:rPr>
        <w:t xml:space="preserve"> </w:t>
      </w:r>
      <w:r w:rsidR="0048029A">
        <w:rPr>
          <w:sz w:val="24"/>
          <w:szCs w:val="24"/>
          <w:lang w:val="en-GB"/>
        </w:rPr>
        <w:t>with</w:t>
      </w:r>
      <w:r w:rsidR="00580C62">
        <w:rPr>
          <w:sz w:val="24"/>
          <w:szCs w:val="24"/>
          <w:lang w:val="en-GB"/>
        </w:rPr>
        <w:t xml:space="preserve"> a </w:t>
      </w:r>
      <w:r w:rsidR="0009123D" w:rsidRPr="00A47D71">
        <w:rPr>
          <w:sz w:val="24"/>
          <w:szCs w:val="24"/>
          <w:lang w:val="en-GB"/>
        </w:rPr>
        <w:t>graphical representation of the model shown in Fig. 3.</w:t>
      </w:r>
      <w:r w:rsidR="00AC35F8">
        <w:rPr>
          <w:sz w:val="24"/>
          <w:szCs w:val="24"/>
          <w:lang w:val="en-GB"/>
        </w:rPr>
        <w:t xml:space="preserve"> </w:t>
      </w:r>
      <w:r w:rsidR="00561E7A">
        <w:rPr>
          <w:sz w:val="24"/>
          <w:szCs w:val="24"/>
          <w:lang w:val="en-GB"/>
        </w:rPr>
        <w:t>This model</w:t>
      </w:r>
      <w:r w:rsidR="00182B0D">
        <w:rPr>
          <w:sz w:val="24"/>
          <w:szCs w:val="24"/>
          <w:lang w:val="en-GB"/>
        </w:rPr>
        <w:t xml:space="preserve"> </w:t>
      </w:r>
      <w:r w:rsidR="008E6C2A">
        <w:rPr>
          <w:sz w:val="24"/>
          <w:szCs w:val="24"/>
          <w:lang w:val="en-GB"/>
        </w:rPr>
        <w:t>create</w:t>
      </w:r>
      <w:r w:rsidR="00FD5D9F">
        <w:rPr>
          <w:sz w:val="24"/>
          <w:szCs w:val="24"/>
          <w:lang w:val="en-GB"/>
        </w:rPr>
        <w:t>s</w:t>
      </w:r>
      <w:r w:rsidR="008E6C2A">
        <w:rPr>
          <w:sz w:val="24"/>
          <w:szCs w:val="24"/>
          <w:lang w:val="en-GB"/>
        </w:rPr>
        <w:t xml:space="preserve"> a continuous mapping of inputs to outputs</w:t>
      </w:r>
      <w:r w:rsidR="00B618F3">
        <w:rPr>
          <w:sz w:val="24"/>
          <w:szCs w:val="24"/>
          <w:lang w:val="en-GB"/>
        </w:rPr>
        <w:t xml:space="preserve"> </w:t>
      </w:r>
      <w:r w:rsidR="0043305F">
        <w:rPr>
          <w:sz w:val="24"/>
          <w:szCs w:val="24"/>
          <w:lang w:val="en-GB"/>
        </w:rPr>
        <w:t>from</w:t>
      </w:r>
      <w:r w:rsidR="00586B1F">
        <w:rPr>
          <w:sz w:val="24"/>
          <w:szCs w:val="24"/>
          <w:lang w:val="en-GB"/>
        </w:rPr>
        <w:t xml:space="preserve"> a set of</w:t>
      </w:r>
      <w:r w:rsidR="00B618F3">
        <w:rPr>
          <w:sz w:val="24"/>
          <w:szCs w:val="24"/>
          <w:lang w:val="en-GB"/>
        </w:rPr>
        <w:t xml:space="preserve"> discrete </w:t>
      </w:r>
      <w:r w:rsidR="00856259">
        <w:rPr>
          <w:sz w:val="24"/>
          <w:szCs w:val="24"/>
          <w:lang w:val="en-GB"/>
        </w:rPr>
        <w:t>data points</w:t>
      </w:r>
      <w:r w:rsidR="00561E7A">
        <w:rPr>
          <w:sz w:val="24"/>
          <w:szCs w:val="24"/>
          <w:lang w:val="en-GB"/>
        </w:rPr>
        <w:t xml:space="preserve"> in the parameter space. </w:t>
      </w:r>
      <w:r w:rsidR="00571273">
        <w:rPr>
          <w:sz w:val="24"/>
          <w:szCs w:val="24"/>
          <w:lang w:val="en-GB"/>
        </w:rPr>
        <w:t>Given this and</w:t>
      </w:r>
      <w:r w:rsidR="002A03F0">
        <w:rPr>
          <w:sz w:val="24"/>
          <w:szCs w:val="24"/>
          <w:lang w:val="en-GB"/>
        </w:rPr>
        <w:t xml:space="preserve"> the models differentiability, </w:t>
      </w:r>
      <w:r w:rsidR="00C6671A">
        <w:rPr>
          <w:sz w:val="24"/>
          <w:szCs w:val="24"/>
          <w:lang w:val="en-GB"/>
        </w:rPr>
        <w:t>regions of interest (ROI) in the parameter space</w:t>
      </w:r>
      <w:r w:rsidR="007E3899">
        <w:rPr>
          <w:sz w:val="24"/>
          <w:szCs w:val="24"/>
          <w:lang w:val="en-GB"/>
        </w:rPr>
        <w:t>, such as maximum power,</w:t>
      </w:r>
      <w:r w:rsidR="00586B1F">
        <w:rPr>
          <w:sz w:val="24"/>
          <w:szCs w:val="24"/>
          <w:lang w:val="en-GB"/>
        </w:rPr>
        <w:t xml:space="preserve"> </w:t>
      </w:r>
      <w:r w:rsidR="00DA6CA9">
        <w:rPr>
          <w:sz w:val="24"/>
          <w:szCs w:val="24"/>
          <w:lang w:val="en-GB"/>
        </w:rPr>
        <w:t>can be easily</w:t>
      </w:r>
      <w:r w:rsidR="008D3DEB">
        <w:rPr>
          <w:sz w:val="24"/>
          <w:szCs w:val="24"/>
          <w:lang w:val="en-GB"/>
        </w:rPr>
        <w:t xml:space="preserve"> identified</w:t>
      </w:r>
      <w:r w:rsidR="007E3899">
        <w:rPr>
          <w:sz w:val="24"/>
          <w:szCs w:val="24"/>
          <w:lang w:val="en-GB"/>
        </w:rPr>
        <w:t xml:space="preserve"> using </w:t>
      </w:r>
      <w:r w:rsidR="00852629">
        <w:rPr>
          <w:sz w:val="24"/>
          <w:szCs w:val="24"/>
          <w:lang w:val="en-GB"/>
        </w:rPr>
        <w:t xml:space="preserve">an </w:t>
      </w:r>
      <w:r w:rsidR="002E3D92">
        <w:rPr>
          <w:sz w:val="24"/>
          <w:szCs w:val="24"/>
          <w:lang w:val="en-GB"/>
        </w:rPr>
        <w:t>optimisation package</w:t>
      </w:r>
      <w:r w:rsidR="00852629">
        <w:rPr>
          <w:sz w:val="24"/>
          <w:szCs w:val="24"/>
          <w:lang w:val="en-GB"/>
        </w:rPr>
        <w:t xml:space="preserve">, such as </w:t>
      </w:r>
      <w:proofErr w:type="spellStart"/>
      <w:proofErr w:type="gramStart"/>
      <w:r w:rsidR="00852629">
        <w:rPr>
          <w:sz w:val="24"/>
          <w:szCs w:val="24"/>
          <w:lang w:val="en-GB"/>
        </w:rPr>
        <w:t>scipy</w:t>
      </w:r>
      <w:r w:rsidR="00556B7A">
        <w:rPr>
          <w:sz w:val="24"/>
          <w:szCs w:val="24"/>
          <w:lang w:val="en-GB"/>
        </w:rPr>
        <w:t>.</w:t>
      </w:r>
      <w:r w:rsidR="00852629">
        <w:rPr>
          <w:sz w:val="24"/>
          <w:szCs w:val="24"/>
          <w:lang w:val="en-GB"/>
        </w:rPr>
        <w:t>optimize</w:t>
      </w:r>
      <w:proofErr w:type="spellEnd"/>
      <w:proofErr w:type="gramEnd"/>
      <w:r w:rsidR="002E3D92">
        <w:rPr>
          <w:sz w:val="24"/>
          <w:szCs w:val="24"/>
          <w:lang w:val="en-GB"/>
        </w:rPr>
        <w:t xml:space="preserve">. </w:t>
      </w:r>
    </w:p>
    <w:p w14:paraId="049F31CB" w14:textId="77777777" w:rsidR="00D74A13" w:rsidRPr="00A47D71" w:rsidRDefault="00D74A13">
      <w:pPr>
        <w:pStyle w:val="Authornameandaffiliation"/>
        <w:ind w:left="0"/>
        <w:jc w:val="both"/>
      </w:pPr>
    </w:p>
    <w:tbl>
      <w:tblPr>
        <w:tblW w:w="9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26"/>
      </w:tblGrid>
      <w:tr w:rsidR="00A47D71" w:rsidRPr="00A47D71" w14:paraId="318700E2" w14:textId="77777777" w:rsidTr="63446C7A">
        <w:tc>
          <w:tcPr>
            <w:tcW w:w="9026"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shd w:val="clear" w:color="auto" w:fill="auto"/>
          </w:tcPr>
          <w:p w14:paraId="5F93FF0A" w14:textId="13D3BAE3" w:rsidR="00D74A13" w:rsidRPr="00A47D71" w:rsidRDefault="0075409E">
            <w:pPr>
              <w:jc w:val="center"/>
              <w:rPr>
                <w:szCs w:val="24"/>
              </w:rPr>
            </w:pPr>
            <w:r>
              <w:pict w14:anchorId="65589EDF">
                <v:group id="Shape1" o:spid="_x0000_s1026" style="width:371.4pt;height:87.4pt;mso-position-horizontal-relative:char;mso-position-vertical-relative:line" coordsize="47165,11098">
                  <v:rect id="Rectangle 4" o:spid="_x0000_s1027" style="position:absolute;left:12600;top:946;width:12243;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" fillcolor="#adc5e7" strokecolor="white"/>
                  <v:shapetype id="_x0000_t202" coordsize="21600,21600" o:spt="202" path="m,l,21600r21600,l21600,xe">
                    <v:stroke joinstyle="miter"/>
                    <v:path gradientshapeok="t" o:connecttype="rect"/>
                  </v:shapetype>
                  <v:shape id="Text Box 5" o:spid="_x0000_s1028" type="#_x0000_t202" style="position:absolute;left:11520;top:946;width:14403;height:8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" filled="f" stroked="f">
                    <v:textbox style="mso-fit-shape-to-text:t" inset="2.5mm,1.25mm,2.5mm,1.25mm">
                      <w:txbxContent>
                        <w:p w14:paraId="7F6D2EFA" w14:textId="77777777" w:rsidR="00D74A13" w:rsidRDefault="00B04931">
                          <w:pPr>
                            <w:jc w:val="center"/>
                          </w:pPr>
                          <w:r>
                            <w:rPr>
                              <w:rFonts w:ascii="Liberation Sans" w:eastAsia="Noto Sans CJK SC" w:hAnsi="Liberation Sans" w:cs="Lohit Devanagari"/>
                              <w:kern w:val="2"/>
                              <w:sz w:val="36"/>
                              <w:szCs w:val="36"/>
                              <w:lang w:eastAsia="en-GB"/>
                            </w:rPr>
                            <w:t>Gaussian Process Regression</w:t>
                          </w:r>
                        </w:p>
                      </w:txbxContent>
                    </v:textbox>
                  </v:shape>
                  <v:line id="Straight Connector 6" o:spid="_x0000_s1029" style="position:absolute;visibility:visible;mso-wrap-style:square" from="2520,1796" to="12596,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Straight Connector 7" o:spid="_x0000_s1030" style="position:absolute;visibility:visible;mso-wrap-style:square" from="2520,4539" to="12596,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Straight Connector 8" o:spid="_x0000_s1031" style="position:absolute;visibility:visible;mso-wrap-style:square" from="2520,7059" to="12596,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Straight Connector 9" o:spid="_x0000_s1032" style="position:absolute;flip:y;visibility:visible;mso-wrap-style:square" from="2520,9525" to="12596,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0" o:spid="_x0000_s1033" type="#_x0000_t202" style="position:absolute;left:363;width:2877;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" filled="f" stroked="f">
                    <v:textbox style="mso-fit-shape-to-text:t" inset="2.5mm,1.25mm,2.5mm,1.25mm">
                      <w:txbxContent>
                        <w:p w14:paraId="28C9ECA3" w14:textId="77777777" w:rsidR="00D74A13" w:rsidRDefault="00B04931">
                          <w:r>
                            <w:rPr>
                              <w:rFonts w:ascii="Liberation Sans" w:eastAsia="Noto Sans CJK SC" w:hAnsi="Liberation Sans" w:cs="Lohit Devanagari"/>
                              <w:kern w:val="2"/>
                              <w:sz w:val="36"/>
                              <w:szCs w:val="36"/>
                              <w:lang w:eastAsia="en-GB"/>
                            </w:rPr>
                            <w:t>x</w:t>
                          </w:r>
                        </w:p>
                      </w:txbxContent>
                    </v:textbox>
                  </v:shape>
                  <v:shape id="Text Box 11" o:spid="_x0000_s1034" type="#_x0000_t202" style="position:absolute;left:363;top:2379;width:2877;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" filled="f" stroked="f">
                    <v:textbox style="mso-fit-shape-to-text:t" inset="2.5mm,1.25mm,2.5mm,1.25mm">
                      <w:txbxContent>
                        <w:p w14:paraId="641F491C" w14:textId="77777777" w:rsidR="00D74A13" w:rsidRDefault="00B04931">
                          <w:r>
                            <w:rPr>
                              <w:rFonts w:ascii="Liberation Sans" w:eastAsia="Noto Sans CJK SC" w:hAnsi="Liberation Sans" w:cs="Lohit Devanagari"/>
                              <w:kern w:val="2"/>
                              <w:sz w:val="36"/>
                              <w:szCs w:val="36"/>
                              <w:lang w:eastAsia="en-GB"/>
                            </w:rPr>
                            <w:t>y</w:t>
                          </w:r>
                        </w:p>
                      </w:txbxContent>
                    </v:textbox>
                  </v:shape>
                  <v:shape id="Text Box 12" o:spid="_x0000_s1035" type="#_x0000_t202" style="position:absolute;left:363;top:4903;width:2877;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" filled="f" stroked="f">
                    <v:textbox style="mso-fit-shape-to-text:t" inset="2.5mm,1.25mm,2.5mm,1.25mm">
                      <w:txbxContent>
                        <w:p w14:paraId="476E9190" w14:textId="77777777" w:rsidR="00D74A13" w:rsidRDefault="00B04931">
                          <w:r>
                            <w:rPr>
                              <w:rFonts w:ascii="Liberation Sans" w:eastAsia="Noto Sans CJK SC" w:hAnsi="Liberation Sans" w:cs="Lohit Devanagari"/>
                              <w:kern w:val="2"/>
                              <w:sz w:val="36"/>
                              <w:szCs w:val="36"/>
                              <w:lang w:eastAsia="en-GB"/>
                            </w:rPr>
                            <w:t>z</w:t>
                          </w:r>
                        </w:p>
                      </w:txbxContent>
                    </v:textbox>
                  </v:shape>
                  <v:shape id="Text Box 13" o:spid="_x0000_s1036" type="#_x0000_t202" style="position:absolute;top:7563;width:2883;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" filled="f" stroked="f">
                    <v:textbox style="mso-fit-shape-to-text:t" inset="2.5mm,1.25mm,2.5mm,1.25mm">
                      <w:txbxContent>
                        <w:p w14:paraId="5D663CC3" w14:textId="77777777" w:rsidR="00D74A13" w:rsidRDefault="00B04931">
                          <w:r>
                            <w:rPr>
                              <w:rFonts w:ascii="Liberation Sans" w:eastAsia="Liberation Sans" w:hAnsi="Liberation Sans" w:cs="Liberation Sans"/>
                              <w:kern w:val="2"/>
                              <w:sz w:val="36"/>
                              <w:szCs w:val="36"/>
                              <w:lang w:eastAsia="en-GB"/>
                            </w:rPr>
                            <w:t>Ω</w:t>
                          </w:r>
                        </w:p>
                      </w:txbxContent>
                    </v:textbox>
                  </v:shape>
                  <v:line id="Straight Connector 14" o:spid="_x0000_s1037" style="position:absolute;flip:y;visibility:visible;mso-wrap-style:square" from="24840,3765" to="34916,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Straight Connector 15" o:spid="_x0000_s1038" style="position:absolute;flip:y;visibility:visible;mso-wrap-style:square" from="24840,6984" to="34916,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shape id="Text Box 16" o:spid="_x0000_s1039" type="#_x0000_t202" style="position:absolute;left:34920;top:1663;width:12245;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" filled="f" stroked="f">
                    <v:textbox style="mso-fit-shape-to-text:t" inset="2.5mm,1.25mm,2.5mm,1.25mm">
                      <w:txbxContent>
                        <w:p w14:paraId="313A790F" w14:textId="77777777" w:rsidR="00D74A13" w:rsidRDefault="00B04931">
                          <w:r>
                            <w:rPr>
                              <w:rFonts w:ascii="Liberation Sans" w:eastAsia="Noto Sans CJK SC" w:hAnsi="Liberation Sans" w:cs="Lohit Devanagari"/>
                              <w:kern w:val="2"/>
                              <w:sz w:val="36"/>
                              <w:szCs w:val="36"/>
                              <w:lang w:eastAsia="en-GB"/>
                            </w:rPr>
                            <w:t>Power</w:t>
                          </w:r>
                        </w:p>
                      </w:txbxContent>
                    </v:textbox>
                  </v:shape>
                  <v:shape id="Text Box 17" o:spid="_x0000_s1040" type="#_x0000_t202" style="position:absolute;left:34916;top:5260;width:12246;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" filled="f" stroked="f">
                    <v:textbox style="mso-fit-shape-to-text:t" inset="2.5mm,1.25mm,2.5mm,1.25mm">
                      <w:txbxContent>
                        <w:p w14:paraId="67C29D52" w14:textId="77777777" w:rsidR="00D74A13" w:rsidRDefault="00B04931">
                          <w:r>
                            <w:rPr>
                              <w:rFonts w:ascii="Liberation Sans" w:eastAsia="Noto Sans CJK SC" w:hAnsi="Liberation Sans" w:cs="Lohit Devanagari"/>
                              <w:kern w:val="2"/>
                              <w:sz w:val="36"/>
                              <w:szCs w:val="36"/>
                              <w:lang w:eastAsia="en-GB"/>
                            </w:rPr>
                            <w:t>Variation</w:t>
                          </w:r>
                        </w:p>
                      </w:txbxContent>
                    </v:textbox>
                  </v:shape>
                  <w10:wrap type="none"/>
                  <w10:anchorlock/>
                </v:group>
              </w:pict>
            </w:r>
          </w:p>
        </w:tc>
      </w:tr>
      <w:tr w:rsidR="00D74A13" w:rsidRPr="00A47D71" w14:paraId="56E96D93" w14:textId="77777777" w:rsidTr="63446C7A">
        <w:tc>
          <w:tcPr>
            <w:tcW w:w="9026" w:type="dxa"/>
            <w:tcBorders>
              <w:left w:val="single" w:sz="2" w:space="0" w:color="70AD47" w:themeColor="accent6"/>
              <w:bottom w:val="single" w:sz="2" w:space="0" w:color="70AD47" w:themeColor="accent6"/>
              <w:right w:val="single" w:sz="2" w:space="0" w:color="70AD47" w:themeColor="accent6"/>
            </w:tcBorders>
            <w:shd w:val="clear" w:color="auto" w:fill="auto"/>
          </w:tcPr>
          <w:p w14:paraId="61AE8C38" w14:textId="242451EB" w:rsidR="00D74A13" w:rsidRPr="00A47D71" w:rsidRDefault="63446C7A" w:rsidP="63446C7A">
            <w:pPr>
              <w:pStyle w:val="TableContents"/>
              <w:jc w:val="center"/>
              <w:rPr>
                <w:i/>
                <w:iCs/>
              </w:rPr>
            </w:pPr>
            <w:r w:rsidRPr="00A47D71">
              <w:rPr>
                <w:i/>
                <w:iCs/>
              </w:rPr>
              <w:t>FIG. 3. Graphical representation of GPR model.</w:t>
            </w:r>
          </w:p>
        </w:tc>
      </w:tr>
    </w:tbl>
    <w:p w14:paraId="53128261" w14:textId="77777777" w:rsidR="00D74A13" w:rsidRPr="00A47D71" w:rsidRDefault="00D74A13">
      <w:pPr>
        <w:pStyle w:val="Authornameandaffiliation"/>
        <w:ind w:left="0"/>
        <w:jc w:val="both"/>
      </w:pPr>
    </w:p>
    <w:p w14:paraId="6DE0FE40" w14:textId="78A75D0E" w:rsidR="0025056A" w:rsidRPr="00A94B8D" w:rsidRDefault="63446C7A">
      <w:pPr>
        <w:pStyle w:val="Authornameandaffiliation"/>
        <w:ind w:left="0"/>
        <w:jc w:val="both"/>
        <w:rPr>
          <w:sz w:val="24"/>
          <w:szCs w:val="24"/>
          <w:lang w:val="en-GB"/>
        </w:rPr>
      </w:pPr>
      <w:r w:rsidRPr="00A47D71">
        <w:rPr>
          <w:sz w:val="24"/>
          <w:szCs w:val="24"/>
          <w:lang w:val="en-GB"/>
        </w:rPr>
        <w:t xml:space="preserve">A </w:t>
      </w:r>
      <w:r w:rsidR="00B47D08">
        <w:rPr>
          <w:sz w:val="24"/>
          <w:szCs w:val="24"/>
          <w:lang w:val="en-GB"/>
        </w:rPr>
        <w:t xml:space="preserve">fully-automated and parameterizable </w:t>
      </w:r>
      <w:r w:rsidR="00C45587">
        <w:rPr>
          <w:sz w:val="24"/>
          <w:szCs w:val="24"/>
          <w:lang w:val="en-GB"/>
        </w:rPr>
        <w:t xml:space="preserve">simulation </w:t>
      </w:r>
      <w:r w:rsidRPr="00A47D71">
        <w:rPr>
          <w:sz w:val="24"/>
          <w:szCs w:val="24"/>
          <w:lang w:val="en-GB"/>
        </w:rPr>
        <w:t xml:space="preserve">of the HIVE experiment has been developed using </w:t>
      </w:r>
      <w:proofErr w:type="spellStart"/>
      <w:r w:rsidRPr="00A47D71">
        <w:rPr>
          <w:sz w:val="24"/>
          <w:szCs w:val="24"/>
          <w:lang w:val="en-GB"/>
        </w:rPr>
        <w:t>VirtualLab</w:t>
      </w:r>
      <w:proofErr w:type="spellEnd"/>
      <w:r w:rsidRPr="00A47D71">
        <w:rPr>
          <w:sz w:val="24"/>
          <w:szCs w:val="24"/>
          <w:lang w:val="en-GB"/>
        </w:rPr>
        <w:t>, an open-source package developed by the authors</w:t>
      </w:r>
      <w:r w:rsidR="00B47D08">
        <w:rPr>
          <w:sz w:val="24"/>
          <w:szCs w:val="24"/>
          <w:lang w:val="en-GB"/>
        </w:rPr>
        <w:t>,</w:t>
      </w:r>
      <w:r w:rsidRPr="00A47D71">
        <w:rPr>
          <w:sz w:val="24"/>
          <w:szCs w:val="24"/>
          <w:lang w:val="en-GB"/>
        </w:rPr>
        <w:t xml:space="preserve"> which enables </w:t>
      </w:r>
      <w:r w:rsidR="00B47D08">
        <w:rPr>
          <w:sz w:val="24"/>
          <w:szCs w:val="24"/>
          <w:lang w:val="en-GB"/>
        </w:rPr>
        <w:t>‘</w:t>
      </w:r>
      <w:r w:rsidRPr="00A47D71">
        <w:rPr>
          <w:sz w:val="24"/>
          <w:szCs w:val="24"/>
          <w:lang w:val="en-GB"/>
        </w:rPr>
        <w:t>virtual experiments</w:t>
      </w:r>
      <w:r w:rsidR="00B47D08">
        <w:rPr>
          <w:sz w:val="24"/>
          <w:szCs w:val="24"/>
          <w:lang w:val="en-GB"/>
        </w:rPr>
        <w:t>’</w:t>
      </w:r>
      <w:r w:rsidRPr="00A47D71">
        <w:rPr>
          <w:sz w:val="24"/>
          <w:szCs w:val="24"/>
          <w:lang w:val="en-GB"/>
        </w:rPr>
        <w:t xml:space="preserve"> to take place. It combines the open-source packages SALOME, </w:t>
      </w:r>
      <w:proofErr w:type="spellStart"/>
      <w:r w:rsidRPr="00A47D71">
        <w:rPr>
          <w:sz w:val="24"/>
          <w:szCs w:val="24"/>
          <w:lang w:val="en-GB"/>
        </w:rPr>
        <w:t>CodeAster</w:t>
      </w:r>
      <w:proofErr w:type="spellEnd"/>
      <w:r w:rsidRPr="00A47D71">
        <w:rPr>
          <w:sz w:val="24"/>
          <w:szCs w:val="24"/>
          <w:lang w:val="en-GB"/>
        </w:rPr>
        <w:t xml:space="preserve"> and ERMES to generate CAD geometries and perform FEA analysis. Due to </w:t>
      </w:r>
      <w:proofErr w:type="spellStart"/>
      <w:r w:rsidRPr="00A47D71">
        <w:rPr>
          <w:sz w:val="24"/>
          <w:szCs w:val="24"/>
          <w:lang w:val="en-GB"/>
        </w:rPr>
        <w:t>VirtualLab’s</w:t>
      </w:r>
      <w:proofErr w:type="spellEnd"/>
      <w:r w:rsidRPr="00A47D71">
        <w:rPr>
          <w:sz w:val="24"/>
          <w:szCs w:val="24"/>
          <w:lang w:val="en-GB"/>
        </w:rPr>
        <w:t xml:space="preserve"> modular nature, </w:t>
      </w:r>
      <w:r w:rsidR="00C84731">
        <w:rPr>
          <w:sz w:val="24"/>
          <w:szCs w:val="24"/>
          <w:lang w:val="en-GB"/>
        </w:rPr>
        <w:t>alternative</w:t>
      </w:r>
      <w:r w:rsidRPr="00A47D71">
        <w:rPr>
          <w:sz w:val="24"/>
          <w:szCs w:val="24"/>
          <w:lang w:val="en-GB"/>
        </w:rPr>
        <w:t xml:space="preserve"> FEA package</w:t>
      </w:r>
      <w:r w:rsidR="004F1EF6">
        <w:rPr>
          <w:sz w:val="24"/>
          <w:szCs w:val="24"/>
          <w:lang w:val="en-GB"/>
        </w:rPr>
        <w:t>s could</w:t>
      </w:r>
      <w:r w:rsidRPr="00A47D71">
        <w:rPr>
          <w:sz w:val="24"/>
          <w:szCs w:val="24"/>
          <w:lang w:val="en-GB"/>
        </w:rPr>
        <w:t xml:space="preserve"> </w:t>
      </w:r>
      <w:r w:rsidR="003C660F">
        <w:rPr>
          <w:sz w:val="24"/>
          <w:szCs w:val="24"/>
          <w:lang w:val="en-GB"/>
        </w:rPr>
        <w:t xml:space="preserve">be </w:t>
      </w:r>
      <w:r w:rsidRPr="00A47D71">
        <w:rPr>
          <w:sz w:val="24"/>
          <w:szCs w:val="24"/>
          <w:lang w:val="en-GB"/>
        </w:rPr>
        <w:t>used to perform analys</w:t>
      </w:r>
      <w:r w:rsidR="003E1621">
        <w:rPr>
          <w:sz w:val="24"/>
          <w:szCs w:val="24"/>
          <w:lang w:val="en-GB"/>
        </w:rPr>
        <w:t>e</w:t>
      </w:r>
      <w:r w:rsidRPr="00A47D71">
        <w:rPr>
          <w:sz w:val="24"/>
          <w:szCs w:val="24"/>
          <w:lang w:val="en-GB"/>
        </w:rPr>
        <w:t xml:space="preserve">s. </w:t>
      </w:r>
      <w:r w:rsidR="0025056A" w:rsidRPr="00A94B8D">
        <w:rPr>
          <w:sz w:val="24"/>
          <w:szCs w:val="24"/>
          <w:lang w:val="en-GB"/>
        </w:rPr>
        <w:t xml:space="preserve">Utilising </w:t>
      </w:r>
      <w:proofErr w:type="spellStart"/>
      <w:r w:rsidR="0025056A" w:rsidRPr="00A94B8D">
        <w:rPr>
          <w:sz w:val="24"/>
          <w:szCs w:val="24"/>
          <w:lang w:val="en-GB"/>
        </w:rPr>
        <w:t>VirtualLab’s</w:t>
      </w:r>
      <w:proofErr w:type="spellEnd"/>
      <w:r w:rsidR="0025056A" w:rsidRPr="00A94B8D">
        <w:rPr>
          <w:sz w:val="24"/>
          <w:szCs w:val="24"/>
          <w:lang w:val="en-GB"/>
        </w:rPr>
        <w:t xml:space="preserve"> multi-node and </w:t>
      </w:r>
      <w:r w:rsidR="00A94B8D">
        <w:rPr>
          <w:sz w:val="24"/>
          <w:szCs w:val="24"/>
          <w:lang w:val="en-GB"/>
        </w:rPr>
        <w:t>h</w:t>
      </w:r>
      <w:r w:rsidR="0025056A" w:rsidRPr="00A94B8D">
        <w:rPr>
          <w:sz w:val="24"/>
          <w:szCs w:val="24"/>
          <w:lang w:val="en-GB"/>
        </w:rPr>
        <w:t xml:space="preserve">igh </w:t>
      </w:r>
      <w:r w:rsidR="00A94B8D">
        <w:rPr>
          <w:sz w:val="24"/>
          <w:szCs w:val="24"/>
          <w:lang w:val="en-GB"/>
        </w:rPr>
        <w:t>t</w:t>
      </w:r>
      <w:r w:rsidR="0025056A" w:rsidRPr="00A94B8D">
        <w:rPr>
          <w:sz w:val="24"/>
          <w:szCs w:val="24"/>
          <w:lang w:val="en-GB"/>
        </w:rPr>
        <w:t xml:space="preserve">hroughput </w:t>
      </w:r>
      <w:r w:rsidR="00A94B8D">
        <w:rPr>
          <w:sz w:val="24"/>
          <w:szCs w:val="24"/>
          <w:lang w:val="en-GB"/>
        </w:rPr>
        <w:t>c</w:t>
      </w:r>
      <w:r w:rsidR="0025056A" w:rsidRPr="00A94B8D">
        <w:rPr>
          <w:sz w:val="24"/>
          <w:szCs w:val="24"/>
          <w:lang w:val="en-GB"/>
        </w:rPr>
        <w:t xml:space="preserve">omputing (HTC) capabilities, </w:t>
      </w:r>
      <w:proofErr w:type="gramStart"/>
      <w:r w:rsidR="0025056A" w:rsidRPr="00A94B8D">
        <w:rPr>
          <w:sz w:val="24"/>
          <w:szCs w:val="24"/>
          <w:lang w:val="en-GB"/>
        </w:rPr>
        <w:t>a large number of</w:t>
      </w:r>
      <w:proofErr w:type="gramEnd"/>
      <w:r w:rsidR="0025056A" w:rsidRPr="00A94B8D">
        <w:rPr>
          <w:sz w:val="24"/>
          <w:szCs w:val="24"/>
          <w:lang w:val="en-GB"/>
        </w:rPr>
        <w:t xml:space="preserve"> simulations </w:t>
      </w:r>
      <w:r w:rsidR="00216025">
        <w:rPr>
          <w:sz w:val="24"/>
          <w:szCs w:val="24"/>
          <w:lang w:val="en-GB"/>
        </w:rPr>
        <w:t>can be</w:t>
      </w:r>
      <w:r w:rsidR="0025056A" w:rsidRPr="00A94B8D">
        <w:rPr>
          <w:sz w:val="24"/>
          <w:szCs w:val="24"/>
          <w:lang w:val="en-GB"/>
        </w:rPr>
        <w:t xml:space="preserve"> performed for a variety of experimental parameters in a very short space of time, allowing rapid iterations of the engineering design cycle.</w:t>
      </w:r>
    </w:p>
    <w:p w14:paraId="11F4DBAA" w14:textId="77777777" w:rsidR="0025056A" w:rsidRPr="00A47D71" w:rsidRDefault="0025056A">
      <w:pPr>
        <w:pStyle w:val="Authornameandaffiliation"/>
        <w:ind w:left="0"/>
        <w:jc w:val="both"/>
        <w:rPr>
          <w:sz w:val="24"/>
          <w:szCs w:val="24"/>
          <w:lang w:val="en-GB"/>
        </w:rPr>
      </w:pPr>
    </w:p>
    <w:p w14:paraId="3BCC5CF7" w14:textId="77777777" w:rsidR="003F4F76" w:rsidRDefault="003F4F76">
      <w:pPr>
        <w:pStyle w:val="Authornameandaffiliation"/>
        <w:ind w:left="0"/>
        <w:jc w:val="both"/>
        <w:rPr>
          <w:sz w:val="24"/>
          <w:szCs w:val="24"/>
          <w:lang w:val="en-GB"/>
        </w:rPr>
      </w:pPr>
    </w:p>
    <w:p w14:paraId="5AF271C3" w14:textId="77777777" w:rsidR="003F4F76" w:rsidRDefault="003F4F76">
      <w:pPr>
        <w:pStyle w:val="Authornameandaffiliation"/>
        <w:ind w:left="0"/>
        <w:jc w:val="both"/>
        <w:rPr>
          <w:sz w:val="24"/>
          <w:szCs w:val="24"/>
          <w:lang w:val="en-GB"/>
        </w:rPr>
      </w:pPr>
    </w:p>
    <w:p w14:paraId="6D2824C7" w14:textId="77777777" w:rsidR="003F4F76" w:rsidRDefault="003F4F76">
      <w:pPr>
        <w:pStyle w:val="Authornameandaffiliation"/>
        <w:ind w:left="0"/>
        <w:jc w:val="both"/>
        <w:rPr>
          <w:sz w:val="24"/>
          <w:szCs w:val="24"/>
          <w:lang w:val="en-GB"/>
        </w:rPr>
      </w:pPr>
    </w:p>
    <w:p w14:paraId="3035C37F" w14:textId="2203217B" w:rsidR="00D74A13" w:rsidRPr="00A47D71" w:rsidRDefault="63446C7A">
      <w:pPr>
        <w:pStyle w:val="Authornameandaffiliation"/>
        <w:ind w:left="0"/>
        <w:jc w:val="both"/>
        <w:rPr>
          <w:sz w:val="24"/>
          <w:szCs w:val="24"/>
          <w:lang w:val="en-GB"/>
        </w:rPr>
      </w:pPr>
      <w:r w:rsidRPr="00A47D71">
        <w:rPr>
          <w:sz w:val="24"/>
          <w:szCs w:val="24"/>
          <w:lang w:val="en-GB"/>
        </w:rPr>
        <w:t xml:space="preserve">Simulation data is collected </w:t>
      </w:r>
      <w:r w:rsidR="00AF12AE">
        <w:rPr>
          <w:sz w:val="24"/>
          <w:szCs w:val="24"/>
          <w:lang w:val="en-GB"/>
        </w:rPr>
        <w:t xml:space="preserve">and </w:t>
      </w:r>
      <w:r w:rsidR="006F3D29">
        <w:rPr>
          <w:sz w:val="24"/>
          <w:szCs w:val="24"/>
          <w:lang w:val="en-GB"/>
        </w:rPr>
        <w:t>p</w:t>
      </w:r>
      <w:r w:rsidRPr="00A47D71">
        <w:rPr>
          <w:sz w:val="24"/>
          <w:szCs w:val="24"/>
          <w:lang w:val="en-GB"/>
        </w:rPr>
        <w:t xml:space="preserve">assed to </w:t>
      </w:r>
      <w:r w:rsidR="00B4673C">
        <w:rPr>
          <w:sz w:val="24"/>
          <w:szCs w:val="24"/>
          <w:lang w:val="en-GB"/>
        </w:rPr>
        <w:t xml:space="preserve">the </w:t>
      </w:r>
      <w:r w:rsidR="00AF12AE">
        <w:rPr>
          <w:sz w:val="24"/>
          <w:szCs w:val="24"/>
          <w:lang w:val="en-GB"/>
        </w:rPr>
        <w:t>GPR</w:t>
      </w:r>
      <w:r w:rsidR="00B4673C">
        <w:rPr>
          <w:sz w:val="24"/>
          <w:szCs w:val="24"/>
          <w:lang w:val="en-GB"/>
        </w:rPr>
        <w:t xml:space="preserve"> model for training seamlessly </w:t>
      </w:r>
      <w:r w:rsidR="006D4718">
        <w:rPr>
          <w:sz w:val="24"/>
          <w:szCs w:val="24"/>
          <w:lang w:val="en-GB"/>
        </w:rPr>
        <w:t>with</w:t>
      </w:r>
      <w:r w:rsidR="006F3D29">
        <w:rPr>
          <w:sz w:val="24"/>
          <w:szCs w:val="24"/>
          <w:lang w:val="en-GB"/>
        </w:rPr>
        <w:t xml:space="preserve">in </w:t>
      </w:r>
      <w:proofErr w:type="spellStart"/>
      <w:r w:rsidR="006F3D29">
        <w:rPr>
          <w:sz w:val="24"/>
          <w:szCs w:val="24"/>
          <w:lang w:val="en-GB"/>
        </w:rPr>
        <w:t>VirtualLab</w:t>
      </w:r>
      <w:proofErr w:type="spellEnd"/>
      <w:r w:rsidRPr="00A47D71">
        <w:rPr>
          <w:sz w:val="24"/>
          <w:szCs w:val="24"/>
          <w:lang w:val="en-GB"/>
        </w:rPr>
        <w:t xml:space="preserve">. </w:t>
      </w:r>
      <w:r w:rsidR="00224549">
        <w:rPr>
          <w:sz w:val="24"/>
          <w:szCs w:val="24"/>
          <w:lang w:val="en-GB"/>
        </w:rPr>
        <w:t>Given the desire to run a minimal number of simulations, a</w:t>
      </w:r>
      <w:r w:rsidRPr="00A47D71">
        <w:rPr>
          <w:sz w:val="24"/>
          <w:szCs w:val="24"/>
          <w:lang w:val="en-GB"/>
        </w:rPr>
        <w:t xml:space="preserve"> variety of sampling </w:t>
      </w:r>
      <w:r w:rsidRPr="00A47D71">
        <w:rPr>
          <w:sz w:val="24"/>
          <w:szCs w:val="24"/>
          <w:lang w:val="en-GB"/>
        </w:rPr>
        <w:lastRenderedPageBreak/>
        <w:t>techniques are investigated to see which provides the most insightful points in the parameter space for training</w:t>
      </w:r>
      <w:r w:rsidR="006E289E">
        <w:rPr>
          <w:sz w:val="24"/>
          <w:szCs w:val="24"/>
          <w:lang w:val="en-GB"/>
        </w:rPr>
        <w:t xml:space="preserve"> the</w:t>
      </w:r>
      <w:r w:rsidRPr="00A47D71">
        <w:rPr>
          <w:sz w:val="24"/>
          <w:szCs w:val="24"/>
          <w:lang w:val="en-GB"/>
        </w:rPr>
        <w:t xml:space="preserve"> GPR</w:t>
      </w:r>
      <w:r w:rsidR="006E289E">
        <w:rPr>
          <w:sz w:val="24"/>
          <w:szCs w:val="24"/>
          <w:lang w:val="en-GB"/>
        </w:rPr>
        <w:t xml:space="preserve"> model</w:t>
      </w:r>
      <w:r w:rsidRPr="00A47D71">
        <w:rPr>
          <w:sz w:val="24"/>
          <w:szCs w:val="24"/>
          <w:lang w:val="en-GB"/>
        </w:rPr>
        <w:t>:</w:t>
      </w:r>
    </w:p>
    <w:p w14:paraId="4B99056E" w14:textId="77777777" w:rsidR="00D74A13" w:rsidRDefault="00D74A13">
      <w:pPr>
        <w:pStyle w:val="ListEmdash"/>
        <w:ind w:left="1287" w:firstLine="0"/>
      </w:pPr>
    </w:p>
    <w:p w14:paraId="2D5343E5" w14:textId="77777777" w:rsidR="00D74A13" w:rsidRDefault="00B04931">
      <w:pPr>
        <w:pStyle w:val="BodyText"/>
        <w:numPr>
          <w:ilvl w:val="0"/>
          <w:numId w:val="2"/>
        </w:numPr>
        <w:ind w:left="360"/>
      </w:pPr>
      <w:r>
        <w:rPr>
          <w:color w:val="000000"/>
          <w:sz w:val="24"/>
          <w:szCs w:val="24"/>
        </w:rPr>
        <w:t>Random - Sample points are chosen at random from the parameter space using a uniform distribution [Fig 4.a</w:t>
      </w:r>
      <w:proofErr w:type="gramStart"/>
      <w:r>
        <w:rPr>
          <w:color w:val="000000"/>
          <w:sz w:val="24"/>
          <w:szCs w:val="24"/>
        </w:rPr>
        <w:t>];</w:t>
      </w:r>
      <w:proofErr w:type="gramEnd"/>
    </w:p>
    <w:p w14:paraId="1A7653FE" w14:textId="384C0E84" w:rsidR="00D74A13" w:rsidRDefault="00B04931">
      <w:pPr>
        <w:pStyle w:val="BodyText"/>
        <w:numPr>
          <w:ilvl w:val="0"/>
          <w:numId w:val="2"/>
        </w:numPr>
        <w:ind w:left="360"/>
        <w:rPr>
          <w:sz w:val="24"/>
          <w:szCs w:val="24"/>
        </w:rPr>
      </w:pPr>
      <w:r>
        <w:rPr>
          <w:color w:val="000000"/>
          <w:sz w:val="24"/>
          <w:szCs w:val="24"/>
        </w:rPr>
        <w:t>Halton - Quasi-random sample points are chosen based on the Halton sequence [</w:t>
      </w:r>
      <w:r w:rsidR="00A03415">
        <w:rPr>
          <w:color w:val="000000"/>
          <w:sz w:val="24"/>
          <w:szCs w:val="24"/>
        </w:rPr>
        <w:t>7</w:t>
      </w:r>
      <w:r>
        <w:rPr>
          <w:color w:val="000000"/>
          <w:sz w:val="24"/>
          <w:szCs w:val="24"/>
        </w:rPr>
        <w:t>] [Fig 4.b</w:t>
      </w:r>
      <w:proofErr w:type="gramStart"/>
      <w:r>
        <w:rPr>
          <w:color w:val="000000"/>
          <w:sz w:val="24"/>
          <w:szCs w:val="24"/>
        </w:rPr>
        <w:t>];</w:t>
      </w:r>
      <w:proofErr w:type="gramEnd"/>
    </w:p>
    <w:p w14:paraId="4C110F8C" w14:textId="77777777" w:rsidR="00D74A13" w:rsidRDefault="00B04931">
      <w:pPr>
        <w:pStyle w:val="BodyText"/>
        <w:numPr>
          <w:ilvl w:val="0"/>
          <w:numId w:val="2"/>
        </w:numPr>
        <w:ind w:left="360"/>
        <w:rPr>
          <w:sz w:val="24"/>
          <w:szCs w:val="24"/>
        </w:rPr>
      </w:pPr>
      <w:r>
        <w:rPr>
          <w:sz w:val="24"/>
          <w:szCs w:val="24"/>
        </w:rPr>
        <w:t>Adaptive: New sample points are decided based on previously collected points [Fig 4.c]. In this example there is a peak at the origin, resulting in increased sampling there.</w:t>
      </w:r>
    </w:p>
    <w:p w14:paraId="1299C43A" w14:textId="77777777" w:rsidR="00D74A13" w:rsidRDefault="00D74A13">
      <w:pPr>
        <w:pStyle w:val="BodyText"/>
        <w:ind w:left="360" w:hanging="360"/>
        <w:rPr>
          <w:sz w:val="24"/>
          <w:szCs w:val="24"/>
        </w:rPr>
      </w:pPr>
    </w:p>
    <w:tbl>
      <w:tblPr>
        <w:tblW w:w="902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008"/>
        <w:gridCol w:w="3009"/>
        <w:gridCol w:w="3009"/>
      </w:tblGrid>
      <w:tr w:rsidR="00D74A13" w14:paraId="4DDBEF00" w14:textId="77777777" w:rsidTr="63446C7A">
        <w:tc>
          <w:tcPr>
            <w:tcW w:w="3008" w:type="dxa"/>
            <w:tcBorders>
              <w:top w:val="single" w:sz="2" w:space="0" w:color="70AD47" w:themeColor="accent6"/>
              <w:left w:val="single" w:sz="2" w:space="0" w:color="70AD47" w:themeColor="accent6"/>
              <w:bottom w:val="single" w:sz="2" w:space="0" w:color="70AD47" w:themeColor="accent6"/>
            </w:tcBorders>
            <w:shd w:val="clear" w:color="auto" w:fill="auto"/>
          </w:tcPr>
          <w:p w14:paraId="3461D779" w14:textId="77777777" w:rsidR="00D74A13" w:rsidRDefault="63446C7A">
            <w:pPr>
              <w:pStyle w:val="TableContents"/>
              <w:jc w:val="center"/>
            </w:pPr>
            <w:r>
              <w:rPr>
                <w:noProof/>
              </w:rPr>
              <w:drawing>
                <wp:inline distT="0" distB="0" distL="0" distR="0" wp14:anchorId="6200C3FD" wp14:editId="5F5C3D79">
                  <wp:extent cx="1548130" cy="13646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rcRect t="11851"/>
                          <a:stretch>
                            <a:fillRect/>
                          </a:stretch>
                        </pic:blipFill>
                        <pic:spPr>
                          <a:xfrm>
                            <a:off x="0" y="0"/>
                            <a:ext cx="1548130" cy="1364615"/>
                          </a:xfrm>
                          <a:prstGeom prst="rect">
                            <a:avLst/>
                          </a:prstGeom>
                        </pic:spPr>
                      </pic:pic>
                    </a:graphicData>
                  </a:graphic>
                </wp:inline>
              </w:drawing>
            </w:r>
          </w:p>
        </w:tc>
        <w:tc>
          <w:tcPr>
            <w:tcW w:w="3009" w:type="dxa"/>
            <w:tcBorders>
              <w:top w:val="single" w:sz="2" w:space="0" w:color="70AD47" w:themeColor="accent6"/>
              <w:left w:val="single" w:sz="2" w:space="0" w:color="70AD47" w:themeColor="accent6"/>
              <w:bottom w:val="single" w:sz="2" w:space="0" w:color="70AD47" w:themeColor="accent6"/>
            </w:tcBorders>
            <w:shd w:val="clear" w:color="auto" w:fill="auto"/>
          </w:tcPr>
          <w:p w14:paraId="3CF2D8B6" w14:textId="77777777" w:rsidR="00D74A13" w:rsidRDefault="63446C7A">
            <w:pPr>
              <w:pStyle w:val="TableContents"/>
              <w:jc w:val="center"/>
            </w:pPr>
            <w:r>
              <w:rPr>
                <w:noProof/>
              </w:rPr>
              <w:drawing>
                <wp:inline distT="0" distB="0" distL="0" distR="0" wp14:anchorId="16459BF0" wp14:editId="4F9FD905">
                  <wp:extent cx="1536700" cy="137096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28A0092B-C50C-407E-A947-70E740481C1C}">
                                <a14:useLocalDpi xmlns:a14="http://schemas.microsoft.com/office/drawing/2010/main" val="0"/>
                              </a:ext>
                            </a:extLst>
                          </a:blip>
                          <a:srcRect t="10819"/>
                          <a:stretch>
                            <a:fillRect/>
                          </a:stretch>
                        </pic:blipFill>
                        <pic:spPr>
                          <a:xfrm>
                            <a:off x="0" y="0"/>
                            <a:ext cx="1536700" cy="1370965"/>
                          </a:xfrm>
                          <a:prstGeom prst="rect">
                            <a:avLst/>
                          </a:prstGeom>
                        </pic:spPr>
                      </pic:pic>
                    </a:graphicData>
                  </a:graphic>
                </wp:inline>
              </w:drawing>
            </w:r>
          </w:p>
        </w:tc>
        <w:tc>
          <w:tcPr>
            <w:tcW w:w="3009"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shd w:val="clear" w:color="auto" w:fill="auto"/>
          </w:tcPr>
          <w:p w14:paraId="0FB78278" w14:textId="77777777" w:rsidR="00D74A13" w:rsidRDefault="63446C7A">
            <w:pPr>
              <w:pStyle w:val="TableContents"/>
              <w:jc w:val="center"/>
            </w:pPr>
            <w:r>
              <w:rPr>
                <w:noProof/>
              </w:rPr>
              <w:drawing>
                <wp:inline distT="0" distB="0" distL="0" distR="0" wp14:anchorId="25BB04AB" wp14:editId="5DFD0232">
                  <wp:extent cx="1499235" cy="134429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rcRect t="10318"/>
                          <a:stretch>
                            <a:fillRect/>
                          </a:stretch>
                        </pic:blipFill>
                        <pic:spPr>
                          <a:xfrm>
                            <a:off x="0" y="0"/>
                            <a:ext cx="1499235" cy="1344295"/>
                          </a:xfrm>
                          <a:prstGeom prst="rect">
                            <a:avLst/>
                          </a:prstGeom>
                        </pic:spPr>
                      </pic:pic>
                    </a:graphicData>
                  </a:graphic>
                </wp:inline>
              </w:drawing>
            </w:r>
          </w:p>
        </w:tc>
      </w:tr>
      <w:tr w:rsidR="00D74A13" w14:paraId="5137637D" w14:textId="77777777" w:rsidTr="63446C7A">
        <w:tc>
          <w:tcPr>
            <w:tcW w:w="9026" w:type="dxa"/>
            <w:gridSpan w:val="3"/>
            <w:tcBorders>
              <w:left w:val="single" w:sz="2" w:space="0" w:color="70AD47" w:themeColor="accent6"/>
              <w:bottom w:val="single" w:sz="2" w:space="0" w:color="70AD47" w:themeColor="accent6"/>
              <w:right w:val="single" w:sz="2" w:space="0" w:color="70AD47" w:themeColor="accent6"/>
            </w:tcBorders>
            <w:shd w:val="clear" w:color="auto" w:fill="auto"/>
          </w:tcPr>
          <w:p w14:paraId="23940766" w14:textId="56332B0E" w:rsidR="00D74A13" w:rsidRDefault="63446C7A" w:rsidP="63446C7A">
            <w:pPr>
              <w:pStyle w:val="BodyText"/>
              <w:spacing w:after="120" w:line="240" w:lineRule="atLeast"/>
              <w:ind w:firstLine="0"/>
              <w:jc w:val="center"/>
              <w:rPr>
                <w:i/>
                <w:iCs/>
                <w:sz w:val="18"/>
                <w:szCs w:val="18"/>
              </w:rPr>
            </w:pPr>
            <w:r w:rsidRPr="63446C7A">
              <w:rPr>
                <w:i/>
                <w:iCs/>
                <w:sz w:val="18"/>
                <w:szCs w:val="18"/>
              </w:rPr>
              <w:t>FIG. 4. Sampling techniques in 2D; a) Random (left), b) Halton, c) Adaptive.</w:t>
            </w:r>
          </w:p>
        </w:tc>
      </w:tr>
    </w:tbl>
    <w:p w14:paraId="1FC39945" w14:textId="77777777" w:rsidR="00D74A13" w:rsidRDefault="00D74A13">
      <w:pPr>
        <w:pStyle w:val="BodyText"/>
        <w:ind w:left="360" w:hanging="360"/>
        <w:rPr>
          <w:sz w:val="24"/>
          <w:szCs w:val="24"/>
        </w:rPr>
      </w:pPr>
    </w:p>
    <w:p w14:paraId="6AF62095" w14:textId="224FFD63" w:rsidR="00D74A13" w:rsidRDefault="00B04931">
      <w:pPr>
        <w:pStyle w:val="BodyText"/>
        <w:spacing w:after="240" w:line="240" w:lineRule="atLeast"/>
        <w:ind w:firstLine="0"/>
        <w:rPr>
          <w:sz w:val="24"/>
          <w:szCs w:val="24"/>
        </w:rPr>
      </w:pPr>
      <w:r>
        <w:rPr>
          <w:color w:val="000000"/>
          <w:sz w:val="24"/>
          <w:szCs w:val="24"/>
        </w:rPr>
        <w:t>The success of each sampling method is measured by looking at the mean squared error (MSE)</w:t>
      </w:r>
      <w:r w:rsidR="007348DE">
        <w:rPr>
          <w:color w:val="000000"/>
          <w:sz w:val="24"/>
          <w:szCs w:val="24"/>
        </w:rPr>
        <w:t xml:space="preserve">, </w:t>
      </w:r>
      <w:r>
        <w:rPr>
          <w:color w:val="000000"/>
          <w:sz w:val="24"/>
          <w:szCs w:val="24"/>
        </w:rPr>
        <w:t>between the model</w:t>
      </w:r>
      <w:r w:rsidR="00121D09">
        <w:rPr>
          <w:color w:val="000000"/>
          <w:sz w:val="24"/>
          <w:szCs w:val="24"/>
        </w:rPr>
        <w:t>’s prediction</w:t>
      </w:r>
      <w:r>
        <w:rPr>
          <w:color w:val="000000"/>
          <w:sz w:val="24"/>
          <w:szCs w:val="24"/>
        </w:rPr>
        <w:t xml:space="preserve"> and the exact value </w:t>
      </w:r>
      <w:r w:rsidR="00C764ED">
        <w:rPr>
          <w:color w:val="000000"/>
          <w:sz w:val="24"/>
          <w:szCs w:val="24"/>
        </w:rPr>
        <w:t>for</w:t>
      </w:r>
      <w:r>
        <w:rPr>
          <w:color w:val="000000"/>
          <w:sz w:val="24"/>
          <w:szCs w:val="24"/>
        </w:rPr>
        <w:t xml:space="preserve"> a test dataset, Eq. (1), and the accuracy of the prediction for maximum power</w:t>
      </w:r>
      <w:r w:rsidR="00E80864">
        <w:rPr>
          <w:color w:val="000000"/>
          <w:sz w:val="24"/>
          <w:szCs w:val="24"/>
        </w:rPr>
        <w:t>, the inverse problem demonstrated here</w:t>
      </w:r>
      <w:r>
        <w:rPr>
          <w:color w:val="000000"/>
          <w:sz w:val="24"/>
          <w:szCs w:val="24"/>
        </w:rPr>
        <w:t xml:space="preserve">. </w:t>
      </w:r>
    </w:p>
    <w:tbl>
      <w:tblPr>
        <w:tblW w:w="9243" w:type="dxa"/>
        <w:tblInd w:w="-108" w:type="dxa"/>
        <w:tblLook w:val="0000" w:firstRow="0" w:lastRow="0" w:firstColumn="0" w:lastColumn="0" w:noHBand="0" w:noVBand="0"/>
      </w:tblPr>
      <w:tblGrid>
        <w:gridCol w:w="8329"/>
        <w:gridCol w:w="914"/>
      </w:tblGrid>
      <w:tr w:rsidR="00D74A13" w14:paraId="0D9A048F" w14:textId="77777777">
        <w:trPr>
          <w:trHeight w:val="57"/>
        </w:trPr>
        <w:tc>
          <w:tcPr>
            <w:tcW w:w="8329" w:type="dxa"/>
            <w:shd w:val="clear" w:color="auto" w:fill="auto"/>
            <w:vAlign w:val="center"/>
          </w:tcPr>
          <w:p w14:paraId="7A2E8B1D" w14:textId="03C70278" w:rsidR="00D74A13" w:rsidRDefault="00B04931">
            <w:pPr>
              <w:overflowPunct w:val="0"/>
              <w:jc w:val="center"/>
              <w:textAlignment w:val="auto"/>
            </w:pPr>
            <w:r>
              <w:t>MSE =</w:t>
            </w:r>
            <w:r>
              <w:rPr>
                <w:rFonts w:ascii="Ubuntu" w:eastAsia="Ubuntu" w:hAnsi="Ubuntu" w:cs="Ubuntu"/>
              </w:rPr>
              <w:t xml:space="preserve"> </w:t>
            </w:r>
            <w:r w:rsidR="0002099B">
              <w:rPr>
                <w:rFonts w:ascii="Ubuntu" w:eastAsia="Ubuntu" w:hAnsi="Ubuntu" w:cs="Ubuntu"/>
              </w:rPr>
              <w:t xml:space="preserve"> </w:t>
            </w:r>
            <m:oMath>
              <m:f>
                <m:fPr>
                  <m:ctrlPr>
                    <w:rPr>
                      <w:rFonts w:ascii="Cambria Math" w:eastAsia="Ubuntu" w:hAnsi="Cambria Math" w:cs="Ubuntu"/>
                      <w:i/>
                    </w:rPr>
                  </m:ctrlPr>
                </m:fPr>
                <m:num>
                  <m:r>
                    <w:rPr>
                      <w:rFonts w:ascii="Cambria Math" w:eastAsia="Ubuntu" w:hAnsi="Cambria Math" w:cs="Ubuntu"/>
                    </w:rPr>
                    <m:t>1</m:t>
                  </m:r>
                </m:num>
                <m:den>
                  <m:r>
                    <w:rPr>
                      <w:rFonts w:ascii="Cambria Math" w:eastAsia="Ubuntu" w:hAnsi="Cambria Math" w:cs="Ubuntu"/>
                    </w:rPr>
                    <m:t>n</m:t>
                  </m:r>
                </m:den>
              </m:f>
              <m:nary>
                <m:naryPr>
                  <m:chr m:val="∑"/>
                  <m:limLoc m:val="undOvr"/>
                  <m:ctrlPr>
                    <w:rPr>
                      <w:rFonts w:ascii="Cambria Math" w:eastAsia="Ubuntu" w:hAnsi="Cambria Math" w:cs="Ubuntu"/>
                      <w:i/>
                    </w:rPr>
                  </m:ctrlPr>
                </m:naryPr>
                <m:sub>
                  <m:r>
                    <w:rPr>
                      <w:rFonts w:ascii="Cambria Math" w:eastAsia="Ubuntu" w:hAnsi="Cambria Math" w:cs="Ubuntu"/>
                    </w:rPr>
                    <m:t>i=0</m:t>
                  </m:r>
                </m:sub>
                <m:sup>
                  <m:r>
                    <w:rPr>
                      <w:rFonts w:ascii="Cambria Math" w:eastAsia="Ubuntu" w:hAnsi="Cambria Math" w:cs="Ubuntu"/>
                    </w:rPr>
                    <m:t>n</m:t>
                  </m:r>
                </m:sup>
                <m:e>
                  <m:sSup>
                    <m:sSupPr>
                      <m:ctrlPr>
                        <w:rPr>
                          <w:rFonts w:ascii="Cambria Math" w:eastAsia="Ubuntu" w:hAnsi="Cambria Math" w:cs="Ubuntu"/>
                          <w:i/>
                        </w:rPr>
                      </m:ctrlPr>
                    </m:sSupPr>
                    <m:e>
                      <m:d>
                        <m:dPr>
                          <m:ctrlPr>
                            <w:rPr>
                              <w:rFonts w:ascii="Cambria Math" w:eastAsia="Ubuntu" w:hAnsi="Cambria Math" w:cs="Ubuntu"/>
                              <w:i/>
                            </w:rPr>
                          </m:ctrlPr>
                        </m:dPr>
                        <m:e>
                          <m:sSub>
                            <m:sSubPr>
                              <m:ctrlPr>
                                <w:rPr>
                                  <w:rFonts w:ascii="Cambria Math" w:eastAsia="Ubuntu" w:hAnsi="Cambria Math" w:cs="Ubuntu"/>
                                  <w:i/>
                                </w:rPr>
                              </m:ctrlPr>
                            </m:sSubPr>
                            <m:e>
                              <m:r>
                                <w:rPr>
                                  <w:rFonts w:ascii="Cambria Math" w:eastAsia="Ubuntu" w:hAnsi="Cambria Math" w:cs="Ubuntu"/>
                                </w:rPr>
                                <m:t>x</m:t>
                              </m:r>
                            </m:e>
                            <m:sub>
                              <m:r>
                                <w:rPr>
                                  <w:rFonts w:ascii="Cambria Math" w:eastAsia="Ubuntu" w:hAnsi="Cambria Math" w:cs="Ubuntu"/>
                                </w:rPr>
                                <m:t>i,GPR</m:t>
                              </m:r>
                            </m:sub>
                          </m:sSub>
                          <m:r>
                            <w:rPr>
                              <w:rFonts w:ascii="Cambria Math" w:eastAsia="Ubuntu" w:hAnsi="Cambria Math" w:cs="Ubuntu"/>
                            </w:rPr>
                            <m:t>-</m:t>
                          </m:r>
                          <m:sSub>
                            <m:sSubPr>
                              <m:ctrlPr>
                                <w:rPr>
                                  <w:rFonts w:ascii="Cambria Math" w:eastAsia="Ubuntu" w:hAnsi="Cambria Math" w:cs="Ubuntu"/>
                                  <w:i/>
                                </w:rPr>
                              </m:ctrlPr>
                            </m:sSubPr>
                            <m:e>
                              <m:r>
                                <w:rPr>
                                  <w:rFonts w:ascii="Cambria Math" w:eastAsia="Ubuntu" w:hAnsi="Cambria Math" w:cs="Ubuntu"/>
                                </w:rPr>
                                <m:t>x</m:t>
                              </m:r>
                            </m:e>
                            <m:sub>
                              <m:r>
                                <w:rPr>
                                  <w:rFonts w:ascii="Cambria Math" w:eastAsia="Ubuntu" w:hAnsi="Cambria Math" w:cs="Ubuntu"/>
                                </w:rPr>
                                <m:t>i,Exact</m:t>
                              </m:r>
                            </m:sub>
                          </m:sSub>
                        </m:e>
                      </m:d>
                    </m:e>
                    <m:sup>
                      <m:r>
                        <w:rPr>
                          <w:rFonts w:ascii="Cambria Math" w:eastAsia="Ubuntu" w:hAnsi="Cambria Math" w:cs="Ubuntu"/>
                        </w:rPr>
                        <m:t>2</m:t>
                      </m:r>
                    </m:sup>
                  </m:sSup>
                </m:e>
              </m:nary>
            </m:oMath>
          </w:p>
        </w:tc>
        <w:tc>
          <w:tcPr>
            <w:tcW w:w="914" w:type="dxa"/>
            <w:shd w:val="clear" w:color="auto" w:fill="auto"/>
            <w:vAlign w:val="center"/>
          </w:tcPr>
          <w:p w14:paraId="0FABD395" w14:textId="77777777" w:rsidR="00D74A13" w:rsidRDefault="00B04931">
            <w:pPr>
              <w:overflowPunct w:val="0"/>
              <w:jc w:val="right"/>
              <w:textAlignment w:val="auto"/>
              <w:rPr>
                <w:rFonts w:eastAsia="Calibri"/>
                <w:sz w:val="24"/>
                <w:szCs w:val="24"/>
                <w:lang w:eastAsia="ar-SA"/>
              </w:rPr>
            </w:pPr>
            <w:r>
              <w:rPr>
                <w:rFonts w:eastAsia="Calibri"/>
                <w:sz w:val="24"/>
                <w:szCs w:val="24"/>
                <w:lang w:eastAsia="ar-SA"/>
              </w:rPr>
              <w:t>(1)</w:t>
            </w:r>
          </w:p>
        </w:tc>
      </w:tr>
    </w:tbl>
    <w:p w14:paraId="34CE0A41" w14:textId="77777777" w:rsidR="00D74A13" w:rsidRDefault="00D74A13">
      <w:pPr>
        <w:jc w:val="both"/>
        <w:rPr>
          <w:color w:val="000000"/>
          <w:sz w:val="24"/>
          <w:szCs w:val="24"/>
        </w:rPr>
      </w:pPr>
    </w:p>
    <w:p w14:paraId="0F44503D" w14:textId="77777777" w:rsidR="00D74A13" w:rsidRDefault="00B04931">
      <w:pPr>
        <w:pStyle w:val="Authornameandaffiliation"/>
        <w:ind w:left="0"/>
        <w:jc w:val="both"/>
        <w:rPr>
          <w:b/>
          <w:bCs/>
          <w:sz w:val="24"/>
          <w:szCs w:val="24"/>
          <w:lang w:val="en-GB"/>
        </w:rPr>
      </w:pPr>
      <w:r>
        <w:rPr>
          <w:b/>
          <w:bCs/>
          <w:sz w:val="24"/>
          <w:szCs w:val="24"/>
          <w:lang w:val="en-GB"/>
        </w:rPr>
        <w:t>3. Results &amp; Discussion</w:t>
      </w:r>
    </w:p>
    <w:p w14:paraId="276DA397" w14:textId="4A14458F" w:rsidR="00B45362" w:rsidRDefault="63446C7A">
      <w:pPr>
        <w:pStyle w:val="Authornameandaffiliation"/>
        <w:ind w:left="0"/>
        <w:jc w:val="both"/>
        <w:rPr>
          <w:sz w:val="24"/>
          <w:szCs w:val="24"/>
          <w:lang w:val="en-GB"/>
        </w:rPr>
      </w:pPr>
      <w:r w:rsidRPr="63446C7A">
        <w:rPr>
          <w:sz w:val="24"/>
          <w:szCs w:val="24"/>
          <w:lang w:val="en-GB"/>
        </w:rPr>
        <w:t xml:space="preserve">GPR models were trained for increasing number of data points for each sampling method to assess their performance and data requirements for convergence. The same 100 data points were used in the test dataset for consistency. The MSE on the test and train datasets for each sampling method is shown in Fig. 5. </w:t>
      </w:r>
      <w:r w:rsidR="00BD5FE1">
        <w:rPr>
          <w:sz w:val="24"/>
          <w:szCs w:val="24"/>
          <w:lang w:val="en-GB"/>
        </w:rPr>
        <w:t>Initially</w:t>
      </w:r>
      <w:r w:rsidR="00643CD3">
        <w:rPr>
          <w:sz w:val="24"/>
          <w:szCs w:val="24"/>
          <w:lang w:val="en-GB"/>
        </w:rPr>
        <w:t>,</w:t>
      </w:r>
      <w:r w:rsidR="00BD5FE1">
        <w:rPr>
          <w:sz w:val="24"/>
          <w:szCs w:val="24"/>
          <w:lang w:val="en-GB"/>
        </w:rPr>
        <w:t xml:space="preserve"> the MSE is </w:t>
      </w:r>
      <w:r w:rsidR="00643CD3">
        <w:rPr>
          <w:sz w:val="24"/>
          <w:szCs w:val="24"/>
          <w:lang w:val="en-GB"/>
        </w:rPr>
        <w:t>small for the training data and high for the test data</w:t>
      </w:r>
      <w:r w:rsidR="004B1E0A">
        <w:rPr>
          <w:sz w:val="24"/>
          <w:szCs w:val="24"/>
          <w:lang w:val="en-GB"/>
        </w:rPr>
        <w:t xml:space="preserve">, which is </w:t>
      </w:r>
      <w:r w:rsidR="00F01E78">
        <w:rPr>
          <w:sz w:val="24"/>
          <w:szCs w:val="24"/>
          <w:lang w:val="en-GB"/>
        </w:rPr>
        <w:t>caused by</w:t>
      </w:r>
      <w:r w:rsidR="004B1E0A">
        <w:rPr>
          <w:sz w:val="24"/>
          <w:szCs w:val="24"/>
          <w:lang w:val="en-GB"/>
        </w:rPr>
        <w:t xml:space="preserve"> the model over-fitting to the small number of data points available</w:t>
      </w:r>
      <w:r w:rsidR="00F01E78">
        <w:rPr>
          <w:sz w:val="24"/>
          <w:szCs w:val="24"/>
          <w:lang w:val="en-GB"/>
        </w:rPr>
        <w:t xml:space="preserve">. </w:t>
      </w:r>
      <w:r w:rsidR="008F435A">
        <w:rPr>
          <w:sz w:val="24"/>
          <w:szCs w:val="24"/>
          <w:lang w:val="en-GB"/>
        </w:rPr>
        <w:t xml:space="preserve">As the number of data points used for training increase, </w:t>
      </w:r>
      <w:r w:rsidR="00853D8D">
        <w:rPr>
          <w:sz w:val="24"/>
          <w:szCs w:val="24"/>
          <w:lang w:val="en-GB"/>
        </w:rPr>
        <w:t xml:space="preserve">the MSE </w:t>
      </w:r>
      <w:r w:rsidR="00B45362">
        <w:rPr>
          <w:sz w:val="24"/>
          <w:szCs w:val="24"/>
          <w:lang w:val="en-GB"/>
        </w:rPr>
        <w:t xml:space="preserve">for the test data decreases rapidly, </w:t>
      </w:r>
      <w:r w:rsidR="00E80D8C">
        <w:rPr>
          <w:sz w:val="24"/>
          <w:szCs w:val="24"/>
          <w:lang w:val="en-GB"/>
        </w:rPr>
        <w:t>highlighting</w:t>
      </w:r>
      <w:r w:rsidR="00C65971">
        <w:rPr>
          <w:sz w:val="24"/>
          <w:szCs w:val="24"/>
          <w:lang w:val="en-GB"/>
        </w:rPr>
        <w:t xml:space="preserve"> that the model generalises </w:t>
      </w:r>
      <w:r w:rsidR="00ED275C">
        <w:rPr>
          <w:sz w:val="24"/>
          <w:szCs w:val="24"/>
          <w:lang w:val="en-GB"/>
        </w:rPr>
        <w:t>to unseen data much better</w:t>
      </w:r>
      <w:r w:rsidR="00E80D8C">
        <w:rPr>
          <w:sz w:val="24"/>
          <w:szCs w:val="24"/>
          <w:lang w:val="en-GB"/>
        </w:rPr>
        <w:t xml:space="preserve"> </w:t>
      </w:r>
      <w:r w:rsidR="00277245">
        <w:rPr>
          <w:sz w:val="24"/>
          <w:szCs w:val="24"/>
          <w:lang w:val="en-GB"/>
        </w:rPr>
        <w:t>and</w:t>
      </w:r>
      <w:r w:rsidR="00E80D8C">
        <w:rPr>
          <w:sz w:val="24"/>
          <w:szCs w:val="24"/>
          <w:lang w:val="en-GB"/>
        </w:rPr>
        <w:t xml:space="preserve"> is no longer over-fitting.</w:t>
      </w:r>
      <w:r w:rsidR="0055521C">
        <w:rPr>
          <w:sz w:val="24"/>
          <w:szCs w:val="24"/>
          <w:lang w:val="en-GB"/>
        </w:rPr>
        <w:t xml:space="preserve"> The small increase in MSE for </w:t>
      </w:r>
      <w:r w:rsidR="001F1D4C">
        <w:rPr>
          <w:sz w:val="24"/>
          <w:szCs w:val="24"/>
          <w:lang w:val="en-GB"/>
        </w:rPr>
        <w:t xml:space="preserve">the </w:t>
      </w:r>
      <w:r w:rsidR="0055521C">
        <w:rPr>
          <w:sz w:val="24"/>
          <w:szCs w:val="24"/>
          <w:lang w:val="en-GB"/>
        </w:rPr>
        <w:t>training data</w:t>
      </w:r>
      <w:r w:rsidR="00F9323F">
        <w:rPr>
          <w:sz w:val="24"/>
          <w:szCs w:val="24"/>
          <w:lang w:val="en-GB"/>
        </w:rPr>
        <w:t xml:space="preserve"> is also </w:t>
      </w:r>
      <w:r w:rsidR="00411F56">
        <w:rPr>
          <w:sz w:val="24"/>
          <w:szCs w:val="24"/>
          <w:lang w:val="en-GB"/>
        </w:rPr>
        <w:t>attributed</w:t>
      </w:r>
      <w:r w:rsidR="00F9323F">
        <w:rPr>
          <w:sz w:val="24"/>
          <w:szCs w:val="24"/>
          <w:lang w:val="en-GB"/>
        </w:rPr>
        <w:t xml:space="preserve"> to this.</w:t>
      </w:r>
      <w:r w:rsidR="00E6382E">
        <w:rPr>
          <w:sz w:val="24"/>
          <w:szCs w:val="24"/>
          <w:lang w:val="en-GB"/>
        </w:rPr>
        <w:t xml:space="preserve"> </w:t>
      </w:r>
    </w:p>
    <w:p w14:paraId="395AD82F" w14:textId="77777777" w:rsidR="00F541A5" w:rsidRDefault="00F541A5">
      <w:pPr>
        <w:pStyle w:val="Authornameandaffiliation"/>
        <w:ind w:left="0"/>
        <w:jc w:val="both"/>
        <w:rPr>
          <w:sz w:val="24"/>
          <w:szCs w:val="24"/>
          <w:lang w:val="en-GB"/>
        </w:rPr>
      </w:pPr>
    </w:p>
    <w:p w14:paraId="5997CC1D" w14:textId="77777777" w:rsidR="00D74A13" w:rsidRDefault="00D74A13">
      <w:pPr>
        <w:pStyle w:val="Authornameandaffiliation"/>
        <w:ind w:left="0"/>
        <w:jc w:val="both"/>
        <w:rPr>
          <w:sz w:val="24"/>
          <w:szCs w:val="24"/>
          <w:lang w:val="en-GB"/>
        </w:rPr>
      </w:pPr>
    </w:p>
    <w:tbl>
      <w:tblPr>
        <w:tblW w:w="9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26"/>
      </w:tblGrid>
      <w:tr w:rsidR="00D74A13" w14:paraId="110FFD37" w14:textId="77777777" w:rsidTr="63446C7A">
        <w:tc>
          <w:tcPr>
            <w:tcW w:w="9026"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shd w:val="clear" w:color="auto" w:fill="auto"/>
          </w:tcPr>
          <w:p w14:paraId="6B699379" w14:textId="77777777" w:rsidR="00D74A13" w:rsidRDefault="63446C7A">
            <w:pPr>
              <w:pStyle w:val="TableContents"/>
              <w:jc w:val="center"/>
            </w:pPr>
            <w:r>
              <w:rPr>
                <w:noProof/>
              </w:rPr>
              <w:lastRenderedPageBreak/>
              <w:drawing>
                <wp:inline distT="0" distB="0" distL="0" distR="0" wp14:anchorId="025D5598" wp14:editId="2BF298EB">
                  <wp:extent cx="4765674" cy="3282950"/>
                  <wp:effectExtent l="0" t="0" r="0" b="0"/>
                  <wp:docPr id="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pic:nvPicPr>
                        <pic:blipFill>
                          <a:blip r:embed="rId12" cstate="print">
                            <a:extLst>
                              <a:ext uri="{28A0092B-C50C-407E-A947-70E740481C1C}">
                                <a14:useLocalDpi xmlns:a14="http://schemas.microsoft.com/office/drawing/2010/main" val="0"/>
                              </a:ext>
                            </a:extLst>
                          </a:blip>
                          <a:srcRect l="8265" t="8937" r="8582" b="5133"/>
                          <a:stretch>
                            <a:fillRect/>
                          </a:stretch>
                        </pic:blipFill>
                        <pic:spPr>
                          <a:xfrm>
                            <a:off x="0" y="0"/>
                            <a:ext cx="4765674" cy="3282950"/>
                          </a:xfrm>
                          <a:prstGeom prst="rect">
                            <a:avLst/>
                          </a:prstGeom>
                        </pic:spPr>
                      </pic:pic>
                    </a:graphicData>
                  </a:graphic>
                </wp:inline>
              </w:drawing>
            </w:r>
          </w:p>
        </w:tc>
      </w:tr>
      <w:tr w:rsidR="00D74A13" w14:paraId="3A306C38" w14:textId="77777777" w:rsidTr="63446C7A">
        <w:tc>
          <w:tcPr>
            <w:tcW w:w="9026" w:type="dxa"/>
            <w:tcBorders>
              <w:left w:val="single" w:sz="2" w:space="0" w:color="70AD47" w:themeColor="accent6"/>
              <w:bottom w:val="single" w:sz="2" w:space="0" w:color="70AD47" w:themeColor="accent6"/>
              <w:right w:val="single" w:sz="2" w:space="0" w:color="70AD47" w:themeColor="accent6"/>
            </w:tcBorders>
            <w:shd w:val="clear" w:color="auto" w:fill="auto"/>
          </w:tcPr>
          <w:p w14:paraId="790EE674" w14:textId="31932084" w:rsidR="00D74A13" w:rsidRDefault="63446C7A" w:rsidP="63446C7A">
            <w:pPr>
              <w:pStyle w:val="TableContents"/>
              <w:jc w:val="center"/>
              <w:rPr>
                <w:i/>
                <w:iCs/>
              </w:rPr>
            </w:pPr>
            <w:r w:rsidRPr="63446C7A">
              <w:rPr>
                <w:i/>
                <w:iCs/>
              </w:rPr>
              <w:t>FIG. 5.  MSE for test and train data for each sampling method.</w:t>
            </w:r>
          </w:p>
        </w:tc>
      </w:tr>
    </w:tbl>
    <w:p w14:paraId="3FE9F23F" w14:textId="77777777" w:rsidR="00D74A13" w:rsidRDefault="00D74A13">
      <w:pPr>
        <w:pStyle w:val="Authornameandaffiliation"/>
        <w:ind w:left="0"/>
        <w:jc w:val="both"/>
        <w:rPr>
          <w:sz w:val="24"/>
          <w:szCs w:val="24"/>
          <w:lang w:val="en-GB"/>
        </w:rPr>
      </w:pPr>
    </w:p>
    <w:p w14:paraId="61DD76AE" w14:textId="6C535AC2" w:rsidR="00917F92" w:rsidRDefault="00535BF4">
      <w:pPr>
        <w:pStyle w:val="BodyText"/>
        <w:spacing w:after="120" w:line="240" w:lineRule="atLeast"/>
        <w:ind w:firstLine="0"/>
        <w:rPr>
          <w:sz w:val="24"/>
          <w:szCs w:val="24"/>
        </w:rPr>
      </w:pPr>
      <w:r>
        <w:rPr>
          <w:sz w:val="24"/>
          <w:szCs w:val="24"/>
        </w:rPr>
        <w:t xml:space="preserve">For each sampling technique there is </w:t>
      </w:r>
      <w:r w:rsidR="00EC53C1">
        <w:rPr>
          <w:sz w:val="24"/>
          <w:szCs w:val="24"/>
        </w:rPr>
        <w:t>on</w:t>
      </w:r>
      <w:r w:rsidR="0017110D">
        <w:rPr>
          <w:sz w:val="24"/>
          <w:szCs w:val="24"/>
        </w:rPr>
        <w:t>l</w:t>
      </w:r>
      <w:r w:rsidR="00EC53C1">
        <w:rPr>
          <w:sz w:val="24"/>
          <w:szCs w:val="24"/>
        </w:rPr>
        <w:t xml:space="preserve">y </w:t>
      </w:r>
      <w:r w:rsidR="005911FB">
        <w:rPr>
          <w:sz w:val="24"/>
          <w:szCs w:val="24"/>
        </w:rPr>
        <w:t>very</w:t>
      </w:r>
      <w:r w:rsidR="00AC64C5">
        <w:rPr>
          <w:sz w:val="24"/>
          <w:szCs w:val="24"/>
        </w:rPr>
        <w:t xml:space="preserve"> </w:t>
      </w:r>
      <w:r w:rsidR="00EC53C1">
        <w:rPr>
          <w:sz w:val="24"/>
          <w:szCs w:val="24"/>
        </w:rPr>
        <w:t xml:space="preserve">slight improvement in the </w:t>
      </w:r>
      <w:r w:rsidR="0017110D">
        <w:rPr>
          <w:sz w:val="24"/>
          <w:szCs w:val="24"/>
        </w:rPr>
        <w:t xml:space="preserve">test </w:t>
      </w:r>
      <w:r w:rsidR="00EC53C1">
        <w:rPr>
          <w:sz w:val="24"/>
          <w:szCs w:val="24"/>
        </w:rPr>
        <w:t xml:space="preserve">MSE </w:t>
      </w:r>
      <w:r w:rsidR="007D4A84">
        <w:rPr>
          <w:sz w:val="24"/>
          <w:szCs w:val="24"/>
        </w:rPr>
        <w:t xml:space="preserve">as </w:t>
      </w:r>
      <w:r w:rsidR="00C639FD">
        <w:rPr>
          <w:sz w:val="24"/>
          <w:szCs w:val="24"/>
        </w:rPr>
        <w:t xml:space="preserve">the </w:t>
      </w:r>
      <w:r w:rsidR="00694EDC">
        <w:rPr>
          <w:sz w:val="24"/>
          <w:szCs w:val="24"/>
        </w:rPr>
        <w:t xml:space="preserve">training </w:t>
      </w:r>
      <w:r w:rsidR="00DB609D">
        <w:rPr>
          <w:sz w:val="24"/>
          <w:szCs w:val="24"/>
        </w:rPr>
        <w:t xml:space="preserve">dataset size </w:t>
      </w:r>
      <w:r w:rsidR="007D4A84">
        <w:rPr>
          <w:sz w:val="24"/>
          <w:szCs w:val="24"/>
        </w:rPr>
        <w:t>increases over</w:t>
      </w:r>
      <w:r w:rsidR="00C639FD">
        <w:rPr>
          <w:sz w:val="24"/>
          <w:szCs w:val="24"/>
        </w:rPr>
        <w:t xml:space="preserve"> 500</w:t>
      </w:r>
      <w:r w:rsidR="005D7106">
        <w:rPr>
          <w:sz w:val="24"/>
          <w:szCs w:val="24"/>
        </w:rPr>
        <w:t xml:space="preserve">, </w:t>
      </w:r>
      <w:r w:rsidR="007D4A84">
        <w:rPr>
          <w:sz w:val="24"/>
          <w:szCs w:val="24"/>
        </w:rPr>
        <w:t>with</w:t>
      </w:r>
      <w:r w:rsidR="005D7106">
        <w:rPr>
          <w:sz w:val="24"/>
          <w:szCs w:val="24"/>
        </w:rPr>
        <w:t xml:space="preserve"> </w:t>
      </w:r>
      <w:r w:rsidR="00E92F8E">
        <w:rPr>
          <w:sz w:val="24"/>
          <w:szCs w:val="24"/>
        </w:rPr>
        <w:t>the Halton sampling technique clearly outperform</w:t>
      </w:r>
      <w:r w:rsidR="000932A0">
        <w:rPr>
          <w:sz w:val="24"/>
          <w:szCs w:val="24"/>
        </w:rPr>
        <w:t>ing</w:t>
      </w:r>
      <w:r w:rsidR="00E92F8E">
        <w:rPr>
          <w:sz w:val="24"/>
          <w:szCs w:val="24"/>
        </w:rPr>
        <w:t xml:space="preserve"> the </w:t>
      </w:r>
      <w:r w:rsidR="000932A0">
        <w:rPr>
          <w:sz w:val="24"/>
          <w:szCs w:val="24"/>
        </w:rPr>
        <w:t>others</w:t>
      </w:r>
      <w:r w:rsidR="00E92F8E">
        <w:rPr>
          <w:sz w:val="24"/>
          <w:szCs w:val="24"/>
        </w:rPr>
        <w:t xml:space="preserve">. </w:t>
      </w:r>
    </w:p>
    <w:p w14:paraId="2573C8F1" w14:textId="77777777" w:rsidR="00917F92" w:rsidRDefault="00917F92">
      <w:pPr>
        <w:pStyle w:val="BodyText"/>
        <w:spacing w:after="120" w:line="240" w:lineRule="atLeast"/>
        <w:ind w:firstLine="0"/>
        <w:rPr>
          <w:sz w:val="24"/>
          <w:szCs w:val="24"/>
        </w:rPr>
      </w:pPr>
    </w:p>
    <w:p w14:paraId="176C4476" w14:textId="67FA893F" w:rsidR="00D74A13" w:rsidRDefault="63446C7A">
      <w:pPr>
        <w:pStyle w:val="BodyText"/>
        <w:spacing w:after="120" w:line="240" w:lineRule="atLeast"/>
        <w:ind w:firstLine="0"/>
        <w:rPr>
          <w:sz w:val="24"/>
          <w:szCs w:val="24"/>
        </w:rPr>
      </w:pPr>
      <w:r w:rsidRPr="63446C7A">
        <w:rPr>
          <w:sz w:val="24"/>
          <w:szCs w:val="24"/>
        </w:rPr>
        <w:t xml:space="preserve">While MSE infers the accuracy of the model across the entire parameter space, to ensure the optimal configuration is found it is essential that it is highly accurate </w:t>
      </w:r>
      <w:r w:rsidR="00C46ED8">
        <w:rPr>
          <w:sz w:val="24"/>
          <w:szCs w:val="24"/>
        </w:rPr>
        <w:t>in</w:t>
      </w:r>
      <w:r w:rsidRPr="63446C7A">
        <w:rPr>
          <w:sz w:val="24"/>
          <w:szCs w:val="24"/>
        </w:rPr>
        <w:t xml:space="preserve"> ROI</w:t>
      </w:r>
      <w:r w:rsidR="00EA01D8">
        <w:rPr>
          <w:sz w:val="24"/>
          <w:szCs w:val="24"/>
        </w:rPr>
        <w:t>s</w:t>
      </w:r>
      <w:r w:rsidRPr="63446C7A">
        <w:rPr>
          <w:sz w:val="24"/>
          <w:szCs w:val="24"/>
        </w:rPr>
        <w:t xml:space="preserve">. The predicted and actual power at the configuration </w:t>
      </w:r>
      <w:r w:rsidR="00437608">
        <w:rPr>
          <w:sz w:val="24"/>
          <w:szCs w:val="24"/>
        </w:rPr>
        <w:t xml:space="preserve">recommended by the GPR model </w:t>
      </w:r>
      <w:r w:rsidRPr="63446C7A">
        <w:rPr>
          <w:sz w:val="24"/>
          <w:szCs w:val="24"/>
        </w:rPr>
        <w:t>for maximal power is shown in Fig. 6. The adaptive method performs the best in this regard, however this can be attributed to fact that this</w:t>
      </w:r>
      <w:r w:rsidR="006363BE">
        <w:rPr>
          <w:sz w:val="24"/>
          <w:szCs w:val="24"/>
        </w:rPr>
        <w:t xml:space="preserve"> is the only</w:t>
      </w:r>
      <w:r w:rsidRPr="63446C7A">
        <w:rPr>
          <w:sz w:val="24"/>
          <w:szCs w:val="24"/>
        </w:rPr>
        <w:t xml:space="preserve"> method </w:t>
      </w:r>
      <w:r w:rsidR="006363BE">
        <w:rPr>
          <w:sz w:val="24"/>
          <w:szCs w:val="24"/>
        </w:rPr>
        <w:t xml:space="preserve">which </w:t>
      </w:r>
      <w:r w:rsidRPr="63446C7A">
        <w:rPr>
          <w:sz w:val="24"/>
          <w:szCs w:val="24"/>
        </w:rPr>
        <w:t xml:space="preserve">places data points on the boundaries of the parameter space, where this optimum is located. </w:t>
      </w:r>
    </w:p>
    <w:tbl>
      <w:tblPr>
        <w:tblW w:w="9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26"/>
      </w:tblGrid>
      <w:tr w:rsidR="00D74A13" w14:paraId="1F72F646" w14:textId="77777777" w:rsidTr="63446C7A">
        <w:tc>
          <w:tcPr>
            <w:tcW w:w="9026"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shd w:val="clear" w:color="auto" w:fill="auto"/>
          </w:tcPr>
          <w:p w14:paraId="08CE6F91" w14:textId="77777777" w:rsidR="00D74A13" w:rsidRDefault="63446C7A">
            <w:pPr>
              <w:pStyle w:val="TableContents"/>
              <w:jc w:val="center"/>
            </w:pPr>
            <w:r>
              <w:rPr>
                <w:noProof/>
              </w:rPr>
              <w:lastRenderedPageBreak/>
              <w:drawing>
                <wp:inline distT="0" distB="0" distL="0" distR="0" wp14:anchorId="013A1785" wp14:editId="1FAB4723">
                  <wp:extent cx="5271136" cy="3516630"/>
                  <wp:effectExtent l="0" t="0" r="0" b="0"/>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pic:cNvPicPr/>
                        </pic:nvPicPr>
                        <pic:blipFill>
                          <a:blip r:embed="rId13" cstate="print">
                            <a:extLst>
                              <a:ext uri="{28A0092B-C50C-407E-A947-70E740481C1C}">
                                <a14:useLocalDpi xmlns:a14="http://schemas.microsoft.com/office/drawing/2010/main" val="0"/>
                              </a:ext>
                            </a:extLst>
                          </a:blip>
                          <a:srcRect t="7956" r="8031"/>
                          <a:stretch>
                            <a:fillRect/>
                          </a:stretch>
                        </pic:blipFill>
                        <pic:spPr>
                          <a:xfrm>
                            <a:off x="0" y="0"/>
                            <a:ext cx="5271136" cy="3516630"/>
                          </a:xfrm>
                          <a:prstGeom prst="rect">
                            <a:avLst/>
                          </a:prstGeom>
                        </pic:spPr>
                      </pic:pic>
                    </a:graphicData>
                  </a:graphic>
                </wp:inline>
              </w:drawing>
            </w:r>
          </w:p>
        </w:tc>
      </w:tr>
      <w:tr w:rsidR="00D74A13" w14:paraId="62320C23" w14:textId="77777777" w:rsidTr="63446C7A">
        <w:tc>
          <w:tcPr>
            <w:tcW w:w="9026" w:type="dxa"/>
            <w:tcBorders>
              <w:left w:val="single" w:sz="2" w:space="0" w:color="70AD47" w:themeColor="accent6"/>
              <w:bottom w:val="single" w:sz="2" w:space="0" w:color="70AD47" w:themeColor="accent6"/>
              <w:right w:val="single" w:sz="2" w:space="0" w:color="70AD47" w:themeColor="accent6"/>
            </w:tcBorders>
            <w:shd w:val="clear" w:color="auto" w:fill="auto"/>
          </w:tcPr>
          <w:p w14:paraId="0F49FD5E" w14:textId="77E94AD7" w:rsidR="00D74A13" w:rsidRDefault="63446C7A" w:rsidP="63446C7A">
            <w:pPr>
              <w:pStyle w:val="TableContents"/>
              <w:jc w:val="center"/>
              <w:rPr>
                <w:i/>
                <w:iCs/>
              </w:rPr>
            </w:pPr>
            <w:r w:rsidRPr="63446C7A">
              <w:rPr>
                <w:i/>
                <w:iCs/>
              </w:rPr>
              <w:t xml:space="preserve">FIG. 6.  Predicted and ground truth power for maximum power configuration. </w:t>
            </w:r>
          </w:p>
        </w:tc>
      </w:tr>
    </w:tbl>
    <w:p w14:paraId="61CDCEAD" w14:textId="77777777" w:rsidR="00D74A13" w:rsidRDefault="00D74A13">
      <w:pPr>
        <w:pStyle w:val="Authornameandaffiliation"/>
        <w:ind w:left="0"/>
        <w:jc w:val="both"/>
        <w:rPr>
          <w:sz w:val="24"/>
          <w:szCs w:val="24"/>
          <w:lang w:val="en-GB"/>
        </w:rPr>
      </w:pPr>
    </w:p>
    <w:p w14:paraId="658606FA" w14:textId="4AEA1547" w:rsidR="00D74A13" w:rsidRDefault="00B04931">
      <w:pPr>
        <w:pStyle w:val="BodyText"/>
        <w:spacing w:after="120" w:line="240" w:lineRule="atLeast"/>
        <w:ind w:firstLine="0"/>
        <w:rPr>
          <w:sz w:val="24"/>
          <w:szCs w:val="24"/>
        </w:rPr>
      </w:pPr>
      <w:r>
        <w:rPr>
          <w:sz w:val="24"/>
          <w:szCs w:val="22"/>
        </w:rPr>
        <w:t xml:space="preserve">To overcome this, a </w:t>
      </w:r>
      <w:r w:rsidR="006A0802">
        <w:rPr>
          <w:sz w:val="24"/>
          <w:szCs w:val="22"/>
        </w:rPr>
        <w:t>hybrid</w:t>
      </w:r>
      <w:r>
        <w:rPr>
          <w:sz w:val="24"/>
          <w:szCs w:val="22"/>
        </w:rPr>
        <w:t xml:space="preserve"> simulation-ML </w:t>
      </w:r>
      <w:r w:rsidR="00096339">
        <w:rPr>
          <w:sz w:val="24"/>
          <w:szCs w:val="22"/>
        </w:rPr>
        <w:t>sampling technique</w:t>
      </w:r>
      <w:r>
        <w:rPr>
          <w:sz w:val="24"/>
          <w:szCs w:val="22"/>
        </w:rPr>
        <w:t xml:space="preserve"> is </w:t>
      </w:r>
      <w:r w:rsidR="00096339">
        <w:rPr>
          <w:sz w:val="24"/>
          <w:szCs w:val="22"/>
        </w:rPr>
        <w:t>proposed</w:t>
      </w:r>
      <w:r w:rsidR="009F0ECA">
        <w:rPr>
          <w:sz w:val="24"/>
          <w:szCs w:val="22"/>
        </w:rPr>
        <w:t>.</w:t>
      </w:r>
      <w:r>
        <w:rPr>
          <w:sz w:val="24"/>
          <w:szCs w:val="22"/>
        </w:rPr>
        <w:t xml:space="preserve"> </w:t>
      </w:r>
      <w:r w:rsidR="00155B4D">
        <w:rPr>
          <w:sz w:val="24"/>
          <w:szCs w:val="22"/>
        </w:rPr>
        <w:t xml:space="preserve">Using </w:t>
      </w:r>
      <w:r w:rsidR="007062D8">
        <w:rPr>
          <w:sz w:val="24"/>
          <w:szCs w:val="22"/>
        </w:rPr>
        <w:t>an</w:t>
      </w:r>
      <w:r w:rsidR="00155B4D">
        <w:rPr>
          <w:sz w:val="24"/>
          <w:szCs w:val="22"/>
        </w:rPr>
        <w:t xml:space="preserve"> </w:t>
      </w:r>
      <w:r w:rsidR="007062D8">
        <w:rPr>
          <w:sz w:val="24"/>
          <w:szCs w:val="22"/>
        </w:rPr>
        <w:t>aforementioned technique</w:t>
      </w:r>
      <w:r w:rsidR="00155B4D">
        <w:rPr>
          <w:sz w:val="24"/>
          <w:szCs w:val="22"/>
        </w:rPr>
        <w:t>, a</w:t>
      </w:r>
      <w:r>
        <w:rPr>
          <w:sz w:val="24"/>
          <w:szCs w:val="22"/>
        </w:rPr>
        <w:t xml:space="preserve">n initial number of </w:t>
      </w:r>
      <w:r w:rsidR="008A3174">
        <w:rPr>
          <w:sz w:val="24"/>
          <w:szCs w:val="22"/>
        </w:rPr>
        <w:t xml:space="preserve">data points </w:t>
      </w:r>
      <w:r w:rsidR="008219B6">
        <w:rPr>
          <w:sz w:val="24"/>
          <w:szCs w:val="22"/>
        </w:rPr>
        <w:t>are c</w:t>
      </w:r>
      <w:r w:rsidR="0097431C">
        <w:rPr>
          <w:sz w:val="24"/>
          <w:szCs w:val="22"/>
        </w:rPr>
        <w:t>ollected</w:t>
      </w:r>
      <w:r w:rsidR="008219B6">
        <w:rPr>
          <w:sz w:val="24"/>
          <w:szCs w:val="22"/>
        </w:rPr>
        <w:t xml:space="preserve"> </w:t>
      </w:r>
      <w:r w:rsidR="00BF537D">
        <w:rPr>
          <w:sz w:val="24"/>
          <w:szCs w:val="22"/>
        </w:rPr>
        <w:t>to train a</w:t>
      </w:r>
      <w:r>
        <w:rPr>
          <w:sz w:val="24"/>
          <w:szCs w:val="22"/>
        </w:rPr>
        <w:t xml:space="preserve"> GPR model</w:t>
      </w:r>
      <w:r w:rsidR="00BF537D">
        <w:rPr>
          <w:sz w:val="24"/>
          <w:szCs w:val="22"/>
        </w:rPr>
        <w:t xml:space="preserve">. </w:t>
      </w:r>
      <w:r>
        <w:rPr>
          <w:sz w:val="24"/>
          <w:szCs w:val="22"/>
        </w:rPr>
        <w:t>ROI</w:t>
      </w:r>
      <w:r w:rsidR="0096218D">
        <w:rPr>
          <w:sz w:val="24"/>
          <w:szCs w:val="22"/>
        </w:rPr>
        <w:t>s</w:t>
      </w:r>
      <w:r>
        <w:rPr>
          <w:sz w:val="24"/>
          <w:szCs w:val="22"/>
        </w:rPr>
        <w:t xml:space="preserve"> in the parameter space are </w:t>
      </w:r>
      <w:r w:rsidR="0097431C">
        <w:rPr>
          <w:sz w:val="24"/>
          <w:szCs w:val="22"/>
        </w:rPr>
        <w:t xml:space="preserve">then </w:t>
      </w:r>
      <w:r>
        <w:rPr>
          <w:sz w:val="24"/>
          <w:szCs w:val="22"/>
        </w:rPr>
        <w:t>identified</w:t>
      </w:r>
      <w:r w:rsidR="006913F3">
        <w:rPr>
          <w:sz w:val="24"/>
          <w:szCs w:val="22"/>
        </w:rPr>
        <w:t xml:space="preserve"> using the model, </w:t>
      </w:r>
      <w:r w:rsidR="0097431C">
        <w:rPr>
          <w:sz w:val="24"/>
          <w:szCs w:val="22"/>
        </w:rPr>
        <w:t>with</w:t>
      </w:r>
      <w:r>
        <w:rPr>
          <w:sz w:val="24"/>
          <w:szCs w:val="22"/>
        </w:rPr>
        <w:t xml:space="preserve"> </w:t>
      </w:r>
      <w:r w:rsidR="00161015">
        <w:rPr>
          <w:sz w:val="24"/>
          <w:szCs w:val="22"/>
        </w:rPr>
        <w:t>d</w:t>
      </w:r>
      <w:r>
        <w:rPr>
          <w:sz w:val="24"/>
          <w:szCs w:val="22"/>
        </w:rPr>
        <w:t xml:space="preserve">ata points </w:t>
      </w:r>
      <w:r w:rsidR="00161015">
        <w:rPr>
          <w:sz w:val="24"/>
          <w:szCs w:val="22"/>
        </w:rPr>
        <w:t xml:space="preserve">collected </w:t>
      </w:r>
      <w:r w:rsidR="00EA01D8">
        <w:rPr>
          <w:sz w:val="24"/>
          <w:szCs w:val="22"/>
        </w:rPr>
        <w:t>in</w:t>
      </w:r>
      <w:r w:rsidR="00161015">
        <w:rPr>
          <w:sz w:val="24"/>
          <w:szCs w:val="22"/>
        </w:rPr>
        <w:t xml:space="preserve"> </w:t>
      </w:r>
      <w:r>
        <w:rPr>
          <w:sz w:val="24"/>
          <w:szCs w:val="22"/>
        </w:rPr>
        <w:t xml:space="preserve">this region to improve the model’s accuracy </w:t>
      </w:r>
      <w:r w:rsidR="0097560F">
        <w:rPr>
          <w:sz w:val="24"/>
          <w:szCs w:val="22"/>
        </w:rPr>
        <w:t>in its vicinity</w:t>
      </w:r>
      <w:r>
        <w:rPr>
          <w:sz w:val="24"/>
          <w:szCs w:val="22"/>
        </w:rPr>
        <w:t>.</w:t>
      </w:r>
      <w:r w:rsidR="00127B68">
        <w:rPr>
          <w:sz w:val="24"/>
          <w:szCs w:val="22"/>
        </w:rPr>
        <w:t xml:space="preserve"> </w:t>
      </w:r>
      <w:r w:rsidR="00084253">
        <w:rPr>
          <w:sz w:val="24"/>
          <w:szCs w:val="22"/>
        </w:rPr>
        <w:t xml:space="preserve">Using the Halton technique, </w:t>
      </w:r>
      <w:r w:rsidR="63446C7A" w:rsidRPr="63446C7A">
        <w:rPr>
          <w:sz w:val="24"/>
          <w:szCs w:val="24"/>
        </w:rPr>
        <w:t xml:space="preserve">400 data points are </w:t>
      </w:r>
      <w:r w:rsidR="00084253">
        <w:rPr>
          <w:sz w:val="24"/>
          <w:szCs w:val="24"/>
        </w:rPr>
        <w:t>collected.</w:t>
      </w:r>
      <w:r w:rsidR="00293B86">
        <w:rPr>
          <w:sz w:val="24"/>
          <w:szCs w:val="24"/>
        </w:rPr>
        <w:t xml:space="preserve"> T</w:t>
      </w:r>
      <w:r w:rsidR="63446C7A" w:rsidRPr="63446C7A">
        <w:rPr>
          <w:sz w:val="24"/>
          <w:szCs w:val="24"/>
        </w:rPr>
        <w:t xml:space="preserve">here is a dramatic improvement in the model's accuracy in the ROI of maximal power </w:t>
      </w:r>
      <w:r w:rsidR="00C7000B">
        <w:rPr>
          <w:sz w:val="24"/>
          <w:szCs w:val="24"/>
        </w:rPr>
        <w:t xml:space="preserve">by including </w:t>
      </w:r>
      <w:r w:rsidR="008A41C1">
        <w:rPr>
          <w:sz w:val="24"/>
          <w:szCs w:val="24"/>
        </w:rPr>
        <w:t>only</w:t>
      </w:r>
      <w:r w:rsidR="63446C7A" w:rsidRPr="63446C7A">
        <w:rPr>
          <w:sz w:val="24"/>
          <w:szCs w:val="24"/>
        </w:rPr>
        <w:t xml:space="preserve"> 5 additional points </w:t>
      </w:r>
      <w:r w:rsidR="007A1F59">
        <w:rPr>
          <w:sz w:val="24"/>
          <w:szCs w:val="24"/>
        </w:rPr>
        <w:t>nearby</w:t>
      </w:r>
      <w:r w:rsidR="00293B86">
        <w:rPr>
          <w:sz w:val="24"/>
          <w:szCs w:val="24"/>
        </w:rPr>
        <w:t xml:space="preserve"> [</w:t>
      </w:r>
      <w:r w:rsidR="00293B86" w:rsidRPr="63446C7A">
        <w:rPr>
          <w:sz w:val="24"/>
          <w:szCs w:val="24"/>
        </w:rPr>
        <w:t>Fig. 7</w:t>
      </w:r>
      <w:r w:rsidR="00293B86">
        <w:rPr>
          <w:sz w:val="24"/>
          <w:szCs w:val="24"/>
        </w:rPr>
        <w:t>]</w:t>
      </w:r>
      <w:r w:rsidR="63446C7A" w:rsidRPr="63446C7A">
        <w:rPr>
          <w:sz w:val="24"/>
          <w:szCs w:val="24"/>
        </w:rPr>
        <w:t xml:space="preserve">. </w:t>
      </w:r>
      <w:r w:rsidR="001E4B02">
        <w:rPr>
          <w:sz w:val="24"/>
          <w:szCs w:val="24"/>
        </w:rPr>
        <w:t>As a result</w:t>
      </w:r>
      <w:r w:rsidR="63446C7A" w:rsidRPr="63446C7A">
        <w:rPr>
          <w:sz w:val="24"/>
          <w:szCs w:val="24"/>
        </w:rPr>
        <w:t>, a</w:t>
      </w:r>
      <w:r w:rsidR="001E4B02">
        <w:rPr>
          <w:sz w:val="24"/>
          <w:szCs w:val="24"/>
        </w:rPr>
        <w:t>n improved</w:t>
      </w:r>
      <w:r w:rsidR="63446C7A" w:rsidRPr="63446C7A">
        <w:rPr>
          <w:sz w:val="24"/>
          <w:szCs w:val="24"/>
        </w:rPr>
        <w:t xml:space="preserve"> </w:t>
      </w:r>
      <w:r w:rsidR="008643B5">
        <w:rPr>
          <w:sz w:val="24"/>
          <w:szCs w:val="24"/>
        </w:rPr>
        <w:t xml:space="preserve">maximum power </w:t>
      </w:r>
      <w:r w:rsidR="63446C7A" w:rsidRPr="63446C7A">
        <w:rPr>
          <w:sz w:val="24"/>
          <w:szCs w:val="24"/>
        </w:rPr>
        <w:t xml:space="preserve">configuration is identified </w:t>
      </w:r>
      <w:r w:rsidR="0020049C">
        <w:rPr>
          <w:sz w:val="24"/>
          <w:szCs w:val="24"/>
        </w:rPr>
        <w:t>with</w:t>
      </w:r>
      <w:r w:rsidR="63446C7A" w:rsidRPr="63446C7A">
        <w:rPr>
          <w:sz w:val="24"/>
          <w:szCs w:val="24"/>
        </w:rPr>
        <w:t xml:space="preserve"> fewer than 450 data points using </w:t>
      </w:r>
      <w:r w:rsidR="00624D90">
        <w:rPr>
          <w:sz w:val="24"/>
          <w:szCs w:val="24"/>
        </w:rPr>
        <w:t xml:space="preserve">the hybrid </w:t>
      </w:r>
      <w:r w:rsidR="63446C7A" w:rsidRPr="63446C7A">
        <w:rPr>
          <w:sz w:val="24"/>
          <w:szCs w:val="24"/>
        </w:rPr>
        <w:t>method</w:t>
      </w:r>
      <w:r w:rsidR="00624D90">
        <w:rPr>
          <w:sz w:val="24"/>
          <w:szCs w:val="24"/>
        </w:rPr>
        <w:t xml:space="preserve"> compared with</w:t>
      </w:r>
      <w:r w:rsidR="63446C7A" w:rsidRPr="63446C7A">
        <w:rPr>
          <w:sz w:val="24"/>
          <w:szCs w:val="24"/>
        </w:rPr>
        <w:t xml:space="preserve"> 1000 points for the original methods.</w:t>
      </w:r>
    </w:p>
    <w:tbl>
      <w:tblPr>
        <w:tblW w:w="9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26"/>
      </w:tblGrid>
      <w:tr w:rsidR="00D74A13" w14:paraId="6BB9E253" w14:textId="77777777" w:rsidTr="63446C7A">
        <w:tc>
          <w:tcPr>
            <w:tcW w:w="9026"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shd w:val="clear" w:color="auto" w:fill="auto"/>
          </w:tcPr>
          <w:p w14:paraId="23DE523C" w14:textId="77777777" w:rsidR="00D74A13" w:rsidRDefault="63446C7A">
            <w:pPr>
              <w:pStyle w:val="TableContents"/>
              <w:jc w:val="center"/>
            </w:pPr>
            <w:r>
              <w:rPr>
                <w:noProof/>
              </w:rPr>
              <w:drawing>
                <wp:inline distT="0" distB="0" distL="0" distR="0" wp14:anchorId="35CCDE75" wp14:editId="42DBF18E">
                  <wp:extent cx="3923030" cy="2722245"/>
                  <wp:effectExtent l="0" t="0" r="0" b="0"/>
                  <wp:docPr id="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pic:nvPicPr>
                        <pic:blipFill>
                          <a:blip r:embed="rId14" cstate="print">
                            <a:extLst>
                              <a:ext uri="{28A0092B-C50C-407E-A947-70E740481C1C}">
                                <a14:useLocalDpi xmlns:a14="http://schemas.microsoft.com/office/drawing/2010/main" val="0"/>
                              </a:ext>
                            </a:extLst>
                          </a:blip>
                          <a:srcRect l="2745" t="7661" r="8551"/>
                          <a:stretch>
                            <a:fillRect/>
                          </a:stretch>
                        </pic:blipFill>
                        <pic:spPr>
                          <a:xfrm>
                            <a:off x="0" y="0"/>
                            <a:ext cx="3923030" cy="2722245"/>
                          </a:xfrm>
                          <a:prstGeom prst="rect">
                            <a:avLst/>
                          </a:prstGeom>
                        </pic:spPr>
                      </pic:pic>
                    </a:graphicData>
                  </a:graphic>
                </wp:inline>
              </w:drawing>
            </w:r>
          </w:p>
        </w:tc>
      </w:tr>
      <w:tr w:rsidR="00D74A13" w14:paraId="0F26D51F" w14:textId="77777777" w:rsidTr="63446C7A">
        <w:tc>
          <w:tcPr>
            <w:tcW w:w="9026" w:type="dxa"/>
            <w:tcBorders>
              <w:left w:val="single" w:sz="2" w:space="0" w:color="70AD47" w:themeColor="accent6"/>
              <w:bottom w:val="single" w:sz="2" w:space="0" w:color="70AD47" w:themeColor="accent6"/>
              <w:right w:val="single" w:sz="2" w:space="0" w:color="70AD47" w:themeColor="accent6"/>
            </w:tcBorders>
            <w:shd w:val="clear" w:color="auto" w:fill="auto"/>
          </w:tcPr>
          <w:p w14:paraId="6C6A70CF" w14:textId="2665A65F" w:rsidR="00D74A13" w:rsidRDefault="63446C7A" w:rsidP="63446C7A">
            <w:pPr>
              <w:pStyle w:val="TableContents"/>
              <w:jc w:val="center"/>
              <w:rPr>
                <w:i/>
                <w:iCs/>
              </w:rPr>
            </w:pPr>
            <w:r w:rsidRPr="63446C7A">
              <w:rPr>
                <w:i/>
                <w:iCs/>
              </w:rPr>
              <w:t xml:space="preserve">FIG. 7. Improvement in optimal configuration with </w:t>
            </w:r>
            <w:r w:rsidR="006A0802">
              <w:rPr>
                <w:i/>
                <w:iCs/>
              </w:rPr>
              <w:t>hybrid</w:t>
            </w:r>
            <w:r w:rsidRPr="63446C7A">
              <w:rPr>
                <w:i/>
                <w:iCs/>
              </w:rPr>
              <w:t xml:space="preserve"> approach.</w:t>
            </w:r>
          </w:p>
        </w:tc>
      </w:tr>
    </w:tbl>
    <w:p w14:paraId="52E56223" w14:textId="77777777" w:rsidR="00D74A13" w:rsidRDefault="00D74A13">
      <w:pPr>
        <w:pStyle w:val="BodyText"/>
        <w:spacing w:after="120" w:line="240" w:lineRule="atLeast"/>
        <w:ind w:firstLine="0"/>
        <w:rPr>
          <w:szCs w:val="22"/>
        </w:rPr>
      </w:pPr>
    </w:p>
    <w:p w14:paraId="3630334A" w14:textId="126000A2" w:rsidR="0096340C" w:rsidRDefault="00026D91">
      <w:pPr>
        <w:pStyle w:val="BodyText"/>
        <w:spacing w:after="120" w:line="240" w:lineRule="atLeast"/>
        <w:ind w:firstLine="0"/>
        <w:rPr>
          <w:sz w:val="24"/>
          <w:szCs w:val="24"/>
        </w:rPr>
      </w:pPr>
      <w:r>
        <w:rPr>
          <w:sz w:val="24"/>
          <w:szCs w:val="24"/>
        </w:rPr>
        <w:lastRenderedPageBreak/>
        <w:t>The</w:t>
      </w:r>
      <w:r w:rsidR="00D83C71">
        <w:rPr>
          <w:sz w:val="24"/>
          <w:szCs w:val="24"/>
        </w:rPr>
        <w:t xml:space="preserve"> </w:t>
      </w:r>
      <w:r w:rsidR="00C1451A">
        <w:rPr>
          <w:sz w:val="24"/>
          <w:szCs w:val="24"/>
        </w:rPr>
        <w:t>performance</w:t>
      </w:r>
      <w:r w:rsidR="00152609">
        <w:rPr>
          <w:sz w:val="24"/>
          <w:szCs w:val="24"/>
        </w:rPr>
        <w:t xml:space="preserve"> </w:t>
      </w:r>
      <w:r w:rsidR="005776F0">
        <w:rPr>
          <w:sz w:val="24"/>
          <w:szCs w:val="24"/>
        </w:rPr>
        <w:t xml:space="preserve">of the hybrid approach </w:t>
      </w:r>
      <w:r w:rsidR="00C1451A">
        <w:rPr>
          <w:sz w:val="24"/>
          <w:szCs w:val="24"/>
        </w:rPr>
        <w:t>over the entire parameter space</w:t>
      </w:r>
      <w:r w:rsidR="00730B60">
        <w:rPr>
          <w:sz w:val="24"/>
          <w:szCs w:val="24"/>
        </w:rPr>
        <w:t xml:space="preserve"> must also be considered</w:t>
      </w:r>
      <w:r w:rsidR="00FF0E5C">
        <w:rPr>
          <w:sz w:val="24"/>
          <w:szCs w:val="24"/>
        </w:rPr>
        <w:t xml:space="preserve"> [</w:t>
      </w:r>
      <w:r w:rsidR="63446C7A" w:rsidRPr="63446C7A">
        <w:rPr>
          <w:sz w:val="24"/>
          <w:szCs w:val="24"/>
        </w:rPr>
        <w:t>Fig. 8</w:t>
      </w:r>
      <w:r w:rsidR="00FF0E5C">
        <w:rPr>
          <w:sz w:val="24"/>
          <w:szCs w:val="24"/>
        </w:rPr>
        <w:t>]</w:t>
      </w:r>
      <w:r w:rsidR="63446C7A" w:rsidRPr="63446C7A">
        <w:rPr>
          <w:sz w:val="24"/>
          <w:szCs w:val="24"/>
        </w:rPr>
        <w:t xml:space="preserve">. </w:t>
      </w:r>
      <w:r w:rsidR="0096340C">
        <w:rPr>
          <w:sz w:val="24"/>
          <w:szCs w:val="24"/>
        </w:rPr>
        <w:t>The</w:t>
      </w:r>
      <w:r w:rsidR="00003558">
        <w:rPr>
          <w:sz w:val="24"/>
          <w:szCs w:val="24"/>
        </w:rPr>
        <w:t xml:space="preserve"> s</w:t>
      </w:r>
      <w:r w:rsidR="0096340C">
        <w:rPr>
          <w:sz w:val="24"/>
          <w:szCs w:val="24"/>
        </w:rPr>
        <w:t>udden</w:t>
      </w:r>
      <w:r w:rsidR="00003558">
        <w:rPr>
          <w:sz w:val="24"/>
          <w:szCs w:val="24"/>
        </w:rPr>
        <w:t xml:space="preserve"> increase in training MSE </w:t>
      </w:r>
      <w:r w:rsidR="00003558" w:rsidRPr="63446C7A">
        <w:rPr>
          <w:sz w:val="24"/>
          <w:szCs w:val="24"/>
        </w:rPr>
        <w:t xml:space="preserve">can be attributed to the model's inability to fit to all the points in the </w:t>
      </w:r>
      <w:r w:rsidR="00102E2B">
        <w:rPr>
          <w:sz w:val="24"/>
          <w:szCs w:val="24"/>
        </w:rPr>
        <w:t xml:space="preserve">densely sampled </w:t>
      </w:r>
      <w:r w:rsidR="00003558" w:rsidRPr="63446C7A">
        <w:rPr>
          <w:sz w:val="24"/>
          <w:szCs w:val="24"/>
        </w:rPr>
        <w:t>ROI</w:t>
      </w:r>
      <w:r w:rsidR="00D325A9">
        <w:rPr>
          <w:sz w:val="24"/>
          <w:szCs w:val="24"/>
        </w:rPr>
        <w:t xml:space="preserve">. </w:t>
      </w:r>
      <w:r w:rsidR="00AB03D2">
        <w:rPr>
          <w:sz w:val="24"/>
          <w:szCs w:val="24"/>
        </w:rPr>
        <w:t>More importantly t</w:t>
      </w:r>
      <w:r w:rsidR="0096340C">
        <w:rPr>
          <w:sz w:val="24"/>
          <w:szCs w:val="24"/>
        </w:rPr>
        <w:t xml:space="preserve">he test MSE remains </w:t>
      </w:r>
      <w:r w:rsidR="001915F7">
        <w:rPr>
          <w:sz w:val="24"/>
          <w:szCs w:val="24"/>
        </w:rPr>
        <w:t xml:space="preserve">largely </w:t>
      </w:r>
      <w:r w:rsidR="0096340C">
        <w:rPr>
          <w:sz w:val="24"/>
          <w:szCs w:val="24"/>
        </w:rPr>
        <w:t>constant, showing that the model still generalises well</w:t>
      </w:r>
      <w:r w:rsidR="007B27AD">
        <w:rPr>
          <w:sz w:val="24"/>
          <w:szCs w:val="24"/>
        </w:rPr>
        <w:t xml:space="preserve"> over the entire parameter space</w:t>
      </w:r>
      <w:r w:rsidR="00732C33">
        <w:rPr>
          <w:sz w:val="24"/>
          <w:szCs w:val="24"/>
        </w:rPr>
        <w:t xml:space="preserve"> even with</w:t>
      </w:r>
      <w:r w:rsidR="00C570C7">
        <w:rPr>
          <w:sz w:val="24"/>
          <w:szCs w:val="24"/>
        </w:rPr>
        <w:t xml:space="preserve"> substantial improvement</w:t>
      </w:r>
      <w:r w:rsidR="00B538D3">
        <w:rPr>
          <w:sz w:val="24"/>
          <w:szCs w:val="24"/>
        </w:rPr>
        <w:t xml:space="preserve"> in the ROI, highlighting the</w:t>
      </w:r>
      <w:r w:rsidR="00D13FE5">
        <w:rPr>
          <w:sz w:val="24"/>
          <w:szCs w:val="24"/>
        </w:rPr>
        <w:t xml:space="preserve"> success of this approach. </w:t>
      </w:r>
    </w:p>
    <w:p w14:paraId="07547A01" w14:textId="6738EEC7" w:rsidR="00D74A13" w:rsidRDefault="00D74A13">
      <w:pPr>
        <w:pStyle w:val="BodyText"/>
        <w:spacing w:after="120" w:line="240" w:lineRule="atLeast"/>
        <w:ind w:firstLine="0"/>
        <w:rPr>
          <w:szCs w:val="22"/>
        </w:rPr>
      </w:pPr>
    </w:p>
    <w:tbl>
      <w:tblPr>
        <w:tblW w:w="9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26"/>
      </w:tblGrid>
      <w:tr w:rsidR="00D74A13" w14:paraId="5043CB0F" w14:textId="77777777" w:rsidTr="63446C7A">
        <w:tc>
          <w:tcPr>
            <w:tcW w:w="9026"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shd w:val="clear" w:color="auto" w:fill="auto"/>
          </w:tcPr>
          <w:p w14:paraId="07459315" w14:textId="77777777" w:rsidR="00D74A13" w:rsidRDefault="63446C7A">
            <w:pPr>
              <w:pStyle w:val="TableContents"/>
              <w:jc w:val="center"/>
            </w:pPr>
            <w:r>
              <w:rPr>
                <w:noProof/>
              </w:rPr>
              <w:drawing>
                <wp:inline distT="0" distB="0" distL="0" distR="0" wp14:anchorId="27481E05" wp14:editId="01E8D7C3">
                  <wp:extent cx="4247514" cy="3052445"/>
                  <wp:effectExtent l="0" t="0" r="0" b="0"/>
                  <wp:docPr id="10"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pic:nvPicPr>
                        <pic:blipFill>
                          <a:blip r:embed="rId15" cstate="print">
                            <a:extLst>
                              <a:ext uri="{28A0092B-C50C-407E-A947-70E740481C1C}">
                                <a14:useLocalDpi xmlns:a14="http://schemas.microsoft.com/office/drawing/2010/main" val="0"/>
                              </a:ext>
                            </a:extLst>
                          </a:blip>
                          <a:srcRect l="7732" t="8625" r="7509"/>
                          <a:stretch>
                            <a:fillRect/>
                          </a:stretch>
                        </pic:blipFill>
                        <pic:spPr>
                          <a:xfrm>
                            <a:off x="0" y="0"/>
                            <a:ext cx="4247514" cy="3052445"/>
                          </a:xfrm>
                          <a:prstGeom prst="rect">
                            <a:avLst/>
                          </a:prstGeom>
                        </pic:spPr>
                      </pic:pic>
                    </a:graphicData>
                  </a:graphic>
                </wp:inline>
              </w:drawing>
            </w:r>
          </w:p>
        </w:tc>
      </w:tr>
      <w:tr w:rsidR="00D74A13" w14:paraId="4BE4F520" w14:textId="77777777" w:rsidTr="63446C7A">
        <w:tc>
          <w:tcPr>
            <w:tcW w:w="9026" w:type="dxa"/>
            <w:tcBorders>
              <w:left w:val="single" w:sz="2" w:space="0" w:color="70AD47" w:themeColor="accent6"/>
              <w:bottom w:val="single" w:sz="2" w:space="0" w:color="70AD47" w:themeColor="accent6"/>
              <w:right w:val="single" w:sz="2" w:space="0" w:color="70AD47" w:themeColor="accent6"/>
            </w:tcBorders>
            <w:shd w:val="clear" w:color="auto" w:fill="auto"/>
          </w:tcPr>
          <w:p w14:paraId="6021CD75" w14:textId="1E39CB11" w:rsidR="00D74A13" w:rsidRDefault="63446C7A" w:rsidP="63446C7A">
            <w:pPr>
              <w:pStyle w:val="TableContents"/>
              <w:jc w:val="center"/>
              <w:rPr>
                <w:i/>
                <w:iCs/>
              </w:rPr>
            </w:pPr>
            <w:r w:rsidRPr="63446C7A">
              <w:rPr>
                <w:i/>
                <w:iCs/>
              </w:rPr>
              <w:t>FIG. 8.  Changes in MSE with coupled approach.</w:t>
            </w:r>
          </w:p>
        </w:tc>
      </w:tr>
    </w:tbl>
    <w:p w14:paraId="6537F28F" w14:textId="77777777" w:rsidR="00D74A13" w:rsidRDefault="00D74A13">
      <w:pPr>
        <w:pStyle w:val="BodyText"/>
        <w:spacing w:after="120" w:line="240" w:lineRule="atLeast"/>
        <w:ind w:firstLine="0"/>
        <w:rPr>
          <w:szCs w:val="22"/>
        </w:rPr>
      </w:pPr>
    </w:p>
    <w:p w14:paraId="584F9CB5" w14:textId="77777777" w:rsidR="00D74A13" w:rsidRDefault="00B04931">
      <w:pPr>
        <w:pStyle w:val="BodyText"/>
        <w:spacing w:after="120" w:line="240" w:lineRule="atLeast"/>
        <w:ind w:firstLine="0"/>
        <w:rPr>
          <w:sz w:val="24"/>
          <w:szCs w:val="24"/>
        </w:rPr>
      </w:pPr>
      <w:r>
        <w:rPr>
          <w:b/>
          <w:bCs/>
          <w:sz w:val="24"/>
          <w:szCs w:val="22"/>
        </w:rPr>
        <w:t>4. Conclusion</w:t>
      </w:r>
    </w:p>
    <w:p w14:paraId="289BB347" w14:textId="19FBDCEA" w:rsidR="00D74A13" w:rsidRDefault="00B04931">
      <w:pPr>
        <w:pStyle w:val="BodyText"/>
        <w:spacing w:after="120" w:line="240" w:lineRule="atLeast"/>
        <w:ind w:firstLine="0"/>
        <w:rPr>
          <w:color w:val="000000"/>
          <w:sz w:val="24"/>
          <w:szCs w:val="24"/>
        </w:rPr>
      </w:pPr>
      <w:r>
        <w:rPr>
          <w:color w:val="000000"/>
          <w:sz w:val="24"/>
          <w:szCs w:val="24"/>
        </w:rPr>
        <w:t xml:space="preserve">This work has presented how combining simulation data with ML can maximise the effect of experimental facilities. Using GPR models trained on simulation data, </w:t>
      </w:r>
      <w:r w:rsidR="00526221">
        <w:rPr>
          <w:color w:val="000000"/>
          <w:sz w:val="24"/>
          <w:szCs w:val="24"/>
        </w:rPr>
        <w:t xml:space="preserve">one of the many </w:t>
      </w:r>
      <w:r w:rsidR="007371B5">
        <w:rPr>
          <w:color w:val="000000"/>
          <w:sz w:val="24"/>
          <w:szCs w:val="24"/>
        </w:rPr>
        <w:t>inverse problems</w:t>
      </w:r>
      <w:r w:rsidR="00526221">
        <w:rPr>
          <w:color w:val="000000"/>
          <w:sz w:val="24"/>
          <w:szCs w:val="24"/>
        </w:rPr>
        <w:t xml:space="preserve"> posed by HIVE is solved</w:t>
      </w:r>
      <w:r>
        <w:rPr>
          <w:color w:val="000000"/>
          <w:sz w:val="24"/>
          <w:szCs w:val="24"/>
        </w:rPr>
        <w:t xml:space="preserve">. While standard sampling techniques </w:t>
      </w:r>
      <w:r w:rsidR="007E45A8">
        <w:rPr>
          <w:color w:val="000000"/>
          <w:sz w:val="24"/>
          <w:szCs w:val="24"/>
        </w:rPr>
        <w:t xml:space="preserve">showed good global performance, </w:t>
      </w:r>
      <w:r>
        <w:rPr>
          <w:color w:val="000000"/>
          <w:sz w:val="24"/>
          <w:szCs w:val="24"/>
        </w:rPr>
        <w:t xml:space="preserve">their accuracy </w:t>
      </w:r>
      <w:r w:rsidR="00BB0741">
        <w:rPr>
          <w:color w:val="000000"/>
          <w:sz w:val="24"/>
          <w:szCs w:val="24"/>
        </w:rPr>
        <w:t xml:space="preserve">in the ROI </w:t>
      </w:r>
      <w:r>
        <w:rPr>
          <w:color w:val="000000"/>
          <w:sz w:val="24"/>
          <w:szCs w:val="24"/>
        </w:rPr>
        <w:t>were often unsatisfactory</w:t>
      </w:r>
      <w:r w:rsidR="005B5FDB">
        <w:rPr>
          <w:color w:val="000000"/>
          <w:sz w:val="24"/>
          <w:szCs w:val="24"/>
        </w:rPr>
        <w:t>.</w:t>
      </w:r>
      <w:r>
        <w:rPr>
          <w:color w:val="000000"/>
          <w:sz w:val="24"/>
          <w:szCs w:val="24"/>
        </w:rPr>
        <w:t xml:space="preserve"> </w:t>
      </w:r>
      <w:r w:rsidR="005B5FDB">
        <w:rPr>
          <w:color w:val="000000"/>
          <w:sz w:val="24"/>
          <w:szCs w:val="24"/>
        </w:rPr>
        <w:t>U</w:t>
      </w:r>
      <w:r>
        <w:rPr>
          <w:color w:val="000000"/>
          <w:sz w:val="24"/>
          <w:szCs w:val="24"/>
        </w:rPr>
        <w:t>sing</w:t>
      </w:r>
      <w:r w:rsidR="001315E4">
        <w:rPr>
          <w:color w:val="000000"/>
          <w:sz w:val="24"/>
          <w:szCs w:val="24"/>
        </w:rPr>
        <w:t xml:space="preserve"> the </w:t>
      </w:r>
      <w:r w:rsidR="00BB0741">
        <w:rPr>
          <w:color w:val="000000"/>
          <w:sz w:val="24"/>
          <w:szCs w:val="24"/>
        </w:rPr>
        <w:t>hybrid approach to</w:t>
      </w:r>
      <w:r>
        <w:rPr>
          <w:color w:val="000000"/>
          <w:sz w:val="24"/>
          <w:szCs w:val="24"/>
        </w:rPr>
        <w:t xml:space="preserve"> </w:t>
      </w:r>
      <w:proofErr w:type="gramStart"/>
      <w:r>
        <w:rPr>
          <w:color w:val="000000"/>
          <w:sz w:val="24"/>
          <w:szCs w:val="24"/>
        </w:rPr>
        <w:t>advise</w:t>
      </w:r>
      <w:proofErr w:type="gramEnd"/>
      <w:r>
        <w:rPr>
          <w:color w:val="000000"/>
          <w:sz w:val="24"/>
          <w:szCs w:val="24"/>
        </w:rPr>
        <w:t xml:space="preserve"> </w:t>
      </w:r>
      <w:r w:rsidR="000E6057">
        <w:rPr>
          <w:color w:val="000000"/>
          <w:sz w:val="24"/>
          <w:szCs w:val="24"/>
        </w:rPr>
        <w:t>areas</w:t>
      </w:r>
      <w:r>
        <w:rPr>
          <w:color w:val="000000"/>
          <w:sz w:val="24"/>
          <w:szCs w:val="24"/>
        </w:rPr>
        <w:t xml:space="preserve"> to densely sample resulted in a substantial improvement in performance</w:t>
      </w:r>
      <w:r w:rsidR="00DF4EA4">
        <w:rPr>
          <w:color w:val="000000"/>
          <w:sz w:val="24"/>
          <w:szCs w:val="24"/>
        </w:rPr>
        <w:t xml:space="preserve"> in th</w:t>
      </w:r>
      <w:r>
        <w:rPr>
          <w:color w:val="000000"/>
          <w:sz w:val="24"/>
          <w:szCs w:val="24"/>
        </w:rPr>
        <w:t>ese</w:t>
      </w:r>
      <w:r w:rsidR="00DF4EA4">
        <w:rPr>
          <w:color w:val="000000"/>
          <w:sz w:val="24"/>
          <w:szCs w:val="24"/>
        </w:rPr>
        <w:t xml:space="preserve"> region</w:t>
      </w:r>
      <w:r>
        <w:rPr>
          <w:color w:val="000000"/>
          <w:sz w:val="24"/>
          <w:szCs w:val="24"/>
        </w:rPr>
        <w:t>s</w:t>
      </w:r>
      <w:r w:rsidR="00DF4EA4">
        <w:rPr>
          <w:color w:val="000000"/>
          <w:sz w:val="24"/>
          <w:szCs w:val="24"/>
        </w:rPr>
        <w:t xml:space="preserve"> without affecting the global performance</w:t>
      </w:r>
      <w:r>
        <w:rPr>
          <w:color w:val="000000"/>
          <w:sz w:val="24"/>
          <w:szCs w:val="24"/>
        </w:rPr>
        <w:t xml:space="preserve">. </w:t>
      </w:r>
    </w:p>
    <w:p w14:paraId="4160618F" w14:textId="77777777" w:rsidR="00D13FE5" w:rsidRDefault="00D13FE5">
      <w:pPr>
        <w:pStyle w:val="BodyText"/>
        <w:spacing w:after="120" w:line="240" w:lineRule="atLeast"/>
        <w:ind w:firstLine="0"/>
        <w:rPr>
          <w:sz w:val="24"/>
          <w:szCs w:val="24"/>
        </w:rPr>
      </w:pPr>
    </w:p>
    <w:p w14:paraId="79CCAD17" w14:textId="77777777" w:rsidR="00D74A13" w:rsidRDefault="00B04931">
      <w:pPr>
        <w:pStyle w:val="BodyText"/>
        <w:spacing w:before="120" w:after="240" w:line="240" w:lineRule="atLeast"/>
        <w:ind w:firstLine="0"/>
        <w:jc w:val="left"/>
        <w:rPr>
          <w:sz w:val="24"/>
          <w:szCs w:val="24"/>
        </w:rPr>
      </w:pPr>
      <w:r>
        <w:rPr>
          <w:b/>
          <w:color w:val="000000"/>
          <w:sz w:val="24"/>
          <w:szCs w:val="24"/>
        </w:rPr>
        <w:t>Acknowledgements</w:t>
      </w:r>
    </w:p>
    <w:p w14:paraId="1FB9BC85" w14:textId="77777777" w:rsidR="00D74A13" w:rsidRDefault="00B04931">
      <w:pPr>
        <w:pStyle w:val="BodyText"/>
        <w:spacing w:after="120" w:line="240" w:lineRule="atLeast"/>
        <w:ind w:firstLine="0"/>
        <w:rPr>
          <w:sz w:val="24"/>
          <w:szCs w:val="24"/>
        </w:rPr>
      </w:pPr>
      <w:r>
        <w:rPr>
          <w:color w:val="000000"/>
          <w:sz w:val="24"/>
          <w:szCs w:val="24"/>
          <w:lang w:val="en-US"/>
        </w:rPr>
        <w:t xml:space="preserve">This work has been carried out within the framework of the </w:t>
      </w:r>
      <w:proofErr w:type="spellStart"/>
      <w:r>
        <w:rPr>
          <w:color w:val="000000"/>
          <w:sz w:val="24"/>
          <w:szCs w:val="24"/>
          <w:lang w:val="en-US"/>
        </w:rPr>
        <w:t>EUROfusion</w:t>
      </w:r>
      <w:proofErr w:type="spellEnd"/>
      <w:r>
        <w:rPr>
          <w:color w:val="000000"/>
          <w:sz w:val="24"/>
          <w:szCs w:val="24"/>
          <w:lang w:val="en-US"/>
        </w:rPr>
        <w:t xml:space="preserve"> Consortium and has received funding from the Euratom research and training </w:t>
      </w:r>
      <w:proofErr w:type="spellStart"/>
      <w:r>
        <w:rPr>
          <w:color w:val="000000"/>
          <w:sz w:val="24"/>
          <w:szCs w:val="24"/>
          <w:lang w:val="en-US"/>
        </w:rPr>
        <w:t>programme</w:t>
      </w:r>
      <w:proofErr w:type="spellEnd"/>
      <w:r>
        <w:rPr>
          <w:color w:val="000000"/>
          <w:sz w:val="24"/>
          <w:szCs w:val="24"/>
          <w:lang w:val="en-US"/>
        </w:rPr>
        <w:t xml:space="preserve"> 2014-2018 and 2019-2020 under grant agreement No 633053 and from</w:t>
      </w:r>
      <w:r>
        <w:rPr>
          <w:color w:val="000000"/>
          <w:sz w:val="24"/>
          <w:szCs w:val="24"/>
        </w:rPr>
        <w:t xml:space="preserve"> the RCUK Energy Programme [grant number EP/I501045] and </w:t>
      </w:r>
      <w:r>
        <w:rPr>
          <w:color w:val="000000"/>
          <w:sz w:val="24"/>
          <w:szCs w:val="24"/>
          <w:lang w:val="en-US"/>
        </w:rPr>
        <w:t>EPSRC [grant number EP/R012091/1]. The views and opinions expressed herein do not necessarily reflect those of the European Commission.</w:t>
      </w:r>
    </w:p>
    <w:p w14:paraId="6489E1BD" w14:textId="77777777" w:rsidR="00D74A13" w:rsidRDefault="00B04931">
      <w:pPr>
        <w:pStyle w:val="BodyText"/>
        <w:spacing w:after="120" w:line="240" w:lineRule="atLeast"/>
        <w:ind w:firstLine="0"/>
        <w:rPr>
          <w:sz w:val="24"/>
          <w:szCs w:val="24"/>
        </w:rPr>
      </w:pPr>
      <w:r>
        <w:rPr>
          <w:color w:val="000000"/>
          <w:sz w:val="24"/>
          <w:szCs w:val="22"/>
          <w:lang w:val="en-US"/>
        </w:rPr>
        <w:t>We acknowledge the support of the Supercomputing Wales project, which is part-funded by the European Regional Development Fund (ERDF) via Welsh Government.</w:t>
      </w:r>
    </w:p>
    <w:p w14:paraId="6DFB9E20" w14:textId="77777777" w:rsidR="00D74A13" w:rsidRDefault="00D74A13">
      <w:pPr>
        <w:pStyle w:val="BodyText"/>
        <w:spacing w:after="120" w:line="240" w:lineRule="atLeast"/>
        <w:ind w:firstLine="0"/>
        <w:rPr>
          <w:szCs w:val="22"/>
        </w:rPr>
      </w:pPr>
    </w:p>
    <w:p w14:paraId="70DF9E56" w14:textId="77777777" w:rsidR="00D74A13" w:rsidRDefault="00D74A13">
      <w:pPr>
        <w:pStyle w:val="Authornameandaffiliation"/>
        <w:ind w:left="0"/>
        <w:jc w:val="both"/>
        <w:rPr>
          <w:sz w:val="24"/>
          <w:szCs w:val="24"/>
          <w:lang w:val="en-GB"/>
        </w:rPr>
      </w:pPr>
    </w:p>
    <w:p w14:paraId="44E871BC" w14:textId="77777777" w:rsidR="00D74A13" w:rsidRDefault="00D74A13">
      <w:pPr>
        <w:pStyle w:val="Authornameandaffiliation"/>
        <w:ind w:left="0"/>
        <w:jc w:val="both"/>
        <w:rPr>
          <w:sz w:val="24"/>
          <w:szCs w:val="24"/>
          <w:lang w:val="en-GB"/>
        </w:rPr>
      </w:pPr>
    </w:p>
    <w:p w14:paraId="144A5D23" w14:textId="77777777" w:rsidR="00D74A13" w:rsidRDefault="00D74A13">
      <w:pPr>
        <w:pStyle w:val="Authornameandaffiliation"/>
        <w:ind w:left="0"/>
        <w:jc w:val="both"/>
        <w:rPr>
          <w:sz w:val="24"/>
          <w:szCs w:val="24"/>
          <w:lang w:val="en-GB"/>
        </w:rPr>
      </w:pPr>
    </w:p>
    <w:p w14:paraId="738610EB" w14:textId="77777777" w:rsidR="00D74A13" w:rsidRDefault="00D74A13">
      <w:pPr>
        <w:pStyle w:val="Authornameandaffiliation"/>
        <w:ind w:left="0"/>
        <w:jc w:val="both"/>
        <w:rPr>
          <w:sz w:val="24"/>
          <w:szCs w:val="24"/>
          <w:lang w:val="en-GB"/>
        </w:rPr>
      </w:pPr>
    </w:p>
    <w:p w14:paraId="637805D2" w14:textId="77777777" w:rsidR="00D74A13" w:rsidRDefault="00D74A13">
      <w:pPr>
        <w:pStyle w:val="Authornameandaffiliation"/>
        <w:ind w:left="0"/>
        <w:jc w:val="both"/>
        <w:rPr>
          <w:sz w:val="24"/>
          <w:szCs w:val="24"/>
          <w:lang w:val="en-GB"/>
        </w:rPr>
      </w:pPr>
    </w:p>
    <w:p w14:paraId="531B54B9" w14:textId="77777777" w:rsidR="00150488" w:rsidRPr="00DF3A79" w:rsidRDefault="00150488" w:rsidP="00150488">
      <w:pPr>
        <w:pStyle w:val="Otherunnumberedheadings"/>
        <w:rPr>
          <w:rFonts w:ascii="Times New Roman" w:hAnsi="Times New Roman"/>
          <w:sz w:val="24"/>
          <w:szCs w:val="24"/>
        </w:rPr>
      </w:pPr>
      <w:r w:rsidRPr="00DF3A79">
        <w:rPr>
          <w:rFonts w:ascii="Times New Roman" w:hAnsi="Times New Roman"/>
          <w:sz w:val="24"/>
          <w:szCs w:val="24"/>
        </w:rPr>
        <w:lastRenderedPageBreak/>
        <w:t>References</w:t>
      </w:r>
    </w:p>
    <w:p w14:paraId="69804EF0" w14:textId="16DD47C9" w:rsidR="00D74A13" w:rsidRDefault="00B04931" w:rsidP="00D06755">
      <w:pPr>
        <w:pStyle w:val="Referencelist"/>
        <w:numPr>
          <w:ilvl w:val="0"/>
          <w:numId w:val="3"/>
        </w:numPr>
        <w:jc w:val="left"/>
        <w:textAlignment w:val="auto"/>
        <w:rPr>
          <w:sz w:val="22"/>
          <w:szCs w:val="22"/>
        </w:rPr>
      </w:pPr>
      <w:proofErr w:type="spellStart"/>
      <w:r w:rsidRPr="003C1EC9">
        <w:rPr>
          <w:sz w:val="22"/>
          <w:szCs w:val="22"/>
        </w:rPr>
        <w:t>Donné</w:t>
      </w:r>
      <w:proofErr w:type="spellEnd"/>
      <w:r w:rsidRPr="003C1EC9">
        <w:rPr>
          <w:sz w:val="22"/>
          <w:szCs w:val="22"/>
        </w:rPr>
        <w:t>,</w:t>
      </w:r>
      <w:r w:rsidR="00CE7067">
        <w:rPr>
          <w:sz w:val="22"/>
          <w:szCs w:val="22"/>
        </w:rPr>
        <w:t xml:space="preserve"> </w:t>
      </w:r>
      <w:r w:rsidR="001A0D27">
        <w:rPr>
          <w:sz w:val="22"/>
          <w:szCs w:val="22"/>
        </w:rPr>
        <w:t>A.</w:t>
      </w:r>
      <w:r w:rsidR="00CE7067" w:rsidRPr="003C1EC9">
        <w:rPr>
          <w:sz w:val="22"/>
          <w:szCs w:val="22"/>
        </w:rPr>
        <w:t>J. H.</w:t>
      </w:r>
      <w:r w:rsidR="00CE7067">
        <w:rPr>
          <w:sz w:val="22"/>
          <w:szCs w:val="22"/>
        </w:rPr>
        <w:t>,</w:t>
      </w:r>
      <w:r w:rsidR="00CE7067" w:rsidRPr="003C1EC9">
        <w:rPr>
          <w:sz w:val="22"/>
          <w:szCs w:val="22"/>
        </w:rPr>
        <w:t xml:space="preserve"> </w:t>
      </w:r>
      <w:r w:rsidRPr="003C1EC9">
        <w:rPr>
          <w:sz w:val="22"/>
          <w:szCs w:val="22"/>
        </w:rPr>
        <w:t>The European roadmap towards fusion electricity, Phil. Trans. R. Soc. A.3772017043220170432 (2019)</w:t>
      </w:r>
    </w:p>
    <w:p w14:paraId="56AB4D3C" w14:textId="4E4B9596" w:rsidR="00D74A13" w:rsidRDefault="00B04931" w:rsidP="00D06755">
      <w:pPr>
        <w:pStyle w:val="Referencelist"/>
        <w:numPr>
          <w:ilvl w:val="0"/>
          <w:numId w:val="3"/>
        </w:numPr>
        <w:jc w:val="left"/>
        <w:textAlignment w:val="auto"/>
        <w:rPr>
          <w:sz w:val="22"/>
          <w:szCs w:val="22"/>
        </w:rPr>
      </w:pPr>
      <w:r w:rsidRPr="003C1EC9">
        <w:rPr>
          <w:sz w:val="22"/>
          <w:szCs w:val="22"/>
        </w:rPr>
        <w:t>Kim,</w:t>
      </w:r>
      <w:r w:rsidR="00CE7067">
        <w:rPr>
          <w:sz w:val="22"/>
          <w:szCs w:val="22"/>
        </w:rPr>
        <w:t xml:space="preserve"> </w:t>
      </w:r>
      <w:r w:rsidR="00CE7067" w:rsidRPr="003C1EC9">
        <w:rPr>
          <w:sz w:val="22"/>
          <w:szCs w:val="22"/>
        </w:rPr>
        <w:t>S.H.</w:t>
      </w:r>
      <w:r w:rsidR="00CE7067">
        <w:rPr>
          <w:sz w:val="22"/>
          <w:szCs w:val="22"/>
        </w:rPr>
        <w:t xml:space="preserve">, </w:t>
      </w:r>
      <w:proofErr w:type="spellStart"/>
      <w:r w:rsidRPr="003C1EC9">
        <w:rPr>
          <w:sz w:val="22"/>
          <w:szCs w:val="22"/>
        </w:rPr>
        <w:t>Boukavala</w:t>
      </w:r>
      <w:proofErr w:type="spellEnd"/>
      <w:r w:rsidRPr="003C1EC9">
        <w:rPr>
          <w:sz w:val="22"/>
          <w:szCs w:val="22"/>
        </w:rPr>
        <w:t>,</w:t>
      </w:r>
      <w:r w:rsidR="00CE7067">
        <w:rPr>
          <w:sz w:val="22"/>
          <w:szCs w:val="22"/>
        </w:rPr>
        <w:t xml:space="preserve"> F.,</w:t>
      </w:r>
      <w:r w:rsidRPr="003C1EC9">
        <w:rPr>
          <w:sz w:val="22"/>
          <w:szCs w:val="22"/>
        </w:rPr>
        <w:t xml:space="preserve"> Machine learning-based surrogate </w:t>
      </w:r>
      <w:proofErr w:type="spellStart"/>
      <w:r w:rsidRPr="003C1EC9">
        <w:rPr>
          <w:sz w:val="22"/>
          <w:szCs w:val="22"/>
        </w:rPr>
        <w:t>modeling</w:t>
      </w:r>
      <w:proofErr w:type="spellEnd"/>
      <w:r w:rsidRPr="003C1EC9">
        <w:rPr>
          <w:sz w:val="22"/>
          <w:szCs w:val="22"/>
        </w:rPr>
        <w:t xml:space="preserve"> for data-driven optimization: a comparison of subset selection for regression techniques. Optimization Letters, Vol. 14, 989-1010, 2020</w:t>
      </w:r>
    </w:p>
    <w:p w14:paraId="32957252" w14:textId="70EEA495" w:rsidR="00DE08FE" w:rsidRDefault="00DD2424" w:rsidP="00D06755">
      <w:pPr>
        <w:pStyle w:val="Referencelist"/>
        <w:numPr>
          <w:ilvl w:val="0"/>
          <w:numId w:val="3"/>
        </w:numPr>
        <w:jc w:val="left"/>
        <w:textAlignment w:val="auto"/>
        <w:rPr>
          <w:sz w:val="22"/>
          <w:szCs w:val="22"/>
        </w:rPr>
      </w:pPr>
      <w:proofErr w:type="spellStart"/>
      <w:r w:rsidRPr="009C6259">
        <w:rPr>
          <w:sz w:val="22"/>
          <w:szCs w:val="22"/>
        </w:rPr>
        <w:t>Tamaddon-Jahromi</w:t>
      </w:r>
      <w:proofErr w:type="spellEnd"/>
      <w:r w:rsidRPr="009C6259">
        <w:rPr>
          <w:sz w:val="22"/>
          <w:szCs w:val="22"/>
        </w:rPr>
        <w:t>,</w:t>
      </w:r>
      <w:r w:rsidR="00F565E5">
        <w:rPr>
          <w:sz w:val="22"/>
          <w:szCs w:val="22"/>
        </w:rPr>
        <w:t xml:space="preserve"> </w:t>
      </w:r>
      <w:r w:rsidR="00F565E5" w:rsidRPr="009C6259">
        <w:rPr>
          <w:sz w:val="22"/>
          <w:szCs w:val="22"/>
        </w:rPr>
        <w:t>H.R.</w:t>
      </w:r>
      <w:r w:rsidR="00F565E5">
        <w:rPr>
          <w:sz w:val="22"/>
          <w:szCs w:val="22"/>
        </w:rPr>
        <w:t>,</w:t>
      </w:r>
      <w:r w:rsidRPr="009C6259">
        <w:rPr>
          <w:sz w:val="22"/>
          <w:szCs w:val="22"/>
        </w:rPr>
        <w:t xml:space="preserve"> </w:t>
      </w:r>
      <w:proofErr w:type="spellStart"/>
      <w:r w:rsidRPr="009C6259">
        <w:rPr>
          <w:sz w:val="22"/>
          <w:szCs w:val="22"/>
        </w:rPr>
        <w:t>Chakshu</w:t>
      </w:r>
      <w:proofErr w:type="spellEnd"/>
      <w:r w:rsidRPr="009C6259">
        <w:rPr>
          <w:sz w:val="22"/>
          <w:szCs w:val="22"/>
        </w:rPr>
        <w:t>,</w:t>
      </w:r>
      <w:r w:rsidR="00F565E5">
        <w:rPr>
          <w:sz w:val="22"/>
          <w:szCs w:val="22"/>
        </w:rPr>
        <w:t xml:space="preserve"> N.K.,</w:t>
      </w:r>
      <w:r w:rsidRPr="009C6259">
        <w:rPr>
          <w:sz w:val="22"/>
          <w:szCs w:val="22"/>
        </w:rPr>
        <w:t xml:space="preserve"> </w:t>
      </w:r>
      <w:proofErr w:type="spellStart"/>
      <w:r w:rsidRPr="009C6259">
        <w:rPr>
          <w:sz w:val="22"/>
          <w:szCs w:val="22"/>
        </w:rPr>
        <w:t>Sazonov</w:t>
      </w:r>
      <w:proofErr w:type="spellEnd"/>
      <w:r w:rsidRPr="009C6259">
        <w:rPr>
          <w:sz w:val="22"/>
          <w:szCs w:val="22"/>
        </w:rPr>
        <w:t>,</w:t>
      </w:r>
      <w:r w:rsidR="00A8174E">
        <w:rPr>
          <w:sz w:val="22"/>
          <w:szCs w:val="22"/>
        </w:rPr>
        <w:t xml:space="preserve"> I.,</w:t>
      </w:r>
      <w:r w:rsidRPr="009C6259">
        <w:rPr>
          <w:sz w:val="22"/>
          <w:szCs w:val="22"/>
        </w:rPr>
        <w:t xml:space="preserve"> Evans,</w:t>
      </w:r>
      <w:r w:rsidR="00A8174E">
        <w:rPr>
          <w:sz w:val="22"/>
          <w:szCs w:val="22"/>
        </w:rPr>
        <w:t xml:space="preserve"> </w:t>
      </w:r>
      <w:proofErr w:type="spellStart"/>
      <w:r w:rsidR="00A8174E">
        <w:rPr>
          <w:sz w:val="22"/>
          <w:szCs w:val="22"/>
        </w:rPr>
        <w:t>Ll.M.</w:t>
      </w:r>
      <w:proofErr w:type="spellEnd"/>
      <w:r w:rsidR="00A8174E">
        <w:rPr>
          <w:sz w:val="22"/>
          <w:szCs w:val="22"/>
        </w:rPr>
        <w:t>,</w:t>
      </w:r>
      <w:r w:rsidRPr="009C6259">
        <w:rPr>
          <w:sz w:val="22"/>
          <w:szCs w:val="22"/>
        </w:rPr>
        <w:t xml:space="preserve"> Thomas,</w:t>
      </w:r>
      <w:r w:rsidR="00A8174E">
        <w:rPr>
          <w:sz w:val="22"/>
          <w:szCs w:val="22"/>
        </w:rPr>
        <w:t xml:space="preserve"> H.</w:t>
      </w:r>
      <w:proofErr w:type="gramStart"/>
      <w:r w:rsidR="00A8174E">
        <w:rPr>
          <w:sz w:val="22"/>
          <w:szCs w:val="22"/>
        </w:rPr>
        <w:t>,</w:t>
      </w:r>
      <w:r w:rsidRPr="009C6259">
        <w:rPr>
          <w:sz w:val="22"/>
          <w:szCs w:val="22"/>
        </w:rPr>
        <w:t xml:space="preserve">  Nithiarasu</w:t>
      </w:r>
      <w:proofErr w:type="gramEnd"/>
      <w:r w:rsidRPr="009C6259">
        <w:rPr>
          <w:sz w:val="22"/>
          <w:szCs w:val="22"/>
        </w:rPr>
        <w:t>,</w:t>
      </w:r>
      <w:r w:rsidR="00A8174E">
        <w:rPr>
          <w:sz w:val="22"/>
          <w:szCs w:val="22"/>
        </w:rPr>
        <w:t xml:space="preserve"> P.,</w:t>
      </w:r>
      <w:r w:rsidR="000D285D" w:rsidRPr="009C6259">
        <w:rPr>
          <w:sz w:val="22"/>
          <w:szCs w:val="22"/>
        </w:rPr>
        <w:t xml:space="preserve"> Data-driven inverse modelling through neural network (deep learning) and computational heat transfer</w:t>
      </w:r>
      <w:r w:rsidR="009C6259" w:rsidRPr="009C6259">
        <w:rPr>
          <w:sz w:val="22"/>
          <w:szCs w:val="22"/>
        </w:rPr>
        <w:t>, Computer Methods in Applied Mechanics and Engineering, Volume 369,</w:t>
      </w:r>
      <w:r w:rsidR="009C6259">
        <w:rPr>
          <w:sz w:val="22"/>
          <w:szCs w:val="22"/>
        </w:rPr>
        <w:t xml:space="preserve"> </w:t>
      </w:r>
      <w:r w:rsidR="009C6259" w:rsidRPr="009C6259">
        <w:rPr>
          <w:sz w:val="22"/>
          <w:szCs w:val="22"/>
        </w:rPr>
        <w:t>2020,</w:t>
      </w:r>
    </w:p>
    <w:p w14:paraId="5B1D9EED" w14:textId="243BA5E3" w:rsidR="008573FE" w:rsidRDefault="008573FE" w:rsidP="00D06755">
      <w:pPr>
        <w:pStyle w:val="Referencelist"/>
        <w:numPr>
          <w:ilvl w:val="0"/>
          <w:numId w:val="3"/>
        </w:numPr>
        <w:jc w:val="left"/>
        <w:textAlignment w:val="auto"/>
        <w:rPr>
          <w:sz w:val="22"/>
          <w:szCs w:val="22"/>
        </w:rPr>
      </w:pPr>
      <w:proofErr w:type="spellStart"/>
      <w:r w:rsidRPr="008573FE">
        <w:rPr>
          <w:sz w:val="22"/>
          <w:szCs w:val="22"/>
        </w:rPr>
        <w:t>LeCun</w:t>
      </w:r>
      <w:proofErr w:type="spellEnd"/>
      <w:r w:rsidRPr="008573FE">
        <w:rPr>
          <w:sz w:val="22"/>
          <w:szCs w:val="22"/>
        </w:rPr>
        <w:t>,</w:t>
      </w:r>
      <w:r>
        <w:rPr>
          <w:sz w:val="22"/>
          <w:szCs w:val="22"/>
        </w:rPr>
        <w:t xml:space="preserve"> Y.,</w:t>
      </w:r>
      <w:r w:rsidRPr="008573FE">
        <w:rPr>
          <w:sz w:val="22"/>
          <w:szCs w:val="22"/>
        </w:rPr>
        <w:t xml:space="preserve"> </w:t>
      </w:r>
      <w:proofErr w:type="spellStart"/>
      <w:r w:rsidRPr="008573FE">
        <w:rPr>
          <w:sz w:val="22"/>
          <w:szCs w:val="22"/>
        </w:rPr>
        <w:t>Boser</w:t>
      </w:r>
      <w:proofErr w:type="spellEnd"/>
      <w:r w:rsidRPr="008573FE">
        <w:rPr>
          <w:sz w:val="22"/>
          <w:szCs w:val="22"/>
        </w:rPr>
        <w:t>,</w:t>
      </w:r>
      <w:r>
        <w:rPr>
          <w:sz w:val="22"/>
          <w:szCs w:val="22"/>
        </w:rPr>
        <w:t xml:space="preserve"> B.,</w:t>
      </w:r>
      <w:r w:rsidRPr="008573FE">
        <w:rPr>
          <w:sz w:val="22"/>
          <w:szCs w:val="22"/>
        </w:rPr>
        <w:t xml:space="preserve"> Backpropagation applied to handwritten zip code recognition</w:t>
      </w:r>
      <w:r>
        <w:rPr>
          <w:sz w:val="22"/>
          <w:szCs w:val="22"/>
        </w:rPr>
        <w:t>,</w:t>
      </w:r>
      <w:r w:rsidRPr="008573FE">
        <w:rPr>
          <w:sz w:val="22"/>
          <w:szCs w:val="22"/>
        </w:rPr>
        <w:t xml:space="preserve"> Neural computation, 1989.</w:t>
      </w:r>
    </w:p>
    <w:p w14:paraId="1F57BE86" w14:textId="65669E89" w:rsidR="00411EA4" w:rsidRDefault="00685719" w:rsidP="00D06755">
      <w:pPr>
        <w:pStyle w:val="Referencelist"/>
        <w:numPr>
          <w:ilvl w:val="0"/>
          <w:numId w:val="3"/>
        </w:numPr>
        <w:jc w:val="left"/>
        <w:textAlignment w:val="auto"/>
        <w:rPr>
          <w:sz w:val="22"/>
          <w:szCs w:val="22"/>
        </w:rPr>
      </w:pPr>
      <w:r>
        <w:rPr>
          <w:sz w:val="22"/>
          <w:szCs w:val="22"/>
        </w:rPr>
        <w:t xml:space="preserve">Sit, H., </w:t>
      </w:r>
      <w:r w:rsidR="00347192">
        <w:rPr>
          <w:sz w:val="22"/>
          <w:szCs w:val="22"/>
        </w:rPr>
        <w:t>Quick start to Gaussian process regression</w:t>
      </w:r>
      <w:r>
        <w:rPr>
          <w:sz w:val="22"/>
          <w:szCs w:val="22"/>
        </w:rPr>
        <w:t xml:space="preserve">, </w:t>
      </w:r>
      <w:r w:rsidR="009977CD">
        <w:rPr>
          <w:sz w:val="22"/>
          <w:szCs w:val="22"/>
        </w:rPr>
        <w:t xml:space="preserve">2019, </w:t>
      </w:r>
      <w:hyperlink r:id="rId16" w:history="1">
        <w:r w:rsidR="009977CD" w:rsidRPr="00776CB0">
          <w:rPr>
            <w:rStyle w:val="Hyperlink"/>
            <w:sz w:val="22"/>
            <w:szCs w:val="22"/>
          </w:rPr>
          <w:t>https://towardsdatascience.com/quick-start-to-gaussian-process-regression-36d838810319</w:t>
        </w:r>
      </w:hyperlink>
    </w:p>
    <w:p w14:paraId="3323EB2B" w14:textId="4549724E" w:rsidR="009977CD" w:rsidRDefault="00D059BF" w:rsidP="008573FE">
      <w:pPr>
        <w:pStyle w:val="Referencelist"/>
        <w:numPr>
          <w:ilvl w:val="0"/>
          <w:numId w:val="3"/>
        </w:numPr>
        <w:textAlignment w:val="auto"/>
        <w:rPr>
          <w:sz w:val="22"/>
          <w:szCs w:val="22"/>
        </w:rPr>
      </w:pPr>
      <w:r>
        <w:rPr>
          <w:sz w:val="22"/>
          <w:szCs w:val="22"/>
        </w:rPr>
        <w:t>Gard</w:t>
      </w:r>
      <w:r w:rsidR="005805B0">
        <w:rPr>
          <w:sz w:val="22"/>
          <w:szCs w:val="22"/>
        </w:rPr>
        <w:t xml:space="preserve">ner, J.R., Pleiss, G., </w:t>
      </w:r>
      <w:proofErr w:type="spellStart"/>
      <w:r w:rsidR="005805B0">
        <w:rPr>
          <w:sz w:val="22"/>
          <w:szCs w:val="22"/>
        </w:rPr>
        <w:t>Bindel</w:t>
      </w:r>
      <w:proofErr w:type="spellEnd"/>
      <w:r w:rsidR="005805B0">
        <w:rPr>
          <w:sz w:val="22"/>
          <w:szCs w:val="22"/>
        </w:rPr>
        <w:t xml:space="preserve">, D., </w:t>
      </w:r>
      <w:r w:rsidR="00B34DC8">
        <w:rPr>
          <w:sz w:val="22"/>
          <w:szCs w:val="22"/>
        </w:rPr>
        <w:t xml:space="preserve">Weinberger, K.Q., Wilson, A.G., </w:t>
      </w:r>
      <w:proofErr w:type="spellStart"/>
      <w:r w:rsidR="00314511" w:rsidRPr="00314511">
        <w:rPr>
          <w:sz w:val="22"/>
          <w:szCs w:val="22"/>
        </w:rPr>
        <w:t>GPyTorch</w:t>
      </w:r>
      <w:proofErr w:type="spellEnd"/>
      <w:r w:rsidR="00314511" w:rsidRPr="00314511">
        <w:rPr>
          <w:sz w:val="22"/>
          <w:szCs w:val="22"/>
        </w:rPr>
        <w:t>: Blackbox Matrix-Matrix Gaussian Process Inference with GPU Acceleration</w:t>
      </w:r>
      <w:r w:rsidR="00314511">
        <w:rPr>
          <w:sz w:val="22"/>
          <w:szCs w:val="22"/>
        </w:rPr>
        <w:t xml:space="preserve">, </w:t>
      </w:r>
      <w:r w:rsidR="004C265C">
        <w:rPr>
          <w:sz w:val="22"/>
          <w:szCs w:val="22"/>
        </w:rPr>
        <w:t xml:space="preserve">2019, </w:t>
      </w:r>
      <w:proofErr w:type="spellStart"/>
      <w:r w:rsidR="005E43F7">
        <w:rPr>
          <w:sz w:val="22"/>
          <w:szCs w:val="22"/>
        </w:rPr>
        <w:t>arXiv</w:t>
      </w:r>
      <w:proofErr w:type="spellEnd"/>
      <w:r w:rsidR="005E43F7">
        <w:rPr>
          <w:sz w:val="22"/>
          <w:szCs w:val="22"/>
        </w:rPr>
        <w:t>:</w:t>
      </w:r>
      <w:r w:rsidR="005E43F7" w:rsidRPr="005E43F7">
        <w:t xml:space="preserve"> </w:t>
      </w:r>
      <w:r w:rsidR="005E43F7" w:rsidRPr="005E43F7">
        <w:rPr>
          <w:sz w:val="22"/>
          <w:szCs w:val="22"/>
        </w:rPr>
        <w:t>1809.11165</w:t>
      </w:r>
    </w:p>
    <w:p w14:paraId="0C01A046" w14:textId="3BFD9176" w:rsidR="00C70E73" w:rsidRDefault="00C70E73" w:rsidP="00C865AE">
      <w:pPr>
        <w:pStyle w:val="Referencelist"/>
        <w:numPr>
          <w:ilvl w:val="0"/>
          <w:numId w:val="3"/>
        </w:numPr>
        <w:jc w:val="left"/>
        <w:textAlignment w:val="auto"/>
        <w:rPr>
          <w:sz w:val="22"/>
          <w:szCs w:val="22"/>
        </w:rPr>
      </w:pPr>
      <w:r w:rsidRPr="00C70E73">
        <w:rPr>
          <w:sz w:val="22"/>
          <w:szCs w:val="22"/>
        </w:rPr>
        <w:t>The Halton Sampler</w:t>
      </w:r>
      <w:r w:rsidR="00C865AE">
        <w:rPr>
          <w:sz w:val="22"/>
          <w:szCs w:val="22"/>
        </w:rPr>
        <w:t xml:space="preserve">, </w:t>
      </w:r>
      <w:hyperlink r:id="rId17" w:history="1">
        <w:r w:rsidR="00C865AE" w:rsidRPr="00776CB0">
          <w:rPr>
            <w:rStyle w:val="Hyperlink"/>
            <w:sz w:val="22"/>
            <w:szCs w:val="22"/>
          </w:rPr>
          <w:t>http://www.pbr-book.org/3ed-2018/Sampling_and_Reconstruction/The_Halton_Sampler.html</w:t>
        </w:r>
      </w:hyperlink>
      <w:r w:rsidR="00C865AE">
        <w:rPr>
          <w:sz w:val="22"/>
          <w:szCs w:val="22"/>
        </w:rPr>
        <w:t xml:space="preserve">, 2021 </w:t>
      </w:r>
    </w:p>
    <w:p w14:paraId="19452DCF" w14:textId="77777777" w:rsidR="00C865AE" w:rsidRPr="00C70E73" w:rsidRDefault="00C865AE" w:rsidP="009974D2">
      <w:pPr>
        <w:pStyle w:val="Referencelist"/>
        <w:ind w:left="720" w:firstLine="0"/>
        <w:jc w:val="left"/>
        <w:textAlignment w:val="auto"/>
        <w:rPr>
          <w:sz w:val="22"/>
          <w:szCs w:val="22"/>
        </w:rPr>
      </w:pPr>
    </w:p>
    <w:sectPr w:rsidR="00C865AE" w:rsidRPr="00C70E73">
      <w:footerReference w:type="even" r:id="rId18"/>
      <w:footerReference w:type="default" r:id="rId19"/>
      <w:pgSz w:w="11906" w:h="16838"/>
      <w:pgMar w:top="1440" w:right="1440" w:bottom="1440" w:left="1440" w:header="0" w:footer="964"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A1D3" w14:textId="77777777" w:rsidR="003F7AE6" w:rsidRDefault="00B04931">
      <w:r>
        <w:separator/>
      </w:r>
    </w:p>
  </w:endnote>
  <w:endnote w:type="continuationSeparator" w:id="0">
    <w:p w14:paraId="4A26C8F8" w14:textId="77777777" w:rsidR="003F7AE6" w:rsidRDefault="00B0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Ubuntu">
    <w:altName w:val="Calibri"/>
    <w:charset w:val="01"/>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89D4" w14:textId="77777777" w:rsidR="00D74A13" w:rsidRDefault="00B04931">
    <w:pPr>
      <w:pStyle w:val="zyxClassification1"/>
    </w:pPr>
    <w:r>
      <w:fldChar w:fldCharType="begin"/>
    </w:r>
    <w:r>
      <w:instrText>DOCPROPERTY "IaeaClassification"</w:instrText>
    </w:r>
    <w:r>
      <w:fldChar w:fldCharType="end"/>
    </w:r>
  </w:p>
  <w:p w14:paraId="6CCAFDC2" w14:textId="77777777" w:rsidR="00D74A13" w:rsidRDefault="00B04931">
    <w:pPr>
      <w:pStyle w:val="zyxClassification2"/>
    </w:pPr>
    <w:r>
      <w:fldChar w:fldCharType="begin"/>
    </w:r>
    <w:r>
      <w:instrText>DOCPROPERTY "IaeaClassification2"</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876B" w14:textId="77777777" w:rsidR="00D74A13" w:rsidRDefault="00B04931">
    <w:pPr>
      <w:pStyle w:val="zyxClassification1"/>
    </w:pPr>
    <w:r>
      <w:fldChar w:fldCharType="begin"/>
    </w:r>
    <w:r>
      <w:instrText>DOCPROPERTY "IaeaClassification"</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A481" w14:textId="77777777" w:rsidR="003F7AE6" w:rsidRDefault="00B04931">
      <w:r>
        <w:separator/>
      </w:r>
    </w:p>
  </w:footnote>
  <w:footnote w:type="continuationSeparator" w:id="0">
    <w:p w14:paraId="2650045C" w14:textId="77777777" w:rsidR="003F7AE6" w:rsidRDefault="00B0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392D"/>
    <w:multiLevelType w:val="multilevel"/>
    <w:tmpl w:val="59E4E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7360ED"/>
    <w:multiLevelType w:val="multilevel"/>
    <w:tmpl w:val="76DAF0AA"/>
    <w:lvl w:ilvl="0">
      <w:start w:val="1"/>
      <w:numFmt w:val="bullet"/>
      <w:lvlText w:val="—"/>
      <w:lvlJc w:val="left"/>
      <w:pPr>
        <w:ind w:left="1287" w:hanging="360"/>
      </w:pPr>
      <w:rPr>
        <w:rFonts w:ascii="Times New Roman" w:hAnsi="Times New Roman" w:cs="Times New Roman"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3D18048A"/>
    <w:multiLevelType w:val="hybridMultilevel"/>
    <w:tmpl w:val="1642268C"/>
    <w:name w:val="HeadingTemplate222"/>
    <w:lvl w:ilvl="0" w:tplc="309A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3F1484"/>
    <w:multiLevelType w:val="multilevel"/>
    <w:tmpl w:val="8EBC4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ind w:left="0" w:firstLine="0"/>
      </w:pPr>
    </w:lvl>
    <w:lvl w:ilvl="3">
      <w:start w:val="1"/>
      <w:numFmt w:val="decimal"/>
      <w:pStyle w:val="Heading4"/>
      <w:lvlText w:val="%3.%4."/>
      <w:lvlJc w:val="left"/>
      <w:pPr>
        <w:ind w:left="1701"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1340"/>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54781"/>
    <w:rsid w:val="00002877"/>
    <w:rsid w:val="00003558"/>
    <w:rsid w:val="00012F2F"/>
    <w:rsid w:val="0002099B"/>
    <w:rsid w:val="00026D91"/>
    <w:rsid w:val="000432D6"/>
    <w:rsid w:val="00053774"/>
    <w:rsid w:val="00054CA0"/>
    <w:rsid w:val="00072D35"/>
    <w:rsid w:val="000747B2"/>
    <w:rsid w:val="00084253"/>
    <w:rsid w:val="00086BC4"/>
    <w:rsid w:val="0009123D"/>
    <w:rsid w:val="000932A0"/>
    <w:rsid w:val="00096339"/>
    <w:rsid w:val="000B3311"/>
    <w:rsid w:val="000C5EF8"/>
    <w:rsid w:val="000C5F19"/>
    <w:rsid w:val="000D285D"/>
    <w:rsid w:val="000E2B4D"/>
    <w:rsid w:val="000E6057"/>
    <w:rsid w:val="001002E8"/>
    <w:rsid w:val="00102E2B"/>
    <w:rsid w:val="00121D09"/>
    <w:rsid w:val="00127B68"/>
    <w:rsid w:val="001315E4"/>
    <w:rsid w:val="001426ED"/>
    <w:rsid w:val="00150488"/>
    <w:rsid w:val="00152609"/>
    <w:rsid w:val="00155B4D"/>
    <w:rsid w:val="00157C3F"/>
    <w:rsid w:val="00161015"/>
    <w:rsid w:val="0017110D"/>
    <w:rsid w:val="00182B0D"/>
    <w:rsid w:val="001874A5"/>
    <w:rsid w:val="00187D27"/>
    <w:rsid w:val="001904FC"/>
    <w:rsid w:val="00190B16"/>
    <w:rsid w:val="001915F7"/>
    <w:rsid w:val="001A0D27"/>
    <w:rsid w:val="001A1C70"/>
    <w:rsid w:val="001E4B02"/>
    <w:rsid w:val="001F1D4C"/>
    <w:rsid w:val="0020049C"/>
    <w:rsid w:val="00216025"/>
    <w:rsid w:val="00221AF9"/>
    <w:rsid w:val="00224549"/>
    <w:rsid w:val="002302F3"/>
    <w:rsid w:val="00245C2D"/>
    <w:rsid w:val="0025056A"/>
    <w:rsid w:val="00271961"/>
    <w:rsid w:val="002749EA"/>
    <w:rsid w:val="00277245"/>
    <w:rsid w:val="0029038F"/>
    <w:rsid w:val="00293B86"/>
    <w:rsid w:val="00294265"/>
    <w:rsid w:val="002A03F0"/>
    <w:rsid w:val="002A09D9"/>
    <w:rsid w:val="002B1E25"/>
    <w:rsid w:val="002C5D7B"/>
    <w:rsid w:val="002D5E3B"/>
    <w:rsid w:val="002D691F"/>
    <w:rsid w:val="002E3D92"/>
    <w:rsid w:val="002F107E"/>
    <w:rsid w:val="00301C59"/>
    <w:rsid w:val="00310656"/>
    <w:rsid w:val="00314511"/>
    <w:rsid w:val="00347192"/>
    <w:rsid w:val="00370B44"/>
    <w:rsid w:val="00373F23"/>
    <w:rsid w:val="00391527"/>
    <w:rsid w:val="003C0052"/>
    <w:rsid w:val="003C1EC9"/>
    <w:rsid w:val="003C660F"/>
    <w:rsid w:val="003E1621"/>
    <w:rsid w:val="003E2F86"/>
    <w:rsid w:val="003F1E1C"/>
    <w:rsid w:val="003F4F76"/>
    <w:rsid w:val="003F7AE6"/>
    <w:rsid w:val="00411EA4"/>
    <w:rsid w:val="00411F56"/>
    <w:rsid w:val="00412A36"/>
    <w:rsid w:val="00415793"/>
    <w:rsid w:val="0043305F"/>
    <w:rsid w:val="00437608"/>
    <w:rsid w:val="0048029A"/>
    <w:rsid w:val="004B1E0A"/>
    <w:rsid w:val="004B598D"/>
    <w:rsid w:val="004C265C"/>
    <w:rsid w:val="004D7575"/>
    <w:rsid w:val="004F1EF6"/>
    <w:rsid w:val="00526221"/>
    <w:rsid w:val="00535BF4"/>
    <w:rsid w:val="0055521C"/>
    <w:rsid w:val="00556B7A"/>
    <w:rsid w:val="00561475"/>
    <w:rsid w:val="00561E7A"/>
    <w:rsid w:val="00562BC2"/>
    <w:rsid w:val="00564769"/>
    <w:rsid w:val="00566C01"/>
    <w:rsid w:val="005670AC"/>
    <w:rsid w:val="00567B2F"/>
    <w:rsid w:val="00571273"/>
    <w:rsid w:val="005776F0"/>
    <w:rsid w:val="005805B0"/>
    <w:rsid w:val="00580C62"/>
    <w:rsid w:val="00586B1F"/>
    <w:rsid w:val="005911FB"/>
    <w:rsid w:val="0059744F"/>
    <w:rsid w:val="005A0078"/>
    <w:rsid w:val="005A30DC"/>
    <w:rsid w:val="005A6653"/>
    <w:rsid w:val="005B0EB4"/>
    <w:rsid w:val="005B5FDB"/>
    <w:rsid w:val="005B696F"/>
    <w:rsid w:val="005C74AD"/>
    <w:rsid w:val="005D7106"/>
    <w:rsid w:val="005E43F7"/>
    <w:rsid w:val="005E669D"/>
    <w:rsid w:val="005F7400"/>
    <w:rsid w:val="00621AF6"/>
    <w:rsid w:val="00624D90"/>
    <w:rsid w:val="0063191D"/>
    <w:rsid w:val="006363BE"/>
    <w:rsid w:val="00643CD3"/>
    <w:rsid w:val="00643E9A"/>
    <w:rsid w:val="00654781"/>
    <w:rsid w:val="0067190C"/>
    <w:rsid w:val="006833CA"/>
    <w:rsid w:val="00685719"/>
    <w:rsid w:val="006913F3"/>
    <w:rsid w:val="00694EDC"/>
    <w:rsid w:val="0069633B"/>
    <w:rsid w:val="006A0802"/>
    <w:rsid w:val="006A0D89"/>
    <w:rsid w:val="006B06EB"/>
    <w:rsid w:val="006D1E48"/>
    <w:rsid w:val="006D376B"/>
    <w:rsid w:val="006D4718"/>
    <w:rsid w:val="006E289E"/>
    <w:rsid w:val="006F3D29"/>
    <w:rsid w:val="006F4C5E"/>
    <w:rsid w:val="00703D73"/>
    <w:rsid w:val="007062D8"/>
    <w:rsid w:val="00725877"/>
    <w:rsid w:val="00730B60"/>
    <w:rsid w:val="00732C33"/>
    <w:rsid w:val="007348DE"/>
    <w:rsid w:val="007371B5"/>
    <w:rsid w:val="0075409E"/>
    <w:rsid w:val="00755FB1"/>
    <w:rsid w:val="00764F10"/>
    <w:rsid w:val="007864AF"/>
    <w:rsid w:val="00790E4F"/>
    <w:rsid w:val="007A1F59"/>
    <w:rsid w:val="007A7D44"/>
    <w:rsid w:val="007B27AD"/>
    <w:rsid w:val="007B46F7"/>
    <w:rsid w:val="007D4A84"/>
    <w:rsid w:val="007D4F0C"/>
    <w:rsid w:val="007E3899"/>
    <w:rsid w:val="007E45A8"/>
    <w:rsid w:val="008204F5"/>
    <w:rsid w:val="008219B6"/>
    <w:rsid w:val="00823C1D"/>
    <w:rsid w:val="00824B23"/>
    <w:rsid w:val="008319C3"/>
    <w:rsid w:val="00852629"/>
    <w:rsid w:val="00853D8D"/>
    <w:rsid w:val="00856259"/>
    <w:rsid w:val="008573FE"/>
    <w:rsid w:val="008643B5"/>
    <w:rsid w:val="0087720A"/>
    <w:rsid w:val="008A3174"/>
    <w:rsid w:val="008A41C1"/>
    <w:rsid w:val="008A456C"/>
    <w:rsid w:val="008B2EC4"/>
    <w:rsid w:val="008D3DEB"/>
    <w:rsid w:val="008E6C2A"/>
    <w:rsid w:val="008F435A"/>
    <w:rsid w:val="00913A8B"/>
    <w:rsid w:val="00916F3C"/>
    <w:rsid w:val="00917F92"/>
    <w:rsid w:val="00933ED7"/>
    <w:rsid w:val="009541E2"/>
    <w:rsid w:val="0096218D"/>
    <w:rsid w:val="0096340C"/>
    <w:rsid w:val="0097431C"/>
    <w:rsid w:val="0097560F"/>
    <w:rsid w:val="009941F8"/>
    <w:rsid w:val="009974D2"/>
    <w:rsid w:val="009977CD"/>
    <w:rsid w:val="009A5570"/>
    <w:rsid w:val="009C6259"/>
    <w:rsid w:val="009F0ECA"/>
    <w:rsid w:val="00A03415"/>
    <w:rsid w:val="00A47D71"/>
    <w:rsid w:val="00A51BE1"/>
    <w:rsid w:val="00A8174E"/>
    <w:rsid w:val="00A94B8D"/>
    <w:rsid w:val="00AB03D2"/>
    <w:rsid w:val="00AC35F8"/>
    <w:rsid w:val="00AC64C5"/>
    <w:rsid w:val="00AF12AE"/>
    <w:rsid w:val="00B03FEF"/>
    <w:rsid w:val="00B04133"/>
    <w:rsid w:val="00B04308"/>
    <w:rsid w:val="00B04931"/>
    <w:rsid w:val="00B178D4"/>
    <w:rsid w:val="00B203CC"/>
    <w:rsid w:val="00B34DC8"/>
    <w:rsid w:val="00B36085"/>
    <w:rsid w:val="00B45362"/>
    <w:rsid w:val="00B4673C"/>
    <w:rsid w:val="00B47D08"/>
    <w:rsid w:val="00B538D3"/>
    <w:rsid w:val="00B55BBA"/>
    <w:rsid w:val="00B618F3"/>
    <w:rsid w:val="00B651C7"/>
    <w:rsid w:val="00BB0741"/>
    <w:rsid w:val="00BB662C"/>
    <w:rsid w:val="00BD5FE1"/>
    <w:rsid w:val="00BF0E71"/>
    <w:rsid w:val="00BF537D"/>
    <w:rsid w:val="00C13948"/>
    <w:rsid w:val="00C1451A"/>
    <w:rsid w:val="00C15069"/>
    <w:rsid w:val="00C377D1"/>
    <w:rsid w:val="00C45587"/>
    <w:rsid w:val="00C46ED8"/>
    <w:rsid w:val="00C570C7"/>
    <w:rsid w:val="00C639FD"/>
    <w:rsid w:val="00C65971"/>
    <w:rsid w:val="00C6671A"/>
    <w:rsid w:val="00C67CBF"/>
    <w:rsid w:val="00C7000B"/>
    <w:rsid w:val="00C70E73"/>
    <w:rsid w:val="00C764ED"/>
    <w:rsid w:val="00C84731"/>
    <w:rsid w:val="00C865AE"/>
    <w:rsid w:val="00CA5E7E"/>
    <w:rsid w:val="00CD28B1"/>
    <w:rsid w:val="00CE7067"/>
    <w:rsid w:val="00D059BF"/>
    <w:rsid w:val="00D06755"/>
    <w:rsid w:val="00D13FE5"/>
    <w:rsid w:val="00D2430D"/>
    <w:rsid w:val="00D26199"/>
    <w:rsid w:val="00D325A9"/>
    <w:rsid w:val="00D42DB9"/>
    <w:rsid w:val="00D457F7"/>
    <w:rsid w:val="00D541D7"/>
    <w:rsid w:val="00D65C71"/>
    <w:rsid w:val="00D74A13"/>
    <w:rsid w:val="00D774A0"/>
    <w:rsid w:val="00D83C71"/>
    <w:rsid w:val="00D90783"/>
    <w:rsid w:val="00DA6CA9"/>
    <w:rsid w:val="00DB609D"/>
    <w:rsid w:val="00DD2424"/>
    <w:rsid w:val="00DE08FE"/>
    <w:rsid w:val="00DF0F29"/>
    <w:rsid w:val="00DF4EA4"/>
    <w:rsid w:val="00E54B11"/>
    <w:rsid w:val="00E6382E"/>
    <w:rsid w:val="00E77329"/>
    <w:rsid w:val="00E80864"/>
    <w:rsid w:val="00E80D8C"/>
    <w:rsid w:val="00E83B04"/>
    <w:rsid w:val="00E86610"/>
    <w:rsid w:val="00E90BBF"/>
    <w:rsid w:val="00E9298C"/>
    <w:rsid w:val="00E92F8E"/>
    <w:rsid w:val="00EA01D8"/>
    <w:rsid w:val="00EC53C1"/>
    <w:rsid w:val="00ED275C"/>
    <w:rsid w:val="00EE3117"/>
    <w:rsid w:val="00F01E78"/>
    <w:rsid w:val="00F03CD5"/>
    <w:rsid w:val="00F125DE"/>
    <w:rsid w:val="00F135BD"/>
    <w:rsid w:val="00F43331"/>
    <w:rsid w:val="00F541A5"/>
    <w:rsid w:val="00F565E5"/>
    <w:rsid w:val="00F82A88"/>
    <w:rsid w:val="00F9323F"/>
    <w:rsid w:val="00FB10D5"/>
    <w:rsid w:val="00FB4DA7"/>
    <w:rsid w:val="00FC0475"/>
    <w:rsid w:val="00FD5D9F"/>
    <w:rsid w:val="00FF0E5C"/>
    <w:rsid w:val="06D48905"/>
    <w:rsid w:val="39D914DF"/>
    <w:rsid w:val="4366CEC8"/>
    <w:rsid w:val="5413C529"/>
    <w:rsid w:val="6324EB29"/>
    <w:rsid w:val="6344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Connector 6"/>
        <o:r id="V:Rule2" type="connector" idref="#Straight Connector 8"/>
        <o:r id="V:Rule3" type="connector" idref="#Straight Connector 7"/>
        <o:r id="V:Rule4" type="connector" idref="#Straight Connector 15"/>
        <o:r id="V:Rule5" type="connector" idref="#Straight Connector 9"/>
        <o:r id="V:Rule6" type="connector" idref="#Straight Connector 14"/>
      </o:rules>
    </o:shapelayout>
  </w:shapeDefaults>
  <w:decimalSymbol w:val="."/>
  <w:listSeparator w:val=","/>
  <w14:docId w14:val="75126BF0"/>
  <w15:docId w15:val="{0E8A251D-CB23-46A1-B53B-93C5271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sz w:val="22"/>
      <w:lang w:eastAsia="en-US"/>
    </w:rPr>
  </w:style>
  <w:style w:type="paragraph" w:styleId="Heading1">
    <w:name w:val="heading 1"/>
    <w:basedOn w:val="Normal"/>
    <w:next w:val="Subtitle"/>
    <w:uiPriority w:val="9"/>
    <w:qFormat/>
    <w:pPr>
      <w:spacing w:line="280" w:lineRule="atLeast"/>
      <w:ind w:left="567" w:right="567"/>
      <w:outlineLvl w:val="0"/>
    </w:pPr>
    <w:rPr>
      <w:rFonts w:ascii="Times New Roman Bold" w:hAnsi="Times New Roman Bold"/>
      <w:b/>
      <w:caps/>
      <w:sz w:val="24"/>
      <w:lang w:val="en-US"/>
    </w:rPr>
  </w:style>
  <w:style w:type="paragraph" w:styleId="Heading2">
    <w:name w:val="heading 2"/>
    <w:basedOn w:val="Normal"/>
    <w:next w:val="BodyText"/>
    <w:uiPriority w:val="9"/>
    <w:semiHidden/>
    <w:unhideWhenUsed/>
    <w:qFormat/>
    <w:pPr>
      <w:widowControl w:val="0"/>
      <w:spacing w:before="280" w:after="280" w:line="280" w:lineRule="atLeast"/>
      <w:outlineLvl w:val="1"/>
    </w:pPr>
    <w:rPr>
      <w:caps/>
    </w:rPr>
  </w:style>
  <w:style w:type="paragraph" w:styleId="Heading3">
    <w:name w:val="heading 3"/>
    <w:basedOn w:val="Normal"/>
    <w:next w:val="BodyText"/>
    <w:uiPriority w:val="9"/>
    <w:semiHidden/>
    <w:unhideWhenUsed/>
    <w:qFormat/>
    <w:pPr>
      <w:widowControl w:val="0"/>
      <w:numPr>
        <w:ilvl w:val="2"/>
        <w:numId w:val="1"/>
      </w:numPr>
      <w:spacing w:before="240" w:after="240" w:line="240" w:lineRule="exact"/>
      <w:outlineLvl w:val="2"/>
    </w:pPr>
    <w:rPr>
      <w:b/>
    </w:rPr>
  </w:style>
  <w:style w:type="paragraph" w:styleId="Heading4">
    <w:name w:val="heading 4"/>
    <w:basedOn w:val="Normal"/>
    <w:next w:val="BodyText"/>
    <w:uiPriority w:val="9"/>
    <w:semiHidden/>
    <w:unhideWhenUsed/>
    <w:qFormat/>
    <w:pPr>
      <w:widowControl w:val="0"/>
      <w:numPr>
        <w:ilvl w:val="3"/>
        <w:numId w:val="1"/>
      </w:numPr>
      <w:spacing w:before="280" w:after="280" w:line="240" w:lineRule="atLeast"/>
      <w:outlineLvl w:val="3"/>
    </w:pPr>
    <w:rPr>
      <w:i/>
      <w:sz w:val="20"/>
      <w:lang w:val="en-US"/>
    </w:rPr>
  </w:style>
  <w:style w:type="paragraph" w:styleId="Heading5">
    <w:name w:val="heading 5"/>
    <w:basedOn w:val="Normal"/>
    <w:next w:val="Normal"/>
    <w:uiPriority w:val="9"/>
    <w:semiHidden/>
    <w:unhideWhenUsed/>
    <w:qFormat/>
    <w:pPr>
      <w:overflowPunct w:val="0"/>
      <w:spacing w:before="240" w:after="60"/>
      <w:textAlignment w:val="auto"/>
      <w:outlineLvl w:val="4"/>
    </w:pPr>
    <w:rPr>
      <w:b/>
      <w:bCs/>
      <w:i/>
      <w:iCs/>
      <w:sz w:val="26"/>
      <w:szCs w:val="26"/>
      <w:lang w:val="en-US"/>
    </w:rPr>
  </w:style>
  <w:style w:type="paragraph" w:styleId="Heading6">
    <w:name w:val="heading 6"/>
    <w:basedOn w:val="Normal"/>
    <w:next w:val="Normal"/>
    <w:uiPriority w:val="9"/>
    <w:semiHidden/>
    <w:unhideWhenUsed/>
    <w:qFormat/>
    <w:pPr>
      <w:overflowPunct w:val="0"/>
      <w:spacing w:before="240" w:after="60"/>
      <w:textAlignment w:val="auto"/>
      <w:outlineLvl w:val="5"/>
    </w:pPr>
    <w:rPr>
      <w:b/>
      <w:bCs/>
      <w:szCs w:val="22"/>
      <w:lang w:val="en-US"/>
    </w:rPr>
  </w:style>
  <w:style w:type="paragraph" w:styleId="Heading7">
    <w:name w:val="heading 7"/>
    <w:basedOn w:val="Normal"/>
    <w:next w:val="Normal"/>
    <w:qFormat/>
    <w:pPr>
      <w:overflowPunct w:val="0"/>
      <w:spacing w:before="240" w:after="60"/>
      <w:textAlignment w:val="auto"/>
      <w:outlineLvl w:val="6"/>
    </w:pPr>
    <w:rPr>
      <w:szCs w:val="24"/>
      <w:lang w:val="en-US"/>
    </w:rPr>
  </w:style>
  <w:style w:type="paragraph" w:styleId="Heading8">
    <w:name w:val="heading 8"/>
    <w:basedOn w:val="Normal"/>
    <w:next w:val="Normal"/>
    <w:qFormat/>
    <w:pPr>
      <w:overflowPunct w:val="0"/>
      <w:spacing w:before="240" w:after="60"/>
      <w:textAlignment w:val="auto"/>
      <w:outlineLvl w:val="7"/>
    </w:pPr>
    <w:rPr>
      <w:i/>
      <w:iCs/>
      <w:szCs w:val="24"/>
      <w:lang w:val="en-US"/>
    </w:rPr>
  </w:style>
  <w:style w:type="paragraph" w:styleId="Heading9">
    <w:name w:val="heading 9"/>
    <w:basedOn w:val="Normal"/>
    <w:next w:val="Normal"/>
    <w:qFormat/>
    <w:pPr>
      <w:overflowPunct w:val="0"/>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FooterChar">
    <w:name w:val="Footer Char"/>
    <w:basedOn w:val="DefaultParagraphFont"/>
    <w:qFormat/>
    <w:rPr>
      <w:sz w:val="2"/>
      <w:lang w:val="en-US" w:eastAsia="en-US"/>
    </w:rPr>
  </w:style>
  <w:style w:type="character" w:customStyle="1" w:styleId="RunningheadChar">
    <w:name w:val="Running head Char"/>
    <w:basedOn w:val="DefaultParagraphFont"/>
    <w:qFormat/>
    <w:rPr>
      <w:b/>
      <w:sz w:val="16"/>
      <w:szCs w:val="16"/>
      <w:lang w:eastAsia="en-US"/>
    </w:rPr>
  </w:style>
  <w:style w:type="character" w:customStyle="1" w:styleId="BodyTextChar">
    <w:name w:val="Body Text Char"/>
    <w:basedOn w:val="DefaultParagraphFont"/>
    <w:qFormat/>
    <w:rPr>
      <w:lang w:eastAsia="en-US"/>
    </w:rPr>
  </w:style>
  <w:style w:type="character" w:customStyle="1" w:styleId="AuthornameandaffiliationChar">
    <w:name w:val="Author name and affiliation Char"/>
    <w:basedOn w:val="BodyTextChar"/>
    <w:qFormat/>
    <w:rPr>
      <w:lang w:val="en-US" w:eastAsia="en-US"/>
    </w:rPr>
  </w:style>
  <w:style w:type="character" w:customStyle="1" w:styleId="AbstracttextChar">
    <w:name w:val="Abstract text Char"/>
    <w:basedOn w:val="AuthornameandaffiliationChar"/>
    <w:qFormat/>
    <w:rPr>
      <w:sz w:val="18"/>
      <w:lang w:val="en-US" w:eastAsia="en-US"/>
    </w:rPr>
  </w:style>
  <w:style w:type="character" w:customStyle="1" w:styleId="BalloonTextChar">
    <w:name w:val="Balloon Text Char"/>
    <w:basedOn w:val="DefaultParagraphFont"/>
    <w:qFormat/>
    <w:rPr>
      <w:rFonts w:ascii="Tahoma" w:hAnsi="Tahoma" w:cs="Tahoma"/>
      <w:sz w:val="16"/>
      <w:szCs w:val="16"/>
      <w:lang w:eastAsia="en-US"/>
    </w:rPr>
  </w:style>
  <w:style w:type="character" w:customStyle="1" w:styleId="FigurecaptionChar">
    <w:name w:val="Figure caption Char"/>
    <w:basedOn w:val="BodyTextChar"/>
    <w:qFormat/>
    <w:rPr>
      <w:i/>
      <w:sz w:val="18"/>
      <w:lang w:eastAsia="en-US"/>
    </w:rPr>
  </w:style>
  <w:style w:type="character" w:customStyle="1" w:styleId="OtherunnumberedheadingsChar">
    <w:name w:val="Other unnumbered headings Char"/>
    <w:basedOn w:val="BodyTextChar"/>
    <w:uiPriority w:val="49"/>
    <w:qFormat/>
    <w:rPr>
      <w:rFonts w:ascii="Times New Roman Bold" w:hAnsi="Times New Roman Bold"/>
      <w:b/>
      <w:caps/>
      <w:lang w:eastAsia="en-US"/>
    </w:rPr>
  </w:style>
  <w:style w:type="character" w:customStyle="1" w:styleId="ReferencelistChar">
    <w:name w:val="Reference list Char"/>
    <w:basedOn w:val="BodyTextChar"/>
    <w:uiPriority w:val="49"/>
    <w:qFormat/>
    <w:rPr>
      <w:sz w:val="18"/>
      <w:szCs w:val="18"/>
      <w:lang w:eastAsia="en-US"/>
    </w:rPr>
  </w:style>
  <w:style w:type="character" w:customStyle="1" w:styleId="TabletextChar">
    <w:name w:val="Table text Char"/>
    <w:basedOn w:val="BodyTextChar"/>
    <w:uiPriority w:val="49"/>
    <w:qFormat/>
    <w:rPr>
      <w:lang w:eastAsia="en-US"/>
    </w:rPr>
  </w:style>
  <w:style w:type="character" w:customStyle="1" w:styleId="Heading1Char">
    <w:name w:val="Heading 1 Char"/>
    <w:basedOn w:val="DefaultParagraphFont"/>
    <w:qFormat/>
    <w:rPr>
      <w:rFonts w:ascii="Times New Roman Bold" w:hAnsi="Times New Roman Bold"/>
      <w:b/>
      <w:caps/>
      <w:sz w:val="24"/>
      <w:lang w:val="en-US" w:eastAsia="en-US"/>
    </w:rPr>
  </w:style>
  <w:style w:type="character" w:customStyle="1" w:styleId="Heading2Char">
    <w:name w:val="Heading 2 Char"/>
    <w:basedOn w:val="DefaultParagraphFont"/>
    <w:qFormat/>
    <w:rPr>
      <w:caps/>
      <w:lang w:eastAsia="en-US"/>
    </w:rPr>
  </w:style>
  <w:style w:type="character" w:customStyle="1" w:styleId="ListLabel1">
    <w:name w:val="ListLabel 1"/>
    <w:qFormat/>
    <w:rPr>
      <w:color w:val="auto"/>
    </w:rPr>
  </w:style>
  <w:style w:type="character" w:customStyle="1" w:styleId="ListLabel2">
    <w:name w:val="ListLabel 2"/>
    <w:qFormat/>
    <w:rPr>
      <w:sz w:val="20"/>
    </w:rPr>
  </w:style>
  <w:style w:type="character" w:customStyle="1" w:styleId="ListLabel3">
    <w:name w:val="ListLabel 3"/>
    <w:qFormat/>
    <w:rPr>
      <w:color w:val="auto"/>
    </w:rPr>
  </w:style>
  <w:style w:type="character" w:customStyle="1" w:styleId="ListLabel4">
    <w:name w:val="ListLabel 4"/>
    <w:qFormat/>
    <w:rPr>
      <w:sz w:val="20"/>
    </w:rPr>
  </w:style>
  <w:style w:type="character" w:customStyle="1" w:styleId="ListLabel5">
    <w:name w:val="ListLabel 5"/>
    <w:qFormat/>
    <w:rPr>
      <w:color w:val="auto"/>
    </w:rPr>
  </w:style>
  <w:style w:type="character" w:customStyle="1" w:styleId="ListLabel6">
    <w:name w:val="ListLabel 6"/>
    <w:qFormat/>
    <w:rPr>
      <w:sz w:val="20"/>
    </w:rPr>
  </w:style>
  <w:style w:type="character" w:customStyle="1" w:styleId="ListLabel7">
    <w:name w:val="ListLabel 7"/>
    <w:qFormat/>
    <w:rPr>
      <w:rFonts w:cs="Times New Roman"/>
      <w:b w:val="0"/>
      <w:i w:val="0"/>
      <w:caps w:val="0"/>
      <w:smallCaps w:val="0"/>
      <w:strike w:val="0"/>
      <w:dstrike w:val="0"/>
      <w:vanish w:val="0"/>
      <w:color w:val="000000"/>
      <w:position w:val="0"/>
      <w:sz w:val="24"/>
      <w:vertAlign w:val="baseline"/>
    </w:rPr>
  </w:style>
  <w:style w:type="character" w:customStyle="1" w:styleId="ListLabel8">
    <w:name w:val="ListLabel 8"/>
    <w:qFormat/>
    <w:rPr>
      <w:b w:val="0"/>
      <w:i w:val="0"/>
      <w:caps w:val="0"/>
      <w:smallCaps w:val="0"/>
      <w:strike w:val="0"/>
      <w:dstrike w:val="0"/>
      <w:vanish w:val="0"/>
      <w:color w:val="000000"/>
      <w:position w:val="0"/>
      <w:sz w:val="22"/>
      <w:vertAlign w:val="baseline"/>
    </w:rPr>
  </w:style>
  <w:style w:type="character" w:customStyle="1" w:styleId="ListLabel9">
    <w:name w:val="ListLabel 9"/>
    <w:qFormat/>
    <w:rPr>
      <w:b w:val="0"/>
      <w:i w:val="0"/>
      <w:caps w:val="0"/>
      <w:smallCaps w:val="0"/>
      <w:strike w:val="0"/>
      <w:dstrike w:val="0"/>
      <w:vanish w:val="0"/>
      <w:color w:val="000000"/>
      <w:position w:val="0"/>
      <w:sz w:val="22"/>
      <w:vertAlign w:val="baseline"/>
    </w:rPr>
  </w:style>
  <w:style w:type="character" w:customStyle="1" w:styleId="ListLabel10">
    <w:name w:val="ListLabel 10"/>
    <w:qFormat/>
    <w:rPr>
      <w:b w:val="0"/>
      <w:i w:val="0"/>
      <w:caps w:val="0"/>
      <w:smallCaps w:val="0"/>
      <w:strike w:val="0"/>
      <w:dstrike w:val="0"/>
      <w:vanish w:val="0"/>
      <w:color w:val="000000"/>
      <w:position w:val="0"/>
      <w:sz w:val="22"/>
      <w:vertAlign w:val="baseline"/>
    </w:rPr>
  </w:style>
  <w:style w:type="character" w:customStyle="1" w:styleId="ListLabel11">
    <w:name w:val="ListLabel 11"/>
    <w:qFormat/>
    <w:rPr>
      <w:rFonts w:cs="Times New Roman"/>
      <w:b w:val="0"/>
      <w:i w:val="0"/>
      <w:caps w:val="0"/>
      <w:smallCaps w:val="0"/>
      <w:strike w:val="0"/>
      <w:dstrike w:val="0"/>
      <w:vanish w:val="0"/>
      <w:color w:val="000000"/>
      <w:position w:val="0"/>
      <w:sz w:val="24"/>
      <w:vertAlign w:val="baseline"/>
    </w:rPr>
  </w:style>
  <w:style w:type="character" w:customStyle="1" w:styleId="ListLabel12">
    <w:name w:val="ListLabel 12"/>
    <w:qFormat/>
    <w:rPr>
      <w:color w:val="auto"/>
    </w:rPr>
  </w:style>
  <w:style w:type="character" w:customStyle="1" w:styleId="ListLabel13">
    <w:name w:val="ListLabel 13"/>
    <w:qFormat/>
    <w:rPr>
      <w:sz w:val="20"/>
    </w:rPr>
  </w:style>
  <w:style w:type="character" w:customStyle="1" w:styleId="ListLabel14">
    <w:name w:val="ListLabel 14"/>
    <w:qFormat/>
    <w:rPr>
      <w:color w:val="auto"/>
    </w:rPr>
  </w:style>
  <w:style w:type="character" w:customStyle="1" w:styleId="ListLabel15">
    <w:name w:val="ListLabel 15"/>
    <w:qFormat/>
    <w:rPr>
      <w:sz w:val="20"/>
    </w:rPr>
  </w:style>
  <w:style w:type="character" w:customStyle="1" w:styleId="ListLabel16">
    <w:name w:val="ListLabel 16"/>
    <w:qFormat/>
    <w:rPr>
      <w:color w:val="auto"/>
    </w:rPr>
  </w:style>
  <w:style w:type="character" w:customStyle="1" w:styleId="ListLabel17">
    <w:name w:val="ListLabel 17"/>
    <w:qFormat/>
    <w:rPr>
      <w:sz w:val="20"/>
    </w:rPr>
  </w:style>
  <w:style w:type="character" w:customStyle="1" w:styleId="ListLabel18">
    <w:name w:val="ListLabel 18"/>
    <w:qFormat/>
    <w:rPr>
      <w:color w:val="auto"/>
    </w:rPr>
  </w:style>
  <w:style w:type="character" w:customStyle="1" w:styleId="ListLabel19">
    <w:name w:val="ListLabel 19"/>
    <w:qFormat/>
    <w:rPr>
      <w:sz w:val="20"/>
    </w:rPr>
  </w:style>
  <w:style w:type="character" w:customStyle="1" w:styleId="ListLabel20">
    <w:name w:val="ListLabel 20"/>
    <w:qFormat/>
    <w:rPr>
      <w:color w:val="auto"/>
    </w:rPr>
  </w:style>
  <w:style w:type="character" w:customStyle="1" w:styleId="ListLabel21">
    <w:name w:val="ListLabel 21"/>
    <w:qFormat/>
    <w:rPr>
      <w:sz w:val="20"/>
    </w:rPr>
  </w:style>
  <w:style w:type="character" w:customStyle="1" w:styleId="ListLabel22">
    <w:name w:val="ListLabel 22"/>
    <w:qFormat/>
    <w:rPr>
      <w:color w:val="auto"/>
    </w:rPr>
  </w:style>
  <w:style w:type="character" w:customStyle="1" w:styleId="ListLabel23">
    <w:name w:val="ListLabel 23"/>
    <w:qFormat/>
    <w:rPr>
      <w:sz w:val="20"/>
    </w:rPr>
  </w:style>
  <w:style w:type="character" w:customStyle="1" w:styleId="ListLabel24">
    <w:name w:val="ListLabel 24"/>
    <w:qFormat/>
    <w:rPr>
      <w:color w:val="auto"/>
    </w:rPr>
  </w:style>
  <w:style w:type="character" w:customStyle="1" w:styleId="ListLabel25">
    <w:name w:val="ListLabel 25"/>
    <w:qFormat/>
    <w:rPr>
      <w:sz w:val="20"/>
    </w:rPr>
  </w:style>
  <w:style w:type="character" w:customStyle="1" w:styleId="ListLabel26">
    <w:name w:val="ListLabel 26"/>
    <w:qFormat/>
    <w:rPr>
      <w:color w:val="auto"/>
    </w:rPr>
  </w:style>
  <w:style w:type="character" w:customStyle="1" w:styleId="ListLabel27">
    <w:name w:val="ListLabel 27"/>
    <w:qFormat/>
    <w:rPr>
      <w:sz w:val="20"/>
    </w:rPr>
  </w:style>
  <w:style w:type="character" w:customStyle="1" w:styleId="ListLabel28">
    <w:name w:val="ListLabel 28"/>
    <w:qFormat/>
    <w:rPr>
      <w:color w:val="auto"/>
    </w:rPr>
  </w:style>
  <w:style w:type="character" w:customStyle="1" w:styleId="ListLabel29">
    <w:name w:val="ListLabel 29"/>
    <w:qFormat/>
    <w:rPr>
      <w:sz w:val="20"/>
    </w:rPr>
  </w:style>
  <w:style w:type="character" w:customStyle="1" w:styleId="ListLabel30">
    <w:name w:val="ListLabel 30"/>
    <w:qFormat/>
    <w:rPr>
      <w:color w:val="auto"/>
    </w:rPr>
  </w:style>
  <w:style w:type="character" w:customStyle="1" w:styleId="ListLabel31">
    <w:name w:val="ListLabel 31"/>
    <w:qFormat/>
    <w:rPr>
      <w:sz w:val="20"/>
    </w:rPr>
  </w:style>
  <w:style w:type="character" w:customStyle="1" w:styleId="ListLabel32">
    <w:name w:val="ListLabel 32"/>
    <w:qFormat/>
    <w:rPr>
      <w:rFonts w:cs="Times New Roman"/>
      <w:sz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color w:val="auto"/>
    </w:rPr>
  </w:style>
  <w:style w:type="character" w:customStyle="1" w:styleId="ListLabel37">
    <w:name w:val="ListLabel 37"/>
    <w:qFormat/>
    <w:rPr>
      <w:sz w:val="20"/>
    </w:rPr>
  </w:style>
  <w:style w:type="character" w:customStyle="1" w:styleId="ListLabel38">
    <w:name w:val="ListLabel 38"/>
    <w:qFormat/>
    <w:rPr>
      <w:color w:val="auto"/>
    </w:rPr>
  </w:style>
  <w:style w:type="character" w:customStyle="1" w:styleId="ListLabel39">
    <w:name w:val="ListLabel 39"/>
    <w:qFormat/>
    <w:rPr>
      <w:sz w:val="20"/>
    </w:rPr>
  </w:style>
  <w:style w:type="character" w:customStyle="1" w:styleId="ListLabel40">
    <w:name w:val="ListLabel 40"/>
    <w:qFormat/>
    <w:rPr>
      <w:color w:val="auto"/>
    </w:rPr>
  </w:style>
  <w:style w:type="character" w:customStyle="1" w:styleId="ListLabel41">
    <w:name w:val="ListLabel 41"/>
    <w:qFormat/>
    <w:rPr>
      <w:sz w:val="20"/>
    </w:rPr>
  </w:style>
  <w:style w:type="character" w:customStyle="1" w:styleId="ListLabel42">
    <w:name w:val="ListLabel 42"/>
    <w:qFormat/>
    <w:rPr>
      <w:color w:val="auto"/>
    </w:rPr>
  </w:style>
  <w:style w:type="character" w:customStyle="1" w:styleId="ListLabel43">
    <w:name w:val="ListLabel 43"/>
    <w:qFormat/>
    <w:rPr>
      <w:sz w:val="20"/>
    </w:rPr>
  </w:style>
  <w:style w:type="character" w:customStyle="1" w:styleId="ListLabel44">
    <w:name w:val="ListLabel 44"/>
    <w:qFormat/>
    <w:rPr>
      <w:color w:val="auto"/>
    </w:rPr>
  </w:style>
  <w:style w:type="character" w:customStyle="1" w:styleId="ListLabel45">
    <w:name w:val="ListLabel 45"/>
    <w:qFormat/>
    <w:rPr>
      <w:sz w:val="20"/>
    </w:rPr>
  </w:style>
  <w:style w:type="character" w:customStyle="1" w:styleId="ListLabel46">
    <w:name w:val="ListLabel 46"/>
    <w:qFormat/>
    <w:rPr>
      <w:color w:val="auto"/>
    </w:rPr>
  </w:style>
  <w:style w:type="character" w:customStyle="1" w:styleId="ListLabel47">
    <w:name w:val="ListLabel 47"/>
    <w:qFormat/>
    <w:rPr>
      <w:sz w:val="20"/>
    </w:rPr>
  </w:style>
  <w:style w:type="character" w:customStyle="1" w:styleId="ListLabel48">
    <w:name w:val="ListLabel 48"/>
    <w:qFormat/>
    <w:rPr>
      <w:color w:val="auto"/>
    </w:rPr>
  </w:style>
  <w:style w:type="character" w:customStyle="1" w:styleId="ListLabel49">
    <w:name w:val="ListLabel 49"/>
    <w:qFormat/>
    <w:rPr>
      <w:sz w:val="20"/>
    </w:rPr>
  </w:style>
  <w:style w:type="character" w:customStyle="1" w:styleId="ListLabel50">
    <w:name w:val="ListLabel 50"/>
    <w:qFormat/>
    <w:rPr>
      <w:rFonts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line="260" w:lineRule="atLeast"/>
      <w:ind w:firstLine="567"/>
      <w:contextualSpacing/>
      <w:jc w:val="both"/>
    </w:pPr>
  </w:style>
  <w:style w:type="paragraph" w:styleId="List">
    <w:name w:val="List"/>
    <w:basedOn w:val="BodyText"/>
    <w:rPr>
      <w:rFonts w:cs="Lohit Devanagari"/>
    </w:rPr>
  </w:style>
  <w:style w:type="paragraph" w:styleId="Caption">
    <w:name w:val="caption"/>
    <w:next w:val="Normal"/>
    <w:qFormat/>
    <w:pPr>
      <w:spacing w:after="85"/>
    </w:pPr>
    <w:rPr>
      <w:bCs/>
      <w:sz w:val="18"/>
      <w:lang w:val="en-US" w:eastAsia="en-US"/>
    </w:rPr>
  </w:style>
  <w:style w:type="paragraph" w:customStyle="1" w:styleId="Index">
    <w:name w:val="Index"/>
    <w:basedOn w:val="Normal"/>
    <w:qFormat/>
    <w:pPr>
      <w:suppressLineNumbers/>
    </w:pPr>
    <w:rPr>
      <w:rFonts w:cs="Lohit Devanagari"/>
    </w:rPr>
  </w:style>
  <w:style w:type="paragraph" w:styleId="Subtitle">
    <w:name w:val="Subtitle"/>
    <w:basedOn w:val="Normal"/>
    <w:next w:val="BodyText"/>
    <w:uiPriority w:val="11"/>
    <w:qFormat/>
    <w:pPr>
      <w:spacing w:after="280" w:line="280" w:lineRule="atLeast"/>
      <w:ind w:left="567" w:right="567"/>
      <w:contextualSpacing/>
    </w:pPr>
    <w:rPr>
      <w:rFonts w:cs="Arial"/>
      <w:b/>
      <w:i/>
      <w:sz w:val="24"/>
      <w:szCs w:val="24"/>
      <w:lang w:val="en-US"/>
    </w:rPr>
  </w:style>
  <w:style w:type="paragraph" w:styleId="BodyTextIndent">
    <w:name w:val="Body Text Indent"/>
    <w:basedOn w:val="BodyText"/>
    <w:pPr>
      <w:ind w:left="1134" w:hanging="675"/>
    </w:pPr>
  </w:style>
  <w:style w:type="paragraph" w:customStyle="1" w:styleId="BodyTextMultiline">
    <w:name w:val="Body Text Multiline"/>
    <w:basedOn w:val="BodyText"/>
    <w:qFormat/>
  </w:style>
  <w:style w:type="paragraph" w:customStyle="1" w:styleId="BodyTextSummary">
    <w:name w:val="Body Text Summary"/>
    <w:qFormat/>
    <w:pPr>
      <w:spacing w:after="170" w:line="280" w:lineRule="atLeast"/>
      <w:ind w:left="572" w:hanging="459"/>
      <w:jc w:val="both"/>
    </w:pPr>
    <w:rPr>
      <w:sz w:val="22"/>
      <w:szCs w:val="22"/>
      <w:lang w:eastAsia="en-US"/>
    </w:rPr>
  </w:style>
  <w:style w:type="paragraph" w:styleId="Footer">
    <w:name w:val="footer"/>
    <w:basedOn w:val="Normal"/>
    <w:pPr>
      <w:overflowPunct w:val="0"/>
      <w:textAlignment w:val="auto"/>
    </w:pPr>
    <w:rPr>
      <w:sz w:val="2"/>
      <w:lang w:val="en-US"/>
    </w:rPr>
  </w:style>
  <w:style w:type="paragraph" w:styleId="FootnoteText">
    <w:name w:val="footnote text"/>
    <w:basedOn w:val="Normal"/>
    <w:pPr>
      <w:tabs>
        <w:tab w:val="left" w:pos="459"/>
      </w:tabs>
      <w:spacing w:before="142"/>
      <w:ind w:left="459"/>
      <w:jc w:val="both"/>
    </w:pPr>
    <w:rPr>
      <w:sz w:val="18"/>
    </w:rPr>
  </w:style>
  <w:style w:type="paragraph" w:styleId="Header">
    <w:name w:val="header"/>
    <w:basedOn w:val="Normal"/>
    <w:next w:val="BodyText"/>
    <w:pPr>
      <w:spacing w:after="85"/>
    </w:pPr>
    <w:rPr>
      <w:sz w:val="18"/>
      <w:lang w:val="en-US"/>
    </w:rPr>
  </w:style>
  <w:style w:type="paragraph" w:customStyle="1" w:styleId="ListBulleted">
    <w:name w:val="List Bulleted"/>
    <w:qFormat/>
    <w:pPr>
      <w:tabs>
        <w:tab w:val="left" w:pos="919"/>
      </w:tabs>
      <w:ind w:left="918" w:right="1134" w:hanging="459"/>
      <w:jc w:val="both"/>
    </w:pPr>
    <w:rPr>
      <w:sz w:val="22"/>
      <w:lang w:eastAsia="en-US"/>
    </w:rPr>
  </w:style>
  <w:style w:type="paragraph" w:customStyle="1" w:styleId="ListEmdash">
    <w:name w:val="List Emdash"/>
    <w:basedOn w:val="BodyText"/>
    <w:qFormat/>
  </w:style>
  <w:style w:type="paragraph" w:customStyle="1" w:styleId="ListNumbered">
    <w:name w:val="List Numbered"/>
    <w:basedOn w:val="BodyText"/>
    <w:qFormat/>
  </w:style>
  <w:style w:type="paragraph" w:styleId="Title">
    <w:name w:val="Title"/>
    <w:basedOn w:val="Normal"/>
    <w:uiPriority w:val="10"/>
    <w:qFormat/>
    <w:pPr>
      <w:widowControl w:val="0"/>
      <w:spacing w:line="440" w:lineRule="exact"/>
      <w:jc w:val="center"/>
      <w:outlineLvl w:val="0"/>
    </w:pPr>
    <w:rPr>
      <w:rFonts w:ascii="Arial" w:hAnsi="Arial" w:cs="Arial"/>
      <w:bCs/>
      <w:sz w:val="42"/>
      <w:szCs w:val="32"/>
    </w:rPr>
  </w:style>
  <w:style w:type="paragraph" w:customStyle="1" w:styleId="zyxConfid2Red">
    <w:name w:val="zyxConfid2Red"/>
    <w:basedOn w:val="Normal"/>
    <w:qFormat/>
    <w:pPr>
      <w:spacing w:after="20" w:line="220" w:lineRule="exact"/>
      <w:jc w:val="right"/>
    </w:pPr>
    <w:rPr>
      <w:rFonts w:ascii="Arial" w:hAnsi="Arial" w:cs="Arial"/>
      <w:color w:val="FF0000"/>
    </w:rPr>
  </w:style>
  <w:style w:type="paragraph" w:customStyle="1" w:styleId="zyxConfidRed">
    <w:name w:val="zyxConfidRed"/>
    <w:qFormat/>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qFormat/>
    <w:pPr>
      <w:widowControl/>
      <w:textAlignment w:val="baseline"/>
    </w:pPr>
    <w:rPr>
      <w:rFonts w:cs="Arial"/>
      <w:bCs/>
      <w:color w:val="000000"/>
    </w:rPr>
  </w:style>
  <w:style w:type="paragraph" w:customStyle="1" w:styleId="zyxDistribution">
    <w:name w:val="zyxDistribution"/>
    <w:basedOn w:val="Normal"/>
    <w:qFormat/>
    <w:pPr>
      <w:widowControl w:val="0"/>
      <w:overflowPunct w:val="0"/>
      <w:spacing w:before="240" w:after="20"/>
      <w:ind w:left="142"/>
      <w:textAlignment w:val="auto"/>
    </w:pPr>
    <w:rPr>
      <w:rFonts w:ascii="Arial" w:hAnsi="Arial"/>
      <w:b/>
    </w:rPr>
  </w:style>
  <w:style w:type="paragraph" w:customStyle="1" w:styleId="zyxPrePrint">
    <w:name w:val="zyxPrePrint"/>
    <w:qFormat/>
    <w:pPr>
      <w:spacing w:after="60" w:line="280" w:lineRule="exact"/>
      <w:ind w:left="113"/>
    </w:pPr>
    <w:rPr>
      <w:sz w:val="22"/>
      <w:lang w:eastAsia="en-US"/>
    </w:rPr>
  </w:style>
  <w:style w:type="paragraph" w:customStyle="1" w:styleId="zyxFillIn">
    <w:name w:val="zyxFill_In"/>
    <w:basedOn w:val="zyxPrePrint"/>
    <w:qFormat/>
    <w:rPr>
      <w:b/>
    </w:rPr>
  </w:style>
  <w:style w:type="paragraph" w:customStyle="1" w:styleId="zyxLogo">
    <w:name w:val="zyxLogo"/>
    <w:basedOn w:val="Normal"/>
    <w:qFormat/>
    <w:pPr>
      <w:keepNext/>
      <w:spacing w:after="10"/>
    </w:pPr>
    <w:rPr>
      <w:rFonts w:ascii="Arial" w:hAnsi="Arial"/>
      <w:b/>
      <w:sz w:val="13"/>
    </w:rPr>
  </w:style>
  <w:style w:type="paragraph" w:customStyle="1" w:styleId="zyxP1Footer">
    <w:name w:val="zyxP1_Footer"/>
    <w:basedOn w:val="Normal"/>
    <w:qFormat/>
    <w:pPr>
      <w:widowControl w:val="0"/>
      <w:spacing w:line="160" w:lineRule="exact"/>
      <w:ind w:left="108"/>
    </w:pPr>
    <w:rPr>
      <w:sz w:val="14"/>
    </w:rPr>
  </w:style>
  <w:style w:type="paragraph" w:customStyle="1" w:styleId="zyxSensitivity">
    <w:name w:val="zyxSensitivity"/>
    <w:basedOn w:val="Normal"/>
    <w:qFormat/>
    <w:pPr>
      <w:widowControl w:val="0"/>
      <w:overflowPunct w:val="0"/>
      <w:spacing w:line="220" w:lineRule="exact"/>
      <w:ind w:left="142"/>
      <w:textAlignment w:val="auto"/>
    </w:pPr>
    <w:rPr>
      <w:rFonts w:ascii="Arial" w:hAnsi="Arial"/>
      <w:b/>
    </w:rPr>
  </w:style>
  <w:style w:type="paragraph" w:customStyle="1" w:styleId="zyxTitle">
    <w:name w:val="zyxTitle"/>
    <w:basedOn w:val="Normal"/>
    <w:qFormat/>
    <w:pPr>
      <w:keepNext/>
      <w:spacing w:line="420" w:lineRule="exact"/>
    </w:pPr>
    <w:rPr>
      <w:rFonts w:ascii="Arial" w:hAnsi="Arial"/>
      <w:sz w:val="40"/>
    </w:rPr>
  </w:style>
  <w:style w:type="paragraph" w:customStyle="1" w:styleId="AgendaList">
    <w:name w:val="Agenda List"/>
    <w:qFormat/>
    <w:pPr>
      <w:tabs>
        <w:tab w:val="left" w:pos="919"/>
      </w:tabs>
      <w:spacing w:after="240" w:line="240" w:lineRule="exact"/>
      <w:ind w:left="918"/>
      <w:jc w:val="both"/>
    </w:pPr>
    <w:rPr>
      <w:sz w:val="22"/>
      <w:lang w:eastAsia="en-US"/>
    </w:rPr>
  </w:style>
  <w:style w:type="paragraph" w:customStyle="1" w:styleId="zyxClassification1">
    <w:name w:val="zyxClassification1"/>
    <w:basedOn w:val="BodyText"/>
    <w:qFormat/>
    <w:pPr>
      <w:spacing w:line="280" w:lineRule="exact"/>
      <w:jc w:val="right"/>
    </w:pPr>
    <w:rPr>
      <w:rFonts w:ascii="Arial" w:hAnsi="Arial" w:cs="Arial"/>
      <w:b/>
      <w:bCs/>
      <w:caps/>
      <w:sz w:val="24"/>
    </w:rPr>
  </w:style>
  <w:style w:type="paragraph" w:customStyle="1" w:styleId="zyxClassification2">
    <w:name w:val="zyxClassification2"/>
    <w:basedOn w:val="Footer"/>
    <w:qFormat/>
    <w:pPr>
      <w:tabs>
        <w:tab w:val="center" w:pos="4320"/>
        <w:tab w:val="right" w:pos="8640"/>
      </w:tabs>
      <w:overflowPunct/>
      <w:ind w:firstLine="567"/>
      <w:jc w:val="right"/>
      <w:textAlignment w:val="baseline"/>
    </w:pPr>
    <w:rPr>
      <w:rFonts w:ascii="Arial" w:hAnsi="Arial" w:cs="Arial"/>
      <w:sz w:val="16"/>
      <w:lang w:val="en-GB"/>
    </w:rPr>
  </w:style>
  <w:style w:type="paragraph" w:customStyle="1" w:styleId="Runninghead">
    <w:name w:val="Running head"/>
    <w:basedOn w:val="Normal"/>
    <w:qFormat/>
    <w:pPr>
      <w:jc w:val="center"/>
    </w:pPr>
    <w:rPr>
      <w:b/>
      <w:sz w:val="16"/>
      <w:szCs w:val="16"/>
    </w:rPr>
  </w:style>
  <w:style w:type="paragraph" w:customStyle="1" w:styleId="Authornameandaffiliation">
    <w:name w:val="Author name and affiliation"/>
    <w:qFormat/>
    <w:pPr>
      <w:ind w:left="567"/>
      <w:contextualSpacing/>
    </w:pPr>
    <w:rPr>
      <w:sz w:val="22"/>
      <w:lang w:val="en-US" w:eastAsia="en-US"/>
    </w:rPr>
  </w:style>
  <w:style w:type="paragraph" w:customStyle="1" w:styleId="Abstracttext">
    <w:name w:val="Abstract text"/>
    <w:basedOn w:val="Authornameandaffiliation"/>
    <w:qFormat/>
    <w:pPr>
      <w:spacing w:line="240" w:lineRule="atLeast"/>
      <w:ind w:left="0" w:firstLine="567"/>
    </w:pPr>
    <w:rPr>
      <w:sz w:val="18"/>
    </w:rPr>
  </w:style>
  <w:style w:type="paragraph" w:styleId="BalloonText">
    <w:name w:val="Balloon Text"/>
    <w:basedOn w:val="Normal"/>
    <w:qFormat/>
    <w:rPr>
      <w:rFonts w:ascii="Tahoma" w:hAnsi="Tahoma" w:cs="Tahoma"/>
      <w:sz w:val="16"/>
      <w:szCs w:val="16"/>
    </w:rPr>
  </w:style>
  <w:style w:type="paragraph" w:customStyle="1" w:styleId="Figurecaption">
    <w:name w:val="Figure caption"/>
    <w:basedOn w:val="BodyText"/>
    <w:qFormat/>
    <w:pPr>
      <w:jc w:val="center"/>
    </w:pPr>
    <w:rPr>
      <w:i/>
      <w:sz w:val="18"/>
    </w:rPr>
  </w:style>
  <w:style w:type="paragraph" w:customStyle="1" w:styleId="Otherunnumberedheadings">
    <w:name w:val="Other unnumbered headings"/>
    <w:next w:val="BodyText"/>
    <w:uiPriority w:val="49"/>
    <w:qFormat/>
    <w:pPr>
      <w:spacing w:before="280" w:after="280" w:line="260" w:lineRule="atLeast"/>
      <w:jc w:val="center"/>
    </w:pPr>
    <w:rPr>
      <w:rFonts w:ascii="Times New Roman Bold" w:hAnsi="Times New Roman Bold"/>
      <w:b/>
      <w:caps/>
      <w:sz w:val="22"/>
      <w:lang w:eastAsia="en-US"/>
    </w:rPr>
  </w:style>
  <w:style w:type="paragraph" w:customStyle="1" w:styleId="Referencelist">
    <w:name w:val="Reference list"/>
    <w:basedOn w:val="BodyText"/>
    <w:uiPriority w:val="49"/>
    <w:qFormat/>
    <w:rPr>
      <w:sz w:val="18"/>
      <w:szCs w:val="18"/>
    </w:rPr>
  </w:style>
  <w:style w:type="paragraph" w:customStyle="1" w:styleId="Tabletext">
    <w:name w:val="Table text"/>
    <w:basedOn w:val="BodyText"/>
    <w:uiPriority w:val="49"/>
    <w:qFormat/>
    <w:pPr>
      <w:ind w:firstLine="0"/>
    </w:pPr>
  </w:style>
  <w:style w:type="paragraph" w:customStyle="1" w:styleId="FrameContents">
    <w:name w:val="Frame Contents"/>
    <w:basedOn w:val="Normal"/>
    <w:qFormat/>
  </w:style>
  <w:style w:type="paragraph" w:customStyle="1" w:styleId="TtuloArtCOMNI">
    <w:name w:val="Título Art. COMNI"/>
    <w:basedOn w:val="Normal"/>
    <w:qFormat/>
    <w:pPr>
      <w:widowControl w:val="0"/>
      <w:spacing w:after="240"/>
      <w:jc w:val="center"/>
    </w:pPr>
    <w:rPr>
      <w:b/>
      <w:sz w:val="28"/>
      <w:lang w:val="es-ES_tradnl"/>
    </w:rPr>
  </w:style>
  <w:style w:type="paragraph" w:customStyle="1" w:styleId="LiteWCCM">
    <w:name w:val="Lite WCCM"/>
    <w:basedOn w:val="Normal"/>
    <w:qFormat/>
    <w:pPr>
      <w:widowControl w:val="0"/>
      <w:tabs>
        <w:tab w:val="left" w:pos="142"/>
      </w:tabs>
      <w:jc w:val="center"/>
    </w:pPr>
    <w:rPr>
      <w:szCs w:val="22"/>
      <w:lang w:val="en-US"/>
    </w:rPr>
  </w:style>
  <w:style w:type="paragraph" w:customStyle="1" w:styleId="ReferenceWCCM">
    <w:name w:val="Reference WCCM"/>
    <w:basedOn w:val="Normal"/>
    <w:qFormat/>
    <w:pPr>
      <w:widowControl w:val="0"/>
      <w:tabs>
        <w:tab w:val="left" w:pos="426"/>
      </w:tabs>
      <w:ind w:left="426" w:hanging="426"/>
    </w:pPr>
    <w:rPr>
      <w:sz w:val="20"/>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6A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57C3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02099B"/>
    <w:rPr>
      <w:color w:val="808080"/>
    </w:rPr>
  </w:style>
  <w:style w:type="character" w:styleId="Hyperlink">
    <w:name w:val="Hyperlink"/>
    <w:basedOn w:val="DefaultParagraphFont"/>
    <w:uiPriority w:val="99"/>
    <w:unhideWhenUsed/>
    <w:rsid w:val="009977CD"/>
    <w:rPr>
      <w:color w:val="0563C1" w:themeColor="hyperlink"/>
      <w:u w:val="single"/>
    </w:rPr>
  </w:style>
  <w:style w:type="character" w:styleId="UnresolvedMention">
    <w:name w:val="Unresolved Mention"/>
    <w:basedOn w:val="DefaultParagraphFont"/>
    <w:uiPriority w:val="99"/>
    <w:semiHidden/>
    <w:unhideWhenUsed/>
    <w:rsid w:val="0099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pbr-book.org/3ed-2018/Sampling_and_Reconstruction/The_Halton_Sampler.html" TargetMode="External"/><Relationship Id="rId2" Type="http://schemas.openxmlformats.org/officeDocument/2006/relationships/styles" Target="styles.xml"/><Relationship Id="rId16" Type="http://schemas.openxmlformats.org/officeDocument/2006/relationships/hyperlink" Target="https://towardsdatascience.com/quick-start-to-gaussian-process-regression-36d8388103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subject/>
  <dc:creator>Chirayu.Batra@iaea.org</dc:creator>
  <dc:description/>
  <cp:lastModifiedBy>LEWIS R. (930500)</cp:lastModifiedBy>
  <cp:revision>358</cp:revision>
  <cp:lastPrinted>2015-12-01T10:27:00Z</cp:lastPrinted>
  <dcterms:created xsi:type="dcterms:W3CDTF">2017-04-03T14:23:00Z</dcterms:created>
  <dcterms:modified xsi:type="dcterms:W3CDTF">2021-06-21T12:50:00Z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false</vt:bool>
  </property>
  <property fmtid="{D5CDD505-2E9C-101B-9397-08002B2CF9AE}" pid="6" name="IaeaClassification">
    <vt:lpwstr/>
  </property>
  <property fmtid="{D5CDD505-2E9C-101B-9397-08002B2CF9AE}" pid="7" name="IaeaClassification2">
    <vt:lpwstr/>
  </property>
  <property fmtid="{D5CDD505-2E9C-101B-9397-08002B2CF9AE}" pid="8" name="IaeaClassificationDate">
    <vt:lpwstr/>
  </property>
  <property fmtid="{D5CDD505-2E9C-101B-9397-08002B2CF9AE}" pid="9" name="IaeaConfidentialAttachments">
    <vt:lpwstr/>
  </property>
  <property fmtid="{D5CDD505-2E9C-101B-9397-08002B2CF9AE}" pid="10" name="IaeaDistribution">
    <vt:lpwstr/>
  </property>
  <property fmtid="{D5CDD505-2E9C-101B-9397-08002B2CF9AE}" pid="11" name="IaeaSecurityClassifier">
    <vt:lpwstr/>
  </property>
  <property fmtid="{D5CDD505-2E9C-101B-9397-08002B2CF9AE}" pid="12" name="IaeaSensitivity">
    <vt:lpwstr/>
  </property>
  <property fmtid="{D5CDD505-2E9C-101B-9397-08002B2CF9AE}" pid="13" name="IaeaTransmission">
    <vt:lpwstr/>
  </property>
  <property fmtid="{D5CDD505-2E9C-101B-9397-08002B2CF9AE}" pid="14" name="LinksUpToDate">
    <vt:bool>false</vt:bool>
  </property>
  <property fmtid="{D5CDD505-2E9C-101B-9397-08002B2CF9AE}" pid="15" name="ScaleCrop">
    <vt:bool>false</vt:bool>
  </property>
  <property fmtid="{D5CDD505-2E9C-101B-9397-08002B2CF9AE}" pid="16" name="ShareDoc">
    <vt:bool>false</vt:bool>
  </property>
  <property fmtid="{D5CDD505-2E9C-101B-9397-08002B2CF9AE}" pid="17" name="Typist">
    <vt:lpwstr>Initials-Ext</vt:lpwstr>
  </property>
  <property fmtid="{D5CDD505-2E9C-101B-9397-08002B2CF9AE}" pid="18" name="category">
    <vt:lpwstr>IAEA Document</vt:lpwstr>
  </property>
</Properties>
</file>