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279EE729" w:rsidR="00604C59" w:rsidRPr="00073700" w:rsidRDefault="00F11800"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open-sourc</w:t>
      </w:r>
      <w:r w:rsidR="002F6AD1">
        <w:rPr>
          <w:rFonts w:ascii="Times New Roman" w:hAnsi="Times New Roman"/>
          <w:bCs/>
          <w:noProof/>
          <w:szCs w:val="24"/>
          <w:lang w:val="en-GB"/>
        </w:rPr>
        <w:t>ing</w:t>
      </w:r>
      <w:r>
        <w:rPr>
          <w:rFonts w:ascii="Times New Roman" w:hAnsi="Times New Roman"/>
          <w:bCs/>
          <w:noProof/>
          <w:szCs w:val="24"/>
          <w:lang w:val="en-GB"/>
        </w:rPr>
        <w:t xml:space="preserve"> safety, risk, and reliability tools</w:t>
      </w:r>
    </w:p>
    <w:p w14:paraId="2A7F935C" w14:textId="77777777" w:rsidR="00604C59" w:rsidRPr="00073700" w:rsidRDefault="00604C59" w:rsidP="00073700">
      <w:pPr>
        <w:pStyle w:val="Authornameandaffiliation"/>
        <w:ind w:left="0"/>
        <w:jc w:val="both"/>
        <w:rPr>
          <w:sz w:val="24"/>
          <w:szCs w:val="24"/>
          <w:lang w:val="en-GB"/>
        </w:rPr>
      </w:pPr>
    </w:p>
    <w:p w14:paraId="2FD06590" w14:textId="1D6CEDCF" w:rsidR="00CD7ABF" w:rsidRPr="00CD7ABF" w:rsidRDefault="009F497E" w:rsidP="00306628">
      <w:pPr>
        <w:pStyle w:val="Authornameandaffiliation"/>
        <w:ind w:left="0"/>
        <w:rPr>
          <w:sz w:val="24"/>
          <w:szCs w:val="24"/>
        </w:rPr>
      </w:pPr>
      <w:r>
        <w:rPr>
          <w:sz w:val="24"/>
          <w:szCs w:val="24"/>
        </w:rPr>
        <w:t>D. Mandelli</w:t>
      </w:r>
      <w:r w:rsidR="003A35CE" w:rsidRPr="003A35CE">
        <w:rPr>
          <w:sz w:val="24"/>
          <w:szCs w:val="24"/>
          <w:vertAlign w:val="superscript"/>
        </w:rPr>
        <w:t>1</w:t>
      </w:r>
      <w:r>
        <w:rPr>
          <w:sz w:val="24"/>
          <w:szCs w:val="24"/>
        </w:rPr>
        <w:t xml:space="preserve">, </w:t>
      </w:r>
      <w:r w:rsidR="00D91496">
        <w:rPr>
          <w:sz w:val="24"/>
          <w:szCs w:val="24"/>
        </w:rPr>
        <w:t>C. Smith</w:t>
      </w:r>
      <w:r w:rsidR="00D91496" w:rsidRPr="00E0295B">
        <w:rPr>
          <w:sz w:val="24"/>
          <w:szCs w:val="24"/>
          <w:vertAlign w:val="superscript"/>
        </w:rPr>
        <w:t>1</w:t>
      </w:r>
      <w:r w:rsidR="00D91496">
        <w:rPr>
          <w:sz w:val="24"/>
          <w:szCs w:val="24"/>
        </w:rPr>
        <w:t>,</w:t>
      </w:r>
      <w:r w:rsidR="00D91496" w:rsidRPr="00D91496">
        <w:rPr>
          <w:sz w:val="24"/>
          <w:szCs w:val="24"/>
        </w:rPr>
        <w:t xml:space="preserve"> </w:t>
      </w:r>
      <w:r w:rsidR="00D91496">
        <w:rPr>
          <w:sz w:val="24"/>
          <w:szCs w:val="24"/>
        </w:rPr>
        <w:t>C. Wang</w:t>
      </w:r>
      <w:r w:rsidR="00D91496" w:rsidRPr="003A35CE">
        <w:rPr>
          <w:sz w:val="24"/>
          <w:szCs w:val="24"/>
          <w:vertAlign w:val="superscript"/>
        </w:rPr>
        <w:t>1</w:t>
      </w:r>
      <w:r w:rsidR="00D91496">
        <w:rPr>
          <w:sz w:val="24"/>
          <w:szCs w:val="24"/>
        </w:rPr>
        <w:t>,</w:t>
      </w:r>
      <w:r w:rsidR="00D91496">
        <w:rPr>
          <w:sz w:val="24"/>
          <w:szCs w:val="24"/>
        </w:rPr>
        <w:t xml:space="preserve"> A</w:t>
      </w:r>
      <w:r>
        <w:rPr>
          <w:sz w:val="24"/>
          <w:szCs w:val="24"/>
        </w:rPr>
        <w:t>. Alfonsi</w:t>
      </w:r>
      <w:r w:rsidR="003A35CE" w:rsidRPr="003A35CE">
        <w:rPr>
          <w:sz w:val="24"/>
          <w:szCs w:val="24"/>
          <w:vertAlign w:val="superscript"/>
        </w:rPr>
        <w:t>1</w:t>
      </w:r>
      <w:r>
        <w:rPr>
          <w:sz w:val="24"/>
          <w:szCs w:val="24"/>
        </w:rPr>
        <w:t>, C. Rabiti</w:t>
      </w:r>
      <w:r w:rsidR="003A35CE" w:rsidRPr="003A35CE">
        <w:rPr>
          <w:sz w:val="24"/>
          <w:szCs w:val="24"/>
          <w:vertAlign w:val="superscript"/>
        </w:rPr>
        <w:t>1</w:t>
      </w:r>
      <w:r>
        <w:rPr>
          <w:sz w:val="24"/>
          <w:szCs w:val="24"/>
        </w:rPr>
        <w:t>, M. Abdo</w:t>
      </w:r>
      <w:r w:rsidR="003A35CE" w:rsidRPr="003A35CE">
        <w:rPr>
          <w:sz w:val="24"/>
          <w:szCs w:val="24"/>
          <w:vertAlign w:val="superscript"/>
        </w:rPr>
        <w:t>1</w:t>
      </w:r>
      <w:r>
        <w:rPr>
          <w:sz w:val="24"/>
          <w:szCs w:val="24"/>
        </w:rPr>
        <w:t>, P. Talbot</w:t>
      </w:r>
      <w:r w:rsidR="003A35CE" w:rsidRPr="003A35CE">
        <w:rPr>
          <w:sz w:val="24"/>
          <w:szCs w:val="24"/>
          <w:vertAlign w:val="superscript"/>
        </w:rPr>
        <w:t>1</w:t>
      </w:r>
      <w:r>
        <w:rPr>
          <w:sz w:val="24"/>
          <w:szCs w:val="24"/>
        </w:rPr>
        <w:t>, J. Cogliati</w:t>
      </w:r>
      <w:r w:rsidR="003A35CE" w:rsidRPr="003A35CE">
        <w:rPr>
          <w:sz w:val="24"/>
          <w:szCs w:val="24"/>
          <w:vertAlign w:val="superscript"/>
        </w:rPr>
        <w:t>1</w:t>
      </w:r>
      <w:r>
        <w:rPr>
          <w:sz w:val="24"/>
          <w:szCs w:val="24"/>
        </w:rPr>
        <w:t>, S. Prescott</w:t>
      </w:r>
      <w:r w:rsidR="003A35CE" w:rsidRPr="003A35CE">
        <w:rPr>
          <w:sz w:val="24"/>
          <w:szCs w:val="24"/>
          <w:vertAlign w:val="superscript"/>
        </w:rPr>
        <w:t>1</w:t>
      </w:r>
      <w:r>
        <w:rPr>
          <w:sz w:val="24"/>
          <w:szCs w:val="24"/>
        </w:rPr>
        <w:t xml:space="preserve">, </w:t>
      </w:r>
      <w:r w:rsidR="003A35CE" w:rsidRPr="003A35CE">
        <w:rPr>
          <w:sz w:val="24"/>
          <w:szCs w:val="24"/>
        </w:rPr>
        <w:t>C. Pope</w:t>
      </w:r>
      <w:r w:rsidR="003A35CE" w:rsidRPr="003A35CE">
        <w:rPr>
          <w:sz w:val="24"/>
          <w:szCs w:val="24"/>
          <w:vertAlign w:val="superscript"/>
        </w:rPr>
        <w:t>2</w:t>
      </w:r>
      <w:r w:rsidR="003A35CE" w:rsidRPr="003A35CE">
        <w:rPr>
          <w:sz w:val="24"/>
          <w:szCs w:val="24"/>
        </w:rPr>
        <w:t>, J. Miller</w:t>
      </w:r>
      <w:r w:rsidR="003A35CE" w:rsidRPr="00E0295B">
        <w:rPr>
          <w:sz w:val="24"/>
          <w:szCs w:val="24"/>
          <w:vertAlign w:val="superscript"/>
        </w:rPr>
        <w:t>2</w:t>
      </w:r>
      <w:r w:rsidR="003A35CE" w:rsidRPr="003A35CE">
        <w:rPr>
          <w:sz w:val="24"/>
          <w:szCs w:val="24"/>
        </w:rPr>
        <w:t>, S. Ercanbrack</w:t>
      </w:r>
      <w:r w:rsidR="003A35CE" w:rsidRPr="00E0295B">
        <w:rPr>
          <w:sz w:val="24"/>
          <w:szCs w:val="24"/>
          <w:vertAlign w:val="superscript"/>
        </w:rPr>
        <w:t>2</w:t>
      </w:r>
      <w:r w:rsidR="003A35CE">
        <w:rPr>
          <w:sz w:val="24"/>
          <w:szCs w:val="24"/>
        </w:rPr>
        <w:t>,</w:t>
      </w:r>
      <w:r w:rsidR="003A35CE" w:rsidRPr="003A35CE">
        <w:rPr>
          <w:sz w:val="24"/>
          <w:szCs w:val="24"/>
        </w:rPr>
        <w:t xml:space="preserve"> </w:t>
      </w:r>
    </w:p>
    <w:p w14:paraId="68D50F1D" w14:textId="77777777" w:rsidR="00CD7ABF" w:rsidRPr="00CD7ABF" w:rsidRDefault="00CD7ABF" w:rsidP="00CD7ABF">
      <w:pPr>
        <w:pStyle w:val="Authornameandaffiliation"/>
        <w:ind w:left="0"/>
        <w:jc w:val="both"/>
        <w:rPr>
          <w:sz w:val="24"/>
          <w:szCs w:val="24"/>
        </w:rPr>
      </w:pPr>
    </w:p>
    <w:p w14:paraId="50B1C884" w14:textId="3DA63DCA" w:rsidR="00CD7ABF" w:rsidRDefault="000A67D1" w:rsidP="00CD7ABF">
      <w:pPr>
        <w:pStyle w:val="Authornameandaffiliation"/>
        <w:ind w:left="0"/>
        <w:jc w:val="both"/>
        <w:rPr>
          <w:sz w:val="24"/>
          <w:szCs w:val="24"/>
        </w:rPr>
      </w:pPr>
      <w:r w:rsidRPr="000A67D1">
        <w:rPr>
          <w:sz w:val="24"/>
          <w:szCs w:val="24"/>
          <w:vertAlign w:val="superscript"/>
        </w:rPr>
        <w:t>1</w:t>
      </w:r>
      <w:r>
        <w:rPr>
          <w:sz w:val="24"/>
          <w:szCs w:val="24"/>
        </w:rPr>
        <w:t xml:space="preserve"> </w:t>
      </w:r>
      <w:r w:rsidR="009F497E">
        <w:rPr>
          <w:sz w:val="24"/>
          <w:szCs w:val="24"/>
        </w:rPr>
        <w:t xml:space="preserve">Idaho National Laboratory </w:t>
      </w:r>
      <w:r w:rsidR="00D40743">
        <w:rPr>
          <w:sz w:val="24"/>
          <w:szCs w:val="24"/>
        </w:rPr>
        <w:t>–</w:t>
      </w:r>
      <w:r w:rsidR="009F497E">
        <w:rPr>
          <w:sz w:val="24"/>
          <w:szCs w:val="24"/>
        </w:rPr>
        <w:t xml:space="preserve"> INL</w:t>
      </w:r>
      <w:r w:rsidR="00CD7ABF" w:rsidRPr="00CD7ABF">
        <w:rPr>
          <w:sz w:val="24"/>
          <w:szCs w:val="24"/>
        </w:rPr>
        <w:t xml:space="preserve">, </w:t>
      </w:r>
      <w:r w:rsidR="009F497E">
        <w:rPr>
          <w:sz w:val="24"/>
          <w:szCs w:val="24"/>
        </w:rPr>
        <w:t>Idaho Falls (ID)</w:t>
      </w:r>
      <w:r w:rsidR="00CD7ABF" w:rsidRPr="00CD7ABF">
        <w:rPr>
          <w:sz w:val="24"/>
          <w:szCs w:val="24"/>
        </w:rPr>
        <w:t xml:space="preserve">, </w:t>
      </w:r>
      <w:r w:rsidR="009F497E">
        <w:rPr>
          <w:sz w:val="24"/>
          <w:szCs w:val="24"/>
        </w:rPr>
        <w:t>USA</w:t>
      </w:r>
    </w:p>
    <w:p w14:paraId="656A728A" w14:textId="4F6AD979" w:rsidR="000A67D1" w:rsidRPr="00CD7ABF" w:rsidRDefault="000A67D1" w:rsidP="00CD7ABF">
      <w:pPr>
        <w:pStyle w:val="Authornameandaffiliation"/>
        <w:ind w:left="0"/>
        <w:jc w:val="both"/>
        <w:rPr>
          <w:sz w:val="24"/>
          <w:szCs w:val="24"/>
        </w:rPr>
      </w:pPr>
      <w:r w:rsidRPr="003A35CE">
        <w:rPr>
          <w:sz w:val="24"/>
          <w:szCs w:val="24"/>
          <w:vertAlign w:val="superscript"/>
        </w:rPr>
        <w:t>2</w:t>
      </w:r>
      <w:r>
        <w:rPr>
          <w:sz w:val="24"/>
          <w:szCs w:val="24"/>
        </w:rPr>
        <w:t xml:space="preserve"> Idaho </w:t>
      </w:r>
      <w:r w:rsidR="003A35CE">
        <w:rPr>
          <w:sz w:val="24"/>
          <w:szCs w:val="24"/>
        </w:rPr>
        <w:t>State</w:t>
      </w:r>
      <w:r>
        <w:rPr>
          <w:sz w:val="24"/>
          <w:szCs w:val="24"/>
        </w:rPr>
        <w:t xml:space="preserve"> University</w:t>
      </w:r>
      <w:r w:rsidR="003A35CE">
        <w:rPr>
          <w:sz w:val="24"/>
          <w:szCs w:val="24"/>
        </w:rPr>
        <w:t xml:space="preserve"> – ISU, Pocatello (ID)</w:t>
      </w:r>
      <w:r w:rsidR="003A35CE" w:rsidRPr="00CD7ABF">
        <w:rPr>
          <w:sz w:val="24"/>
          <w:szCs w:val="24"/>
        </w:rPr>
        <w:t xml:space="preserve">, </w:t>
      </w:r>
      <w:r w:rsidR="003A35CE">
        <w:rPr>
          <w:sz w:val="24"/>
          <w:szCs w:val="24"/>
        </w:rPr>
        <w:t>USA</w:t>
      </w:r>
    </w:p>
    <w:p w14:paraId="5D9EC7B1" w14:textId="4EF54CB8" w:rsidR="00CD7ABF" w:rsidRDefault="00CD7ABF" w:rsidP="00073700">
      <w:pPr>
        <w:pStyle w:val="Authornameandaffiliation"/>
        <w:ind w:left="0"/>
        <w:jc w:val="both"/>
        <w:rPr>
          <w:sz w:val="24"/>
          <w:szCs w:val="24"/>
          <w:lang w:val="en-GB"/>
        </w:rPr>
      </w:pPr>
    </w:p>
    <w:p w14:paraId="1038112B" w14:textId="65A4A6D3" w:rsidR="009F497E" w:rsidRDefault="0070149D" w:rsidP="00073700">
      <w:pPr>
        <w:pStyle w:val="Authornameandaffiliation"/>
        <w:ind w:left="0"/>
        <w:jc w:val="both"/>
        <w:rPr>
          <w:sz w:val="24"/>
          <w:szCs w:val="24"/>
        </w:rPr>
      </w:pPr>
      <w:r>
        <w:rPr>
          <w:sz w:val="24"/>
          <w:szCs w:val="24"/>
        </w:rPr>
        <w:t xml:space="preserve">* </w:t>
      </w:r>
      <w:r w:rsidR="00CD7ABF" w:rsidRPr="00CD7ABF">
        <w:rPr>
          <w:sz w:val="24"/>
          <w:szCs w:val="24"/>
        </w:rPr>
        <w:t xml:space="preserve">Email contact of corresponding author: </w:t>
      </w:r>
      <w:hyperlink r:id="rId8" w:history="1">
        <w:r w:rsidR="00993278" w:rsidRPr="00F249AF">
          <w:rPr>
            <w:rStyle w:val="Hyperlink"/>
            <w:sz w:val="24"/>
            <w:szCs w:val="24"/>
          </w:rPr>
          <w:t>diego.mandelli@inl.gov</w:t>
        </w:r>
      </w:hyperlink>
    </w:p>
    <w:p w14:paraId="191AE89A" w14:textId="6F7F2F23" w:rsidR="00D62D04" w:rsidRDefault="00D62D04" w:rsidP="009F497E">
      <w:pPr>
        <w:overflowPunct/>
        <w:autoSpaceDE/>
        <w:autoSpaceDN/>
        <w:adjustRightInd/>
        <w:spacing w:before="280" w:after="280"/>
        <w:jc w:val="both"/>
        <w:textAlignment w:val="auto"/>
        <w:rPr>
          <w:rFonts w:eastAsiaTheme="minorHAnsi"/>
          <w:sz w:val="24"/>
          <w:szCs w:val="24"/>
          <w:lang w:eastAsia="ar-SA"/>
        </w:rPr>
      </w:pPr>
      <w:r w:rsidRPr="00D62D04">
        <w:rPr>
          <w:rFonts w:eastAsiaTheme="minorHAnsi"/>
          <w:sz w:val="24"/>
          <w:szCs w:val="24"/>
          <w:lang w:eastAsia="ar-SA"/>
        </w:rPr>
        <w:t>The United States nuclear industry is facing a strong challenge to ensure maximum safety while enhancing economic benefit.</w:t>
      </w:r>
      <w:r>
        <w:rPr>
          <w:rFonts w:eastAsiaTheme="minorHAnsi"/>
          <w:sz w:val="24"/>
          <w:szCs w:val="24"/>
          <w:lang w:eastAsia="ar-SA"/>
        </w:rPr>
        <w:t xml:space="preserve"> In this respect, t</w:t>
      </w:r>
      <w:r w:rsidRPr="00D62D04">
        <w:rPr>
          <w:rFonts w:eastAsiaTheme="minorHAnsi"/>
          <w:sz w:val="24"/>
          <w:szCs w:val="24"/>
          <w:lang w:eastAsia="ar-SA"/>
        </w:rPr>
        <w:t xml:space="preserve">he Light Water Reactor Sustainability (LWRS) Program </w:t>
      </w:r>
      <w:r w:rsidR="00EA437F">
        <w:rPr>
          <w:rFonts w:eastAsiaTheme="minorHAnsi"/>
          <w:sz w:val="24"/>
          <w:szCs w:val="24"/>
          <w:lang w:eastAsia="ar-SA"/>
        </w:rPr>
        <w:t xml:space="preserve">at the Idaho National Laboratory (INL) </w:t>
      </w:r>
      <w:r w:rsidRPr="00D62D04">
        <w:rPr>
          <w:rFonts w:eastAsiaTheme="minorHAnsi"/>
          <w:sz w:val="24"/>
          <w:szCs w:val="24"/>
          <w:lang w:eastAsia="ar-SA"/>
        </w:rPr>
        <w:t xml:space="preserve">has been promoting a wide range of research and development in this field to maximize the safety, economics, and performance of these </w:t>
      </w:r>
      <w:r w:rsidR="00F1116C">
        <w:rPr>
          <w:rFonts w:eastAsiaTheme="minorHAnsi"/>
          <w:sz w:val="24"/>
          <w:szCs w:val="24"/>
          <w:lang w:eastAsia="ar-SA"/>
        </w:rPr>
        <w:t>nuclear power plants (</w:t>
      </w:r>
      <w:r w:rsidRPr="00D62D04">
        <w:rPr>
          <w:rFonts w:eastAsiaTheme="minorHAnsi"/>
          <w:sz w:val="24"/>
          <w:szCs w:val="24"/>
          <w:lang w:eastAsia="ar-SA"/>
        </w:rPr>
        <w:t>NPPs</w:t>
      </w:r>
      <w:r w:rsidR="00F1116C">
        <w:rPr>
          <w:rFonts w:eastAsiaTheme="minorHAnsi"/>
          <w:sz w:val="24"/>
          <w:szCs w:val="24"/>
          <w:lang w:eastAsia="ar-SA"/>
        </w:rPr>
        <w:t>)</w:t>
      </w:r>
      <w:r w:rsidRPr="00D62D04">
        <w:rPr>
          <w:rFonts w:eastAsiaTheme="minorHAnsi"/>
          <w:sz w:val="24"/>
          <w:szCs w:val="24"/>
          <w:lang w:eastAsia="ar-SA"/>
        </w:rPr>
        <w:t xml:space="preserve"> through improved scientific understanding.</w:t>
      </w:r>
      <w:r>
        <w:rPr>
          <w:rFonts w:eastAsiaTheme="minorHAnsi"/>
          <w:sz w:val="24"/>
          <w:szCs w:val="24"/>
          <w:lang w:eastAsia="ar-SA"/>
        </w:rPr>
        <w:t xml:space="preserve"> </w:t>
      </w:r>
      <w:r w:rsidRPr="00D62D04">
        <w:rPr>
          <w:rFonts w:eastAsiaTheme="minorHAnsi"/>
          <w:sz w:val="24"/>
          <w:szCs w:val="24"/>
          <w:lang w:eastAsia="ar-SA"/>
        </w:rPr>
        <w:t>One of the best practices to achieve this goal is to identify and optimize safety margin, which can in turn lead to cost reduction. To do this, under the LWRS framework, the Risk-Informed Systems Analysis (RISA) Pathway focus</w:t>
      </w:r>
      <w:r w:rsidR="00EA437F">
        <w:rPr>
          <w:rFonts w:eastAsiaTheme="minorHAnsi"/>
          <w:sz w:val="24"/>
          <w:szCs w:val="24"/>
          <w:lang w:eastAsia="ar-SA"/>
        </w:rPr>
        <w:t>es</w:t>
      </w:r>
      <w:r w:rsidRPr="00D62D04">
        <w:rPr>
          <w:rFonts w:eastAsiaTheme="minorHAnsi"/>
          <w:sz w:val="24"/>
          <w:szCs w:val="24"/>
          <w:lang w:eastAsia="ar-SA"/>
        </w:rPr>
        <w:t xml:space="preserve"> on the optimization of safety margin and minimization of uncertainties to ensure both safety and economics at the highest level.</w:t>
      </w:r>
      <w:r w:rsidR="00232740">
        <w:rPr>
          <w:rFonts w:eastAsiaTheme="minorHAnsi"/>
          <w:sz w:val="24"/>
          <w:szCs w:val="24"/>
          <w:lang w:eastAsia="ar-SA"/>
        </w:rPr>
        <w:t xml:space="preserve"> </w:t>
      </w:r>
    </w:p>
    <w:p w14:paraId="45496843" w14:textId="736F8A56" w:rsidR="00D62D04" w:rsidRDefault="00D62D04" w:rsidP="009F497E">
      <w:pPr>
        <w:overflowPunct/>
        <w:autoSpaceDE/>
        <w:autoSpaceDN/>
        <w:adjustRightInd/>
        <w:spacing w:before="280" w:after="280"/>
        <w:jc w:val="both"/>
        <w:textAlignment w:val="auto"/>
        <w:rPr>
          <w:rFonts w:eastAsiaTheme="minorHAnsi"/>
          <w:sz w:val="24"/>
          <w:szCs w:val="24"/>
          <w:lang w:eastAsia="ar-SA"/>
        </w:rPr>
      </w:pPr>
      <w:r w:rsidRPr="00D62D04">
        <w:rPr>
          <w:rFonts w:eastAsiaTheme="minorHAnsi"/>
          <w:sz w:val="24"/>
          <w:szCs w:val="24"/>
          <w:lang w:eastAsia="ar-SA"/>
        </w:rPr>
        <w:t>The main purpose of the RISA Pathway is to support the U.S. nuclear industry with the aim to improve economics, reliability, and sustain safety of current NPPs over periods of extended plant operations. The goals of the RISA Pathway are twofold: (1) deploy the risk-informed tools and methods that enable better representation of safety margins and factors that contribute to cost and safety; and (2) conduct advanced risk-assessment applications with industry to support margin management strategies that enable more cost-effective plant operation.</w:t>
      </w:r>
    </w:p>
    <w:p w14:paraId="317AC5B8" w14:textId="515176B5" w:rsidR="009F497E" w:rsidRDefault="00D62D04" w:rsidP="009F497E">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w:t>
      </w:r>
      <w:r w:rsidR="000E0857">
        <w:rPr>
          <w:rFonts w:eastAsiaTheme="minorHAnsi"/>
          <w:sz w:val="24"/>
          <w:szCs w:val="24"/>
          <w:lang w:eastAsia="ar-SA"/>
        </w:rPr>
        <w:t>goal of this document is to present</w:t>
      </w:r>
      <w:r w:rsidR="0070149D">
        <w:rPr>
          <w:rFonts w:eastAsiaTheme="minorHAnsi"/>
          <w:sz w:val="24"/>
          <w:szCs w:val="24"/>
          <w:lang w:eastAsia="ar-SA"/>
        </w:rPr>
        <w:t xml:space="preserve"> the development of </w:t>
      </w:r>
      <w:r w:rsidR="000E0857">
        <w:rPr>
          <w:rFonts w:eastAsiaTheme="minorHAnsi"/>
          <w:sz w:val="24"/>
          <w:szCs w:val="24"/>
          <w:lang w:eastAsia="ar-SA"/>
        </w:rPr>
        <w:t xml:space="preserve">several </w:t>
      </w:r>
      <w:r w:rsidR="0070149D">
        <w:rPr>
          <w:rFonts w:eastAsiaTheme="minorHAnsi"/>
          <w:sz w:val="24"/>
          <w:szCs w:val="24"/>
          <w:lang w:eastAsia="ar-SA"/>
        </w:rPr>
        <w:t>software tools</w:t>
      </w:r>
      <w:r w:rsidR="003E4135">
        <w:rPr>
          <w:rFonts w:eastAsiaTheme="minorHAnsi"/>
          <w:sz w:val="24"/>
          <w:szCs w:val="24"/>
          <w:lang w:eastAsia="ar-SA"/>
        </w:rPr>
        <w:t xml:space="preserve"> designed to perform safety, risk and reliability analysis of power plants</w:t>
      </w:r>
      <w:r w:rsidR="00EA437F">
        <w:rPr>
          <w:rFonts w:eastAsiaTheme="minorHAnsi"/>
          <w:sz w:val="24"/>
          <w:szCs w:val="24"/>
          <w:lang w:eastAsia="ar-SA"/>
        </w:rPr>
        <w:t xml:space="preserve"> that are currently under development and being used for RISA applications</w:t>
      </w:r>
      <w:r w:rsidR="003E4135">
        <w:rPr>
          <w:rFonts w:eastAsiaTheme="minorHAnsi"/>
          <w:sz w:val="24"/>
          <w:szCs w:val="24"/>
          <w:lang w:eastAsia="ar-SA"/>
        </w:rPr>
        <w:t xml:space="preserve">. These tools are summarized in </w:t>
      </w:r>
      <w:r w:rsidR="00517C66">
        <w:rPr>
          <w:rFonts w:eastAsiaTheme="minorHAnsi"/>
          <w:sz w:val="24"/>
          <w:szCs w:val="24"/>
          <w:lang w:eastAsia="ar-SA"/>
        </w:rPr>
        <w:t>Table 1.</w:t>
      </w:r>
    </w:p>
    <w:p w14:paraId="4F44CD42" w14:textId="0128302F" w:rsidR="00517C66" w:rsidRPr="00517C66" w:rsidRDefault="00517C66" w:rsidP="00517C66">
      <w:pPr>
        <w:pStyle w:val="BodyText"/>
        <w:spacing w:before="280" w:after="280" w:line="240" w:lineRule="auto"/>
        <w:ind w:firstLine="0"/>
        <w:jc w:val="center"/>
        <w:rPr>
          <w:sz w:val="24"/>
          <w:szCs w:val="24"/>
        </w:rPr>
      </w:pPr>
      <w:r w:rsidRPr="00DF3A79">
        <w:rPr>
          <w:sz w:val="24"/>
          <w:szCs w:val="24"/>
        </w:rPr>
        <w:t>TABLE 1.</w:t>
      </w:r>
      <w:r w:rsidRPr="00DF3A79">
        <w:rPr>
          <w:sz w:val="24"/>
          <w:szCs w:val="24"/>
        </w:rPr>
        <w:tab/>
      </w:r>
      <w:r>
        <w:rPr>
          <w:sz w:val="24"/>
          <w:szCs w:val="24"/>
        </w:rPr>
        <w:t>Summary of LWRS-RISA developed tools.</w:t>
      </w:r>
    </w:p>
    <w:tbl>
      <w:tblPr>
        <w:tblStyle w:val="TableGrid"/>
        <w:tblW w:w="9243" w:type="dxa"/>
        <w:jc w:val="center"/>
        <w:tblLook w:val="04A0" w:firstRow="1" w:lastRow="0" w:firstColumn="1" w:lastColumn="0" w:noHBand="0" w:noVBand="1"/>
      </w:tblPr>
      <w:tblGrid>
        <w:gridCol w:w="1348"/>
        <w:gridCol w:w="2344"/>
        <w:gridCol w:w="3669"/>
        <w:gridCol w:w="1882"/>
      </w:tblGrid>
      <w:tr w:rsidR="00517C66" w:rsidRPr="00517C66" w14:paraId="47271F45" w14:textId="77777777" w:rsidTr="000E0093">
        <w:trPr>
          <w:jc w:val="center"/>
        </w:trPr>
        <w:tc>
          <w:tcPr>
            <w:tcW w:w="1458" w:type="dxa"/>
            <w:shd w:val="clear" w:color="auto" w:fill="D9D9D9" w:themeFill="background1" w:themeFillShade="D9"/>
          </w:tcPr>
          <w:p w14:paraId="6E429A88" w14:textId="77777777" w:rsidR="00517C66" w:rsidRPr="00517C66" w:rsidRDefault="00517C66" w:rsidP="00517C66">
            <w:pPr>
              <w:pStyle w:val="BodyText"/>
              <w:spacing w:before="40" w:after="40" w:line="240" w:lineRule="auto"/>
              <w:ind w:firstLine="0"/>
              <w:jc w:val="center"/>
              <w:rPr>
                <w:b/>
                <w:bCs/>
                <w:sz w:val="24"/>
                <w:szCs w:val="24"/>
                <w:lang w:eastAsia="ko-KR"/>
              </w:rPr>
            </w:pPr>
            <w:r w:rsidRPr="00517C66">
              <w:rPr>
                <w:b/>
                <w:bCs/>
                <w:sz w:val="24"/>
                <w:szCs w:val="24"/>
                <w:lang w:eastAsia="ko-KR"/>
              </w:rPr>
              <w:t>Name</w:t>
            </w:r>
          </w:p>
        </w:tc>
        <w:tc>
          <w:tcPr>
            <w:tcW w:w="2970" w:type="dxa"/>
            <w:shd w:val="clear" w:color="auto" w:fill="D9D9D9" w:themeFill="background1" w:themeFillShade="D9"/>
          </w:tcPr>
          <w:p w14:paraId="0C2F5170" w14:textId="77777777" w:rsidR="00517C66" w:rsidRPr="00517C66" w:rsidRDefault="00517C66" w:rsidP="00517C66">
            <w:pPr>
              <w:pStyle w:val="BodyText"/>
              <w:spacing w:before="40" w:after="40" w:line="240" w:lineRule="auto"/>
              <w:ind w:firstLine="0"/>
              <w:jc w:val="center"/>
              <w:rPr>
                <w:b/>
                <w:bCs/>
                <w:sz w:val="24"/>
                <w:szCs w:val="24"/>
                <w:lang w:eastAsia="ko-KR"/>
              </w:rPr>
            </w:pPr>
            <w:r w:rsidRPr="00517C66">
              <w:rPr>
                <w:b/>
                <w:bCs/>
                <w:sz w:val="24"/>
                <w:szCs w:val="24"/>
                <w:lang w:eastAsia="ko-KR"/>
              </w:rPr>
              <w:t>Use cases</w:t>
            </w:r>
          </w:p>
        </w:tc>
        <w:tc>
          <w:tcPr>
            <w:tcW w:w="2217" w:type="dxa"/>
            <w:shd w:val="clear" w:color="auto" w:fill="D9D9D9" w:themeFill="background1" w:themeFillShade="D9"/>
          </w:tcPr>
          <w:p w14:paraId="13974281" w14:textId="720C33CD" w:rsidR="00517C66" w:rsidRPr="00B10B1B" w:rsidRDefault="00517C66" w:rsidP="00517C66">
            <w:pPr>
              <w:pStyle w:val="BodyText"/>
              <w:spacing w:before="40" w:after="40" w:line="240" w:lineRule="auto"/>
              <w:ind w:firstLine="0"/>
              <w:jc w:val="center"/>
              <w:rPr>
                <w:b/>
                <w:bCs/>
                <w:sz w:val="24"/>
                <w:szCs w:val="24"/>
                <w:lang w:eastAsia="ko-KR"/>
              </w:rPr>
            </w:pPr>
            <w:r w:rsidRPr="00B10B1B">
              <w:rPr>
                <w:b/>
                <w:bCs/>
                <w:sz w:val="24"/>
                <w:szCs w:val="24"/>
                <w:lang w:eastAsia="ko-KR"/>
              </w:rPr>
              <w:t>Repository</w:t>
            </w:r>
          </w:p>
        </w:tc>
        <w:tc>
          <w:tcPr>
            <w:tcW w:w="2598" w:type="dxa"/>
            <w:shd w:val="clear" w:color="auto" w:fill="D9D9D9" w:themeFill="background1" w:themeFillShade="D9"/>
          </w:tcPr>
          <w:p w14:paraId="0E53FD3F" w14:textId="43259378" w:rsidR="00517C66" w:rsidRPr="00517C66" w:rsidRDefault="00517C66" w:rsidP="00517C66">
            <w:pPr>
              <w:pStyle w:val="BodyText"/>
              <w:spacing w:before="40" w:after="40" w:line="240" w:lineRule="auto"/>
              <w:ind w:firstLine="0"/>
              <w:jc w:val="center"/>
              <w:rPr>
                <w:b/>
                <w:bCs/>
                <w:sz w:val="24"/>
                <w:szCs w:val="24"/>
                <w:lang w:eastAsia="ko-KR"/>
              </w:rPr>
            </w:pPr>
            <w:r w:rsidRPr="00517C66">
              <w:rPr>
                <w:b/>
                <w:bCs/>
                <w:sz w:val="24"/>
                <w:szCs w:val="24"/>
                <w:lang w:eastAsia="ko-KR"/>
              </w:rPr>
              <w:t>License</w:t>
            </w:r>
          </w:p>
        </w:tc>
      </w:tr>
      <w:tr w:rsidR="00517C66" w:rsidRPr="00517C66" w14:paraId="340216BE" w14:textId="77777777" w:rsidTr="00192A9D">
        <w:trPr>
          <w:jc w:val="center"/>
        </w:trPr>
        <w:tc>
          <w:tcPr>
            <w:tcW w:w="1458" w:type="dxa"/>
            <w:vAlign w:val="center"/>
          </w:tcPr>
          <w:p w14:paraId="42E77B8C" w14:textId="11F92328"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 xml:space="preserve">RAVEN </w:t>
            </w:r>
          </w:p>
        </w:tc>
        <w:tc>
          <w:tcPr>
            <w:tcW w:w="2970" w:type="dxa"/>
          </w:tcPr>
          <w:p w14:paraId="091F496D" w14:textId="77777777" w:rsidR="00517C66" w:rsidRPr="00517C66" w:rsidRDefault="00517C66" w:rsidP="00517C66">
            <w:pPr>
              <w:pStyle w:val="BodyText"/>
              <w:numPr>
                <w:ilvl w:val="0"/>
                <w:numId w:val="36"/>
              </w:numPr>
              <w:spacing w:before="40" w:after="40" w:line="240" w:lineRule="auto"/>
              <w:ind w:left="239" w:hanging="270"/>
              <w:contextualSpacing w:val="0"/>
              <w:jc w:val="left"/>
              <w:rPr>
                <w:sz w:val="24"/>
                <w:szCs w:val="24"/>
                <w:lang w:eastAsia="ko-KR"/>
              </w:rPr>
            </w:pPr>
            <w:r w:rsidRPr="00517C66">
              <w:rPr>
                <w:sz w:val="24"/>
                <w:szCs w:val="24"/>
                <w:lang w:eastAsia="ko-KR"/>
              </w:rPr>
              <w:t>Model optimization</w:t>
            </w:r>
          </w:p>
          <w:p w14:paraId="10509113" w14:textId="77777777" w:rsidR="00517C66" w:rsidRPr="00517C66" w:rsidRDefault="00517C66" w:rsidP="00517C66">
            <w:pPr>
              <w:pStyle w:val="BodyText"/>
              <w:numPr>
                <w:ilvl w:val="0"/>
                <w:numId w:val="36"/>
              </w:numPr>
              <w:spacing w:before="40" w:after="40" w:line="240" w:lineRule="auto"/>
              <w:ind w:left="239" w:hanging="270"/>
              <w:contextualSpacing w:val="0"/>
              <w:jc w:val="left"/>
              <w:rPr>
                <w:sz w:val="24"/>
                <w:szCs w:val="24"/>
                <w:lang w:eastAsia="ko-KR"/>
              </w:rPr>
            </w:pPr>
            <w:r w:rsidRPr="00517C66">
              <w:rPr>
                <w:sz w:val="24"/>
                <w:szCs w:val="24"/>
                <w:lang w:eastAsia="ko-KR"/>
              </w:rPr>
              <w:t>Uncertainty propagation</w:t>
            </w:r>
          </w:p>
          <w:p w14:paraId="304706E1" w14:textId="7DDA3B66" w:rsidR="00517C66" w:rsidRPr="00517C66" w:rsidRDefault="00517C66" w:rsidP="00517C66">
            <w:pPr>
              <w:pStyle w:val="BodyText"/>
              <w:numPr>
                <w:ilvl w:val="0"/>
                <w:numId w:val="36"/>
              </w:numPr>
              <w:spacing w:before="40" w:after="40" w:line="240" w:lineRule="auto"/>
              <w:ind w:left="239" w:hanging="270"/>
              <w:contextualSpacing w:val="0"/>
              <w:jc w:val="left"/>
              <w:rPr>
                <w:sz w:val="24"/>
                <w:szCs w:val="24"/>
                <w:lang w:eastAsia="ko-KR"/>
              </w:rPr>
            </w:pPr>
            <w:r w:rsidRPr="00517C66">
              <w:rPr>
                <w:sz w:val="24"/>
                <w:szCs w:val="24"/>
                <w:lang w:eastAsia="ko-KR"/>
              </w:rPr>
              <w:t>Data Analysis</w:t>
            </w:r>
          </w:p>
        </w:tc>
        <w:tc>
          <w:tcPr>
            <w:tcW w:w="2217" w:type="dxa"/>
            <w:vAlign w:val="center"/>
          </w:tcPr>
          <w:p w14:paraId="55CFBD2A" w14:textId="681746C9" w:rsidR="00517C66" w:rsidRPr="00B10B1B" w:rsidRDefault="002209D5" w:rsidP="00441F34">
            <w:pPr>
              <w:pStyle w:val="BodyText"/>
              <w:spacing w:before="40" w:after="40" w:line="240" w:lineRule="auto"/>
              <w:ind w:firstLine="0"/>
              <w:jc w:val="center"/>
              <w:rPr>
                <w:sz w:val="24"/>
                <w:szCs w:val="24"/>
                <w:lang w:eastAsia="ko-KR"/>
              </w:rPr>
            </w:pPr>
            <w:hyperlink r:id="rId9" w:history="1">
              <w:r w:rsidR="00B10B1B" w:rsidRPr="00B10B1B">
                <w:rPr>
                  <w:rStyle w:val="Hyperlink"/>
                  <w:sz w:val="24"/>
                  <w:szCs w:val="24"/>
                  <w:lang w:eastAsia="ko-KR"/>
                </w:rPr>
                <w:t>https://github.com/idaholab/raven</w:t>
              </w:r>
            </w:hyperlink>
          </w:p>
          <w:p w14:paraId="0549742C" w14:textId="215505E4" w:rsidR="00B10B1B" w:rsidRPr="00B10B1B" w:rsidRDefault="00B10B1B" w:rsidP="00192A9D">
            <w:pPr>
              <w:pStyle w:val="BodyText"/>
              <w:spacing w:before="40" w:after="40" w:line="240" w:lineRule="auto"/>
              <w:ind w:firstLine="0"/>
              <w:jc w:val="center"/>
              <w:rPr>
                <w:sz w:val="24"/>
                <w:szCs w:val="24"/>
                <w:lang w:eastAsia="ko-KR"/>
              </w:rPr>
            </w:pPr>
          </w:p>
        </w:tc>
        <w:tc>
          <w:tcPr>
            <w:tcW w:w="2598" w:type="dxa"/>
            <w:vAlign w:val="center"/>
          </w:tcPr>
          <w:p w14:paraId="2FDFB3D1" w14:textId="2CDF1586"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Open-source (Apache-2)</w:t>
            </w:r>
          </w:p>
        </w:tc>
      </w:tr>
      <w:tr w:rsidR="00517C66" w:rsidRPr="00517C66" w14:paraId="48CC839E" w14:textId="77777777" w:rsidTr="00192A9D">
        <w:trPr>
          <w:jc w:val="center"/>
        </w:trPr>
        <w:tc>
          <w:tcPr>
            <w:tcW w:w="1458" w:type="dxa"/>
            <w:vAlign w:val="center"/>
          </w:tcPr>
          <w:p w14:paraId="4F2F4B3E" w14:textId="77777777" w:rsidR="00517C66" w:rsidRPr="00517C66" w:rsidRDefault="00517C66" w:rsidP="00517C66">
            <w:pPr>
              <w:pStyle w:val="BodyText"/>
              <w:spacing w:before="40" w:after="40" w:line="240" w:lineRule="auto"/>
              <w:ind w:firstLine="0"/>
              <w:jc w:val="center"/>
              <w:rPr>
                <w:sz w:val="24"/>
                <w:szCs w:val="24"/>
                <w:lang w:eastAsia="ko-KR"/>
              </w:rPr>
            </w:pPr>
            <w:r w:rsidRPr="00517C66">
              <w:rPr>
                <w:rFonts w:eastAsiaTheme="minorHAnsi"/>
                <w:color w:val="000000" w:themeColor="text1"/>
                <w:sz w:val="24"/>
                <w:szCs w:val="24"/>
              </w:rPr>
              <w:t>SR</w:t>
            </w:r>
            <w:r w:rsidRPr="00517C66">
              <w:rPr>
                <w:rFonts w:eastAsiaTheme="minorHAnsi"/>
                <w:color w:val="000000" w:themeColor="text1"/>
                <w:sz w:val="24"/>
                <w:szCs w:val="24"/>
                <w:vertAlign w:val="superscript"/>
              </w:rPr>
              <w:t>2</w:t>
            </w:r>
            <w:r w:rsidRPr="00517C66">
              <w:rPr>
                <w:rFonts w:eastAsiaTheme="minorHAnsi"/>
                <w:color w:val="000000" w:themeColor="text1"/>
                <w:sz w:val="24"/>
                <w:szCs w:val="24"/>
              </w:rPr>
              <w:t>ML</w:t>
            </w:r>
          </w:p>
        </w:tc>
        <w:tc>
          <w:tcPr>
            <w:tcW w:w="2970" w:type="dxa"/>
          </w:tcPr>
          <w:p w14:paraId="646669A8" w14:textId="77777777" w:rsidR="00517C66" w:rsidRPr="00517C66" w:rsidRDefault="00517C66" w:rsidP="00517C66">
            <w:pPr>
              <w:pStyle w:val="BodyText"/>
              <w:numPr>
                <w:ilvl w:val="0"/>
                <w:numId w:val="37"/>
              </w:numPr>
              <w:spacing w:before="40" w:after="40" w:line="240" w:lineRule="auto"/>
              <w:ind w:left="176" w:hanging="180"/>
              <w:contextualSpacing w:val="0"/>
              <w:jc w:val="left"/>
              <w:rPr>
                <w:sz w:val="24"/>
                <w:szCs w:val="24"/>
                <w:lang w:eastAsia="ko-KR"/>
              </w:rPr>
            </w:pPr>
            <w:r w:rsidRPr="00517C66">
              <w:rPr>
                <w:sz w:val="24"/>
                <w:szCs w:val="24"/>
                <w:lang w:eastAsia="ko-KR"/>
              </w:rPr>
              <w:t>Component reliability models</w:t>
            </w:r>
          </w:p>
          <w:p w14:paraId="47F02D98" w14:textId="77777777" w:rsidR="00517C66" w:rsidRPr="00517C66" w:rsidRDefault="00517C66" w:rsidP="00517C66">
            <w:pPr>
              <w:pStyle w:val="BodyText"/>
              <w:numPr>
                <w:ilvl w:val="0"/>
                <w:numId w:val="37"/>
              </w:numPr>
              <w:spacing w:before="40" w:after="40" w:line="240" w:lineRule="auto"/>
              <w:ind w:left="176" w:hanging="180"/>
              <w:contextualSpacing w:val="0"/>
              <w:jc w:val="left"/>
              <w:rPr>
                <w:sz w:val="24"/>
                <w:szCs w:val="24"/>
                <w:lang w:eastAsia="ko-KR"/>
              </w:rPr>
            </w:pPr>
            <w:r w:rsidRPr="00517C66">
              <w:rPr>
                <w:sz w:val="24"/>
                <w:szCs w:val="24"/>
                <w:lang w:eastAsia="ko-KR"/>
              </w:rPr>
              <w:t xml:space="preserve">Margin based solver </w:t>
            </w:r>
          </w:p>
          <w:p w14:paraId="6411F8B5" w14:textId="77777777" w:rsidR="00517C66" w:rsidRPr="00517C66" w:rsidRDefault="00517C66" w:rsidP="00517C66">
            <w:pPr>
              <w:pStyle w:val="BodyText"/>
              <w:numPr>
                <w:ilvl w:val="0"/>
                <w:numId w:val="37"/>
              </w:numPr>
              <w:spacing w:before="40" w:after="40" w:line="240" w:lineRule="auto"/>
              <w:ind w:left="176" w:hanging="180"/>
              <w:contextualSpacing w:val="0"/>
              <w:jc w:val="left"/>
              <w:rPr>
                <w:sz w:val="24"/>
                <w:szCs w:val="24"/>
                <w:lang w:eastAsia="ko-KR"/>
              </w:rPr>
            </w:pPr>
            <w:r w:rsidRPr="00517C66">
              <w:rPr>
                <w:sz w:val="24"/>
                <w:szCs w:val="24"/>
                <w:lang w:eastAsia="ko-KR"/>
              </w:rPr>
              <w:t>Equipment reliability data analysis methods</w:t>
            </w:r>
          </w:p>
        </w:tc>
        <w:tc>
          <w:tcPr>
            <w:tcW w:w="2217" w:type="dxa"/>
            <w:vAlign w:val="center"/>
          </w:tcPr>
          <w:p w14:paraId="4D05F883" w14:textId="3CDDD7F5" w:rsidR="00517C66" w:rsidRPr="00B10B1B" w:rsidRDefault="002209D5" w:rsidP="00192A9D">
            <w:pPr>
              <w:pStyle w:val="BodyText"/>
              <w:spacing w:before="40" w:after="40" w:line="240" w:lineRule="auto"/>
              <w:ind w:firstLine="0"/>
              <w:jc w:val="center"/>
              <w:rPr>
                <w:sz w:val="24"/>
                <w:szCs w:val="24"/>
              </w:rPr>
            </w:pPr>
            <w:hyperlink r:id="rId10" w:history="1">
              <w:r w:rsidR="00B10B1B" w:rsidRPr="00B10B1B">
                <w:rPr>
                  <w:rStyle w:val="Hyperlink"/>
                  <w:sz w:val="24"/>
                  <w:szCs w:val="24"/>
                  <w:lang w:eastAsia="ko-KR"/>
                </w:rPr>
                <w:t>https://github.com/idaholab/sr</w:t>
              </w:r>
              <w:r w:rsidR="00B10B1B" w:rsidRPr="00B10B1B">
                <w:rPr>
                  <w:rStyle w:val="Hyperlink"/>
                  <w:sz w:val="24"/>
                  <w:szCs w:val="24"/>
                </w:rPr>
                <w:t>2ml</w:t>
              </w:r>
            </w:hyperlink>
          </w:p>
          <w:p w14:paraId="3E617335" w14:textId="6109B8DE" w:rsidR="00B10B1B" w:rsidRPr="00B10B1B" w:rsidRDefault="00B10B1B" w:rsidP="00192A9D">
            <w:pPr>
              <w:pStyle w:val="BodyText"/>
              <w:spacing w:before="40" w:after="40" w:line="240" w:lineRule="auto"/>
              <w:ind w:firstLine="0"/>
              <w:jc w:val="center"/>
              <w:rPr>
                <w:sz w:val="24"/>
                <w:szCs w:val="24"/>
                <w:lang w:eastAsia="ko-KR"/>
              </w:rPr>
            </w:pPr>
          </w:p>
        </w:tc>
        <w:tc>
          <w:tcPr>
            <w:tcW w:w="2598" w:type="dxa"/>
            <w:vAlign w:val="center"/>
          </w:tcPr>
          <w:p w14:paraId="207F2574" w14:textId="6DFA8231"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Open-source (Apache-2)</w:t>
            </w:r>
          </w:p>
        </w:tc>
      </w:tr>
      <w:tr w:rsidR="00517C66" w:rsidRPr="00517C66" w14:paraId="12048780" w14:textId="77777777" w:rsidTr="00192A9D">
        <w:trPr>
          <w:jc w:val="center"/>
        </w:trPr>
        <w:tc>
          <w:tcPr>
            <w:tcW w:w="1458" w:type="dxa"/>
            <w:vAlign w:val="center"/>
          </w:tcPr>
          <w:p w14:paraId="68E2323E" w14:textId="1DC65FDE"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LOGOS</w:t>
            </w:r>
          </w:p>
        </w:tc>
        <w:tc>
          <w:tcPr>
            <w:tcW w:w="2970" w:type="dxa"/>
          </w:tcPr>
          <w:p w14:paraId="650C0091" w14:textId="77777777" w:rsidR="00517C66" w:rsidRPr="00517C66" w:rsidRDefault="00517C66" w:rsidP="00517C66">
            <w:pPr>
              <w:pStyle w:val="BodyText"/>
              <w:numPr>
                <w:ilvl w:val="0"/>
                <w:numId w:val="39"/>
              </w:numPr>
              <w:spacing w:before="40" w:after="40" w:line="240" w:lineRule="auto"/>
              <w:ind w:left="149" w:hanging="180"/>
              <w:contextualSpacing w:val="0"/>
              <w:jc w:val="left"/>
              <w:rPr>
                <w:sz w:val="24"/>
                <w:szCs w:val="24"/>
                <w:lang w:eastAsia="ko-KR"/>
              </w:rPr>
            </w:pPr>
            <w:r w:rsidRPr="00517C66">
              <w:rPr>
                <w:sz w:val="24"/>
                <w:szCs w:val="24"/>
                <w:lang w:eastAsia="ko-KR"/>
              </w:rPr>
              <w:t>Project prioritization</w:t>
            </w:r>
          </w:p>
          <w:p w14:paraId="431620EE" w14:textId="187EA0E1" w:rsidR="00517C66" w:rsidRPr="00517C66" w:rsidRDefault="00517C66" w:rsidP="00517C66">
            <w:pPr>
              <w:pStyle w:val="BodyText"/>
              <w:numPr>
                <w:ilvl w:val="0"/>
                <w:numId w:val="39"/>
              </w:numPr>
              <w:spacing w:before="40" w:after="40" w:line="240" w:lineRule="auto"/>
              <w:ind w:left="149" w:hanging="180"/>
              <w:contextualSpacing w:val="0"/>
              <w:jc w:val="left"/>
              <w:rPr>
                <w:sz w:val="24"/>
                <w:szCs w:val="24"/>
                <w:lang w:eastAsia="ko-KR"/>
              </w:rPr>
            </w:pPr>
            <w:r w:rsidRPr="00517C66">
              <w:rPr>
                <w:sz w:val="24"/>
                <w:szCs w:val="24"/>
                <w:lang w:eastAsia="ko-KR"/>
              </w:rPr>
              <w:t>Project scheduling</w:t>
            </w:r>
          </w:p>
        </w:tc>
        <w:tc>
          <w:tcPr>
            <w:tcW w:w="2217" w:type="dxa"/>
            <w:vAlign w:val="center"/>
          </w:tcPr>
          <w:p w14:paraId="41EDEB99" w14:textId="719D8A49" w:rsidR="00517C66" w:rsidRPr="00B10B1B" w:rsidRDefault="002209D5" w:rsidP="00441F34">
            <w:pPr>
              <w:pStyle w:val="BodyText"/>
              <w:spacing w:before="40" w:after="40" w:line="240" w:lineRule="auto"/>
              <w:ind w:firstLine="0"/>
              <w:jc w:val="center"/>
              <w:rPr>
                <w:sz w:val="24"/>
                <w:szCs w:val="24"/>
                <w:lang w:eastAsia="ko-KR"/>
              </w:rPr>
            </w:pPr>
            <w:hyperlink r:id="rId11" w:history="1">
              <w:r w:rsidR="00B10B1B" w:rsidRPr="00B10B1B">
                <w:rPr>
                  <w:rStyle w:val="Hyperlink"/>
                  <w:sz w:val="24"/>
                  <w:szCs w:val="24"/>
                  <w:lang w:eastAsia="ko-KR"/>
                </w:rPr>
                <w:t>https://github.com/idaholab/logos</w:t>
              </w:r>
            </w:hyperlink>
          </w:p>
        </w:tc>
        <w:tc>
          <w:tcPr>
            <w:tcW w:w="2598" w:type="dxa"/>
            <w:vAlign w:val="center"/>
          </w:tcPr>
          <w:p w14:paraId="42FA2905" w14:textId="3B8D9730"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Open-source (Apache-2)</w:t>
            </w:r>
          </w:p>
        </w:tc>
      </w:tr>
      <w:tr w:rsidR="00517C66" w:rsidRPr="00517C66" w14:paraId="1C189366" w14:textId="77777777" w:rsidTr="00192A9D">
        <w:trPr>
          <w:jc w:val="center"/>
        </w:trPr>
        <w:tc>
          <w:tcPr>
            <w:tcW w:w="1458" w:type="dxa"/>
            <w:vAlign w:val="center"/>
          </w:tcPr>
          <w:p w14:paraId="52CEF571" w14:textId="2DB2764B" w:rsidR="00517C66" w:rsidRPr="00441F34" w:rsidRDefault="00517C66" w:rsidP="00517C66">
            <w:pPr>
              <w:pStyle w:val="BodyText"/>
              <w:spacing w:before="40" w:after="40" w:line="240" w:lineRule="auto"/>
              <w:ind w:firstLine="0"/>
              <w:jc w:val="center"/>
              <w:rPr>
                <w:sz w:val="24"/>
                <w:szCs w:val="24"/>
                <w:lang w:eastAsia="ko-KR"/>
              </w:rPr>
            </w:pPr>
            <w:r w:rsidRPr="00441F34">
              <w:rPr>
                <w:sz w:val="24"/>
                <w:szCs w:val="24"/>
                <w:lang w:eastAsia="ko-KR"/>
              </w:rPr>
              <w:lastRenderedPageBreak/>
              <w:t>EMRALD</w:t>
            </w:r>
          </w:p>
        </w:tc>
        <w:tc>
          <w:tcPr>
            <w:tcW w:w="2970" w:type="dxa"/>
          </w:tcPr>
          <w:p w14:paraId="383E1D16" w14:textId="77777777" w:rsidR="00517C66" w:rsidRPr="00441F34" w:rsidRDefault="00EA437F" w:rsidP="00EA437F">
            <w:pPr>
              <w:pStyle w:val="BodyText"/>
              <w:numPr>
                <w:ilvl w:val="0"/>
                <w:numId w:val="40"/>
              </w:numPr>
              <w:spacing w:before="40" w:after="40" w:line="240" w:lineRule="auto"/>
              <w:ind w:left="360"/>
              <w:contextualSpacing w:val="0"/>
              <w:jc w:val="left"/>
              <w:rPr>
                <w:sz w:val="24"/>
                <w:szCs w:val="24"/>
                <w:lang w:eastAsia="ko-KR"/>
              </w:rPr>
            </w:pPr>
            <w:r w:rsidRPr="00441F34">
              <w:rPr>
                <w:sz w:val="24"/>
                <w:szCs w:val="24"/>
                <w:lang w:eastAsia="ko-KR"/>
              </w:rPr>
              <w:t>Graphical user interface for model creation</w:t>
            </w:r>
          </w:p>
          <w:p w14:paraId="68AAD5E0" w14:textId="264616D7" w:rsidR="00EA437F" w:rsidRPr="00441F34" w:rsidRDefault="00EA437F" w:rsidP="00441F34">
            <w:pPr>
              <w:pStyle w:val="BodyText"/>
              <w:numPr>
                <w:ilvl w:val="0"/>
                <w:numId w:val="40"/>
              </w:numPr>
              <w:spacing w:before="40" w:after="40" w:line="240" w:lineRule="auto"/>
              <w:ind w:left="360"/>
              <w:contextualSpacing w:val="0"/>
              <w:jc w:val="left"/>
              <w:rPr>
                <w:sz w:val="24"/>
                <w:szCs w:val="24"/>
                <w:lang w:eastAsia="ko-KR"/>
              </w:rPr>
            </w:pPr>
            <w:r w:rsidRPr="00441F34">
              <w:rPr>
                <w:sz w:val="24"/>
                <w:szCs w:val="24"/>
                <w:lang w:eastAsia="ko-KR"/>
              </w:rPr>
              <w:t>Event-driven risk and reliability simulation</w:t>
            </w:r>
          </w:p>
        </w:tc>
        <w:tc>
          <w:tcPr>
            <w:tcW w:w="2217" w:type="dxa"/>
            <w:vAlign w:val="center"/>
          </w:tcPr>
          <w:p w14:paraId="042123DC" w14:textId="3AC64949" w:rsidR="00441F34" w:rsidRPr="00441F34" w:rsidRDefault="002209D5" w:rsidP="00441F34">
            <w:pPr>
              <w:pStyle w:val="BodyText"/>
              <w:spacing w:before="40" w:after="40" w:line="240" w:lineRule="auto"/>
              <w:ind w:firstLine="0"/>
              <w:jc w:val="center"/>
              <w:rPr>
                <w:sz w:val="24"/>
                <w:szCs w:val="24"/>
                <w:lang w:eastAsia="ko-KR"/>
              </w:rPr>
            </w:pPr>
            <w:hyperlink r:id="rId12" w:history="1">
              <w:r w:rsidR="00441F34" w:rsidRPr="00F249AF">
                <w:rPr>
                  <w:rStyle w:val="Hyperlink"/>
                  <w:sz w:val="24"/>
                  <w:szCs w:val="24"/>
                  <w:lang w:eastAsia="ko-KR"/>
                </w:rPr>
                <w:t>https://github.com/inl-labtrack/EMRALD</w:t>
              </w:r>
            </w:hyperlink>
          </w:p>
        </w:tc>
        <w:tc>
          <w:tcPr>
            <w:tcW w:w="2598" w:type="dxa"/>
            <w:vAlign w:val="center"/>
          </w:tcPr>
          <w:p w14:paraId="7CDBECCE" w14:textId="6368A3EE" w:rsidR="00517C66" w:rsidRPr="00517C66" w:rsidRDefault="00EA437F" w:rsidP="00517C66">
            <w:pPr>
              <w:pStyle w:val="BodyText"/>
              <w:spacing w:before="40" w:after="40" w:line="240" w:lineRule="auto"/>
              <w:ind w:firstLine="0"/>
              <w:jc w:val="center"/>
              <w:rPr>
                <w:sz w:val="24"/>
                <w:szCs w:val="24"/>
                <w:highlight w:val="yellow"/>
                <w:lang w:eastAsia="ko-KR"/>
              </w:rPr>
            </w:pPr>
            <w:r w:rsidRPr="00EA437F">
              <w:rPr>
                <w:sz w:val="24"/>
                <w:szCs w:val="24"/>
                <w:lang w:eastAsia="ko-KR"/>
              </w:rPr>
              <w:t>MIT License</w:t>
            </w:r>
          </w:p>
        </w:tc>
      </w:tr>
      <w:tr w:rsidR="00517C66" w:rsidRPr="00517C66" w14:paraId="0AAFE420" w14:textId="77777777" w:rsidTr="00192A9D">
        <w:trPr>
          <w:jc w:val="center"/>
        </w:trPr>
        <w:tc>
          <w:tcPr>
            <w:tcW w:w="1458" w:type="dxa"/>
            <w:vAlign w:val="center"/>
          </w:tcPr>
          <w:p w14:paraId="75DB6D91" w14:textId="77777777"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VERT</w:t>
            </w:r>
          </w:p>
        </w:tc>
        <w:tc>
          <w:tcPr>
            <w:tcW w:w="2970" w:type="dxa"/>
          </w:tcPr>
          <w:p w14:paraId="7E0758BF" w14:textId="3C32F9B8" w:rsidR="00517C66" w:rsidRPr="00517C66" w:rsidRDefault="00517C66" w:rsidP="00517C66">
            <w:pPr>
              <w:pStyle w:val="BodyText"/>
              <w:numPr>
                <w:ilvl w:val="0"/>
                <w:numId w:val="38"/>
              </w:numPr>
              <w:spacing w:before="40" w:after="40" w:line="240" w:lineRule="auto"/>
              <w:ind w:left="176" w:hanging="180"/>
              <w:contextualSpacing w:val="0"/>
              <w:jc w:val="left"/>
              <w:rPr>
                <w:sz w:val="24"/>
                <w:szCs w:val="24"/>
                <w:lang w:eastAsia="ko-KR"/>
              </w:rPr>
            </w:pPr>
            <w:r w:rsidRPr="00517C66">
              <w:rPr>
                <w:sz w:val="24"/>
                <w:szCs w:val="24"/>
                <w:lang w:eastAsia="ko-KR"/>
              </w:rPr>
              <w:t xml:space="preserve">LWR generation </w:t>
            </w:r>
            <w:r>
              <w:rPr>
                <w:sz w:val="24"/>
                <w:szCs w:val="24"/>
                <w:lang w:eastAsia="ko-KR"/>
              </w:rPr>
              <w:t xml:space="preserve">and probabilistic </w:t>
            </w:r>
            <w:r w:rsidRPr="00517C66">
              <w:rPr>
                <w:sz w:val="24"/>
                <w:szCs w:val="24"/>
                <w:lang w:eastAsia="ko-KR"/>
              </w:rPr>
              <w:t xml:space="preserve">risk assessment models </w:t>
            </w:r>
          </w:p>
          <w:p w14:paraId="7AE48800" w14:textId="77777777" w:rsidR="00517C66" w:rsidRPr="00517C66" w:rsidRDefault="00517C66" w:rsidP="00517C66">
            <w:pPr>
              <w:pStyle w:val="BodyText"/>
              <w:numPr>
                <w:ilvl w:val="0"/>
                <w:numId w:val="38"/>
              </w:numPr>
              <w:spacing w:before="40" w:after="40" w:line="240" w:lineRule="auto"/>
              <w:ind w:left="176" w:hanging="180"/>
              <w:contextualSpacing w:val="0"/>
              <w:jc w:val="left"/>
              <w:rPr>
                <w:sz w:val="24"/>
                <w:szCs w:val="24"/>
                <w:lang w:eastAsia="ko-KR"/>
              </w:rPr>
            </w:pPr>
            <w:r w:rsidRPr="00517C66">
              <w:rPr>
                <w:sz w:val="24"/>
                <w:szCs w:val="24"/>
                <w:lang w:eastAsia="ko-KR"/>
              </w:rPr>
              <w:t>LWR PRA models</w:t>
            </w:r>
          </w:p>
        </w:tc>
        <w:tc>
          <w:tcPr>
            <w:tcW w:w="2217" w:type="dxa"/>
            <w:vAlign w:val="center"/>
          </w:tcPr>
          <w:p w14:paraId="3C6DB7FD" w14:textId="3111EA48" w:rsidR="00517C66" w:rsidRDefault="002209D5" w:rsidP="00441F34">
            <w:pPr>
              <w:pStyle w:val="BodyText"/>
              <w:spacing w:before="40" w:after="40" w:line="240" w:lineRule="auto"/>
              <w:ind w:firstLine="0"/>
              <w:jc w:val="center"/>
              <w:rPr>
                <w:sz w:val="24"/>
                <w:szCs w:val="24"/>
                <w:lang w:eastAsia="ko-KR"/>
              </w:rPr>
            </w:pPr>
            <w:hyperlink r:id="rId13" w:history="1">
              <w:r w:rsidR="00E0295B" w:rsidRPr="00F249AF">
                <w:rPr>
                  <w:rStyle w:val="Hyperlink"/>
                  <w:sz w:val="24"/>
                  <w:szCs w:val="24"/>
                  <w:lang w:eastAsia="ko-KR"/>
                </w:rPr>
                <w:t>https://hpcgitlab.inl.gov/mandd/vert</w:t>
              </w:r>
            </w:hyperlink>
          </w:p>
          <w:p w14:paraId="162F9ADD" w14:textId="7596FCD0" w:rsidR="00E0295B" w:rsidRPr="00B10B1B" w:rsidRDefault="00E0295B" w:rsidP="00192A9D">
            <w:pPr>
              <w:pStyle w:val="BodyText"/>
              <w:spacing w:before="40" w:after="40" w:line="240" w:lineRule="auto"/>
              <w:ind w:firstLine="0"/>
              <w:jc w:val="center"/>
              <w:rPr>
                <w:sz w:val="24"/>
                <w:szCs w:val="24"/>
                <w:lang w:eastAsia="ko-KR"/>
              </w:rPr>
            </w:pPr>
          </w:p>
        </w:tc>
        <w:tc>
          <w:tcPr>
            <w:tcW w:w="2598" w:type="dxa"/>
            <w:vAlign w:val="center"/>
          </w:tcPr>
          <w:p w14:paraId="2C426881" w14:textId="06697163" w:rsidR="00517C66" w:rsidRPr="00517C66" w:rsidRDefault="00517C66" w:rsidP="00517C66">
            <w:pPr>
              <w:pStyle w:val="BodyText"/>
              <w:spacing w:before="40" w:after="40" w:line="240" w:lineRule="auto"/>
              <w:ind w:firstLine="0"/>
              <w:jc w:val="center"/>
              <w:rPr>
                <w:sz w:val="24"/>
                <w:szCs w:val="24"/>
                <w:lang w:eastAsia="ko-KR"/>
              </w:rPr>
            </w:pPr>
            <w:r w:rsidRPr="00517C66">
              <w:rPr>
                <w:sz w:val="24"/>
                <w:szCs w:val="24"/>
                <w:lang w:eastAsia="ko-KR"/>
              </w:rPr>
              <w:t>Release through NDA (to be released open source soon)</w:t>
            </w:r>
          </w:p>
        </w:tc>
      </w:tr>
    </w:tbl>
    <w:p w14:paraId="60501B4D" w14:textId="7F236805" w:rsidR="003E4135" w:rsidRDefault="003E4135" w:rsidP="009F497E">
      <w:pPr>
        <w:overflowPunct/>
        <w:autoSpaceDE/>
        <w:autoSpaceDN/>
        <w:adjustRightInd/>
        <w:spacing w:before="280" w:after="280"/>
        <w:jc w:val="both"/>
        <w:textAlignment w:val="auto"/>
        <w:rPr>
          <w:rFonts w:eastAsiaTheme="minorHAnsi"/>
          <w:sz w:val="24"/>
          <w:szCs w:val="24"/>
          <w:lang w:eastAsia="ar-SA"/>
        </w:rPr>
      </w:pPr>
      <w:r w:rsidRPr="003E4135">
        <w:rPr>
          <w:rFonts w:eastAsiaTheme="minorHAnsi"/>
          <w:sz w:val="24"/>
          <w:szCs w:val="24"/>
          <w:lang w:eastAsia="ar-SA"/>
        </w:rPr>
        <w:t>RAVEN is a software framework that is designed to perform parametric and stochastic analyses based on the response of complex systems codes. It can communicate directly with the system codes described above, which are currently used to perform plant safety analyses. The provided Application Programming Interfaces allow RAVEN to interact with any code if all the parameters that need to be perturbed are accessible by input files or via python interfaces. RAVEN is capable of investigating system response and exploring input spaces using various sampling schemes, such as Monte Carlo, grid, or Latin hypercube. However, RAVEN’s strength lies in its system feature discovery capabilities such as constructing limit surfaces, separating regions of the input space leading to system failure, and using dynamic supervised learning techniques.</w:t>
      </w:r>
    </w:p>
    <w:p w14:paraId="1E4BE0EA" w14:textId="3DE7F846" w:rsidR="00517C66" w:rsidRDefault="00517C66" w:rsidP="009F497E">
      <w:pPr>
        <w:overflowPunct/>
        <w:autoSpaceDE/>
        <w:autoSpaceDN/>
        <w:adjustRightInd/>
        <w:spacing w:before="280" w:after="280"/>
        <w:jc w:val="both"/>
        <w:textAlignment w:val="auto"/>
        <w:rPr>
          <w:rFonts w:eastAsiaTheme="minorHAnsi"/>
          <w:sz w:val="24"/>
          <w:szCs w:val="24"/>
          <w:lang w:eastAsia="ar-SA"/>
        </w:rPr>
      </w:pPr>
      <w:r w:rsidRPr="00517C66">
        <w:rPr>
          <w:rFonts w:eastAsiaTheme="minorHAnsi"/>
          <w:sz w:val="24"/>
          <w:szCs w:val="24"/>
          <w:lang w:eastAsia="ar-SA"/>
        </w:rPr>
        <w:t>The Safety, Risk, Reliability Model Library (SR2ML) is a software package that contains a set of reliability models designed to be interfaced with the INL developed RAVEN code. These models can be employed to perform both static and dynamic system risk analysis and determine risk importance of specific elements of the considered system. Two classes of reliability models have been developed; the first class includes all classical reliability models (</w:t>
      </w:r>
      <w:r w:rsidR="00F1116C">
        <w:rPr>
          <w:rFonts w:eastAsiaTheme="minorHAnsi"/>
          <w:sz w:val="24"/>
          <w:szCs w:val="24"/>
          <w:lang w:eastAsia="ar-SA"/>
        </w:rPr>
        <w:t>fault trees</w:t>
      </w:r>
      <w:r w:rsidRPr="00517C66">
        <w:rPr>
          <w:rFonts w:eastAsiaTheme="minorHAnsi"/>
          <w:sz w:val="24"/>
          <w:szCs w:val="24"/>
          <w:lang w:eastAsia="ar-SA"/>
        </w:rPr>
        <w:t xml:space="preserve">, </w:t>
      </w:r>
      <w:r w:rsidR="00F1116C">
        <w:rPr>
          <w:rFonts w:eastAsiaTheme="minorHAnsi"/>
          <w:sz w:val="24"/>
          <w:szCs w:val="24"/>
          <w:lang w:eastAsia="ar-SA"/>
        </w:rPr>
        <w:t>event trees</w:t>
      </w:r>
      <w:r w:rsidRPr="00517C66">
        <w:rPr>
          <w:rFonts w:eastAsiaTheme="minorHAnsi"/>
          <w:sz w:val="24"/>
          <w:szCs w:val="24"/>
          <w:lang w:eastAsia="ar-SA"/>
        </w:rPr>
        <w:t>, Markov models and reliability block diagrams) which have been extended to deal not only with Boolean logic values but also time dependent values. The second class includes several component ageing models. Models included in these two classes are designed to be included in a RAVEN ensemble model to perform time dependent system reliability analysis (e.g., dynamic analysis). Similarly, these models can be interfaced with system analysis codes within RAVEN to determine failure time of systems and evaluate accident progression (static analysis).</w:t>
      </w:r>
    </w:p>
    <w:p w14:paraId="28E77F40" w14:textId="0C5A84E0" w:rsidR="00517C66" w:rsidRDefault="00517C66" w:rsidP="009F497E">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LOGOS</w:t>
      </w:r>
      <w:r w:rsidRPr="00517C66">
        <w:rPr>
          <w:rFonts w:eastAsiaTheme="minorHAnsi"/>
          <w:sz w:val="24"/>
          <w:szCs w:val="24"/>
          <w:lang w:eastAsia="ar-SA"/>
        </w:rPr>
        <w:t xml:space="preserve"> contains a set of discrete optimization models that can be employed for capital budgeting optimization problems. LOGOS integrates economic and reliability risk in a single analysis framework. More specifically, provided SSC health information (e.g., failure rate or failure probability), </w:t>
      </w:r>
      <w:r w:rsidR="00F1116C">
        <w:rPr>
          <w:rFonts w:eastAsiaTheme="minorHAnsi"/>
          <w:sz w:val="24"/>
          <w:szCs w:val="24"/>
          <w:lang w:eastAsia="ar-SA"/>
        </w:rPr>
        <w:t xml:space="preserve">operational and </w:t>
      </w:r>
      <w:r w:rsidR="00441F34">
        <w:rPr>
          <w:rFonts w:eastAsiaTheme="minorHAnsi"/>
          <w:sz w:val="24"/>
          <w:szCs w:val="24"/>
          <w:lang w:eastAsia="ar-SA"/>
        </w:rPr>
        <w:t>maintenance</w:t>
      </w:r>
      <w:r w:rsidRPr="00517C66">
        <w:rPr>
          <w:rFonts w:eastAsiaTheme="minorHAnsi"/>
          <w:sz w:val="24"/>
          <w:szCs w:val="24"/>
          <w:lang w:eastAsia="ar-SA"/>
        </w:rPr>
        <w:t xml:space="preserve"> costs, replacement costs, cost associated with component failure, and plant budget constraints, LOGOS provides the optimal set of projects (e.g., SSC replacement or refurbishment) that maximizes profit and satisfies the provided requirements. The input data listed above can be either deterministic or stochastic in nature, i.e., they can be point values or probability distribution functions. In the latter case, several scenarios are generated by sampling of the provided distributions. The developed models are based on different versions of the knapsack optimization problem. Two main classes of optimization models have been initially developed: deterministic and stochastic. Stochastic optimization models evolve deterministic models by explicitly considering data uncertainties (associated to constraints or item cost and reward). These models can be employed as </w:t>
      </w:r>
      <w:r w:rsidRPr="00517C66">
        <w:rPr>
          <w:rFonts w:eastAsiaTheme="minorHAnsi"/>
          <w:sz w:val="24"/>
          <w:szCs w:val="24"/>
          <w:lang w:eastAsia="ar-SA"/>
        </w:rPr>
        <w:lastRenderedPageBreak/>
        <w:t xml:space="preserve">standalone models or interfaced with the INL developed RAVEN code to propagate data uncertainties and </w:t>
      </w:r>
      <w:r w:rsidR="000A67D1" w:rsidRPr="00517C66">
        <w:rPr>
          <w:rFonts w:eastAsiaTheme="minorHAnsi"/>
          <w:sz w:val="24"/>
          <w:szCs w:val="24"/>
          <w:lang w:eastAsia="ar-SA"/>
        </w:rPr>
        <w:t>analyse</w:t>
      </w:r>
      <w:r w:rsidRPr="00517C66">
        <w:rPr>
          <w:rFonts w:eastAsiaTheme="minorHAnsi"/>
          <w:sz w:val="24"/>
          <w:szCs w:val="24"/>
          <w:lang w:eastAsia="ar-SA"/>
        </w:rPr>
        <w:t xml:space="preserve"> the generated data (i.e., sensitivity analysis).</w:t>
      </w:r>
    </w:p>
    <w:p w14:paraId="72A6B7B0" w14:textId="2D9D533D" w:rsidR="003E4135" w:rsidRDefault="003E4135" w:rsidP="009F497E">
      <w:pPr>
        <w:overflowPunct/>
        <w:autoSpaceDE/>
        <w:autoSpaceDN/>
        <w:adjustRightInd/>
        <w:spacing w:before="280" w:after="280"/>
        <w:jc w:val="both"/>
        <w:textAlignment w:val="auto"/>
        <w:rPr>
          <w:rFonts w:eastAsiaTheme="minorHAnsi"/>
          <w:sz w:val="24"/>
          <w:szCs w:val="24"/>
          <w:lang w:eastAsia="ar-SA"/>
        </w:rPr>
      </w:pPr>
      <w:r w:rsidRPr="003E4135">
        <w:rPr>
          <w:rFonts w:eastAsiaTheme="minorHAnsi"/>
          <w:sz w:val="24"/>
          <w:szCs w:val="24"/>
          <w:lang w:eastAsia="ar-SA"/>
        </w:rPr>
        <w:t>EMRALD is a state-based discrete event simulation tool that can calculate system failure probabilities, couple multiple simulations, and perform dynamic PRA. A key part of the EMRALD tool is to develop an object-oriented model that is flexible enough to support the varied dynamic simulation models (e.g., fails to operate, fails on demand). By having a state-based approach, it can integrate different hazards into a single comprehensive model. For example, a single model can include fire-, flooding-, transient-, and seismic-initiating events. Each of these events becomes a trigger into the state-based approach that tells the model to make a transition based upon the specific initiator.</w:t>
      </w:r>
      <w:r w:rsidR="00F1116C">
        <w:rPr>
          <w:rFonts w:eastAsiaTheme="minorHAnsi"/>
          <w:sz w:val="24"/>
          <w:szCs w:val="24"/>
          <w:lang w:eastAsia="ar-SA"/>
        </w:rPr>
        <w:t xml:space="preserve"> A graphical user interface is available to create complex, nested-types models.</w:t>
      </w:r>
    </w:p>
    <w:p w14:paraId="47FFFF91" w14:textId="548B51A6" w:rsidR="00517C66" w:rsidRPr="00DF3A79" w:rsidRDefault="00986728" w:rsidP="00986728">
      <w:pPr>
        <w:overflowPunct/>
        <w:autoSpaceDE/>
        <w:autoSpaceDN/>
        <w:adjustRightInd/>
        <w:spacing w:before="280" w:after="280"/>
        <w:jc w:val="both"/>
        <w:textAlignment w:val="auto"/>
        <w:rPr>
          <w:rFonts w:eastAsiaTheme="minorHAnsi"/>
          <w:sz w:val="24"/>
          <w:szCs w:val="24"/>
          <w:lang w:eastAsia="ar-SA"/>
        </w:rPr>
      </w:pPr>
      <w:r w:rsidRPr="00986728">
        <w:rPr>
          <w:rFonts w:eastAsiaTheme="minorHAnsi"/>
          <w:sz w:val="24"/>
          <w:szCs w:val="24"/>
          <w:lang w:eastAsia="ar-SA"/>
        </w:rPr>
        <w:t xml:space="preserve">Generation Risk Assessment (GRA) is a systematic method for prioritizing SSCs based on the estimated impact on the loss of future electricity generation. GRA is a useful tool in supporting </w:t>
      </w:r>
      <w:r w:rsidR="00441F34">
        <w:rPr>
          <w:rFonts w:eastAsiaTheme="minorHAnsi"/>
          <w:sz w:val="24"/>
          <w:szCs w:val="24"/>
          <w:lang w:eastAsia="ar-SA"/>
        </w:rPr>
        <w:t>equipment reliability (</w:t>
      </w:r>
      <w:r w:rsidRPr="00986728">
        <w:rPr>
          <w:rFonts w:eastAsiaTheme="minorHAnsi"/>
          <w:sz w:val="24"/>
          <w:szCs w:val="24"/>
          <w:lang w:eastAsia="ar-SA"/>
        </w:rPr>
        <w:t>ER</w:t>
      </w:r>
      <w:r w:rsidR="00441F34">
        <w:rPr>
          <w:rFonts w:eastAsiaTheme="minorHAnsi"/>
          <w:sz w:val="24"/>
          <w:szCs w:val="24"/>
          <w:lang w:eastAsia="ar-SA"/>
        </w:rPr>
        <w:t>)</w:t>
      </w:r>
      <w:r w:rsidRPr="00986728">
        <w:rPr>
          <w:rFonts w:eastAsiaTheme="minorHAnsi"/>
          <w:sz w:val="24"/>
          <w:szCs w:val="24"/>
          <w:lang w:eastAsia="ar-SA"/>
        </w:rPr>
        <w:t xml:space="preserve"> </w:t>
      </w:r>
      <w:r w:rsidR="003A35CE" w:rsidRPr="00986728">
        <w:rPr>
          <w:rFonts w:eastAsiaTheme="minorHAnsi"/>
          <w:sz w:val="24"/>
          <w:szCs w:val="24"/>
          <w:lang w:eastAsia="ar-SA"/>
        </w:rPr>
        <w:t>programs,</w:t>
      </w:r>
      <w:r w:rsidRPr="00986728">
        <w:rPr>
          <w:rFonts w:eastAsiaTheme="minorHAnsi"/>
          <w:sz w:val="24"/>
          <w:szCs w:val="24"/>
          <w:lang w:eastAsia="ar-SA"/>
        </w:rPr>
        <w:t xml:space="preserve"> but construction of the models is time consuming and costly. The Versatile Economic Risk Tool (VERT) eliminates the time and costs associated with developing the GRA model. VERT quickly and effectively evaluates the economic risk that systems and sub-systems impose on NPPs. ER programs coupled with VERT can improve operational performance. Knowing what systems and sub-systems contribute the most to derates at NPPs can give valuable insight to maintenance and inspection activities. Improvement of NPP operational performance also can directly result in safety improvements and reduced risks.</w:t>
      </w:r>
      <w:r>
        <w:rPr>
          <w:rFonts w:eastAsiaTheme="minorHAnsi"/>
          <w:sz w:val="24"/>
          <w:szCs w:val="24"/>
          <w:lang w:eastAsia="ar-SA"/>
        </w:rPr>
        <w:t xml:space="preserve"> </w:t>
      </w:r>
      <w:r w:rsidRPr="00986728">
        <w:rPr>
          <w:rFonts w:eastAsiaTheme="minorHAnsi"/>
          <w:sz w:val="24"/>
          <w:szCs w:val="24"/>
          <w:lang w:eastAsia="ar-SA"/>
        </w:rPr>
        <w:t xml:space="preserve">Understanding the degradation of </w:t>
      </w:r>
      <w:r w:rsidR="00F1116C">
        <w:rPr>
          <w:rFonts w:eastAsiaTheme="minorHAnsi"/>
          <w:sz w:val="24"/>
          <w:szCs w:val="24"/>
          <w:lang w:eastAsia="ar-SA"/>
        </w:rPr>
        <w:t>systems, structures, and components</w:t>
      </w:r>
      <w:r w:rsidRPr="00986728">
        <w:rPr>
          <w:rFonts w:eastAsiaTheme="minorHAnsi"/>
          <w:sz w:val="24"/>
          <w:szCs w:val="24"/>
          <w:lang w:eastAsia="ar-SA"/>
        </w:rPr>
        <w:t xml:space="preserve"> has become vital for establishing long active periods of NPP operation. Several programs, including the proactive management of materials </w:t>
      </w:r>
      <w:proofErr w:type="gramStart"/>
      <w:r w:rsidRPr="00986728">
        <w:rPr>
          <w:rFonts w:eastAsiaTheme="minorHAnsi"/>
          <w:sz w:val="24"/>
          <w:szCs w:val="24"/>
          <w:lang w:eastAsia="ar-SA"/>
        </w:rPr>
        <w:t>degradation  program</w:t>
      </w:r>
      <w:proofErr w:type="gramEnd"/>
      <w:r w:rsidRPr="00986728">
        <w:rPr>
          <w:rFonts w:eastAsiaTheme="minorHAnsi"/>
          <w:sz w:val="24"/>
          <w:szCs w:val="24"/>
          <w:lang w:eastAsia="ar-SA"/>
        </w:rPr>
        <w:t xml:space="preserve"> developed by the NRC, have been undertaken to address the SSC degradation. VERT introduces time-dependent capabilities into GRA </w:t>
      </w:r>
      <w:r w:rsidR="00B45C5D" w:rsidRPr="00986728">
        <w:rPr>
          <w:rFonts w:eastAsiaTheme="minorHAnsi"/>
          <w:sz w:val="24"/>
          <w:szCs w:val="24"/>
          <w:lang w:eastAsia="ar-SA"/>
        </w:rPr>
        <w:t>modelling</w:t>
      </w:r>
      <w:r w:rsidRPr="00986728">
        <w:rPr>
          <w:rFonts w:eastAsiaTheme="minorHAnsi"/>
          <w:sz w:val="24"/>
          <w:szCs w:val="24"/>
          <w:lang w:eastAsia="ar-SA"/>
        </w:rPr>
        <w:t xml:space="preserve">. VERT can directly use the knowledge gained from degradation programs to provide time-dependent analysis of </w:t>
      </w:r>
      <w:r w:rsidR="00F1116C">
        <w:rPr>
          <w:rFonts w:eastAsiaTheme="minorHAnsi"/>
          <w:sz w:val="24"/>
          <w:szCs w:val="24"/>
          <w:lang w:eastAsia="ar-SA"/>
        </w:rPr>
        <w:t>component</w:t>
      </w:r>
      <w:r w:rsidRPr="00986728">
        <w:rPr>
          <w:rFonts w:eastAsiaTheme="minorHAnsi"/>
          <w:sz w:val="24"/>
          <w:szCs w:val="24"/>
          <w:lang w:eastAsia="ar-SA"/>
        </w:rPr>
        <w:t xml:space="preserve"> economic risks.</w:t>
      </w: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55371E54" w14:textId="2E10C521" w:rsidR="00335FB5" w:rsidRPr="00993278" w:rsidRDefault="00335FB5" w:rsidP="00335FB5">
      <w:pPr>
        <w:pStyle w:val="Referencelist"/>
        <w:ind w:left="360"/>
        <w:rPr>
          <w:sz w:val="24"/>
          <w:szCs w:val="24"/>
        </w:rPr>
      </w:pPr>
      <w:r w:rsidRPr="00993278">
        <w:rPr>
          <w:sz w:val="24"/>
          <w:szCs w:val="24"/>
        </w:rPr>
        <w:t xml:space="preserve">A. Alfonsi, C. </w:t>
      </w:r>
      <w:proofErr w:type="spellStart"/>
      <w:r w:rsidRPr="00993278">
        <w:rPr>
          <w:sz w:val="24"/>
          <w:szCs w:val="24"/>
        </w:rPr>
        <w:t>Rabiti</w:t>
      </w:r>
      <w:proofErr w:type="spellEnd"/>
      <w:r w:rsidRPr="00993278">
        <w:rPr>
          <w:sz w:val="24"/>
          <w:szCs w:val="24"/>
        </w:rPr>
        <w:t xml:space="preserve">, D. Mandelli, J. </w:t>
      </w:r>
      <w:proofErr w:type="spellStart"/>
      <w:r w:rsidRPr="00993278">
        <w:rPr>
          <w:sz w:val="24"/>
          <w:szCs w:val="24"/>
        </w:rPr>
        <w:t>Cogliati</w:t>
      </w:r>
      <w:proofErr w:type="spellEnd"/>
      <w:r w:rsidRPr="00993278">
        <w:rPr>
          <w:sz w:val="24"/>
          <w:szCs w:val="24"/>
        </w:rPr>
        <w:t xml:space="preserve">, C. Wang, P. W. Talbot, D. P. </w:t>
      </w:r>
      <w:proofErr w:type="spellStart"/>
      <w:r w:rsidRPr="00993278">
        <w:rPr>
          <w:sz w:val="24"/>
          <w:szCs w:val="24"/>
        </w:rPr>
        <w:t>Maljovec</w:t>
      </w:r>
      <w:proofErr w:type="spellEnd"/>
      <w:r w:rsidRPr="00993278">
        <w:rPr>
          <w:sz w:val="24"/>
          <w:szCs w:val="24"/>
        </w:rPr>
        <w:t xml:space="preserve">, C. Smith, “RAVEN User Guide,” Tech. Rep. INL/EXT-18-44465, Idaho National Laboratory (2020). </w:t>
      </w:r>
    </w:p>
    <w:p w14:paraId="1D2F867C" w14:textId="4990DB3A" w:rsidR="00335FB5" w:rsidRPr="00993278" w:rsidRDefault="00335FB5" w:rsidP="00335FB5">
      <w:pPr>
        <w:pStyle w:val="Referencelist"/>
        <w:ind w:left="360"/>
        <w:rPr>
          <w:sz w:val="24"/>
          <w:szCs w:val="24"/>
        </w:rPr>
      </w:pPr>
      <w:r w:rsidRPr="00993278">
        <w:rPr>
          <w:sz w:val="24"/>
          <w:szCs w:val="24"/>
        </w:rPr>
        <w:t xml:space="preserve">D. Mandelli, C. Wang, M. Abdo, A. Alfonsi, P. Talbot, J. </w:t>
      </w:r>
      <w:proofErr w:type="spellStart"/>
      <w:r w:rsidRPr="00993278">
        <w:rPr>
          <w:sz w:val="24"/>
          <w:szCs w:val="24"/>
        </w:rPr>
        <w:t>Cogliati</w:t>
      </w:r>
      <w:proofErr w:type="spellEnd"/>
      <w:r w:rsidRPr="00993278">
        <w:rPr>
          <w:sz w:val="24"/>
          <w:szCs w:val="24"/>
        </w:rPr>
        <w:t xml:space="preserve">, C. Smith, D. Morton, I. Popova, S. Hess, “Development and Application of a Risk Analysis Toolkit for Plant Resources Optimization,” Tech. Rep. INL-EXT-20-59942, Idaho National Laboratory (2020). </w:t>
      </w:r>
    </w:p>
    <w:p w14:paraId="09166B91" w14:textId="640178EA" w:rsidR="00335FB5" w:rsidRPr="00993278" w:rsidRDefault="00335FB5" w:rsidP="00335FB5">
      <w:pPr>
        <w:pStyle w:val="Referencelist"/>
        <w:ind w:left="360"/>
        <w:rPr>
          <w:sz w:val="24"/>
          <w:szCs w:val="24"/>
        </w:rPr>
      </w:pPr>
      <w:r w:rsidRPr="00993278">
        <w:rPr>
          <w:sz w:val="24"/>
          <w:szCs w:val="24"/>
        </w:rPr>
        <w:t xml:space="preserve">D. Mandelli, C. Wang, J. </w:t>
      </w:r>
      <w:proofErr w:type="spellStart"/>
      <w:r w:rsidRPr="00993278">
        <w:rPr>
          <w:sz w:val="24"/>
          <w:szCs w:val="24"/>
        </w:rPr>
        <w:t>Cogliati</w:t>
      </w:r>
      <w:proofErr w:type="spellEnd"/>
      <w:r w:rsidRPr="00993278">
        <w:rPr>
          <w:sz w:val="24"/>
          <w:szCs w:val="24"/>
        </w:rPr>
        <w:t xml:space="preserve">, C. Smith, S. Hess, R. Sugrue, C. Pope, J. Miller, S. </w:t>
      </w:r>
      <w:proofErr w:type="spellStart"/>
      <w:r w:rsidRPr="00993278">
        <w:rPr>
          <w:sz w:val="24"/>
          <w:szCs w:val="24"/>
        </w:rPr>
        <w:t>Ercanbrack</w:t>
      </w:r>
      <w:proofErr w:type="spellEnd"/>
      <w:r w:rsidRPr="00993278">
        <w:rPr>
          <w:sz w:val="24"/>
          <w:szCs w:val="24"/>
        </w:rPr>
        <w:t xml:space="preserve">, D. Cole, J. </w:t>
      </w:r>
      <w:proofErr w:type="spellStart"/>
      <w:r w:rsidRPr="00993278">
        <w:rPr>
          <w:sz w:val="24"/>
          <w:szCs w:val="24"/>
        </w:rPr>
        <w:t>Yurko</w:t>
      </w:r>
      <w:proofErr w:type="spellEnd"/>
      <w:r w:rsidRPr="00993278">
        <w:rPr>
          <w:sz w:val="24"/>
          <w:szCs w:val="24"/>
        </w:rPr>
        <w:t>, “Integration of Data Analytics with Plant System Health Program,” Tech. Rep. INL/EXT-20-59928, Idaho National Laboratory (2020).</w:t>
      </w:r>
    </w:p>
    <w:p w14:paraId="7F5920B9" w14:textId="39AB7EDC" w:rsidR="00F11800" w:rsidRPr="00993278" w:rsidRDefault="00335FB5" w:rsidP="00335FB5">
      <w:pPr>
        <w:pStyle w:val="Referencelist"/>
        <w:ind w:left="360"/>
        <w:rPr>
          <w:sz w:val="24"/>
          <w:szCs w:val="24"/>
        </w:rPr>
      </w:pPr>
      <w:r w:rsidRPr="00993278">
        <w:rPr>
          <w:sz w:val="24"/>
          <w:szCs w:val="24"/>
        </w:rPr>
        <w:t xml:space="preserve"> </w:t>
      </w:r>
      <w:r w:rsidR="00EA437F" w:rsidRPr="00993278">
        <w:rPr>
          <w:sz w:val="24"/>
          <w:szCs w:val="24"/>
        </w:rPr>
        <w:t>https://emrald.inl.gov</w:t>
      </w:r>
    </w:p>
    <w:p w14:paraId="48023649" w14:textId="078F115F" w:rsidR="00F11800" w:rsidRPr="00993278" w:rsidRDefault="00BA6594" w:rsidP="00BA6594">
      <w:pPr>
        <w:pStyle w:val="Referencelist"/>
        <w:ind w:left="360"/>
        <w:rPr>
          <w:sz w:val="24"/>
          <w:szCs w:val="24"/>
        </w:rPr>
      </w:pPr>
      <w:r w:rsidRPr="00993278">
        <w:rPr>
          <w:sz w:val="24"/>
          <w:szCs w:val="24"/>
        </w:rPr>
        <w:t xml:space="preserve">D. Mandelli, Z. Ma, R. Youngblood, S. St Germain, C. Smith, P. Talbot, S. Hess, D. Dube, C. Pope, J. Miller, M. Robbins, D. Das, M. </w:t>
      </w:r>
      <w:proofErr w:type="spellStart"/>
      <w:r w:rsidRPr="00993278">
        <w:rPr>
          <w:sz w:val="24"/>
          <w:szCs w:val="24"/>
        </w:rPr>
        <w:t>Azarian</w:t>
      </w:r>
      <w:proofErr w:type="spellEnd"/>
      <w:r w:rsidRPr="00993278">
        <w:rPr>
          <w:sz w:val="24"/>
          <w:szCs w:val="24"/>
        </w:rPr>
        <w:t xml:space="preserve">, J. Coble, “Plant Integral Risk-informed System Health Program,” Tech. Rep.INL-EXT-19-55808, Idaho National Laboratory </w:t>
      </w:r>
      <w:r w:rsidR="00192A9D" w:rsidRPr="00993278">
        <w:rPr>
          <w:sz w:val="24"/>
          <w:szCs w:val="24"/>
        </w:rPr>
        <w:t>(2019).</w:t>
      </w:r>
    </w:p>
    <w:sectPr w:rsidR="00F11800" w:rsidRPr="00993278" w:rsidSect="0026525A">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D63B" w14:textId="77777777" w:rsidR="002209D5" w:rsidRDefault="002209D5">
      <w:r>
        <w:separator/>
      </w:r>
    </w:p>
  </w:endnote>
  <w:endnote w:type="continuationSeparator" w:id="0">
    <w:p w14:paraId="0C14ECB6" w14:textId="77777777" w:rsidR="002209D5" w:rsidRDefault="0022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A2B0" w14:textId="77777777" w:rsidR="002209D5" w:rsidRDefault="002209D5">
      <w:r>
        <w:t>___________________________________________________________________________</w:t>
      </w:r>
    </w:p>
  </w:footnote>
  <w:footnote w:type="continuationSeparator" w:id="0">
    <w:p w14:paraId="134C9668" w14:textId="77777777" w:rsidR="002209D5" w:rsidRDefault="002209D5">
      <w:r>
        <w:t>___________________________________________________________________________</w:t>
      </w:r>
    </w:p>
  </w:footnote>
  <w:footnote w:type="continuationNotice" w:id="1">
    <w:p w14:paraId="428BE6BA" w14:textId="77777777" w:rsidR="002209D5" w:rsidRDefault="00220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3055317"/>
    <w:multiLevelType w:val="hybridMultilevel"/>
    <w:tmpl w:val="BE2E6F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18238DB"/>
    <w:multiLevelType w:val="hybridMultilevel"/>
    <w:tmpl w:val="E0F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237EA"/>
    <w:multiLevelType w:val="hybridMultilevel"/>
    <w:tmpl w:val="9A02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64F3A"/>
    <w:multiLevelType w:val="multilevel"/>
    <w:tmpl w:val="7A301086"/>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2016"/>
        </w:tabs>
        <w:ind w:left="0" w:firstLine="576"/>
      </w:pPr>
      <w:rPr>
        <w:rFonts w:hint="default"/>
      </w:rPr>
    </w:lvl>
    <w:lvl w:ilvl="5">
      <w:start w:val="1"/>
      <w:numFmt w:val="decimal"/>
      <w:lvlText w:val="%1.%2.%3.%4.%5.%6"/>
      <w:lvlJc w:val="left"/>
      <w:pPr>
        <w:tabs>
          <w:tab w:val="num" w:pos="2592"/>
        </w:tabs>
        <w:ind w:left="0" w:firstLine="1152"/>
      </w:pPr>
      <w:rPr>
        <w:rFonts w:hint="default"/>
      </w:rPr>
    </w:lvl>
    <w:lvl w:ilvl="6">
      <w:start w:val="1"/>
      <w:numFmt w:val="decimal"/>
      <w:lvlText w:val="%1.%2.%3.%4.%5.%6.%7"/>
      <w:lvlJc w:val="left"/>
      <w:pPr>
        <w:tabs>
          <w:tab w:val="num" w:pos="3528"/>
        </w:tabs>
        <w:ind w:left="-576" w:firstLine="2304"/>
      </w:pPr>
      <w:rPr>
        <w:rFonts w:hint="default"/>
      </w:rPr>
    </w:lvl>
    <w:lvl w:ilvl="7">
      <w:start w:val="1"/>
      <w:numFmt w:val="decimal"/>
      <w:lvlText w:val="%1.%2.%3.%4.%5.%6.%7.%8"/>
      <w:lvlJc w:val="left"/>
      <w:pPr>
        <w:tabs>
          <w:tab w:val="num" w:pos="4104"/>
        </w:tabs>
        <w:ind w:left="-576" w:firstLine="2880"/>
      </w:pPr>
      <w:rPr>
        <w:rFonts w:hint="default"/>
      </w:rPr>
    </w:lvl>
    <w:lvl w:ilvl="8">
      <w:start w:val="1"/>
      <w:numFmt w:val="decimal"/>
      <w:lvlText w:val="%1.%2.%3.%4.%5.%6.%7.%8.%9"/>
      <w:lvlJc w:val="left"/>
      <w:pPr>
        <w:tabs>
          <w:tab w:val="num" w:pos="5040"/>
        </w:tabs>
        <w:ind w:left="-576" w:firstLine="3456"/>
      </w:pPr>
      <w:rPr>
        <w:rFont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0DB4D55"/>
    <w:multiLevelType w:val="hybridMultilevel"/>
    <w:tmpl w:val="EAD8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A2081"/>
    <w:multiLevelType w:val="hybridMultilevel"/>
    <w:tmpl w:val="C16E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5"/>
  </w:num>
  <w:num w:numId="4">
    <w:abstractNumId w:val="15"/>
  </w:num>
  <w:num w:numId="5">
    <w:abstractNumId w:val="15"/>
  </w:num>
  <w:num w:numId="6">
    <w:abstractNumId w:val="7"/>
  </w:num>
  <w:num w:numId="7">
    <w:abstractNumId w:val="12"/>
  </w:num>
  <w:num w:numId="8">
    <w:abstractNumId w:val="18"/>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5"/>
  </w:num>
  <w:num w:numId="22">
    <w:abstractNumId w:val="5"/>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8"/>
  </w:num>
  <w:num w:numId="32">
    <w:abstractNumId w:val="15"/>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
  </w:num>
  <w:num w:numId="35">
    <w:abstractNumId w:val="13"/>
  </w:num>
  <w:num w:numId="36">
    <w:abstractNumId w:val="11"/>
  </w:num>
  <w:num w:numId="37">
    <w:abstractNumId w:val="16"/>
  </w:num>
  <w:num w:numId="38">
    <w:abstractNumId w:val="17"/>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A67D1"/>
    <w:rsid w:val="000C6874"/>
    <w:rsid w:val="000E0093"/>
    <w:rsid w:val="000E0857"/>
    <w:rsid w:val="000F7E94"/>
    <w:rsid w:val="00107F61"/>
    <w:rsid w:val="001119D6"/>
    <w:rsid w:val="0012117D"/>
    <w:rsid w:val="00126389"/>
    <w:rsid w:val="001308F2"/>
    <w:rsid w:val="001313E8"/>
    <w:rsid w:val="0019014D"/>
    <w:rsid w:val="00192A9D"/>
    <w:rsid w:val="001C58F5"/>
    <w:rsid w:val="001D5CEE"/>
    <w:rsid w:val="001F49FB"/>
    <w:rsid w:val="002071D9"/>
    <w:rsid w:val="002209D5"/>
    <w:rsid w:val="00232740"/>
    <w:rsid w:val="00235900"/>
    <w:rsid w:val="00256822"/>
    <w:rsid w:val="0026525A"/>
    <w:rsid w:val="00265CBF"/>
    <w:rsid w:val="00274790"/>
    <w:rsid w:val="00283A12"/>
    <w:rsid w:val="00285755"/>
    <w:rsid w:val="002A1F9C"/>
    <w:rsid w:val="002B29C2"/>
    <w:rsid w:val="002C4208"/>
    <w:rsid w:val="002F6AD1"/>
    <w:rsid w:val="00306628"/>
    <w:rsid w:val="00335FB5"/>
    <w:rsid w:val="00352DE1"/>
    <w:rsid w:val="003728E6"/>
    <w:rsid w:val="003A35CE"/>
    <w:rsid w:val="003B5E0E"/>
    <w:rsid w:val="003D255A"/>
    <w:rsid w:val="003E4135"/>
    <w:rsid w:val="003F69FB"/>
    <w:rsid w:val="00416949"/>
    <w:rsid w:val="004370D8"/>
    <w:rsid w:val="00441F34"/>
    <w:rsid w:val="00446113"/>
    <w:rsid w:val="00472C43"/>
    <w:rsid w:val="00477B19"/>
    <w:rsid w:val="004910D8"/>
    <w:rsid w:val="00517C66"/>
    <w:rsid w:val="00537496"/>
    <w:rsid w:val="00544ED3"/>
    <w:rsid w:val="00547F26"/>
    <w:rsid w:val="0057131A"/>
    <w:rsid w:val="0058477B"/>
    <w:rsid w:val="0058654F"/>
    <w:rsid w:val="00596ACA"/>
    <w:rsid w:val="005B7E6B"/>
    <w:rsid w:val="005C5D2D"/>
    <w:rsid w:val="005E39BC"/>
    <w:rsid w:val="005F00A0"/>
    <w:rsid w:val="005F4AF8"/>
    <w:rsid w:val="006000B2"/>
    <w:rsid w:val="006026CB"/>
    <w:rsid w:val="00604C59"/>
    <w:rsid w:val="00612CB0"/>
    <w:rsid w:val="00647F33"/>
    <w:rsid w:val="00654B09"/>
    <w:rsid w:val="00662532"/>
    <w:rsid w:val="00675240"/>
    <w:rsid w:val="00684298"/>
    <w:rsid w:val="0069766F"/>
    <w:rsid w:val="006B2274"/>
    <w:rsid w:val="0070149D"/>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86728"/>
    <w:rsid w:val="00993278"/>
    <w:rsid w:val="009D0B86"/>
    <w:rsid w:val="009D21F0"/>
    <w:rsid w:val="009E0D5B"/>
    <w:rsid w:val="009E1558"/>
    <w:rsid w:val="009F497E"/>
    <w:rsid w:val="00A42898"/>
    <w:rsid w:val="00A964E3"/>
    <w:rsid w:val="00AA122A"/>
    <w:rsid w:val="00AB6ACE"/>
    <w:rsid w:val="00AC5A3A"/>
    <w:rsid w:val="00AD6BB4"/>
    <w:rsid w:val="00AE0AE2"/>
    <w:rsid w:val="00AE6705"/>
    <w:rsid w:val="00B10B1B"/>
    <w:rsid w:val="00B1443F"/>
    <w:rsid w:val="00B45C5D"/>
    <w:rsid w:val="00B54CDF"/>
    <w:rsid w:val="00B808D8"/>
    <w:rsid w:val="00B82FA5"/>
    <w:rsid w:val="00B90025"/>
    <w:rsid w:val="00BA6594"/>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40743"/>
    <w:rsid w:val="00D555A1"/>
    <w:rsid w:val="00D62D04"/>
    <w:rsid w:val="00D64DC2"/>
    <w:rsid w:val="00D84B8A"/>
    <w:rsid w:val="00D91496"/>
    <w:rsid w:val="00DA46CA"/>
    <w:rsid w:val="00DE7061"/>
    <w:rsid w:val="00DF21EB"/>
    <w:rsid w:val="00DF3A79"/>
    <w:rsid w:val="00E0295B"/>
    <w:rsid w:val="00E20E70"/>
    <w:rsid w:val="00E25B68"/>
    <w:rsid w:val="00E84003"/>
    <w:rsid w:val="00EA437F"/>
    <w:rsid w:val="00EC10FC"/>
    <w:rsid w:val="00EE0041"/>
    <w:rsid w:val="00EE29B9"/>
    <w:rsid w:val="00EE30B2"/>
    <w:rsid w:val="00EF5DCA"/>
    <w:rsid w:val="00F004EE"/>
    <w:rsid w:val="00F041CD"/>
    <w:rsid w:val="00F1116C"/>
    <w:rsid w:val="00F11800"/>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basedOn w:val="DefaultParagraphFont"/>
    <w:uiPriority w:val="99"/>
    <w:locked/>
    <w:rsid w:val="00B10B1B"/>
    <w:rPr>
      <w:color w:val="0000FF"/>
      <w:u w:val="single"/>
    </w:rPr>
  </w:style>
  <w:style w:type="character" w:styleId="FollowedHyperlink">
    <w:name w:val="FollowedHyperlink"/>
    <w:basedOn w:val="DefaultParagraphFont"/>
    <w:uiPriority w:val="49"/>
    <w:semiHidden/>
    <w:unhideWhenUsed/>
    <w:locked/>
    <w:rsid w:val="00B10B1B"/>
    <w:rPr>
      <w:color w:val="800080" w:themeColor="followedHyperlink"/>
      <w:u w:val="single"/>
    </w:rPr>
  </w:style>
  <w:style w:type="character" w:styleId="UnresolvedMention">
    <w:name w:val="Unresolved Mention"/>
    <w:basedOn w:val="DefaultParagraphFont"/>
    <w:uiPriority w:val="99"/>
    <w:semiHidden/>
    <w:unhideWhenUsed/>
    <w:rsid w:val="00B10B1B"/>
    <w:rPr>
      <w:color w:val="605E5C"/>
      <w:shd w:val="clear" w:color="auto" w:fill="E1DFDD"/>
    </w:rPr>
  </w:style>
  <w:style w:type="character" w:styleId="CommentReference">
    <w:name w:val="annotation reference"/>
    <w:basedOn w:val="DefaultParagraphFont"/>
    <w:uiPriority w:val="49"/>
    <w:semiHidden/>
    <w:unhideWhenUsed/>
    <w:locked/>
    <w:rsid w:val="00F1116C"/>
    <w:rPr>
      <w:sz w:val="16"/>
      <w:szCs w:val="16"/>
    </w:rPr>
  </w:style>
  <w:style w:type="paragraph" w:styleId="CommentText">
    <w:name w:val="annotation text"/>
    <w:basedOn w:val="Normal"/>
    <w:link w:val="CommentTextChar"/>
    <w:uiPriority w:val="49"/>
    <w:semiHidden/>
    <w:unhideWhenUsed/>
    <w:locked/>
    <w:rsid w:val="00F1116C"/>
    <w:rPr>
      <w:sz w:val="20"/>
    </w:rPr>
  </w:style>
  <w:style w:type="character" w:customStyle="1" w:styleId="CommentTextChar">
    <w:name w:val="Comment Text Char"/>
    <w:basedOn w:val="DefaultParagraphFont"/>
    <w:link w:val="CommentText"/>
    <w:uiPriority w:val="49"/>
    <w:semiHidden/>
    <w:rsid w:val="00F1116C"/>
    <w:rPr>
      <w:lang w:eastAsia="en-US"/>
    </w:rPr>
  </w:style>
  <w:style w:type="paragraph" w:styleId="CommentSubject">
    <w:name w:val="annotation subject"/>
    <w:basedOn w:val="CommentText"/>
    <w:next w:val="CommentText"/>
    <w:link w:val="CommentSubjectChar"/>
    <w:uiPriority w:val="49"/>
    <w:semiHidden/>
    <w:unhideWhenUsed/>
    <w:locked/>
    <w:rsid w:val="00F1116C"/>
    <w:rPr>
      <w:b/>
      <w:bCs/>
    </w:rPr>
  </w:style>
  <w:style w:type="character" w:customStyle="1" w:styleId="CommentSubjectChar">
    <w:name w:val="Comment Subject Char"/>
    <w:basedOn w:val="CommentTextChar"/>
    <w:link w:val="CommentSubject"/>
    <w:uiPriority w:val="49"/>
    <w:semiHidden/>
    <w:rsid w:val="00F111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go.mandelli@inl.gov" TargetMode="External"/><Relationship Id="rId13" Type="http://schemas.openxmlformats.org/officeDocument/2006/relationships/hyperlink" Target="https://hpcgitlab.inl.gov/mandd/ve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inl-labtrack/EMRAL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daholab/log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ithub.com/idaholab/sr2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thub.com/idaholab/rav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29</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Diego Mandelli</cp:lastModifiedBy>
  <cp:revision>8</cp:revision>
  <cp:lastPrinted>2015-12-01T10:27:00Z</cp:lastPrinted>
  <dcterms:created xsi:type="dcterms:W3CDTF">2021-05-28T18:04:00Z</dcterms:created>
  <dcterms:modified xsi:type="dcterms:W3CDTF">2021-05-28T20:25:00Z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