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BA902" w14:textId="5E9FDDB4" w:rsidR="00604C59" w:rsidRPr="00073700" w:rsidRDefault="006E2469" w:rsidP="00073700">
      <w:pPr>
        <w:pStyle w:val="Heading1"/>
        <w:keepNext/>
        <w:keepLines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line="240" w:lineRule="auto"/>
        <w:ind w:left="0" w:right="0"/>
        <w:rPr>
          <w:rFonts w:ascii="Times New Roman" w:hAnsi="Times New Roman"/>
          <w:bCs/>
          <w:noProof/>
          <w:szCs w:val="24"/>
          <w:lang w:val="en-GB"/>
        </w:rPr>
      </w:pPr>
      <w:r>
        <w:rPr>
          <w:rFonts w:ascii="Times New Roman" w:hAnsi="Times New Roman"/>
          <w:bCs/>
          <w:noProof/>
          <w:szCs w:val="24"/>
          <w:lang w:val="en-GB"/>
        </w:rPr>
        <w:t>A Framework for Multi-physics modeling, design optimization and uncertainty quantification of fast spectrum liquid fuel molten salt reactors</w:t>
      </w:r>
    </w:p>
    <w:p w14:paraId="2A7F935C" w14:textId="77777777" w:rsidR="00604C59" w:rsidRPr="00073700" w:rsidRDefault="00604C59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2FD06590" w14:textId="5693E29E" w:rsidR="00CD7ABF" w:rsidRPr="00CD7ABF" w:rsidRDefault="006E2469" w:rsidP="00306628">
      <w:pPr>
        <w:pStyle w:val="Authornameandaffiliation"/>
        <w:ind w:left="0"/>
        <w:rPr>
          <w:sz w:val="24"/>
          <w:szCs w:val="24"/>
        </w:rPr>
      </w:pPr>
      <w:r>
        <w:rPr>
          <w:sz w:val="24"/>
          <w:szCs w:val="24"/>
        </w:rPr>
        <w:t>S.</w:t>
      </w:r>
      <w:r w:rsidR="00CD7ABF" w:rsidRPr="00CD7ABF">
        <w:rPr>
          <w:sz w:val="24"/>
          <w:szCs w:val="24"/>
        </w:rPr>
        <w:t> </w:t>
      </w:r>
      <w:r w:rsidR="00C3535E" w:rsidRPr="00CD7ABF">
        <w:rPr>
          <w:sz w:val="24"/>
          <w:szCs w:val="24"/>
          <w:vertAlign w:val="superscript"/>
        </w:rPr>
        <w:t xml:space="preserve"> </w:t>
      </w:r>
      <w:r w:rsidR="00CD7ABF" w:rsidRPr="00CD7ABF">
        <w:rPr>
          <w:sz w:val="24"/>
          <w:szCs w:val="24"/>
          <w:vertAlign w:val="superscript"/>
        </w:rPr>
        <w:t>1</w:t>
      </w:r>
      <w:r w:rsidR="00CD7ABF" w:rsidRPr="00CD7ABF">
        <w:rPr>
          <w:sz w:val="24"/>
          <w:szCs w:val="24"/>
        </w:rPr>
        <w:t xml:space="preserve">, </w:t>
      </w:r>
      <w:r>
        <w:rPr>
          <w:sz w:val="24"/>
          <w:szCs w:val="24"/>
        </w:rPr>
        <w:t>D</w:t>
      </w:r>
      <w:r w:rsidR="00CD7ABF" w:rsidRPr="00CD7ABF">
        <w:rPr>
          <w:sz w:val="24"/>
          <w:szCs w:val="24"/>
        </w:rPr>
        <w:t>. </w:t>
      </w:r>
      <w:r>
        <w:rPr>
          <w:sz w:val="24"/>
          <w:szCs w:val="24"/>
        </w:rPr>
        <w:t>HOLLER</w:t>
      </w:r>
      <w:r w:rsidR="00CD7ABF" w:rsidRPr="00CD7ABF">
        <w:rPr>
          <w:sz w:val="24"/>
          <w:szCs w:val="24"/>
          <w:vertAlign w:val="superscript"/>
        </w:rPr>
        <w:t>1</w:t>
      </w:r>
      <w:r w:rsidR="00CD7ABF" w:rsidRPr="00CD7ABF">
        <w:rPr>
          <w:sz w:val="24"/>
          <w:szCs w:val="24"/>
        </w:rPr>
        <w:t xml:space="preserve">, </w:t>
      </w:r>
      <w:r>
        <w:rPr>
          <w:sz w:val="24"/>
          <w:szCs w:val="24"/>
        </w:rPr>
        <w:t>M</w:t>
      </w:r>
      <w:r w:rsidR="00CD7ABF" w:rsidRPr="00CD7ABF">
        <w:rPr>
          <w:sz w:val="24"/>
          <w:szCs w:val="24"/>
        </w:rPr>
        <w:t>. A</w:t>
      </w:r>
      <w:r>
        <w:rPr>
          <w:sz w:val="24"/>
          <w:szCs w:val="24"/>
        </w:rPr>
        <w:t>VRAMOVA</w:t>
      </w:r>
      <w:r w:rsidR="00CD7ABF" w:rsidRPr="00CD7ABF">
        <w:rPr>
          <w:sz w:val="24"/>
          <w:szCs w:val="24"/>
          <w:vertAlign w:val="superscript"/>
        </w:rPr>
        <w:t>1</w:t>
      </w:r>
      <w:r w:rsidR="00CD7ABF" w:rsidRPr="00CD7ABF">
        <w:rPr>
          <w:sz w:val="24"/>
          <w:szCs w:val="24"/>
        </w:rPr>
        <w:t xml:space="preserve">, </w:t>
      </w:r>
      <w:r>
        <w:rPr>
          <w:sz w:val="24"/>
          <w:szCs w:val="24"/>
        </w:rPr>
        <w:t>K</w:t>
      </w:r>
      <w:r w:rsidR="00CD7ABF" w:rsidRPr="00CD7ABF">
        <w:rPr>
          <w:sz w:val="24"/>
          <w:szCs w:val="24"/>
        </w:rPr>
        <w:t>. </w:t>
      </w:r>
      <w:r>
        <w:rPr>
          <w:sz w:val="24"/>
          <w:szCs w:val="24"/>
        </w:rPr>
        <w:t>IVANOV</w:t>
      </w:r>
      <w:r>
        <w:rPr>
          <w:sz w:val="24"/>
          <w:szCs w:val="24"/>
          <w:vertAlign w:val="superscript"/>
        </w:rPr>
        <w:t>1</w:t>
      </w:r>
    </w:p>
    <w:p w14:paraId="68D50F1D" w14:textId="77777777" w:rsidR="00CD7ABF" w:rsidRPr="00CD7ABF" w:rsidRDefault="00CD7ABF" w:rsidP="00CD7ABF">
      <w:pPr>
        <w:pStyle w:val="Authornameandaffiliation"/>
        <w:ind w:left="0"/>
        <w:jc w:val="both"/>
        <w:rPr>
          <w:sz w:val="24"/>
          <w:szCs w:val="24"/>
        </w:rPr>
      </w:pPr>
    </w:p>
    <w:p w14:paraId="50B1C884" w14:textId="3C9B2AB5" w:rsidR="00CD7ABF" w:rsidRPr="00CD7ABF" w:rsidRDefault="00CD7ABF" w:rsidP="00CD7ABF">
      <w:pPr>
        <w:pStyle w:val="Authornameandaffiliation"/>
        <w:ind w:left="0"/>
        <w:jc w:val="both"/>
        <w:rPr>
          <w:sz w:val="24"/>
          <w:szCs w:val="24"/>
        </w:rPr>
      </w:pPr>
      <w:r w:rsidRPr="00CD7ABF">
        <w:rPr>
          <w:sz w:val="24"/>
          <w:szCs w:val="24"/>
          <w:vertAlign w:val="superscript"/>
        </w:rPr>
        <w:t>1</w:t>
      </w:r>
      <w:r w:rsidR="006E2469">
        <w:rPr>
          <w:sz w:val="24"/>
          <w:szCs w:val="24"/>
        </w:rPr>
        <w:t>North Carolina State University</w:t>
      </w:r>
      <w:r w:rsidRPr="00CD7ABF">
        <w:rPr>
          <w:sz w:val="24"/>
          <w:szCs w:val="24"/>
        </w:rPr>
        <w:t xml:space="preserve">, </w:t>
      </w:r>
      <w:r w:rsidR="006E2469">
        <w:rPr>
          <w:sz w:val="24"/>
          <w:szCs w:val="24"/>
        </w:rPr>
        <w:t>Raleigh</w:t>
      </w:r>
      <w:r w:rsidRPr="00CD7ABF">
        <w:rPr>
          <w:sz w:val="24"/>
          <w:szCs w:val="24"/>
        </w:rPr>
        <w:t>,</w:t>
      </w:r>
      <w:r w:rsidR="006E2469">
        <w:rPr>
          <w:sz w:val="24"/>
          <w:szCs w:val="24"/>
        </w:rPr>
        <w:t xml:space="preserve"> USA</w:t>
      </w:r>
    </w:p>
    <w:p w14:paraId="5D9EC7B1" w14:textId="4EF54CB8" w:rsidR="00CD7ABF" w:rsidRDefault="00CD7ABF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4E318832" w14:textId="799B9AF1" w:rsidR="00A375F6" w:rsidRDefault="00CD7ABF" w:rsidP="00317EC5">
      <w:pPr>
        <w:pStyle w:val="Authornameandaffiliation"/>
        <w:ind w:left="0"/>
        <w:jc w:val="both"/>
        <w:rPr>
          <w:sz w:val="24"/>
          <w:szCs w:val="24"/>
        </w:rPr>
      </w:pPr>
      <w:r w:rsidRPr="00CD7ABF">
        <w:rPr>
          <w:sz w:val="24"/>
          <w:szCs w:val="24"/>
        </w:rPr>
        <w:t xml:space="preserve">Email: </w:t>
      </w:r>
      <w:hyperlink r:id="rId8" w:history="1">
        <w:r w:rsidR="00317EC5" w:rsidRPr="00492818">
          <w:rPr>
            <w:rStyle w:val="Hyperlink"/>
            <w:sz w:val="24"/>
            <w:szCs w:val="24"/>
          </w:rPr>
          <w:t>sbhaska2@ncsu.edu</w:t>
        </w:r>
      </w:hyperlink>
    </w:p>
    <w:p w14:paraId="186C2606" w14:textId="77777777" w:rsidR="00317EC5" w:rsidRPr="00317EC5" w:rsidRDefault="00317EC5" w:rsidP="00317EC5">
      <w:pPr>
        <w:pStyle w:val="Authornameandaffiliation"/>
        <w:ind w:left="0"/>
        <w:jc w:val="both"/>
        <w:rPr>
          <w:sz w:val="24"/>
          <w:szCs w:val="24"/>
        </w:rPr>
      </w:pPr>
    </w:p>
    <w:p w14:paraId="6CF31AC5" w14:textId="448EEC71" w:rsidR="003C6E87" w:rsidRPr="0043317E" w:rsidRDefault="00FC520E" w:rsidP="003C6E87">
      <w:pPr>
        <w:pStyle w:val="Default"/>
        <w:spacing w:before="280" w:after="280"/>
        <w:jc w:val="both"/>
      </w:pPr>
      <w:r>
        <w:t>The</w:t>
      </w:r>
      <w:r w:rsidR="00035A41" w:rsidRPr="0043317E">
        <w:t xml:space="preserve"> majority of tools for modeling and simulation</w:t>
      </w:r>
      <w:r>
        <w:t xml:space="preserve"> (M&amp;S)</w:t>
      </w:r>
      <w:r w:rsidR="00035A41" w:rsidRPr="0043317E">
        <w:t xml:space="preserve"> of nuclear reactors </w:t>
      </w:r>
      <w:r>
        <w:t>have historically been</w:t>
      </w:r>
      <w:r w:rsidR="00035A41" w:rsidRPr="0043317E">
        <w:t xml:space="preserve"> focused towards simulating light water reactors</w:t>
      </w:r>
      <w:r>
        <w:t xml:space="preserve"> (LWRs).</w:t>
      </w:r>
      <w:r w:rsidR="00035A41" w:rsidRPr="0043317E">
        <w:t xml:space="preserve"> </w:t>
      </w:r>
      <w:r>
        <w:t xml:space="preserve">This is </w:t>
      </w:r>
      <w:r w:rsidR="00035A41" w:rsidRPr="0043317E">
        <w:t>due to the large operational experience</w:t>
      </w:r>
      <w:r>
        <w:t xml:space="preserve"> of the current power reactor fleet which consists mainly of Generation II type systems</w:t>
      </w:r>
      <w:r w:rsidR="00035A41" w:rsidRPr="0043317E">
        <w:t xml:space="preserve">. Only recently has there been </w:t>
      </w:r>
      <w:r>
        <w:t>appreciable</w:t>
      </w:r>
      <w:r w:rsidR="00035A41" w:rsidRPr="0043317E">
        <w:t xml:space="preserve"> development </w:t>
      </w:r>
      <w:r>
        <w:t>of</w:t>
      </w:r>
      <w:r w:rsidR="00035A41" w:rsidRPr="0043317E">
        <w:t xml:space="preserve"> tools for modeling </w:t>
      </w:r>
      <w:r>
        <w:t>Generation</w:t>
      </w:r>
      <w:r w:rsidR="00404CED">
        <w:t xml:space="preserve">s III, III+, </w:t>
      </w:r>
      <w:r>
        <w:t xml:space="preserve">IV (Gen-IV) type systems including </w:t>
      </w:r>
      <w:r w:rsidR="00035A41" w:rsidRPr="0043317E">
        <w:t xml:space="preserve">Liquid Fuel Molten Salt Reactors (LFMSRs). The analysis of LFMSRs during steady state, operational transients and accident scenarios require addressing unique reactor </w:t>
      </w:r>
      <w:r w:rsidR="00404CED">
        <w:t>multi-</w:t>
      </w:r>
      <w:r w:rsidR="00035A41" w:rsidRPr="0043317E">
        <w:t xml:space="preserve">physics challenges with coupling between thermal </w:t>
      </w:r>
      <w:r w:rsidR="00035A41" w:rsidRPr="00F5524E">
        <w:t>hydraulics, neutronics, inventory control and species distribution phenomena.</w:t>
      </w:r>
      <w:r w:rsidR="00F5524E" w:rsidRPr="00F5524E">
        <w:t xml:space="preserve"> This strong coupling that exists between different physics makes the uncertainty analysis even more challenging. Dependencies and</w:t>
      </w:r>
      <w:r>
        <w:t xml:space="preserve"> non-linear</w:t>
      </w:r>
      <w:r w:rsidR="00F5524E" w:rsidRPr="00F5524E">
        <w:t xml:space="preserve"> interactions between </w:t>
      </w:r>
      <w:r>
        <w:t xml:space="preserve">many inputs </w:t>
      </w:r>
      <w:r w:rsidR="00F5524E" w:rsidRPr="00F5524E">
        <w:t xml:space="preserve">and </w:t>
      </w:r>
      <w:r>
        <w:t>outputs</w:t>
      </w:r>
      <w:r w:rsidR="00F5524E" w:rsidRPr="00F5524E">
        <w:t xml:space="preserve"> add to the complexity of the uncertainty study.</w:t>
      </w:r>
      <w:r w:rsidR="005F2047">
        <w:t xml:space="preserve"> </w:t>
      </w:r>
      <w:r w:rsidR="00035A41" w:rsidRPr="00F5524E">
        <w:t xml:space="preserve">To further the development of LFMSR concepts, </w:t>
      </w:r>
      <w:r w:rsidR="005F2047">
        <w:t>a general framework for multiphysics modeling, design optimization</w:t>
      </w:r>
      <w:r>
        <w:t>,</w:t>
      </w:r>
      <w:r w:rsidR="005F2047">
        <w:t xml:space="preserve"> and uncertainty quantification</w:t>
      </w:r>
      <w:r>
        <w:t xml:space="preserve"> is needed.</w:t>
      </w:r>
      <w:r w:rsidR="005F2047">
        <w:t xml:space="preserve"> </w:t>
      </w:r>
      <w:r>
        <w:t>This framework should also</w:t>
      </w:r>
      <w:r w:rsidR="005F2047">
        <w:t xml:space="preserve"> utilize </w:t>
      </w:r>
      <w:r w:rsidR="00035A41" w:rsidRPr="00F5524E">
        <w:t>advanced modelling approaches</w:t>
      </w:r>
      <w:r w:rsidR="00F5524E">
        <w:t xml:space="preserve"> and an uncertainty quantification </w:t>
      </w:r>
      <w:r>
        <w:t xml:space="preserve">(UQ) technique </w:t>
      </w:r>
      <w:r w:rsidR="005F2047" w:rsidRPr="00F5524E">
        <w:t xml:space="preserve">that comprises of </w:t>
      </w:r>
      <w:r>
        <w:t>various statistical</w:t>
      </w:r>
      <w:r w:rsidR="005F2047" w:rsidRPr="00F5524E">
        <w:t xml:space="preserve"> tools </w:t>
      </w:r>
      <w:r>
        <w:t>which</w:t>
      </w:r>
      <w:r w:rsidR="005F2047" w:rsidRPr="00F5524E">
        <w:t xml:space="preserve"> propagate the input uncertainties through the </w:t>
      </w:r>
      <w:r>
        <w:t>entire modelling framework.</w:t>
      </w:r>
      <w:r w:rsidR="00035A41" w:rsidRPr="00F5524E">
        <w:t xml:space="preserve"> </w:t>
      </w:r>
      <w:r w:rsidR="00035A41" w:rsidRPr="005F2047">
        <w:t>The key is to identify</w:t>
      </w:r>
      <w:r w:rsidR="005F2047">
        <w:t xml:space="preserve"> the </w:t>
      </w:r>
      <w:r>
        <w:t xml:space="preserve">M&amp;S and UQ </w:t>
      </w:r>
      <w:r w:rsidR="005F2047">
        <w:t xml:space="preserve">codes that </w:t>
      </w:r>
      <w:r>
        <w:t>should</w:t>
      </w:r>
      <w:r w:rsidR="005F2047">
        <w:t xml:space="preserve"> be used </w:t>
      </w:r>
      <w:r w:rsidR="0060172D">
        <w:t xml:space="preserve">as part of the framework </w:t>
      </w:r>
      <w:r w:rsidR="005F2047">
        <w:t>to</w:t>
      </w:r>
      <w:r w:rsidR="00035A41" w:rsidRPr="005F2047">
        <w:t xml:space="preserve"> model the</w:t>
      </w:r>
      <w:r w:rsidR="00FA59D8">
        <w:t xml:space="preserve"> different</w:t>
      </w:r>
      <w:r w:rsidR="00035A41" w:rsidRPr="005F2047">
        <w:t xml:space="preserve"> multi-physics phenomena that impose the potential challenges to modeling and simulation of the reactors.</w:t>
      </w:r>
    </w:p>
    <w:p w14:paraId="796E9299" w14:textId="3E721862" w:rsidR="004B7D34" w:rsidRDefault="00E45ED5" w:rsidP="003C6E87">
      <w:pPr>
        <w:pStyle w:val="Default"/>
        <w:spacing w:before="280" w:after="280"/>
        <w:jc w:val="both"/>
      </w:pPr>
      <w:r>
        <w:t xml:space="preserve">The M&amp;S codes used in this work </w:t>
      </w:r>
      <w:r w:rsidRPr="0043317E">
        <w:t xml:space="preserve">to </w:t>
      </w:r>
      <w:r w:rsidR="00404CED">
        <w:t>analyze</w:t>
      </w:r>
      <w:r w:rsidRPr="0043317E">
        <w:t xml:space="preserve"> </w:t>
      </w:r>
      <w:r>
        <w:t>an</w:t>
      </w:r>
      <w:r w:rsidRPr="0043317E">
        <w:t xml:space="preserve"> LFMSR</w:t>
      </w:r>
      <w:r>
        <w:t xml:space="preserve"> are the </w:t>
      </w:r>
      <w:r w:rsidR="00035A41" w:rsidRPr="0043317E">
        <w:t xml:space="preserve">General Nuclear Field Operation and Manipulation (GeN-Foam) </w:t>
      </w:r>
      <w:r w:rsidR="0060172D">
        <w:t>and System Analysis Module (SAM)</w:t>
      </w:r>
      <w:r>
        <w:t xml:space="preserve"> codes. The </w:t>
      </w:r>
      <w:r w:rsidR="00716B93" w:rsidRPr="0043317E">
        <w:t xml:space="preserve">GeN-Foam </w:t>
      </w:r>
      <w:r>
        <w:t xml:space="preserve">code </w:t>
      </w:r>
      <w:r w:rsidR="00716B93" w:rsidRPr="0043317E">
        <w:t xml:space="preserve">is </w:t>
      </w:r>
      <w:r w:rsidR="00716B93" w:rsidRPr="0060172D">
        <w:t>based on the OpenFOAM C++ library</w:t>
      </w:r>
      <w:r>
        <w:t xml:space="preserve"> and</w:t>
      </w:r>
      <w:r w:rsidR="00716B93" w:rsidRPr="0060172D">
        <w:t xml:space="preserve"> capable of performing coupled fine/coarse mesh thermal-hydraulics calculations, multi-group neutrons diffusion calculation</w:t>
      </w:r>
      <w:r>
        <w:t>,</w:t>
      </w:r>
      <w:r w:rsidR="00716B93" w:rsidRPr="0060172D">
        <w:t xml:space="preserve"> and thermo-mechanics calculation using both structured and unstructured meshes </w:t>
      </w:r>
      <w:r w:rsidR="004B7D34">
        <w:t>[1]</w:t>
      </w:r>
      <w:r w:rsidR="00716B93" w:rsidRPr="0060172D">
        <w:t>.</w:t>
      </w:r>
      <w:r w:rsidR="0060172D" w:rsidRPr="0060172D">
        <w:t xml:space="preserve"> </w:t>
      </w:r>
      <w:r>
        <w:t xml:space="preserve">The </w:t>
      </w:r>
      <w:r w:rsidR="0060172D" w:rsidRPr="0060172D">
        <w:t>SAM</w:t>
      </w:r>
      <w:r>
        <w:t xml:space="preserve"> code</w:t>
      </w:r>
      <w:r w:rsidR="0060172D" w:rsidRPr="0060172D">
        <w:t xml:space="preserve"> is a</w:t>
      </w:r>
      <w:r w:rsidR="00731E32">
        <w:t>n</w:t>
      </w:r>
      <w:r w:rsidR="0060172D" w:rsidRPr="0060172D">
        <w:t xml:space="preserve"> </w:t>
      </w:r>
      <w:r w:rsidRPr="0060172D">
        <w:t xml:space="preserve">advanced </w:t>
      </w:r>
      <w:r w:rsidR="0060172D" w:rsidRPr="0060172D">
        <w:t>Finite-</w:t>
      </w:r>
      <w:r>
        <w:t>E</w:t>
      </w:r>
      <w:r w:rsidR="0060172D" w:rsidRPr="0060172D">
        <w:t xml:space="preserve">lement </w:t>
      </w:r>
      <w:r>
        <w:t>M</w:t>
      </w:r>
      <w:r w:rsidR="0060172D" w:rsidRPr="0060172D">
        <w:t>ethod (FEM)</w:t>
      </w:r>
      <w:r>
        <w:t xml:space="preserve"> </w:t>
      </w:r>
      <w:r w:rsidR="0060172D" w:rsidRPr="0060172D">
        <w:t xml:space="preserve">based system code that is currently being developed at Argonne National Laboratory </w:t>
      </w:r>
      <w:r w:rsidR="004B7D34">
        <w:t>[2]</w:t>
      </w:r>
      <w:r w:rsidR="0060172D" w:rsidRPr="0060172D">
        <w:t xml:space="preserve">. </w:t>
      </w:r>
      <w:r>
        <w:t>The SAM</w:t>
      </w:r>
      <w:r w:rsidR="0060172D" w:rsidRPr="0060172D">
        <w:t xml:space="preserve"> code </w:t>
      </w:r>
      <w:r>
        <w:t>wa</w:t>
      </w:r>
      <w:r w:rsidR="0060172D" w:rsidRPr="0060172D">
        <w:t xml:space="preserve">s built </w:t>
      </w:r>
      <w:r>
        <w:t>with</w:t>
      </w:r>
      <w:r w:rsidR="0060172D" w:rsidRPr="0060172D">
        <w:t xml:space="preserve"> the </w:t>
      </w:r>
      <w:r>
        <w:t>Multi-physics O</w:t>
      </w:r>
      <w:r w:rsidR="00337B3D" w:rsidRPr="0060172D">
        <w:t>bject</w:t>
      </w:r>
      <w:r>
        <w:t xml:space="preserve"> O</w:t>
      </w:r>
      <w:r w:rsidR="00337B3D" w:rsidRPr="0060172D">
        <w:t>riented</w:t>
      </w:r>
      <w:r w:rsidR="0060172D" w:rsidRPr="0060172D">
        <w:t xml:space="preserve"> </w:t>
      </w:r>
      <w:r>
        <w:t>Simulation Environment (</w:t>
      </w:r>
      <w:r w:rsidR="0060172D" w:rsidRPr="0060172D">
        <w:t>MOOSE</w:t>
      </w:r>
      <w:r>
        <w:t>)</w:t>
      </w:r>
      <w:r w:rsidR="0060172D" w:rsidRPr="0060172D">
        <w:t xml:space="preserve"> and uses </w:t>
      </w:r>
      <w:r w:rsidR="00337B3D" w:rsidRPr="0060172D">
        <w:t>open-source</w:t>
      </w:r>
      <w:r w:rsidR="0060172D" w:rsidRPr="0060172D">
        <w:t xml:space="preserve"> software packages such as </w:t>
      </w:r>
      <w:r>
        <w:t>the Portable Extensible Toolkit for Scientific computations (</w:t>
      </w:r>
      <w:r w:rsidR="0060172D" w:rsidRPr="0060172D">
        <w:t>PETSc</w:t>
      </w:r>
      <w:r>
        <w:t>)</w:t>
      </w:r>
      <w:r w:rsidR="0060172D" w:rsidRPr="0060172D">
        <w:t xml:space="preserve"> and LibMesh to significantly reduce computational time and expense required to develop new applications.</w:t>
      </w:r>
      <w:r w:rsidR="009C123B">
        <w:t xml:space="preserve"> </w:t>
      </w:r>
    </w:p>
    <w:p w14:paraId="2839CA1E" w14:textId="3784A96B" w:rsidR="00337B3D" w:rsidRPr="00DA5ACB" w:rsidRDefault="00716B93" w:rsidP="003C6E87">
      <w:pPr>
        <w:pStyle w:val="Default"/>
        <w:spacing w:before="280" w:after="280"/>
        <w:jc w:val="both"/>
      </w:pPr>
      <w:r w:rsidRPr="00DA5ACB">
        <w:t xml:space="preserve">The design adopted for this work is based on </w:t>
      </w:r>
      <w:r w:rsidR="00957099">
        <w:t>the results of the</w:t>
      </w:r>
      <w:r w:rsidRPr="00DA5ACB">
        <w:t xml:space="preserve"> </w:t>
      </w:r>
      <w:r w:rsidR="005B2024">
        <w:t xml:space="preserve">Evaluation and Viability </w:t>
      </w:r>
      <w:proofErr w:type="gramStart"/>
      <w:r w:rsidR="005B2024">
        <w:t>Of</w:t>
      </w:r>
      <w:proofErr w:type="gramEnd"/>
      <w:r w:rsidR="005B2024">
        <w:t xml:space="preserve"> Liquid fuel fast reactor system (</w:t>
      </w:r>
      <w:r w:rsidRPr="00DA5ACB">
        <w:t>EVOL</w:t>
      </w:r>
      <w:r w:rsidR="005B2024">
        <w:t>)</w:t>
      </w:r>
      <w:r w:rsidRPr="00DA5ACB">
        <w:t xml:space="preserve"> project in Europe </w:t>
      </w:r>
      <w:r w:rsidR="004B7D34" w:rsidRPr="00DA5ACB">
        <w:t>[3]</w:t>
      </w:r>
      <w:r w:rsidRPr="00DA5ACB">
        <w:t xml:space="preserve">. </w:t>
      </w:r>
      <w:r w:rsidR="004B7D34" w:rsidRPr="00DA5ACB">
        <w:t xml:space="preserve">Initially, a right circular design was chosen </w:t>
      </w:r>
      <w:r w:rsidR="00B060F4">
        <w:t>for its</w:t>
      </w:r>
      <w:r w:rsidR="004B7D34" w:rsidRPr="00DA5ACB">
        <w:t xml:space="preserve"> simpler model</w:t>
      </w:r>
      <w:r w:rsidR="00B060F4">
        <w:t>ling</w:t>
      </w:r>
      <w:r w:rsidR="004B7D34" w:rsidRPr="00DA5ACB">
        <w:t>, but its flow paths caused recirculation zones</w:t>
      </w:r>
      <w:r w:rsidR="00337B3D" w:rsidRPr="00DA5ACB">
        <w:t xml:space="preserve"> [4]</w:t>
      </w:r>
      <w:r w:rsidR="004B7D34" w:rsidRPr="00DA5ACB">
        <w:t xml:space="preserve">. These are not desired </w:t>
      </w:r>
      <w:r w:rsidR="006B16B2" w:rsidRPr="00DA5ACB">
        <w:t>as</w:t>
      </w:r>
      <w:r w:rsidR="004B7D34" w:rsidRPr="00DA5ACB">
        <w:t xml:space="preserve"> they allow coolant to retain heat energy and may degrade the reactor vessel with thermal striping. A new core geometry </w:t>
      </w:r>
      <w:r w:rsidR="00957099" w:rsidRPr="00957099">
        <w:t>based on an hourglass shape [5]</w:t>
      </w:r>
      <w:r w:rsidR="00957099">
        <w:t xml:space="preserve"> </w:t>
      </w:r>
      <w:r w:rsidR="00337B3D" w:rsidRPr="00DA5ACB">
        <w:t>wa</w:t>
      </w:r>
      <w:r w:rsidR="004B7D34" w:rsidRPr="00DA5ACB">
        <w:t xml:space="preserve">s </w:t>
      </w:r>
      <w:r w:rsidR="00337B3D" w:rsidRPr="00DA5ACB">
        <w:t>model</w:t>
      </w:r>
      <w:r w:rsidR="00957099">
        <w:t>l</w:t>
      </w:r>
      <w:r w:rsidR="00337B3D" w:rsidRPr="00DA5ACB">
        <w:t>ed</w:t>
      </w:r>
      <w:r w:rsidR="004B7D34" w:rsidRPr="00DA5ACB">
        <w:t xml:space="preserve"> that can avoid the presence of recirculation zones</w:t>
      </w:r>
      <w:r w:rsidR="00337B3D" w:rsidRPr="00DA5ACB">
        <w:t xml:space="preserve">. </w:t>
      </w:r>
      <w:r w:rsidR="00731E32">
        <w:t>P</w:t>
      </w:r>
      <w:r w:rsidR="00337B3D" w:rsidRPr="00DA5ACB">
        <w:t xml:space="preserve">henomena identification alone </w:t>
      </w:r>
      <w:r w:rsidR="00731E32">
        <w:t>was</w:t>
      </w:r>
      <w:r w:rsidR="00337B3D" w:rsidRPr="00DA5ACB">
        <w:t xml:space="preserve"> not sufficient </w:t>
      </w:r>
      <w:r w:rsidR="00731E32">
        <w:t>after</w:t>
      </w:r>
      <w:r w:rsidR="00731E32" w:rsidRPr="00731E32">
        <w:t xml:space="preserve"> the preliminary reactor design </w:t>
      </w:r>
      <w:r w:rsidR="00731E32">
        <w:t>was</w:t>
      </w:r>
      <w:r w:rsidR="00731E32" w:rsidRPr="00731E32">
        <w:t xml:space="preserve"> chosen </w:t>
      </w:r>
      <w:r w:rsidR="00337B3D" w:rsidRPr="00DA5ACB">
        <w:t xml:space="preserve">and must be followed with studies exploring </w:t>
      </w:r>
      <w:r w:rsidR="00731E32">
        <w:t>the</w:t>
      </w:r>
      <w:r w:rsidR="00337B3D" w:rsidRPr="00DA5ACB">
        <w:t xml:space="preserve"> impact</w:t>
      </w:r>
      <w:r w:rsidR="00731E32">
        <w:t xml:space="preserve"> of </w:t>
      </w:r>
      <w:r w:rsidR="00404CED">
        <w:t>phenomena</w:t>
      </w:r>
      <w:r w:rsidR="00337B3D" w:rsidRPr="00DA5ACB">
        <w:t xml:space="preserve"> on the reactor system during both steady state and transient </w:t>
      </w:r>
      <w:r w:rsidR="00337B3D" w:rsidRPr="00DA5ACB">
        <w:lastRenderedPageBreak/>
        <w:t xml:space="preserve">scenarios. This can be accomplished through Computational Fluid Dynamics (CFD) and system level modeling. </w:t>
      </w:r>
      <w:r w:rsidR="00DA5ACB">
        <w:t>Detailed studies of the</w:t>
      </w:r>
      <w:r w:rsidR="00337B3D" w:rsidRPr="00DA5ACB">
        <w:t xml:space="preserve"> reactor geometry need to be performed </w:t>
      </w:r>
      <w:r w:rsidR="00DA5ACB">
        <w:t>by</w:t>
      </w:r>
      <w:r w:rsidR="00337B3D" w:rsidRPr="00DA5ACB">
        <w:t xml:space="preserve"> quantifying the uncertainties related to </w:t>
      </w:r>
      <w:r w:rsidR="00731E32">
        <w:t>as many</w:t>
      </w:r>
      <w:r w:rsidR="00337B3D" w:rsidRPr="00DA5ACB">
        <w:t xml:space="preserve"> design</w:t>
      </w:r>
      <w:r w:rsidR="00731E32">
        <w:t xml:space="preserve"> parameters as possible</w:t>
      </w:r>
      <w:r w:rsidR="00FA59D8" w:rsidRPr="00DA5ACB">
        <w:t>.</w:t>
      </w:r>
    </w:p>
    <w:p w14:paraId="3A2FF70A" w14:textId="02ADB11F" w:rsidR="00716B93" w:rsidRDefault="00716B93" w:rsidP="00716B93">
      <w:pPr>
        <w:pStyle w:val="Default"/>
        <w:spacing w:before="280" w:after="280"/>
        <w:jc w:val="center"/>
        <w:rPr>
          <w:sz w:val="23"/>
          <w:szCs w:val="23"/>
        </w:rPr>
      </w:pPr>
      <w:r w:rsidRPr="00716B93">
        <w:rPr>
          <w:noProof/>
          <w:sz w:val="23"/>
          <w:szCs w:val="23"/>
        </w:rPr>
        <w:drawing>
          <wp:inline distT="0" distB="0" distL="0" distR="0" wp14:anchorId="09D474BE" wp14:editId="75FC04E3">
            <wp:extent cx="2840090" cy="2318667"/>
            <wp:effectExtent l="0" t="0" r="5080" b="571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112" cy="23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194B" w14:textId="48E8F909" w:rsidR="00716B93" w:rsidRDefault="00716B93" w:rsidP="00716B93">
      <w:pPr>
        <w:pStyle w:val="Default"/>
        <w:spacing w:before="280" w:after="280"/>
        <w:jc w:val="center"/>
        <w:rPr>
          <w:sz w:val="23"/>
          <w:szCs w:val="23"/>
        </w:rPr>
      </w:pPr>
      <w:r w:rsidRPr="00DF3A79">
        <w:rPr>
          <w:i/>
          <w:sz w:val="22"/>
          <w:szCs w:val="22"/>
          <w:lang w:val="en-GB"/>
        </w:rPr>
        <w:t xml:space="preserve">FIG. </w:t>
      </w:r>
      <w:r w:rsidRPr="00DF3A79">
        <w:rPr>
          <w:bCs/>
          <w:i/>
          <w:sz w:val="22"/>
          <w:szCs w:val="22"/>
          <w:lang w:val="en-GB"/>
        </w:rPr>
        <w:fldChar w:fldCharType="begin"/>
      </w:r>
      <w:r w:rsidRPr="00DF3A79">
        <w:rPr>
          <w:i/>
          <w:sz w:val="22"/>
          <w:szCs w:val="22"/>
          <w:lang w:val="en-GB"/>
        </w:rPr>
        <w:instrText xml:space="preserve"> SEQ Figure \* ARABIC </w:instrText>
      </w:r>
      <w:r w:rsidRPr="00DF3A79">
        <w:rPr>
          <w:bCs/>
          <w:i/>
          <w:sz w:val="22"/>
          <w:szCs w:val="22"/>
          <w:lang w:val="en-GB"/>
        </w:rPr>
        <w:fldChar w:fldCharType="separate"/>
      </w:r>
      <w:r w:rsidRPr="00DF3A79">
        <w:rPr>
          <w:i/>
          <w:sz w:val="22"/>
          <w:szCs w:val="22"/>
          <w:lang w:val="en-GB"/>
        </w:rPr>
        <w:t>1</w:t>
      </w:r>
      <w:r w:rsidRPr="00DF3A79">
        <w:rPr>
          <w:bCs/>
          <w:i/>
          <w:sz w:val="22"/>
          <w:szCs w:val="22"/>
          <w:lang w:val="en-GB"/>
        </w:rPr>
        <w:fldChar w:fldCharType="end"/>
      </w:r>
      <w:r w:rsidRPr="00DF3A79">
        <w:rPr>
          <w:i/>
          <w:sz w:val="22"/>
          <w:szCs w:val="22"/>
          <w:lang w:val="en-GB"/>
        </w:rPr>
        <w:t xml:space="preserve">. </w:t>
      </w:r>
      <w:r>
        <w:rPr>
          <w:i/>
          <w:sz w:val="22"/>
          <w:szCs w:val="22"/>
          <w:lang w:val="en-GB"/>
        </w:rPr>
        <w:t>Layout of the Molten Salt Fast Reactor Circuit</w:t>
      </w:r>
    </w:p>
    <w:p w14:paraId="204AFE3A" w14:textId="41F0C181" w:rsidR="003C6E87" w:rsidRDefault="00731E32" w:rsidP="003C6E87">
      <w:pPr>
        <w:pStyle w:val="Default"/>
        <w:spacing w:before="280" w:after="280"/>
        <w:jc w:val="both"/>
        <w:rPr>
          <w:sz w:val="23"/>
          <w:szCs w:val="23"/>
        </w:rPr>
      </w:pPr>
      <w:r>
        <w:t>The proposed framework</w:t>
      </w:r>
      <w:r w:rsidR="00035A41" w:rsidRPr="0043317E">
        <w:t xml:space="preserve"> to perform </w:t>
      </w:r>
      <w:r w:rsidR="00B71BFB">
        <w:t>M&amp;S</w:t>
      </w:r>
      <w:r w:rsidR="00035A41" w:rsidRPr="0043317E">
        <w:t>, design optimization</w:t>
      </w:r>
      <w:r w:rsidR="00B14674">
        <w:t>,</w:t>
      </w:r>
      <w:r w:rsidR="00035A41" w:rsidRPr="0043317E">
        <w:t xml:space="preserve"> </w:t>
      </w:r>
      <w:r w:rsidR="00B71BFB">
        <w:t>UQ,</w:t>
      </w:r>
      <w:r w:rsidR="00B14674">
        <w:t xml:space="preserve"> and safety analysis</w:t>
      </w:r>
      <w:r w:rsidR="00035A41" w:rsidRPr="0043317E">
        <w:t xml:space="preserve"> under one umbrella</w:t>
      </w:r>
      <w:r w:rsidR="00B16D58" w:rsidRPr="0043317E">
        <w:t xml:space="preserve"> and is presented in Figure 2</w:t>
      </w:r>
      <w:r w:rsidR="00035A41" w:rsidRPr="0043317E">
        <w:t>. Th</w:t>
      </w:r>
      <w:r w:rsidR="00B71BFB">
        <w:t>is</w:t>
      </w:r>
      <w:r w:rsidR="00035A41" w:rsidRPr="0043317E">
        <w:t xml:space="preserve"> framework </w:t>
      </w:r>
      <w:r w:rsidR="006C5DBD" w:rsidRPr="0043317E">
        <w:t xml:space="preserve">also </w:t>
      </w:r>
      <w:r w:rsidR="00035A41" w:rsidRPr="0043317E">
        <w:t>aims to establish a protocol for the study and analysis of LFMSR</w:t>
      </w:r>
      <w:r w:rsidR="00B71BFB">
        <w:t>s</w:t>
      </w:r>
      <w:r w:rsidR="00035A41" w:rsidRPr="0043317E">
        <w:t xml:space="preserve"> which can later be expanded to other advanced reactors. </w:t>
      </w:r>
    </w:p>
    <w:p w14:paraId="59D2C1B2" w14:textId="5852FE00" w:rsidR="006C5DBD" w:rsidRDefault="006C5DBD" w:rsidP="006C5DBD">
      <w:pPr>
        <w:pStyle w:val="Default"/>
        <w:spacing w:before="280" w:after="280"/>
        <w:jc w:val="center"/>
        <w:rPr>
          <w:sz w:val="23"/>
          <w:szCs w:val="23"/>
        </w:rPr>
      </w:pPr>
      <w:r w:rsidRPr="006C5DBD">
        <w:rPr>
          <w:noProof/>
          <w:sz w:val="23"/>
          <w:szCs w:val="23"/>
        </w:rPr>
        <w:drawing>
          <wp:inline distT="0" distB="0" distL="0" distR="0" wp14:anchorId="226D1F04" wp14:editId="2B85F636">
            <wp:extent cx="4142050" cy="1907444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1386" cy="19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2D55" w14:textId="040DE682" w:rsidR="006C5DBD" w:rsidRDefault="006C5DBD" w:rsidP="006C5DBD">
      <w:pPr>
        <w:pStyle w:val="Default"/>
        <w:spacing w:before="280" w:after="280"/>
        <w:jc w:val="center"/>
        <w:rPr>
          <w:sz w:val="23"/>
          <w:szCs w:val="23"/>
        </w:rPr>
      </w:pPr>
      <w:r w:rsidRPr="00DF3A79">
        <w:rPr>
          <w:i/>
          <w:sz w:val="22"/>
          <w:szCs w:val="22"/>
          <w:lang w:val="en-GB"/>
        </w:rPr>
        <w:t>FIG.</w:t>
      </w:r>
      <w:r>
        <w:rPr>
          <w:bCs/>
          <w:i/>
          <w:sz w:val="22"/>
          <w:szCs w:val="22"/>
          <w:lang w:val="en-GB"/>
        </w:rPr>
        <w:t xml:space="preserve"> 2</w:t>
      </w:r>
      <w:r w:rsidRPr="00DF3A79">
        <w:rPr>
          <w:i/>
          <w:sz w:val="22"/>
          <w:szCs w:val="22"/>
          <w:lang w:val="en-GB"/>
        </w:rPr>
        <w:t xml:space="preserve">. </w:t>
      </w:r>
      <w:r>
        <w:rPr>
          <w:i/>
          <w:sz w:val="22"/>
          <w:szCs w:val="22"/>
          <w:lang w:val="en-GB"/>
        </w:rPr>
        <w:t>General framework for Uncertainty Quantification</w:t>
      </w:r>
    </w:p>
    <w:p w14:paraId="054501C3" w14:textId="67271EF8" w:rsidR="004E3376" w:rsidRPr="00B14674" w:rsidRDefault="00B71BFB" w:rsidP="003C6E87">
      <w:pPr>
        <w:pStyle w:val="Default"/>
        <w:spacing w:before="280" w:after="280"/>
        <w:jc w:val="both"/>
      </w:pPr>
      <w:r>
        <w:rPr>
          <w:color w:val="auto"/>
        </w:rPr>
        <w:t>The</w:t>
      </w:r>
      <w:r w:rsidR="00035A41" w:rsidRPr="0043317E">
        <w:rPr>
          <w:color w:val="auto"/>
        </w:rPr>
        <w:t xml:space="preserve"> </w:t>
      </w:r>
      <w:r>
        <w:rPr>
          <w:color w:val="auto"/>
        </w:rPr>
        <w:t>statistical</w:t>
      </w:r>
      <w:r w:rsidR="00035A41" w:rsidRPr="0043317E">
        <w:rPr>
          <w:color w:val="auto"/>
        </w:rPr>
        <w:t xml:space="preserve"> analysis tool Dakota was successfully coupled with GeN-Foam to perform high fidelity </w:t>
      </w:r>
      <w:r>
        <w:rPr>
          <w:color w:val="auto"/>
        </w:rPr>
        <w:t xml:space="preserve">UQ </w:t>
      </w:r>
      <w:r w:rsidR="00035A41" w:rsidRPr="0043317E">
        <w:rPr>
          <w:color w:val="auto"/>
        </w:rPr>
        <w:t>studies.</w:t>
      </w:r>
      <w:r w:rsidR="00B14674">
        <w:rPr>
          <w:color w:val="auto"/>
        </w:rPr>
        <w:t xml:space="preserve"> </w:t>
      </w:r>
      <w:r w:rsidR="00B14674">
        <w:t>The coupling was verified by sampling</w:t>
      </w:r>
      <w:r w:rsidR="00B14674" w:rsidRPr="0043317E">
        <w:t xml:space="preserve"> thermophysical properties using </w:t>
      </w:r>
      <w:r w:rsidRPr="0043317E">
        <w:t xml:space="preserve">Latin Hypercube Sampling </w:t>
      </w:r>
      <w:r w:rsidR="00B14674" w:rsidRPr="0043317E">
        <w:t>(</w:t>
      </w:r>
      <w:r w:rsidRPr="0043317E">
        <w:t>LHS</w:t>
      </w:r>
      <w:r w:rsidR="00B14674" w:rsidRPr="0043317E">
        <w:t xml:space="preserve">) from a normal distribution of the property and </w:t>
      </w:r>
      <w:r w:rsidR="00B14674">
        <w:t xml:space="preserve">studying the impact on </w:t>
      </w:r>
      <w:r w:rsidR="00B14674" w:rsidRPr="00D240D7">
        <w:t>two parameters, temperature (</w:t>
      </w:r>
      <w:r>
        <w:t xml:space="preserve">in </w:t>
      </w:r>
      <w:r w:rsidR="00B14674" w:rsidRPr="00D240D7">
        <w:t>K</w:t>
      </w:r>
      <w:r>
        <w:t>elvin</w:t>
      </w:r>
      <w:r w:rsidR="00B14674" w:rsidRPr="00D240D7">
        <w:t>) and pressure difference ΔP (</w:t>
      </w:r>
      <w:r>
        <w:t xml:space="preserve">in </w:t>
      </w:r>
      <w:r w:rsidR="00B14674" w:rsidRPr="00D240D7">
        <w:t xml:space="preserve">Pa). </w:t>
      </w:r>
    </w:p>
    <w:p w14:paraId="2C49FD85" w14:textId="4B9151B3" w:rsidR="00B16D58" w:rsidRDefault="000B2F27" w:rsidP="009C123B">
      <w:pPr>
        <w:pStyle w:val="Default"/>
        <w:spacing w:before="280" w:after="280"/>
        <w:jc w:val="both"/>
        <w:rPr>
          <w:color w:val="auto"/>
          <w:sz w:val="23"/>
          <w:szCs w:val="23"/>
        </w:rPr>
      </w:pPr>
      <w:r>
        <w:t xml:space="preserve">Previous work has shown </w:t>
      </w:r>
      <w:r w:rsidRPr="0060172D">
        <w:t xml:space="preserve">the potential </w:t>
      </w:r>
      <w:r>
        <w:t xml:space="preserve">of the </w:t>
      </w:r>
      <w:r w:rsidR="009C123B" w:rsidRPr="0060172D">
        <w:t>SAM code to model a molten salt system</w:t>
      </w:r>
      <w:r w:rsidR="009C123B">
        <w:t xml:space="preserve"> </w:t>
      </w:r>
      <w:r w:rsidR="00337B3D">
        <w:t>[</w:t>
      </w:r>
      <w:r w:rsidR="006B16B2">
        <w:t>6</w:t>
      </w:r>
      <w:r w:rsidR="00337B3D">
        <w:t>]</w:t>
      </w:r>
      <w:r w:rsidR="009C123B" w:rsidRPr="0060172D">
        <w:t xml:space="preserve">. With the inclusion of point kinetics and the capability to solve for multi-physics in a coupled fashion, </w:t>
      </w:r>
      <w:r>
        <w:t>a</w:t>
      </w:r>
      <w:r w:rsidR="009C123B" w:rsidRPr="0060172D">
        <w:t xml:space="preserve"> </w:t>
      </w:r>
      <w:r w:rsidR="009C123B">
        <w:t>SAM/Dakota coupling can</w:t>
      </w:r>
      <w:r w:rsidR="009C123B" w:rsidRPr="0060172D">
        <w:t xml:space="preserve"> serve as a reasonable checkpoint to compare the results with GeN-Foam/Dakota and identify the information loss that comes with using a system code. This </w:t>
      </w:r>
      <w:r>
        <w:t xml:space="preserve">comparison </w:t>
      </w:r>
      <w:r w:rsidR="009C123B" w:rsidRPr="0060172D">
        <w:t xml:space="preserve">will also help </w:t>
      </w:r>
      <w:r>
        <w:t>to</w:t>
      </w:r>
      <w:r w:rsidR="009C123B" w:rsidRPr="0060172D">
        <w:t xml:space="preserve"> develop reduced</w:t>
      </w:r>
      <w:r>
        <w:t xml:space="preserve">-order or </w:t>
      </w:r>
      <w:r w:rsidR="009C123B" w:rsidRPr="0060172D">
        <w:t>surrogate models</w:t>
      </w:r>
      <w:r w:rsidR="009C123B">
        <w:t xml:space="preserve"> more efficiently.</w:t>
      </w:r>
    </w:p>
    <w:p w14:paraId="2B40FE16" w14:textId="5079F8E4" w:rsidR="00253DB2" w:rsidRPr="00253DB2" w:rsidRDefault="007E0524" w:rsidP="00404CED">
      <w:pPr>
        <w:jc w:val="both"/>
        <w:rPr>
          <w:sz w:val="24"/>
          <w:szCs w:val="24"/>
        </w:rPr>
      </w:pPr>
      <w:r w:rsidRPr="00253DB2">
        <w:rPr>
          <w:sz w:val="24"/>
          <w:szCs w:val="24"/>
        </w:rPr>
        <w:lastRenderedPageBreak/>
        <w:t xml:space="preserve">An important development step </w:t>
      </w:r>
      <w:r w:rsidR="00B14674" w:rsidRPr="00253DB2">
        <w:rPr>
          <w:sz w:val="24"/>
          <w:szCs w:val="24"/>
        </w:rPr>
        <w:t>as part of the</w:t>
      </w:r>
      <w:r w:rsidR="000B2F27">
        <w:rPr>
          <w:sz w:val="24"/>
          <w:szCs w:val="24"/>
        </w:rPr>
        <w:t xml:space="preserve"> proposed</w:t>
      </w:r>
      <w:r w:rsidRPr="00253DB2">
        <w:rPr>
          <w:sz w:val="24"/>
          <w:szCs w:val="24"/>
        </w:rPr>
        <w:t xml:space="preserve"> framework is to</w:t>
      </w:r>
      <w:r w:rsidR="00B14674" w:rsidRPr="00253DB2">
        <w:rPr>
          <w:sz w:val="24"/>
          <w:szCs w:val="24"/>
        </w:rPr>
        <w:t xml:space="preserve"> define a safe operating zone </w:t>
      </w:r>
      <w:r w:rsidR="00FF77B6" w:rsidRPr="00253DB2">
        <w:rPr>
          <w:sz w:val="24"/>
          <w:szCs w:val="24"/>
        </w:rPr>
        <w:t xml:space="preserve">for the </w:t>
      </w:r>
      <w:r w:rsidR="000B2F27">
        <w:rPr>
          <w:sz w:val="24"/>
          <w:szCs w:val="24"/>
        </w:rPr>
        <w:t>LFMSR design under consideration</w:t>
      </w:r>
      <w:r w:rsidR="00FF77B6" w:rsidRPr="00253DB2">
        <w:rPr>
          <w:sz w:val="24"/>
          <w:szCs w:val="24"/>
        </w:rPr>
        <w:t xml:space="preserve"> </w:t>
      </w:r>
      <w:r w:rsidRPr="00253DB2">
        <w:rPr>
          <w:sz w:val="24"/>
          <w:szCs w:val="24"/>
        </w:rPr>
        <w:t xml:space="preserve">by </w:t>
      </w:r>
      <w:r w:rsidR="00CA0268">
        <w:rPr>
          <w:sz w:val="24"/>
          <w:szCs w:val="24"/>
        </w:rPr>
        <w:t>accounting for</w:t>
      </w:r>
      <w:r w:rsidRPr="00253DB2">
        <w:rPr>
          <w:sz w:val="24"/>
          <w:szCs w:val="24"/>
        </w:rPr>
        <w:t xml:space="preserve"> the </w:t>
      </w:r>
      <w:r w:rsidR="00FF77B6" w:rsidRPr="00253DB2">
        <w:rPr>
          <w:sz w:val="24"/>
          <w:szCs w:val="24"/>
        </w:rPr>
        <w:t xml:space="preserve">thermal limits set by </w:t>
      </w:r>
      <w:r w:rsidRPr="00253DB2">
        <w:rPr>
          <w:sz w:val="24"/>
          <w:szCs w:val="24"/>
        </w:rPr>
        <w:t>limiting safety systems settings (</w:t>
      </w:r>
      <w:r w:rsidR="00983211" w:rsidRPr="00253DB2">
        <w:rPr>
          <w:sz w:val="24"/>
          <w:szCs w:val="24"/>
        </w:rPr>
        <w:t>LSSS)</w:t>
      </w:r>
      <w:r w:rsidR="00CA77E5">
        <w:rPr>
          <w:sz w:val="24"/>
          <w:szCs w:val="24"/>
        </w:rPr>
        <w:t xml:space="preserve"> [7]</w:t>
      </w:r>
      <w:r w:rsidR="00983211" w:rsidRPr="00253DB2">
        <w:rPr>
          <w:sz w:val="24"/>
          <w:szCs w:val="24"/>
        </w:rPr>
        <w:t>.</w:t>
      </w:r>
      <w:r w:rsidR="00253DB2" w:rsidRPr="00253DB2">
        <w:rPr>
          <w:sz w:val="24"/>
          <w:szCs w:val="24"/>
        </w:rPr>
        <w:t xml:space="preserve"> </w:t>
      </w:r>
      <w:r w:rsidR="000B2F27">
        <w:rPr>
          <w:sz w:val="24"/>
          <w:szCs w:val="24"/>
        </w:rPr>
        <w:t xml:space="preserve">The </w:t>
      </w:r>
      <w:r w:rsidR="00253DB2" w:rsidRPr="00253DB2">
        <w:rPr>
          <w:sz w:val="24"/>
          <w:szCs w:val="24"/>
        </w:rPr>
        <w:t xml:space="preserve">LSSS </w:t>
      </w:r>
      <w:r w:rsidR="00CA77E5">
        <w:rPr>
          <w:sz w:val="24"/>
          <w:szCs w:val="24"/>
        </w:rPr>
        <w:t>t</w:t>
      </w:r>
      <w:r w:rsidR="00253DB2" w:rsidRPr="00253DB2">
        <w:rPr>
          <w:sz w:val="24"/>
          <w:szCs w:val="24"/>
        </w:rPr>
        <w:t xml:space="preserve">hermal </w:t>
      </w:r>
      <w:r w:rsidR="00CA77E5">
        <w:rPr>
          <w:sz w:val="24"/>
          <w:szCs w:val="24"/>
        </w:rPr>
        <w:t>l</w:t>
      </w:r>
      <w:r w:rsidR="00253DB2" w:rsidRPr="00253DB2">
        <w:rPr>
          <w:sz w:val="24"/>
          <w:szCs w:val="24"/>
        </w:rPr>
        <w:t>imits</w:t>
      </w:r>
      <w:r w:rsidR="00CA77E5">
        <w:rPr>
          <w:sz w:val="24"/>
          <w:szCs w:val="24"/>
        </w:rPr>
        <w:t xml:space="preserve"> for a LFMSR system are defined as follows</w:t>
      </w:r>
      <w:r w:rsidR="00253DB2" w:rsidRPr="00253DB2">
        <w:rPr>
          <w:sz w:val="24"/>
          <w:szCs w:val="24"/>
        </w:rPr>
        <w:t>:</w:t>
      </w:r>
    </w:p>
    <w:p w14:paraId="7F761D46" w14:textId="77777777" w:rsidR="00253DB2" w:rsidRDefault="00253DB2" w:rsidP="00404CED">
      <w:pPr>
        <w:pStyle w:val="ListParagraph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53DB2">
        <w:rPr>
          <w:rFonts w:ascii="Times New Roman" w:hAnsi="Times New Roman" w:cs="Times New Roman"/>
        </w:rPr>
        <w:t>Fuel-coolant temperature should be higher than the melting point and lower than the boiling point with an error margin of 10%.</w:t>
      </w:r>
    </w:p>
    <w:p w14:paraId="5CB8539C" w14:textId="744468D1" w:rsidR="00253DB2" w:rsidRPr="00253DB2" w:rsidRDefault="00253DB2" w:rsidP="00404CED">
      <w:pPr>
        <w:pStyle w:val="ListParagraph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53DB2">
        <w:rPr>
          <w:rFonts w:ascii="Times New Roman" w:hAnsi="Times New Roman" w:cs="Times New Roman"/>
        </w:rPr>
        <w:t xml:space="preserve">To ensure the integrity of the pressure vessel, the average bulk outlet temperature of the reactor must remain below the structural material’s maximum allowable operational temperature. </w:t>
      </w:r>
      <w:r w:rsidR="00FF77B6" w:rsidRPr="00253DB2">
        <w:rPr>
          <w:rFonts w:ascii="Times New Roman" w:hAnsi="Times New Roman" w:cs="Times New Roman"/>
        </w:rPr>
        <w:t xml:space="preserve"> </w:t>
      </w:r>
    </w:p>
    <w:p w14:paraId="3057B0FF" w14:textId="1E52E269" w:rsidR="00C56FB0" w:rsidRDefault="00F52E8A" w:rsidP="00127E9B">
      <w:pPr>
        <w:pStyle w:val="Default"/>
        <w:spacing w:before="280" w:after="280"/>
        <w:jc w:val="both"/>
      </w:pPr>
      <w:r>
        <w:t>The LFMSR</w:t>
      </w:r>
      <w:r w:rsidR="00A46B88">
        <w:t xml:space="preserve"> design chosen for th</w:t>
      </w:r>
      <w:r w:rsidR="00C56FB0">
        <w:t>is</w:t>
      </w:r>
      <w:r w:rsidR="00A46B88">
        <w:t xml:space="preserve"> study </w:t>
      </w:r>
      <w:r w:rsidR="00C56FB0">
        <w:t>comprised of</w:t>
      </w:r>
      <w:r w:rsidR="00A46B88">
        <w:t xml:space="preserve"> sixteen loops </w:t>
      </w:r>
      <w:r w:rsidR="00C56FB0">
        <w:t>with</w:t>
      </w:r>
      <w:r w:rsidR="00A46B88">
        <w:t xml:space="preserve"> every loop </w:t>
      </w:r>
      <w:r w:rsidR="00C56FB0">
        <w:t>consis</w:t>
      </w:r>
      <w:r w:rsidR="00C210C6">
        <w:t>t</w:t>
      </w:r>
      <w:r w:rsidR="00C56FB0">
        <w:t>ing</w:t>
      </w:r>
      <w:r w:rsidR="00A46B88">
        <w:t xml:space="preserve"> of the core, a heat exchanger and pump. The parameterized cross-sections were generated using </w:t>
      </w:r>
      <w:r w:rsidR="00CA0268">
        <w:t>the</w:t>
      </w:r>
      <w:r w:rsidR="00A46B88">
        <w:t xml:space="preserve"> infinite medium model </w:t>
      </w:r>
      <w:r w:rsidR="00CA0268">
        <w:t xml:space="preserve">in the Serpent 2 code </w:t>
      </w:r>
      <w:r w:rsidR="00A46B88">
        <w:t>and then a MATLAB script was used to prepare the cross-sections for GeN-Foam. The thermophysical properties used to set up the case are shown in Table 1 [</w:t>
      </w:r>
      <w:r w:rsidR="00C56FB0">
        <w:t>5</w:t>
      </w:r>
      <w:r w:rsidR="00A46B88">
        <w:t>]</w:t>
      </w:r>
      <w:r w:rsidR="00CC26C0">
        <w:t xml:space="preserve">. To save computational time, one-sixteenth of the core was modeled, and symmetry boundary condition was assigned to the lateral surface of the core component and wall-boundary conditions were used everywhere else to avoid crossflow. Vacuum boundary condition was used for the neutron flux at the walls. </w:t>
      </w:r>
    </w:p>
    <w:p w14:paraId="49FF9208" w14:textId="008DD2C4" w:rsidR="00C56FB0" w:rsidRPr="00DF3A79" w:rsidRDefault="00C56FB0" w:rsidP="00C56FB0">
      <w:pPr>
        <w:pStyle w:val="BodyText"/>
        <w:spacing w:before="280" w:after="280" w:line="240" w:lineRule="auto"/>
        <w:ind w:firstLine="0"/>
        <w:rPr>
          <w:sz w:val="24"/>
          <w:szCs w:val="24"/>
        </w:rPr>
      </w:pPr>
      <w:r w:rsidRPr="00DF3A79">
        <w:rPr>
          <w:sz w:val="24"/>
          <w:szCs w:val="24"/>
        </w:rPr>
        <w:t>TABLE 1.</w:t>
      </w:r>
      <w:r w:rsidRPr="00DF3A79">
        <w:rPr>
          <w:sz w:val="24"/>
          <w:szCs w:val="24"/>
        </w:rPr>
        <w:tab/>
      </w:r>
      <w:r w:rsidR="00C210C6">
        <w:rPr>
          <w:sz w:val="24"/>
          <w:szCs w:val="24"/>
        </w:rPr>
        <w:t xml:space="preserve">FUEL SALT </w:t>
      </w:r>
      <w:r w:rsidR="00987334">
        <w:rPr>
          <w:sz w:val="24"/>
          <w:szCs w:val="24"/>
        </w:rPr>
        <w:t xml:space="preserve">DESIGN PARAMETERS FOR </w:t>
      </w:r>
      <w:r w:rsidR="00584D5F">
        <w:rPr>
          <w:sz w:val="24"/>
          <w:szCs w:val="24"/>
        </w:rPr>
        <w:t>PRIMARY LOOP</w:t>
      </w:r>
    </w:p>
    <w:p w14:paraId="6C9221AF" w14:textId="230453A3" w:rsidR="00C56FB0" w:rsidRDefault="00C56FB0" w:rsidP="00C56FB0">
      <w:pPr>
        <w:pStyle w:val="BodyText"/>
        <w:spacing w:line="240" w:lineRule="auto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1151"/>
        <w:gridCol w:w="1742"/>
      </w:tblGrid>
      <w:tr w:rsidR="000B2F27" w:rsidRPr="000552F9" w14:paraId="60080618" w14:textId="77777777" w:rsidTr="00DC24D2">
        <w:trPr>
          <w:jc w:val="center"/>
        </w:trPr>
        <w:tc>
          <w:tcPr>
            <w:tcW w:w="3100" w:type="dxa"/>
            <w:tcBorders>
              <w:top w:val="single" w:sz="4" w:space="0" w:color="auto"/>
              <w:bottom w:val="single" w:sz="4" w:space="0" w:color="auto"/>
            </w:tcBorders>
          </w:tcPr>
          <w:p w14:paraId="30DA97B7" w14:textId="7295082F" w:rsidR="000B2F27" w:rsidRPr="000552F9" w:rsidRDefault="000B2F27" w:rsidP="009F7214">
            <w:pPr>
              <w:pStyle w:val="BodyText"/>
              <w:ind w:firstLine="0"/>
              <w:rPr>
                <w:sz w:val="22"/>
                <w:szCs w:val="22"/>
              </w:rPr>
            </w:pPr>
            <w:bookmarkStart w:id="0" w:name="_Hlk73713412"/>
            <w:r>
              <w:rPr>
                <w:sz w:val="22"/>
                <w:szCs w:val="22"/>
              </w:rPr>
              <w:t>Parameter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14:paraId="4CFB1A93" w14:textId="58AE049C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Value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58376419" w14:textId="4D0204FE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Units</w:t>
            </w:r>
          </w:p>
        </w:tc>
      </w:tr>
      <w:tr w:rsidR="000B2F27" w:rsidRPr="000552F9" w14:paraId="1DBA5B5B" w14:textId="77777777" w:rsidTr="00DC24D2">
        <w:trPr>
          <w:jc w:val="center"/>
        </w:trPr>
        <w:tc>
          <w:tcPr>
            <w:tcW w:w="3100" w:type="dxa"/>
            <w:tcBorders>
              <w:top w:val="single" w:sz="4" w:space="0" w:color="auto"/>
            </w:tcBorders>
          </w:tcPr>
          <w:p w14:paraId="2EDEBFF4" w14:textId="1D743E51" w:rsidR="000B2F27" w:rsidRPr="000552F9" w:rsidRDefault="000B2F27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t>ensity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14:paraId="3276C96F" w14:textId="03441932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4200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121A8058" w14:textId="4BA54F1C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kg/m</w:t>
            </w:r>
            <w:r w:rsidRPr="00CA026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0B2F27" w:rsidRPr="000552F9" w14:paraId="6EE780EA" w14:textId="77777777" w:rsidTr="00DC24D2">
        <w:trPr>
          <w:jc w:val="center"/>
        </w:trPr>
        <w:tc>
          <w:tcPr>
            <w:tcW w:w="3100" w:type="dxa"/>
          </w:tcPr>
          <w:p w14:paraId="114F6C0E" w14:textId="0CB4A016" w:rsidR="000B2F27" w:rsidRPr="000552F9" w:rsidRDefault="000B2F27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Specific Heat Capacity</w:t>
            </w:r>
          </w:p>
        </w:tc>
        <w:tc>
          <w:tcPr>
            <w:tcW w:w="1151" w:type="dxa"/>
          </w:tcPr>
          <w:p w14:paraId="2EF11F31" w14:textId="603F036E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</w:t>
            </w:r>
          </w:p>
        </w:tc>
        <w:tc>
          <w:tcPr>
            <w:tcW w:w="1742" w:type="dxa"/>
          </w:tcPr>
          <w:p w14:paraId="734666ED" w14:textId="2089E8A5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J/</w:t>
            </w:r>
            <w:proofErr w:type="gramStart"/>
            <w:r>
              <w:rPr>
                <w:sz w:val="22"/>
                <w:szCs w:val="22"/>
              </w:rPr>
              <w:t>kg-K</w:t>
            </w:r>
            <w:proofErr w:type="gramEnd"/>
          </w:p>
        </w:tc>
      </w:tr>
      <w:tr w:rsidR="000B2F27" w:rsidRPr="000552F9" w14:paraId="6493C0AF" w14:textId="77777777" w:rsidTr="00DC24D2">
        <w:trPr>
          <w:jc w:val="center"/>
        </w:trPr>
        <w:tc>
          <w:tcPr>
            <w:tcW w:w="3100" w:type="dxa"/>
          </w:tcPr>
          <w:p w14:paraId="3FC52378" w14:textId="3493E539" w:rsidR="000B2F27" w:rsidRDefault="000B2F27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Dynamic Viscosity</w:t>
            </w:r>
          </w:p>
        </w:tc>
        <w:tc>
          <w:tcPr>
            <w:tcW w:w="1151" w:type="dxa"/>
          </w:tcPr>
          <w:p w14:paraId="08EE90C8" w14:textId="5DBB5220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0.00217</w:t>
            </w:r>
          </w:p>
        </w:tc>
        <w:tc>
          <w:tcPr>
            <w:tcW w:w="1742" w:type="dxa"/>
          </w:tcPr>
          <w:p w14:paraId="4335087F" w14:textId="4F3C1C71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Pa-s</w:t>
            </w:r>
          </w:p>
        </w:tc>
      </w:tr>
      <w:tr w:rsidR="000B2F27" w:rsidRPr="000552F9" w14:paraId="60CC2272" w14:textId="77777777" w:rsidTr="00DC24D2">
        <w:trPr>
          <w:jc w:val="center"/>
        </w:trPr>
        <w:tc>
          <w:tcPr>
            <w:tcW w:w="3100" w:type="dxa"/>
          </w:tcPr>
          <w:p w14:paraId="2997780C" w14:textId="14764F5F" w:rsidR="000B2F27" w:rsidRDefault="000B2F27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Thermal Expansion Coefficient</w:t>
            </w:r>
          </w:p>
        </w:tc>
        <w:tc>
          <w:tcPr>
            <w:tcW w:w="1151" w:type="dxa"/>
          </w:tcPr>
          <w:p w14:paraId="32E5210D" w14:textId="6EEAD454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0.000464</w:t>
            </w:r>
          </w:p>
        </w:tc>
        <w:tc>
          <w:tcPr>
            <w:tcW w:w="1742" w:type="dxa"/>
          </w:tcPr>
          <w:p w14:paraId="1B31CE82" w14:textId="113D1E39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1/K</w:t>
            </w:r>
          </w:p>
        </w:tc>
      </w:tr>
      <w:tr w:rsidR="000B2F27" w:rsidRPr="000552F9" w14:paraId="58BB96EC" w14:textId="77777777" w:rsidTr="00DC24D2">
        <w:trPr>
          <w:jc w:val="center"/>
        </w:trPr>
        <w:tc>
          <w:tcPr>
            <w:tcW w:w="3100" w:type="dxa"/>
          </w:tcPr>
          <w:p w14:paraId="54B68F37" w14:textId="63B965A3" w:rsidR="000B2F27" w:rsidRDefault="000B2F27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Thermal Conductivity</w:t>
            </w:r>
          </w:p>
        </w:tc>
        <w:tc>
          <w:tcPr>
            <w:tcW w:w="1151" w:type="dxa"/>
          </w:tcPr>
          <w:p w14:paraId="7AA1215F" w14:textId="730C1F68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742" w:type="dxa"/>
          </w:tcPr>
          <w:p w14:paraId="128A2509" w14:textId="1CAD6674" w:rsidR="000B2F27" w:rsidRPr="000552F9" w:rsidRDefault="000B2F27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W/m-K</w:t>
            </w:r>
          </w:p>
        </w:tc>
      </w:tr>
    </w:tbl>
    <w:bookmarkEnd w:id="0"/>
    <w:p w14:paraId="03FDC44A" w14:textId="6D2915DD" w:rsidR="00950B2F" w:rsidRDefault="00CC26C0" w:rsidP="00CC26C0">
      <w:pPr>
        <w:pStyle w:val="Default"/>
        <w:spacing w:before="280" w:after="280"/>
        <w:jc w:val="both"/>
      </w:pPr>
      <w:r>
        <w:t xml:space="preserve">Power, mass flow rate and heat transfer coefficient (HTC) were </w:t>
      </w:r>
      <w:r w:rsidR="00950B2F">
        <w:t>varied,</w:t>
      </w:r>
      <w:r>
        <w:t xml:space="preserve"> </w:t>
      </w:r>
      <w:r w:rsidR="00950B2F">
        <w:t>and particular attention was given to the maximum and minimum salt temperatures within the primary loop. Every case was tested against the thermal limit criteria given in Table 2</w:t>
      </w:r>
      <w:r w:rsidR="00AA0E0A">
        <w:t xml:space="preserve"> (which has adopted values from</w:t>
      </w:r>
      <w:r w:rsidR="00950B2F">
        <w:t xml:space="preserve"> [8]</w:t>
      </w:r>
      <w:r w:rsidR="00AA0E0A">
        <w:t>)</w:t>
      </w:r>
      <w:r w:rsidR="00950B2F">
        <w:t xml:space="preserve"> to determine a safe operating zone</w:t>
      </w:r>
      <w:r>
        <w:t xml:space="preserve">. </w:t>
      </w:r>
    </w:p>
    <w:p w14:paraId="5ADAB6CE" w14:textId="4B20AFB4" w:rsidR="00AC1AB9" w:rsidRDefault="00AC1AB9" w:rsidP="00AC1AB9">
      <w:pPr>
        <w:pStyle w:val="BodyText"/>
        <w:spacing w:before="280" w:after="280" w:line="240" w:lineRule="auto"/>
        <w:ind w:firstLine="0"/>
        <w:rPr>
          <w:sz w:val="24"/>
          <w:szCs w:val="24"/>
        </w:rPr>
      </w:pPr>
      <w:r w:rsidRPr="00DF3A79">
        <w:rPr>
          <w:sz w:val="24"/>
          <w:szCs w:val="24"/>
        </w:rPr>
        <w:t xml:space="preserve">TABLE </w:t>
      </w:r>
      <w:r>
        <w:rPr>
          <w:sz w:val="24"/>
          <w:szCs w:val="24"/>
        </w:rPr>
        <w:t>2</w:t>
      </w:r>
      <w:r w:rsidRPr="00DF3A79">
        <w:rPr>
          <w:sz w:val="24"/>
          <w:szCs w:val="24"/>
        </w:rPr>
        <w:t>.</w:t>
      </w:r>
      <w:r w:rsidRPr="00DF3A79">
        <w:rPr>
          <w:sz w:val="24"/>
          <w:szCs w:val="24"/>
        </w:rPr>
        <w:tab/>
      </w:r>
      <w:r>
        <w:rPr>
          <w:sz w:val="24"/>
          <w:szCs w:val="24"/>
        </w:rPr>
        <w:t>T</w:t>
      </w:r>
      <w:r w:rsidR="005B24A0">
        <w:rPr>
          <w:sz w:val="24"/>
          <w:szCs w:val="24"/>
        </w:rPr>
        <w:t>HERMAL LIMITS CRITERIA</w:t>
      </w:r>
      <w:r>
        <w:rPr>
          <w:sz w:val="24"/>
          <w:szCs w:val="24"/>
        </w:rPr>
        <w:t xml:space="preserve"> </w:t>
      </w:r>
    </w:p>
    <w:p w14:paraId="40016C99" w14:textId="11B00C1E" w:rsidR="00DC24D2" w:rsidRDefault="00DC24D2" w:rsidP="00AC1AB9">
      <w:pPr>
        <w:pStyle w:val="BodyText"/>
        <w:spacing w:before="280" w:after="280" w:line="240" w:lineRule="auto"/>
        <w:ind w:firstLine="0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1151"/>
        <w:gridCol w:w="1742"/>
      </w:tblGrid>
      <w:tr w:rsidR="00DC24D2" w:rsidRPr="000552F9" w14:paraId="5D15E0A0" w14:textId="77777777" w:rsidTr="00B12CA8">
        <w:trPr>
          <w:jc w:val="center"/>
        </w:trPr>
        <w:tc>
          <w:tcPr>
            <w:tcW w:w="4627" w:type="dxa"/>
            <w:tcBorders>
              <w:top w:val="single" w:sz="4" w:space="0" w:color="auto"/>
              <w:bottom w:val="single" w:sz="4" w:space="0" w:color="auto"/>
            </w:tcBorders>
          </w:tcPr>
          <w:p w14:paraId="234BA035" w14:textId="77777777" w:rsidR="00DC24D2" w:rsidRPr="000552F9" w:rsidRDefault="00DC24D2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Parameter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14:paraId="274DCFBF" w14:textId="77777777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Value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6F279898" w14:textId="77777777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Units</w:t>
            </w:r>
          </w:p>
        </w:tc>
      </w:tr>
      <w:tr w:rsidR="00DC24D2" w:rsidRPr="000552F9" w14:paraId="18548537" w14:textId="77777777" w:rsidTr="00B12CA8">
        <w:trPr>
          <w:jc w:val="center"/>
        </w:trPr>
        <w:tc>
          <w:tcPr>
            <w:tcW w:w="4627" w:type="dxa"/>
            <w:tcBorders>
              <w:top w:val="single" w:sz="4" w:space="0" w:color="auto"/>
            </w:tcBorders>
          </w:tcPr>
          <w:p w14:paraId="2B573910" w14:textId="4418EBA6" w:rsidR="00DC24D2" w:rsidRPr="000552F9" w:rsidRDefault="00DC24D2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Salt Melting Temperature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14:paraId="4C34D39C" w14:textId="1513E5FC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739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21A6D560" w14:textId="5362E3CB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</w:p>
        </w:tc>
      </w:tr>
      <w:tr w:rsidR="00DC24D2" w:rsidRPr="000552F9" w14:paraId="4BD0582E" w14:textId="77777777" w:rsidTr="00B12CA8">
        <w:trPr>
          <w:jc w:val="center"/>
        </w:trPr>
        <w:tc>
          <w:tcPr>
            <w:tcW w:w="4627" w:type="dxa"/>
          </w:tcPr>
          <w:p w14:paraId="7D875170" w14:textId="3F1F0800" w:rsidR="00DC24D2" w:rsidRPr="000552F9" w:rsidRDefault="00DC24D2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Salt Boiling Temperature</w:t>
            </w:r>
          </w:p>
        </w:tc>
        <w:tc>
          <w:tcPr>
            <w:tcW w:w="1151" w:type="dxa"/>
          </w:tcPr>
          <w:p w14:paraId="4B4C3A4F" w14:textId="48C0F64B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1673</w:t>
            </w:r>
          </w:p>
        </w:tc>
        <w:tc>
          <w:tcPr>
            <w:tcW w:w="1742" w:type="dxa"/>
          </w:tcPr>
          <w:p w14:paraId="4665D605" w14:textId="33DB5B6C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</w:p>
        </w:tc>
      </w:tr>
      <w:tr w:rsidR="00DC24D2" w:rsidRPr="000552F9" w14:paraId="10165A71" w14:textId="77777777" w:rsidTr="00B12CA8">
        <w:trPr>
          <w:jc w:val="center"/>
        </w:trPr>
        <w:tc>
          <w:tcPr>
            <w:tcW w:w="4627" w:type="dxa"/>
          </w:tcPr>
          <w:p w14:paraId="12D3B8CD" w14:textId="515254E8" w:rsidR="00DC24D2" w:rsidRDefault="00B12CA8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Maximum </w:t>
            </w:r>
            <w:r w:rsidR="00DC24D2">
              <w:rPr>
                <w:sz w:val="22"/>
                <w:szCs w:val="22"/>
              </w:rPr>
              <w:t>Hastelloy N Operational Temperature</w:t>
            </w:r>
          </w:p>
        </w:tc>
        <w:tc>
          <w:tcPr>
            <w:tcW w:w="1151" w:type="dxa"/>
          </w:tcPr>
          <w:p w14:paraId="5F654D03" w14:textId="45CFACC2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</w:t>
            </w:r>
          </w:p>
        </w:tc>
        <w:tc>
          <w:tcPr>
            <w:tcW w:w="1742" w:type="dxa"/>
          </w:tcPr>
          <w:p w14:paraId="4C48634D" w14:textId="53191A0A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</w:p>
        </w:tc>
      </w:tr>
      <w:tr w:rsidR="00DC24D2" w:rsidRPr="000552F9" w14:paraId="61F9EDAA" w14:textId="77777777" w:rsidTr="00B12CA8">
        <w:trPr>
          <w:jc w:val="center"/>
        </w:trPr>
        <w:tc>
          <w:tcPr>
            <w:tcW w:w="4627" w:type="dxa"/>
          </w:tcPr>
          <w:p w14:paraId="44984FE2" w14:textId="2881F2F5" w:rsidR="00DC24D2" w:rsidRDefault="00B12CA8" w:rsidP="009F7214">
            <w:pPr>
              <w:pStyle w:val="BodyTex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Maximum </w:t>
            </w:r>
            <w:r w:rsidR="00DC24D2">
              <w:rPr>
                <w:sz w:val="22"/>
                <w:szCs w:val="22"/>
              </w:rPr>
              <w:t>SS 316L Operational Temperature</w:t>
            </w:r>
          </w:p>
        </w:tc>
        <w:tc>
          <w:tcPr>
            <w:tcW w:w="1151" w:type="dxa"/>
          </w:tcPr>
          <w:p w14:paraId="223D58BC" w14:textId="1CA543C3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1658</w:t>
            </w:r>
          </w:p>
        </w:tc>
        <w:tc>
          <w:tcPr>
            <w:tcW w:w="1742" w:type="dxa"/>
          </w:tcPr>
          <w:p w14:paraId="2681F0A7" w14:textId="3CDD44D2" w:rsidR="00DC24D2" w:rsidRPr="000552F9" w:rsidRDefault="00DC24D2" w:rsidP="009F7214">
            <w:pPr>
              <w:pStyle w:val="BodyTex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</w:p>
        </w:tc>
      </w:tr>
    </w:tbl>
    <w:p w14:paraId="11DF7950" w14:textId="39253C85" w:rsidR="00F910B4" w:rsidRDefault="00950B2F" w:rsidP="00F910B4">
      <w:pPr>
        <w:pStyle w:val="Default"/>
        <w:spacing w:before="280" w:after="280"/>
        <w:jc w:val="both"/>
      </w:pPr>
      <w:r>
        <w:t>The analysis was performed for two different power levels (25 MW</w:t>
      </w:r>
      <w:r>
        <w:rPr>
          <w:vertAlign w:val="subscript"/>
        </w:rPr>
        <w:t>th</w:t>
      </w:r>
      <w:r>
        <w:t>/loop and 50 MW</w:t>
      </w:r>
      <w:r>
        <w:rPr>
          <w:vertAlign w:val="subscript"/>
        </w:rPr>
        <w:t>th</w:t>
      </w:r>
      <w:r>
        <w:t>/loop), three different HTC (1000 W/m</w:t>
      </w:r>
      <w:r>
        <w:rPr>
          <w:vertAlign w:val="superscript"/>
        </w:rPr>
        <w:t>2</w:t>
      </w:r>
      <w:r>
        <w:t>K, 2500 W/m</w:t>
      </w:r>
      <w:r>
        <w:rPr>
          <w:vertAlign w:val="superscript"/>
        </w:rPr>
        <w:t>2</w:t>
      </w:r>
      <w:r>
        <w:t>K, 5000 W/m</w:t>
      </w:r>
      <w:r>
        <w:rPr>
          <w:vertAlign w:val="superscript"/>
        </w:rPr>
        <w:t>2</w:t>
      </w:r>
      <w:r>
        <w:t xml:space="preserve">K) and three different pump momentum heads (5000 Pa/m, 10000 Pa/m, 20000 Pa/m). </w:t>
      </w:r>
      <w:r w:rsidR="000D7C09">
        <w:t>Figure</w:t>
      </w:r>
      <w:r w:rsidR="00AA0E0A">
        <w:t>s</w:t>
      </w:r>
      <w:r w:rsidR="000D7C09">
        <w:t xml:space="preserve"> 3 and 4 </w:t>
      </w:r>
      <w:r w:rsidR="00AA0E0A">
        <w:t>show</w:t>
      </w:r>
      <w:r>
        <w:t xml:space="preserve"> that</w:t>
      </w:r>
      <w:r w:rsidR="000E0A0F">
        <w:t xml:space="preserve"> </w:t>
      </w:r>
      <w:r>
        <w:t>design indices 5</w:t>
      </w:r>
      <w:r w:rsidR="00996C91">
        <w:t xml:space="preserve"> (25 MW</w:t>
      </w:r>
      <w:r w:rsidR="00996C91">
        <w:rPr>
          <w:vertAlign w:val="subscript"/>
        </w:rPr>
        <w:t>th</w:t>
      </w:r>
      <w:r w:rsidR="00996C91">
        <w:t>, 2500 W/m</w:t>
      </w:r>
      <w:r w:rsidR="00996C91">
        <w:rPr>
          <w:vertAlign w:val="superscript"/>
        </w:rPr>
        <w:t>2</w:t>
      </w:r>
      <w:r w:rsidR="00996C91">
        <w:t>K, 10000 Pa/m)</w:t>
      </w:r>
      <w:r>
        <w:t xml:space="preserve"> and 9</w:t>
      </w:r>
      <w:r w:rsidR="00996C91">
        <w:t xml:space="preserve"> (25 MW</w:t>
      </w:r>
      <w:r w:rsidR="00996C91">
        <w:rPr>
          <w:vertAlign w:val="subscript"/>
        </w:rPr>
        <w:t>th</w:t>
      </w:r>
      <w:r w:rsidR="00996C91">
        <w:t>, 5000 W/m</w:t>
      </w:r>
      <w:r w:rsidR="00996C91">
        <w:rPr>
          <w:vertAlign w:val="superscript"/>
        </w:rPr>
        <w:t>2</w:t>
      </w:r>
      <w:r w:rsidR="00996C91">
        <w:t>K, 20000 Pa/m)</w:t>
      </w:r>
      <w:r>
        <w:t xml:space="preserve"> </w:t>
      </w:r>
      <w:r w:rsidR="000E0A0F">
        <w:t xml:space="preserve">are the only </w:t>
      </w:r>
      <w:r w:rsidR="00AA0E0A">
        <w:t>designs</w:t>
      </w:r>
      <w:r w:rsidR="000E0A0F">
        <w:t xml:space="preserve"> that </w:t>
      </w:r>
      <w:r w:rsidR="00996C91">
        <w:t>lie within the safe operating zone for the LFMSR</w:t>
      </w:r>
      <w:r w:rsidR="00673410">
        <w:t xml:space="preserve">. </w:t>
      </w:r>
    </w:p>
    <w:p w14:paraId="6227E1D1" w14:textId="096C4E33" w:rsidR="00875F9D" w:rsidRDefault="00E608DF" w:rsidP="00875F9D">
      <w:pPr>
        <w:pStyle w:val="Default"/>
        <w:spacing w:before="280" w:after="280"/>
        <w:jc w:val="center"/>
      </w:pPr>
      <w:r>
        <w:rPr>
          <w:noProof/>
        </w:rPr>
        <w:lastRenderedPageBreak/>
        <w:drawing>
          <wp:inline distT="0" distB="0" distL="0" distR="0" wp14:anchorId="1B00AAA2" wp14:editId="77037C96">
            <wp:extent cx="3648456" cy="2286000"/>
            <wp:effectExtent l="0" t="0" r="0" b="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5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6EF1" w14:textId="5D2782C6" w:rsidR="00875F9D" w:rsidRPr="00875F9D" w:rsidRDefault="00875F9D" w:rsidP="00875F9D">
      <w:pPr>
        <w:pStyle w:val="Default"/>
        <w:spacing w:before="280" w:after="280"/>
        <w:jc w:val="center"/>
        <w:rPr>
          <w:sz w:val="23"/>
          <w:szCs w:val="23"/>
        </w:rPr>
      </w:pPr>
      <w:r w:rsidRPr="00DF3A79">
        <w:rPr>
          <w:i/>
          <w:sz w:val="22"/>
          <w:szCs w:val="22"/>
          <w:lang w:val="en-GB"/>
        </w:rPr>
        <w:t>FIG.</w:t>
      </w:r>
      <w:r>
        <w:rPr>
          <w:bCs/>
          <w:i/>
          <w:sz w:val="22"/>
          <w:szCs w:val="22"/>
          <w:lang w:val="en-GB"/>
        </w:rPr>
        <w:t xml:space="preserve"> 3</w:t>
      </w:r>
      <w:r w:rsidRPr="00DF3A79">
        <w:rPr>
          <w:i/>
          <w:sz w:val="22"/>
          <w:szCs w:val="22"/>
          <w:lang w:val="en-GB"/>
        </w:rPr>
        <w:t xml:space="preserve">. </w:t>
      </w:r>
      <w:r>
        <w:rPr>
          <w:i/>
          <w:sz w:val="22"/>
          <w:szCs w:val="22"/>
          <w:lang w:val="en-GB"/>
        </w:rPr>
        <w:t>LSSS diagram with operating region for SS</w:t>
      </w:r>
      <w:r w:rsidR="007D67B4">
        <w:rPr>
          <w:i/>
          <w:sz w:val="22"/>
          <w:szCs w:val="22"/>
          <w:lang w:val="en-GB"/>
        </w:rPr>
        <w:t xml:space="preserve"> </w:t>
      </w:r>
      <w:r>
        <w:rPr>
          <w:i/>
          <w:sz w:val="22"/>
          <w:szCs w:val="22"/>
          <w:lang w:val="en-GB"/>
        </w:rPr>
        <w:t>316L structural material</w:t>
      </w:r>
    </w:p>
    <w:p w14:paraId="597A16B4" w14:textId="41BBAD27" w:rsidR="007E0524" w:rsidRDefault="00E608DF" w:rsidP="00875F9D">
      <w:pPr>
        <w:pStyle w:val="Default"/>
        <w:spacing w:before="280" w:after="280"/>
        <w:jc w:val="center"/>
      </w:pPr>
      <w:r>
        <w:rPr>
          <w:noProof/>
        </w:rPr>
        <w:drawing>
          <wp:inline distT="0" distB="0" distL="0" distR="0" wp14:anchorId="57EE7D85" wp14:editId="4C2D0AC8">
            <wp:extent cx="3721608" cy="2286000"/>
            <wp:effectExtent l="0" t="0" r="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51ED" w14:textId="43DD6BC6" w:rsidR="00875F9D" w:rsidRPr="00875F9D" w:rsidRDefault="00875F9D" w:rsidP="00875F9D">
      <w:pPr>
        <w:pStyle w:val="Default"/>
        <w:spacing w:before="280" w:after="280"/>
        <w:jc w:val="center"/>
        <w:rPr>
          <w:sz w:val="23"/>
          <w:szCs w:val="23"/>
        </w:rPr>
      </w:pPr>
      <w:r w:rsidRPr="00DF3A79">
        <w:rPr>
          <w:i/>
          <w:sz w:val="22"/>
          <w:szCs w:val="22"/>
          <w:lang w:val="en-GB"/>
        </w:rPr>
        <w:t>FIG.</w:t>
      </w:r>
      <w:r>
        <w:rPr>
          <w:bCs/>
          <w:i/>
          <w:sz w:val="22"/>
          <w:szCs w:val="22"/>
          <w:lang w:val="en-GB"/>
        </w:rPr>
        <w:t xml:space="preserve"> 4</w:t>
      </w:r>
      <w:r w:rsidRPr="00DF3A79">
        <w:rPr>
          <w:i/>
          <w:sz w:val="22"/>
          <w:szCs w:val="22"/>
          <w:lang w:val="en-GB"/>
        </w:rPr>
        <w:t xml:space="preserve">. </w:t>
      </w:r>
      <w:r>
        <w:rPr>
          <w:i/>
          <w:sz w:val="22"/>
          <w:szCs w:val="22"/>
          <w:lang w:val="en-GB"/>
        </w:rPr>
        <w:t>LSSS diagram with operating region for Hastelloy N structural material</w:t>
      </w:r>
      <w:r w:rsidR="00121301">
        <w:rPr>
          <w:i/>
          <w:sz w:val="22"/>
          <w:szCs w:val="22"/>
          <w:lang w:val="en-GB"/>
        </w:rPr>
        <w:t xml:space="preserve"> </w:t>
      </w:r>
    </w:p>
    <w:p w14:paraId="7324E2AD" w14:textId="05AB3EE3" w:rsidR="007B1EDF" w:rsidRPr="004C37BB" w:rsidRDefault="00AA0E0A" w:rsidP="00834757">
      <w:pPr>
        <w:pStyle w:val="Default"/>
        <w:jc w:val="both"/>
      </w:pPr>
      <w:r>
        <w:t>This work has identified reasonable</w:t>
      </w:r>
      <w:r w:rsidR="006261E4">
        <w:t xml:space="preserve"> design </w:t>
      </w:r>
      <w:r w:rsidR="00136157">
        <w:t>parameters</w:t>
      </w:r>
      <w:r>
        <w:t xml:space="preserve"> for use in</w:t>
      </w:r>
      <w:r w:rsidR="006261E4">
        <w:t xml:space="preserve"> </w:t>
      </w:r>
      <w:r>
        <w:t>an</w:t>
      </w:r>
      <w:r w:rsidR="006261E4">
        <w:t xml:space="preserve"> LFMSR core and primary loop model</w:t>
      </w:r>
      <w:r w:rsidR="00136157">
        <w:t xml:space="preserve">. The </w:t>
      </w:r>
      <w:r w:rsidR="003650E4">
        <w:t>future work will focus on</w:t>
      </w:r>
      <w:r w:rsidR="006261E4">
        <w:t xml:space="preserve"> </w:t>
      </w:r>
      <w:r w:rsidR="00136157">
        <w:t xml:space="preserve">testing this reactor design under transient scenarios and </w:t>
      </w:r>
      <w:r w:rsidR="006261E4">
        <w:t>expanding the studies to</w:t>
      </w:r>
      <w:r w:rsidR="003650E4">
        <w:t xml:space="preserve"> perform</w:t>
      </w:r>
      <w:r w:rsidR="006261E4">
        <w:t xml:space="preserve"> high-fidelity</w:t>
      </w:r>
      <w:r w:rsidR="003650E4">
        <w:t xml:space="preserve"> multi-physics 2-D primary loop uncertainty and sensitivity analysis </w:t>
      </w:r>
      <w:r w:rsidR="006261E4">
        <w:t>through the GeN-Foam/Dakota coupling that has been set up as part of the</w:t>
      </w:r>
      <w:r>
        <w:t xml:space="preserve"> presented</w:t>
      </w:r>
      <w:r w:rsidR="006261E4">
        <w:t xml:space="preserve"> general framework</w:t>
      </w:r>
      <w:r w:rsidR="003650E4">
        <w:t xml:space="preserve">. </w:t>
      </w:r>
    </w:p>
    <w:p w14:paraId="197201E0" w14:textId="6722A62B" w:rsidR="00604C59" w:rsidRDefault="00604C59" w:rsidP="00046928">
      <w:pPr>
        <w:pStyle w:val="Otherunnumberedheadings"/>
        <w:spacing w:before="280" w:beforeAutospacing="0" w:after="280" w:afterAutospacing="0"/>
        <w:rPr>
          <w:rFonts w:ascii="Times New Roman" w:hAnsi="Times New Roman"/>
          <w:sz w:val="24"/>
          <w:szCs w:val="24"/>
        </w:rPr>
      </w:pPr>
      <w:r w:rsidRPr="00DF3A79">
        <w:rPr>
          <w:rFonts w:ascii="Times New Roman" w:hAnsi="Times New Roman"/>
          <w:sz w:val="24"/>
          <w:szCs w:val="24"/>
        </w:rPr>
        <w:t>References</w:t>
      </w:r>
    </w:p>
    <w:p w14:paraId="30EE2782" w14:textId="59F814C2" w:rsidR="00AA0E0A" w:rsidRDefault="00AA0E0A" w:rsidP="00AA0E0A">
      <w:pPr>
        <w:pStyle w:val="BodyText"/>
        <w:ind w:left="360" w:hanging="360"/>
      </w:pPr>
      <w:r>
        <w:t>[1]</w:t>
      </w:r>
      <w:r>
        <w:tab/>
        <w:t xml:space="preserve">FIORINA, C., HURSIN, M., &amp; PAUTZ, A., Extension of the GeN-Foam neutronic solver to SP3 analysis and application to the CROCUS experimental reactor, Annals of Nuclear Energy </w:t>
      </w:r>
      <w:r>
        <w:rPr>
          <w:b/>
          <w:bCs/>
        </w:rPr>
        <w:t>1</w:t>
      </w:r>
      <w:r>
        <w:t xml:space="preserve"> (2017) 419-428.</w:t>
      </w:r>
    </w:p>
    <w:p w14:paraId="3B6E6F6F" w14:textId="777AF04F" w:rsidR="00AA0E0A" w:rsidRDefault="00AA0E0A" w:rsidP="00AA0E0A">
      <w:pPr>
        <w:pStyle w:val="BodyText"/>
        <w:ind w:left="360" w:hanging="360"/>
      </w:pPr>
      <w:r>
        <w:t>[2]</w:t>
      </w:r>
      <w:r>
        <w:tab/>
        <w:t>HU, R., FANNING, T. H., SUMNER, T., YU, Y</w:t>
      </w:r>
      <w:r w:rsidR="00D42755">
        <w:t>.</w:t>
      </w:r>
      <w:r>
        <w:t>, Status Report on NEAMS System Analysis Module Development. ANL/NE-15/4, Argonne National Laboratory</w:t>
      </w:r>
      <w:r w:rsidR="00D42755">
        <w:t>, (2015)</w:t>
      </w:r>
      <w:r>
        <w:t xml:space="preserve">. </w:t>
      </w:r>
    </w:p>
    <w:p w14:paraId="16B5BA90" w14:textId="4FA250E6" w:rsidR="00AA0E0A" w:rsidRDefault="00AA0E0A" w:rsidP="00AA0E0A">
      <w:pPr>
        <w:pStyle w:val="BodyText"/>
        <w:ind w:left="360" w:hanging="360"/>
      </w:pPr>
      <w:r>
        <w:t>[3]</w:t>
      </w:r>
      <w:r>
        <w:tab/>
        <w:t>R</w:t>
      </w:r>
      <w:r w:rsidR="00D42755">
        <w:t>UBIOLO</w:t>
      </w:r>
      <w:r>
        <w:t>,</w:t>
      </w:r>
      <w:r w:rsidR="003E1127">
        <w:t xml:space="preserve"> </w:t>
      </w:r>
      <w:r>
        <w:t>P. R., R</w:t>
      </w:r>
      <w:r w:rsidR="00D42755">
        <w:t>ETAMALES</w:t>
      </w:r>
      <w:r>
        <w:t>,</w:t>
      </w:r>
      <w:r w:rsidR="003E1127">
        <w:t xml:space="preserve"> </w:t>
      </w:r>
      <w:r>
        <w:t>M. T., G</w:t>
      </w:r>
      <w:r w:rsidR="00D42755">
        <w:t>HETTA</w:t>
      </w:r>
      <w:r>
        <w:t>, V., G</w:t>
      </w:r>
      <w:r w:rsidR="00D42755">
        <w:t>IRAUD</w:t>
      </w:r>
      <w:r>
        <w:t>, J.</w:t>
      </w:r>
      <w:r w:rsidR="00D42755">
        <w:t>,</w:t>
      </w:r>
      <w:r>
        <w:t xml:space="preserve"> </w:t>
      </w:r>
      <w:r w:rsidR="00D42755">
        <w:t>“</w:t>
      </w:r>
      <w:r>
        <w:t>High Temperature Thermal Hydraulics Modeling of a Molten Salt: Application</w:t>
      </w:r>
      <w:r w:rsidR="00D42755">
        <w:t xml:space="preserve"> </w:t>
      </w:r>
      <w:proofErr w:type="gramStart"/>
      <w:r>
        <w:t>To</w:t>
      </w:r>
      <w:proofErr w:type="gramEnd"/>
      <w:r w:rsidR="00D42755">
        <w:t xml:space="preserve"> </w:t>
      </w:r>
      <w:r>
        <w:t>a Molten Salt Fast Reactor (MSFR)</w:t>
      </w:r>
      <w:r w:rsidR="00D42755">
        <w:t>”,</w:t>
      </w:r>
      <w:r>
        <w:t xml:space="preserve"> ESAIM: PROCEEDINGS AND SURVEYS (</w:t>
      </w:r>
      <w:r w:rsidR="00D42755">
        <w:t>2017)</w:t>
      </w:r>
      <w:r>
        <w:t>.</w:t>
      </w:r>
    </w:p>
    <w:p w14:paraId="54C2D37E" w14:textId="2BF59B46" w:rsidR="00AA0E0A" w:rsidRDefault="00AA0E0A" w:rsidP="00AA0E0A">
      <w:pPr>
        <w:pStyle w:val="BodyText"/>
        <w:ind w:left="360" w:hanging="360"/>
      </w:pPr>
      <w:r>
        <w:t>[4]</w:t>
      </w:r>
      <w:r>
        <w:tab/>
        <w:t>B</w:t>
      </w:r>
      <w:r w:rsidR="00D42755">
        <w:t>HASKAR</w:t>
      </w:r>
      <w:r>
        <w:t>, S., A</w:t>
      </w:r>
      <w:r w:rsidR="00D42755">
        <w:t>LTAHAN</w:t>
      </w:r>
      <w:r>
        <w:t>, M., Z</w:t>
      </w:r>
      <w:r w:rsidR="00D42755">
        <w:t>IYAD</w:t>
      </w:r>
      <w:r>
        <w:t>, D., B</w:t>
      </w:r>
      <w:r w:rsidR="00D42755">
        <w:t>ALESTRA</w:t>
      </w:r>
      <w:r>
        <w:t>, P., H</w:t>
      </w:r>
      <w:r w:rsidR="00D42755">
        <w:t>OU</w:t>
      </w:r>
      <w:r>
        <w:t>, J., A</w:t>
      </w:r>
      <w:r w:rsidR="00D42755">
        <w:t>VRAMOVA</w:t>
      </w:r>
      <w:r>
        <w:t>, M., S</w:t>
      </w:r>
      <w:r w:rsidR="00D42755">
        <w:t>MITH</w:t>
      </w:r>
      <w:r>
        <w:t>, N</w:t>
      </w:r>
      <w:r w:rsidR="00D42755">
        <w:t>,</w:t>
      </w:r>
      <w:r>
        <w:t xml:space="preserve"> </w:t>
      </w:r>
      <w:r w:rsidR="00D42755">
        <w:t>“</w:t>
      </w:r>
      <w:r>
        <w:t>Modelling and Simulation of a Liquid Fuel Molten Salt Reactor Core Using GeN-Foam</w:t>
      </w:r>
      <w:r w:rsidR="00D42755">
        <w:t>”,</w:t>
      </w:r>
      <w:r>
        <w:t xml:space="preserve"> PHYTRA4 - The Fourth International Conference on Physics and Technology of Reactors and Applications</w:t>
      </w:r>
      <w:r w:rsidR="00D42755">
        <w:t>,</w:t>
      </w:r>
      <w:r>
        <w:t xml:space="preserve"> Marrakech, Morocco</w:t>
      </w:r>
      <w:r w:rsidR="00D42755">
        <w:t xml:space="preserve"> (2018)</w:t>
      </w:r>
      <w:r>
        <w:t>.</w:t>
      </w:r>
    </w:p>
    <w:p w14:paraId="513876EB" w14:textId="0755E936" w:rsidR="00AA0E0A" w:rsidRDefault="00AA0E0A" w:rsidP="00AA0E0A">
      <w:pPr>
        <w:pStyle w:val="BodyText"/>
        <w:ind w:left="360" w:hanging="360"/>
      </w:pPr>
      <w:r>
        <w:lastRenderedPageBreak/>
        <w:t>[5]</w:t>
      </w:r>
      <w:r>
        <w:tab/>
        <w:t>A</w:t>
      </w:r>
      <w:r w:rsidR="00A23168">
        <w:t>LTAHAN</w:t>
      </w:r>
      <w:r>
        <w:t>, M. R., B</w:t>
      </w:r>
      <w:r w:rsidR="00A23168">
        <w:t>HASKAR</w:t>
      </w:r>
      <w:r>
        <w:t>, S., Z</w:t>
      </w:r>
      <w:r w:rsidR="00A23168">
        <w:t>IYAD</w:t>
      </w:r>
      <w:r>
        <w:t>, D., B</w:t>
      </w:r>
      <w:r w:rsidR="00A23168">
        <w:t>ALESTRA</w:t>
      </w:r>
      <w:r>
        <w:t>, P., F</w:t>
      </w:r>
      <w:r w:rsidR="00A23168">
        <w:t>IORINA</w:t>
      </w:r>
      <w:r>
        <w:t>, C., H</w:t>
      </w:r>
      <w:r w:rsidR="00A23168">
        <w:t>OU</w:t>
      </w:r>
      <w:r>
        <w:t>, J., A</w:t>
      </w:r>
      <w:r w:rsidR="00A23168">
        <w:t>VRAMOVA</w:t>
      </w:r>
      <w:r>
        <w:t>, M.</w:t>
      </w:r>
      <w:r w:rsidR="00A23168">
        <w:t>,</w:t>
      </w:r>
      <w:r>
        <w:t xml:space="preserve"> Preliminary design and analysis of Liquid Fuel Molten Salt Reactor using multi-physics code GeN-Foam. Nuclear Engineering and Design 369</w:t>
      </w:r>
      <w:r w:rsidR="00A23168">
        <w:t xml:space="preserve"> (2020). </w:t>
      </w:r>
    </w:p>
    <w:p w14:paraId="7E36EFA8" w14:textId="430339FA" w:rsidR="00AA0E0A" w:rsidRDefault="00AA0E0A" w:rsidP="00AA0E0A">
      <w:pPr>
        <w:pStyle w:val="BodyText"/>
        <w:ind w:left="360" w:hanging="360"/>
      </w:pPr>
      <w:r>
        <w:t>[6]</w:t>
      </w:r>
      <w:r>
        <w:tab/>
        <w:t>A</w:t>
      </w:r>
      <w:r w:rsidR="003D38DA">
        <w:t>BDALLA</w:t>
      </w:r>
      <w:r w:rsidR="003E1127">
        <w:t>,</w:t>
      </w:r>
      <w:r>
        <w:t xml:space="preserve"> </w:t>
      </w:r>
      <w:r w:rsidR="003D38DA">
        <w:t>A.J.</w:t>
      </w:r>
      <w:r>
        <w:t>, S</w:t>
      </w:r>
      <w:r w:rsidR="003D38DA">
        <w:t>AMUEL</w:t>
      </w:r>
      <w:r>
        <w:t xml:space="preserve"> A. W, B</w:t>
      </w:r>
      <w:r w:rsidR="003D38DA">
        <w:t>HASKAR, S.,</w:t>
      </w:r>
      <w:r>
        <w:t xml:space="preserve"> Ji</w:t>
      </w:r>
      <w:r w:rsidR="003D38DA">
        <w:t xml:space="preserve"> W.,</w:t>
      </w:r>
      <w:r>
        <w:t xml:space="preserve"> Feasibility Assessment of a Natural-Circulation Salt Irradiation Loop in the Advanced Test Reactor, Nuclear Technology, DOI: 10.1080/00295450.2020.1843954</w:t>
      </w:r>
      <w:r w:rsidR="003D38DA">
        <w:t xml:space="preserve"> (2021)</w:t>
      </w:r>
      <w:r>
        <w:t>.</w:t>
      </w:r>
    </w:p>
    <w:p w14:paraId="1C94FB84" w14:textId="241B366A" w:rsidR="00AA0E0A" w:rsidRDefault="00AA0E0A" w:rsidP="00AA0E0A">
      <w:pPr>
        <w:pStyle w:val="BodyText"/>
        <w:ind w:left="360" w:hanging="360"/>
      </w:pPr>
      <w:r>
        <w:t>[7]</w:t>
      </w:r>
      <w:r>
        <w:tab/>
        <w:t>R</w:t>
      </w:r>
      <w:r w:rsidR="003E1127">
        <w:t>OMATOSKI, R. R.,</w:t>
      </w:r>
      <w:r>
        <w:t xml:space="preserve"> H</w:t>
      </w:r>
      <w:r w:rsidR="003E1127">
        <w:t xml:space="preserve">U, L. W., </w:t>
      </w:r>
      <w:r>
        <w:t>Fluoride-Salt-Cooled High-Temperature Test Reactor Thermal-Hydraulic Licensing and Uncertainty Propagation Analysis, Nuclear Technology, 205:11, 1495-1512, DOI: 10.1080/00295450.2019.1610686</w:t>
      </w:r>
      <w:r w:rsidR="003E1127">
        <w:t xml:space="preserve"> (2019). </w:t>
      </w:r>
    </w:p>
    <w:p w14:paraId="374DBD94" w14:textId="0BC8E975" w:rsidR="00AA0E0A" w:rsidRPr="00AA0E0A" w:rsidRDefault="00AA0E0A" w:rsidP="00AA0E0A">
      <w:pPr>
        <w:pStyle w:val="BodyText"/>
        <w:ind w:left="360" w:hanging="360"/>
      </w:pPr>
      <w:r>
        <w:t>[8]</w:t>
      </w:r>
      <w:r>
        <w:tab/>
        <w:t>L</w:t>
      </w:r>
      <w:r w:rsidR="003E1127">
        <w:t>EEFE</w:t>
      </w:r>
      <w:r>
        <w:t>, S., J</w:t>
      </w:r>
      <w:r w:rsidR="003E1127">
        <w:t>ACKSON-LAVER</w:t>
      </w:r>
      <w:r>
        <w:t>, P., S</w:t>
      </w:r>
      <w:r w:rsidR="003E1127">
        <w:t>COTT</w:t>
      </w:r>
      <w:r>
        <w:t>, I.R.</w:t>
      </w:r>
      <w:r w:rsidR="003E1127">
        <w:t>,</w:t>
      </w:r>
      <w:r>
        <w:t xml:space="preserve"> </w:t>
      </w:r>
      <w:r w:rsidR="00DB0CEB">
        <w:t>“</w:t>
      </w:r>
      <w:r>
        <w:t>Computation Fluid Dynamic Modeling of natural convection heat flow in Unpumped Molten Salt Fuel Tubes</w:t>
      </w:r>
      <w:r w:rsidR="00DB0CEB">
        <w:t>”,</w:t>
      </w:r>
      <w:r>
        <w:t xml:space="preserve"> ThEC15-Thorium Energy Conference. Mumbai, India</w:t>
      </w:r>
      <w:r w:rsidR="003E1127">
        <w:t xml:space="preserve"> (2015)</w:t>
      </w:r>
      <w:r>
        <w:t>.</w:t>
      </w:r>
    </w:p>
    <w:sectPr w:rsidR="00AA0E0A" w:rsidRPr="00AA0E0A" w:rsidSect="0026525A">
      <w:footerReference w:type="even" r:id="rId13"/>
      <w:footerReference w:type="default" r:id="rId14"/>
      <w:headerReference w:type="first" r:id="rId15"/>
      <w:footerReference w:type="first" r:id="rId16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B4D0B" w14:textId="77777777" w:rsidR="00C21C3B" w:rsidRDefault="00C21C3B">
      <w:r>
        <w:separator/>
      </w:r>
    </w:p>
  </w:endnote>
  <w:endnote w:type="continuationSeparator" w:id="0">
    <w:p w14:paraId="66CF0732" w14:textId="77777777" w:rsidR="00C21C3B" w:rsidRDefault="00C21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ACF06" w14:textId="77777777"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200521DA" w14:textId="77777777"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B193" w14:textId="6E1AF563" w:rsidR="00E20E70" w:rsidRPr="00C95D35" w:rsidRDefault="00E20E70" w:rsidP="00C95D35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E20E70" w14:paraId="55EDCE14" w14:textId="77777777">
      <w:trPr>
        <w:cantSplit/>
      </w:trPr>
      <w:tc>
        <w:tcPr>
          <w:tcW w:w="4644" w:type="dxa"/>
        </w:tcPr>
        <w:p w14:paraId="4046DEF9" w14:textId="77777777" w:rsidR="00E20E70" w:rsidRDefault="00E20E70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79E4DC95" w14:textId="77777777" w:rsidR="00E20E70" w:rsidRDefault="00E20E70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2" w:name="DOC_bkmClassification2"/>
      <w:tc>
        <w:tcPr>
          <w:tcW w:w="5670" w:type="dxa"/>
          <w:tcMar>
            <w:right w:w="249" w:type="dxa"/>
          </w:tcMar>
        </w:tcPr>
        <w:p w14:paraId="5BEF3012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2"/>
        <w:p w14:paraId="02140AC5" w14:textId="77777777" w:rsidR="00E20E70" w:rsidRDefault="00E20E70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3" w:name="DOC_bkmFileName"/>
  <w:p w14:paraId="1F07BD0C" w14:textId="77777777" w:rsidR="00E20E70" w:rsidRDefault="00E20E70">
    <w:r>
      <w:rPr>
        <w:sz w:val="16"/>
      </w:rPr>
      <w:fldChar w:fldCharType="begin"/>
    </w:r>
    <w:r>
      <w:rPr>
        <w:sz w:val="16"/>
      </w:rPr>
      <w:instrText xml:space="preserve"> FILENAME \* MERGEFORMAT </w:instrText>
    </w:r>
    <w:r>
      <w:rPr>
        <w:sz w:val="16"/>
      </w:rPr>
      <w:fldChar w:fldCharType="separate"/>
    </w:r>
    <w:r w:rsidR="00EC10FC">
      <w:rPr>
        <w:noProof/>
        <w:sz w:val="16"/>
      </w:rPr>
      <w:t>Example paper.docx</w:t>
    </w:r>
    <w:r>
      <w:rPr>
        <w:sz w:val="16"/>
      </w:rPr>
      <w:fldChar w:fldCharType="end"/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EF1B1" w14:textId="77777777" w:rsidR="00C21C3B" w:rsidRDefault="00C21C3B">
      <w:r>
        <w:t>___________________________________________________________________________</w:t>
      </w:r>
    </w:p>
  </w:footnote>
  <w:footnote w:type="continuationSeparator" w:id="0">
    <w:p w14:paraId="209D6DC1" w14:textId="77777777" w:rsidR="00C21C3B" w:rsidRDefault="00C21C3B">
      <w:r>
        <w:t>___________________________________________________________________________</w:t>
      </w:r>
    </w:p>
  </w:footnote>
  <w:footnote w:type="continuationNotice" w:id="1">
    <w:p w14:paraId="542B4E43" w14:textId="77777777" w:rsidR="00C21C3B" w:rsidRDefault="00C21C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E20E70" w14:paraId="1492AB90" w14:textId="77777777">
      <w:trPr>
        <w:cantSplit/>
        <w:trHeight w:val="716"/>
      </w:trPr>
      <w:tc>
        <w:tcPr>
          <w:tcW w:w="979" w:type="dxa"/>
          <w:vMerge w:val="restart"/>
        </w:tcPr>
        <w:p w14:paraId="3504C8F1" w14:textId="77777777" w:rsidR="00E20E70" w:rsidRDefault="00E20E70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139D94AE" w14:textId="77777777" w:rsidR="00E20E70" w:rsidRDefault="00E20E70">
          <w:pPr>
            <w:spacing w:after="20"/>
          </w:pPr>
        </w:p>
      </w:tc>
      <w:bookmarkStart w:id="1" w:name="DOC_bkmClassification1"/>
      <w:tc>
        <w:tcPr>
          <w:tcW w:w="5702" w:type="dxa"/>
          <w:vMerge w:val="restart"/>
          <w:tcMar>
            <w:right w:w="193" w:type="dxa"/>
          </w:tcMar>
        </w:tcPr>
        <w:p w14:paraId="1F5D837F" w14:textId="77777777"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1"/>
        <w:p w14:paraId="618A6006" w14:textId="77777777" w:rsidR="00E20E70" w:rsidRDefault="00E20E70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E20E70" w14:paraId="624C849A" w14:textId="77777777">
      <w:trPr>
        <w:cantSplit/>
        <w:trHeight w:val="167"/>
      </w:trPr>
      <w:tc>
        <w:tcPr>
          <w:tcW w:w="979" w:type="dxa"/>
          <w:vMerge/>
        </w:tcPr>
        <w:p w14:paraId="59CC5D92" w14:textId="77777777" w:rsidR="00E20E70" w:rsidRDefault="00E20E70">
          <w:pPr>
            <w:spacing w:before="57"/>
          </w:pPr>
        </w:p>
      </w:tc>
      <w:tc>
        <w:tcPr>
          <w:tcW w:w="3638" w:type="dxa"/>
          <w:vAlign w:val="bottom"/>
        </w:tcPr>
        <w:p w14:paraId="102E94F7" w14:textId="77777777" w:rsidR="00E20E70" w:rsidRDefault="00E20E70">
          <w:pPr>
            <w:pStyle w:val="Heading9"/>
            <w:spacing w:before="0" w:after="10"/>
          </w:pPr>
        </w:p>
      </w:tc>
      <w:tc>
        <w:tcPr>
          <w:tcW w:w="5702" w:type="dxa"/>
          <w:vMerge/>
          <w:vAlign w:val="bottom"/>
        </w:tcPr>
        <w:p w14:paraId="661582EC" w14:textId="77777777" w:rsidR="00E20E70" w:rsidRDefault="00E20E70">
          <w:pPr>
            <w:pStyle w:val="Heading9"/>
            <w:spacing w:before="0" w:after="10"/>
          </w:pPr>
        </w:p>
      </w:tc>
    </w:tr>
  </w:tbl>
  <w:p w14:paraId="2C88053A" w14:textId="77777777" w:rsidR="00E20E70" w:rsidRDefault="00E20E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434381"/>
    <w:multiLevelType w:val="hybridMultilevel"/>
    <w:tmpl w:val="BC90EB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2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4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AB96FD7"/>
    <w:multiLevelType w:val="hybridMultilevel"/>
    <w:tmpl w:val="2780D4AC"/>
    <w:lvl w:ilvl="0" w:tplc="217E6070">
      <w:start w:val="1"/>
      <w:numFmt w:val="lowerLetter"/>
      <w:lvlText w:val="(%1)"/>
      <w:lvlJc w:val="left"/>
      <w:pPr>
        <w:ind w:left="2840" w:hanging="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00" w:hanging="360"/>
      </w:pPr>
    </w:lvl>
    <w:lvl w:ilvl="2" w:tplc="0409001B" w:tentative="1">
      <w:start w:val="1"/>
      <w:numFmt w:val="lowerRoman"/>
      <w:lvlText w:val="%3."/>
      <w:lvlJc w:val="right"/>
      <w:pPr>
        <w:ind w:left="4120" w:hanging="180"/>
      </w:pPr>
    </w:lvl>
    <w:lvl w:ilvl="3" w:tplc="0409000F" w:tentative="1">
      <w:start w:val="1"/>
      <w:numFmt w:val="decimal"/>
      <w:lvlText w:val="%4."/>
      <w:lvlJc w:val="left"/>
      <w:pPr>
        <w:ind w:left="4840" w:hanging="360"/>
      </w:pPr>
    </w:lvl>
    <w:lvl w:ilvl="4" w:tplc="04090019" w:tentative="1">
      <w:start w:val="1"/>
      <w:numFmt w:val="lowerLetter"/>
      <w:lvlText w:val="%5."/>
      <w:lvlJc w:val="left"/>
      <w:pPr>
        <w:ind w:left="5560" w:hanging="360"/>
      </w:pPr>
    </w:lvl>
    <w:lvl w:ilvl="5" w:tplc="0409001B" w:tentative="1">
      <w:start w:val="1"/>
      <w:numFmt w:val="lowerRoman"/>
      <w:lvlText w:val="%6."/>
      <w:lvlJc w:val="right"/>
      <w:pPr>
        <w:ind w:left="6280" w:hanging="180"/>
      </w:pPr>
    </w:lvl>
    <w:lvl w:ilvl="6" w:tplc="0409000F" w:tentative="1">
      <w:start w:val="1"/>
      <w:numFmt w:val="decimal"/>
      <w:lvlText w:val="%7."/>
      <w:lvlJc w:val="left"/>
      <w:pPr>
        <w:ind w:left="7000" w:hanging="360"/>
      </w:pPr>
    </w:lvl>
    <w:lvl w:ilvl="7" w:tplc="04090019" w:tentative="1">
      <w:start w:val="1"/>
      <w:numFmt w:val="lowerLetter"/>
      <w:lvlText w:val="%8."/>
      <w:lvlJc w:val="left"/>
      <w:pPr>
        <w:ind w:left="7720" w:hanging="360"/>
      </w:pPr>
    </w:lvl>
    <w:lvl w:ilvl="8" w:tplc="0409001B" w:tentative="1">
      <w:start w:val="1"/>
      <w:numFmt w:val="lowerRoman"/>
      <w:lvlText w:val="%9."/>
      <w:lvlJc w:val="right"/>
      <w:pPr>
        <w:ind w:left="8440" w:hanging="180"/>
      </w:pPr>
    </w:lvl>
  </w:abstractNum>
  <w:abstractNum w:abstractNumId="6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64280"/>
    <w:multiLevelType w:val="hybridMultilevel"/>
    <w:tmpl w:val="6ADA9EC6"/>
    <w:lvl w:ilvl="0" w:tplc="7286DC3C">
      <w:start w:val="1"/>
      <w:numFmt w:val="lowerLetter"/>
      <w:lvlText w:val="(%1)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7503B"/>
    <w:multiLevelType w:val="multilevel"/>
    <w:tmpl w:val="2780D4AC"/>
    <w:lvl w:ilvl="0">
      <w:start w:val="1"/>
      <w:numFmt w:val="lowerLetter"/>
      <w:lvlText w:val="(%1)"/>
      <w:lvlJc w:val="left"/>
      <w:pPr>
        <w:ind w:left="2840" w:hanging="5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400" w:hanging="360"/>
      </w:pPr>
    </w:lvl>
    <w:lvl w:ilvl="2">
      <w:start w:val="1"/>
      <w:numFmt w:val="lowerRoman"/>
      <w:lvlText w:val="%3."/>
      <w:lvlJc w:val="right"/>
      <w:pPr>
        <w:ind w:left="4120" w:hanging="180"/>
      </w:pPr>
    </w:lvl>
    <w:lvl w:ilvl="3">
      <w:start w:val="1"/>
      <w:numFmt w:val="decimal"/>
      <w:lvlText w:val="%4."/>
      <w:lvlJc w:val="left"/>
      <w:pPr>
        <w:ind w:left="4840" w:hanging="360"/>
      </w:pPr>
    </w:lvl>
    <w:lvl w:ilvl="4">
      <w:start w:val="1"/>
      <w:numFmt w:val="lowerLetter"/>
      <w:lvlText w:val="%5."/>
      <w:lvlJc w:val="left"/>
      <w:pPr>
        <w:ind w:left="5560" w:hanging="360"/>
      </w:pPr>
    </w:lvl>
    <w:lvl w:ilvl="5">
      <w:start w:val="1"/>
      <w:numFmt w:val="lowerRoman"/>
      <w:lvlText w:val="%6."/>
      <w:lvlJc w:val="right"/>
      <w:pPr>
        <w:ind w:left="6280" w:hanging="180"/>
      </w:pPr>
    </w:lvl>
    <w:lvl w:ilvl="6">
      <w:start w:val="1"/>
      <w:numFmt w:val="decimal"/>
      <w:lvlText w:val="%7."/>
      <w:lvlJc w:val="left"/>
      <w:pPr>
        <w:ind w:left="7000" w:hanging="360"/>
      </w:pPr>
    </w:lvl>
    <w:lvl w:ilvl="7">
      <w:start w:val="1"/>
      <w:numFmt w:val="lowerLetter"/>
      <w:lvlText w:val="%8."/>
      <w:lvlJc w:val="left"/>
      <w:pPr>
        <w:ind w:left="7720" w:hanging="360"/>
      </w:pPr>
    </w:lvl>
    <w:lvl w:ilvl="8">
      <w:start w:val="1"/>
      <w:numFmt w:val="lowerRoman"/>
      <w:lvlText w:val="%9."/>
      <w:lvlJc w:val="right"/>
      <w:pPr>
        <w:ind w:left="8440" w:hanging="180"/>
      </w:pPr>
    </w:lvl>
  </w:abstractNum>
  <w:abstractNum w:abstractNumId="12" w15:restartNumberingAfterBreak="0">
    <w:nsid w:val="493C3A06"/>
    <w:multiLevelType w:val="hybridMultilevel"/>
    <w:tmpl w:val="72EE7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3834C"/>
    <w:multiLevelType w:val="hybridMultilevel"/>
    <w:tmpl w:val="741CD2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5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Heading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Heading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8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7"/>
  </w:num>
  <w:num w:numId="4">
    <w:abstractNumId w:val="17"/>
  </w:num>
  <w:num w:numId="5">
    <w:abstractNumId w:val="17"/>
  </w:num>
  <w:num w:numId="6">
    <w:abstractNumId w:val="9"/>
  </w:num>
  <w:num w:numId="7">
    <w:abstractNumId w:val="15"/>
  </w:num>
  <w:num w:numId="8">
    <w:abstractNumId w:val="18"/>
  </w:num>
  <w:num w:numId="9">
    <w:abstractNumId w:val="3"/>
  </w:num>
  <w:num w:numId="10">
    <w:abstractNumId w:val="17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Heading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Heading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>
    <w:abstractNumId w:val="17"/>
  </w:num>
  <w:num w:numId="12">
    <w:abstractNumId w:val="17"/>
  </w:num>
  <w:num w:numId="13">
    <w:abstractNumId w:val="17"/>
  </w:num>
  <w:num w:numId="14">
    <w:abstractNumId w:val="17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Heading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Heading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>
    <w:abstractNumId w:val="17"/>
  </w:num>
  <w:num w:numId="16">
    <w:abstractNumId w:val="17"/>
  </w:num>
  <w:num w:numId="17">
    <w:abstractNumId w:val="17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4"/>
  </w:num>
  <w:num w:numId="21">
    <w:abstractNumId w:val="17"/>
  </w:num>
  <w:num w:numId="22">
    <w:abstractNumId w:val="6"/>
  </w:num>
  <w:num w:numId="23">
    <w:abstractNumId w:val="2"/>
  </w:num>
  <w:num w:numId="24">
    <w:abstractNumId w:val="16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0"/>
  </w:num>
  <w:num w:numId="31">
    <w:abstractNumId w:val="10"/>
  </w:num>
  <w:num w:numId="32">
    <w:abstractNumId w:val="17"/>
  </w:num>
  <w:num w:numId="3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>
    <w:abstractNumId w:val="4"/>
  </w:num>
  <w:num w:numId="35">
    <w:abstractNumId w:val="8"/>
  </w:num>
  <w:num w:numId="36">
    <w:abstractNumId w:val="5"/>
  </w:num>
  <w:num w:numId="37">
    <w:abstractNumId w:val="11"/>
  </w:num>
  <w:num w:numId="38">
    <w:abstractNumId w:val="0"/>
  </w:num>
  <w:num w:numId="39">
    <w:abstractNumId w:val="13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11C41"/>
    <w:rsid w:val="000229AB"/>
    <w:rsid w:val="0002569A"/>
    <w:rsid w:val="000300A7"/>
    <w:rsid w:val="00035A41"/>
    <w:rsid w:val="00037321"/>
    <w:rsid w:val="00046928"/>
    <w:rsid w:val="000552F9"/>
    <w:rsid w:val="00073700"/>
    <w:rsid w:val="000A0299"/>
    <w:rsid w:val="000B2F27"/>
    <w:rsid w:val="000C6874"/>
    <w:rsid w:val="000D7C09"/>
    <w:rsid w:val="000E0A0F"/>
    <w:rsid w:val="000F7E94"/>
    <w:rsid w:val="00107F61"/>
    <w:rsid w:val="001119D6"/>
    <w:rsid w:val="0012117D"/>
    <w:rsid w:val="00121301"/>
    <w:rsid w:val="00126389"/>
    <w:rsid w:val="00127E9B"/>
    <w:rsid w:val="001308F2"/>
    <w:rsid w:val="001313E8"/>
    <w:rsid w:val="00136157"/>
    <w:rsid w:val="00187F95"/>
    <w:rsid w:val="0019014D"/>
    <w:rsid w:val="001C58F5"/>
    <w:rsid w:val="001D5CEE"/>
    <w:rsid w:val="001F49FB"/>
    <w:rsid w:val="002071D9"/>
    <w:rsid w:val="00235900"/>
    <w:rsid w:val="00253DB2"/>
    <w:rsid w:val="00256822"/>
    <w:rsid w:val="0026525A"/>
    <w:rsid w:val="00265CBF"/>
    <w:rsid w:val="00274790"/>
    <w:rsid w:val="00285755"/>
    <w:rsid w:val="002A1F9C"/>
    <w:rsid w:val="002A4DCD"/>
    <w:rsid w:val="002B29C2"/>
    <w:rsid w:val="002C4208"/>
    <w:rsid w:val="00306628"/>
    <w:rsid w:val="00317EC5"/>
    <w:rsid w:val="00337B3D"/>
    <w:rsid w:val="00352DE1"/>
    <w:rsid w:val="003650E4"/>
    <w:rsid w:val="003728E6"/>
    <w:rsid w:val="00391746"/>
    <w:rsid w:val="003B5E0E"/>
    <w:rsid w:val="003C6E87"/>
    <w:rsid w:val="003D255A"/>
    <w:rsid w:val="003D38DA"/>
    <w:rsid w:val="003E1127"/>
    <w:rsid w:val="003F6D91"/>
    <w:rsid w:val="00404CED"/>
    <w:rsid w:val="00416949"/>
    <w:rsid w:val="0043317E"/>
    <w:rsid w:val="004370D8"/>
    <w:rsid w:val="00446113"/>
    <w:rsid w:val="00472C43"/>
    <w:rsid w:val="00477B19"/>
    <w:rsid w:val="004910D8"/>
    <w:rsid w:val="004B7D34"/>
    <w:rsid w:val="004C37BB"/>
    <w:rsid w:val="004E3376"/>
    <w:rsid w:val="00537496"/>
    <w:rsid w:val="00544ED3"/>
    <w:rsid w:val="00547F26"/>
    <w:rsid w:val="00561791"/>
    <w:rsid w:val="0057131A"/>
    <w:rsid w:val="0058477B"/>
    <w:rsid w:val="00584D5F"/>
    <w:rsid w:val="0058654F"/>
    <w:rsid w:val="00596ACA"/>
    <w:rsid w:val="005B2024"/>
    <w:rsid w:val="005B24A0"/>
    <w:rsid w:val="005B7E6B"/>
    <w:rsid w:val="005C5D2D"/>
    <w:rsid w:val="005E39BC"/>
    <w:rsid w:val="005F00A0"/>
    <w:rsid w:val="005F2047"/>
    <w:rsid w:val="005F4AF8"/>
    <w:rsid w:val="006000B2"/>
    <w:rsid w:val="0060172D"/>
    <w:rsid w:val="00604C59"/>
    <w:rsid w:val="00612CB0"/>
    <w:rsid w:val="006261E4"/>
    <w:rsid w:val="00647F33"/>
    <w:rsid w:val="00654B09"/>
    <w:rsid w:val="00662532"/>
    <w:rsid w:val="00673410"/>
    <w:rsid w:val="00675240"/>
    <w:rsid w:val="00684298"/>
    <w:rsid w:val="00696AFC"/>
    <w:rsid w:val="006B16B2"/>
    <w:rsid w:val="006B2274"/>
    <w:rsid w:val="006B7CD8"/>
    <w:rsid w:val="006C5DBD"/>
    <w:rsid w:val="006E2469"/>
    <w:rsid w:val="00705E87"/>
    <w:rsid w:val="00716B93"/>
    <w:rsid w:val="00717C6F"/>
    <w:rsid w:val="00731E32"/>
    <w:rsid w:val="007445DA"/>
    <w:rsid w:val="0074520A"/>
    <w:rsid w:val="00765630"/>
    <w:rsid w:val="00790E9A"/>
    <w:rsid w:val="007B1EDF"/>
    <w:rsid w:val="007B4FD1"/>
    <w:rsid w:val="007B57CF"/>
    <w:rsid w:val="007D0519"/>
    <w:rsid w:val="007D67B4"/>
    <w:rsid w:val="007E0524"/>
    <w:rsid w:val="007E32AD"/>
    <w:rsid w:val="00800B84"/>
    <w:rsid w:val="00801D67"/>
    <w:rsid w:val="00802381"/>
    <w:rsid w:val="00802926"/>
    <w:rsid w:val="00815F3A"/>
    <w:rsid w:val="008270D0"/>
    <w:rsid w:val="00827B38"/>
    <w:rsid w:val="00834757"/>
    <w:rsid w:val="0085046A"/>
    <w:rsid w:val="008601BE"/>
    <w:rsid w:val="008718D3"/>
    <w:rsid w:val="00875F9D"/>
    <w:rsid w:val="00883848"/>
    <w:rsid w:val="00897ED5"/>
    <w:rsid w:val="008B6BB9"/>
    <w:rsid w:val="008C31FA"/>
    <w:rsid w:val="008C3C89"/>
    <w:rsid w:val="008F4C98"/>
    <w:rsid w:val="00911543"/>
    <w:rsid w:val="00950817"/>
    <w:rsid w:val="00950B2F"/>
    <w:rsid w:val="009519C9"/>
    <w:rsid w:val="00957099"/>
    <w:rsid w:val="00983211"/>
    <w:rsid w:val="00987334"/>
    <w:rsid w:val="00996C91"/>
    <w:rsid w:val="009B5BBE"/>
    <w:rsid w:val="009C123B"/>
    <w:rsid w:val="009D0B86"/>
    <w:rsid w:val="009D21F0"/>
    <w:rsid w:val="009E0D5B"/>
    <w:rsid w:val="009E1558"/>
    <w:rsid w:val="00A23168"/>
    <w:rsid w:val="00A375F6"/>
    <w:rsid w:val="00A42898"/>
    <w:rsid w:val="00A46B88"/>
    <w:rsid w:val="00A964E3"/>
    <w:rsid w:val="00AA0E0A"/>
    <w:rsid w:val="00AB6ACE"/>
    <w:rsid w:val="00AC1AB9"/>
    <w:rsid w:val="00AC5A3A"/>
    <w:rsid w:val="00AD6BB4"/>
    <w:rsid w:val="00AE0AE2"/>
    <w:rsid w:val="00AE6705"/>
    <w:rsid w:val="00B02D51"/>
    <w:rsid w:val="00B05BF4"/>
    <w:rsid w:val="00B060F4"/>
    <w:rsid w:val="00B12CA8"/>
    <w:rsid w:val="00B1443F"/>
    <w:rsid w:val="00B14674"/>
    <w:rsid w:val="00B16D58"/>
    <w:rsid w:val="00B54CDF"/>
    <w:rsid w:val="00B71BFB"/>
    <w:rsid w:val="00B808D8"/>
    <w:rsid w:val="00B82FA5"/>
    <w:rsid w:val="00B90025"/>
    <w:rsid w:val="00BC0D33"/>
    <w:rsid w:val="00BD1400"/>
    <w:rsid w:val="00BD196C"/>
    <w:rsid w:val="00BD605C"/>
    <w:rsid w:val="00BE2A76"/>
    <w:rsid w:val="00C210C6"/>
    <w:rsid w:val="00C21C3B"/>
    <w:rsid w:val="00C3535E"/>
    <w:rsid w:val="00C520EE"/>
    <w:rsid w:val="00C56FB0"/>
    <w:rsid w:val="00C65E60"/>
    <w:rsid w:val="00C95D35"/>
    <w:rsid w:val="00CA0268"/>
    <w:rsid w:val="00CA77E5"/>
    <w:rsid w:val="00CB0288"/>
    <w:rsid w:val="00CB60B9"/>
    <w:rsid w:val="00CB6A2F"/>
    <w:rsid w:val="00CC26C0"/>
    <w:rsid w:val="00CD7ABF"/>
    <w:rsid w:val="00CE5A52"/>
    <w:rsid w:val="00CF7AF3"/>
    <w:rsid w:val="00D21620"/>
    <w:rsid w:val="00D240D7"/>
    <w:rsid w:val="00D26ADA"/>
    <w:rsid w:val="00D35A78"/>
    <w:rsid w:val="00D42755"/>
    <w:rsid w:val="00D555A1"/>
    <w:rsid w:val="00D64DC2"/>
    <w:rsid w:val="00DA46CA"/>
    <w:rsid w:val="00DA5ACB"/>
    <w:rsid w:val="00DB0CEB"/>
    <w:rsid w:val="00DC24D2"/>
    <w:rsid w:val="00DE7061"/>
    <w:rsid w:val="00DF21EB"/>
    <w:rsid w:val="00DF3A79"/>
    <w:rsid w:val="00E20E70"/>
    <w:rsid w:val="00E25B68"/>
    <w:rsid w:val="00E45ED5"/>
    <w:rsid w:val="00E608DF"/>
    <w:rsid w:val="00E84003"/>
    <w:rsid w:val="00EC10FC"/>
    <w:rsid w:val="00ED1567"/>
    <w:rsid w:val="00EE0041"/>
    <w:rsid w:val="00EE29B9"/>
    <w:rsid w:val="00EE30B2"/>
    <w:rsid w:val="00EF5DCA"/>
    <w:rsid w:val="00F004EE"/>
    <w:rsid w:val="00F00E06"/>
    <w:rsid w:val="00F041CD"/>
    <w:rsid w:val="00F42E23"/>
    <w:rsid w:val="00F45EEE"/>
    <w:rsid w:val="00F51E9C"/>
    <w:rsid w:val="00F523CA"/>
    <w:rsid w:val="00F52E8A"/>
    <w:rsid w:val="00F5524E"/>
    <w:rsid w:val="00F70F80"/>
    <w:rsid w:val="00F74A9D"/>
    <w:rsid w:val="00F81411"/>
    <w:rsid w:val="00F910B4"/>
    <w:rsid w:val="00F9590C"/>
    <w:rsid w:val="00FA59D8"/>
    <w:rsid w:val="00FC520E"/>
    <w:rsid w:val="00FF2535"/>
    <w:rsid w:val="00FF386F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0A9FC1"/>
  <w15:docId w15:val="{1D5323B3-0188-4AAC-A100-D1474308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0" w:qFormat="1"/>
    <w:lsdException w:name="heading 3" w:locked="0" w:semiHidden="1" w:uiPriority="4" w:unhideWhenUsed="1" w:qFormat="1"/>
    <w:lsdException w:name="heading 4" w:locked="0" w:semiHidden="1" w:uiPriority="0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locked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uiPriority w:val="49"/>
    <w:rsid w:val="00DC24D2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Heading1">
    <w:name w:val="heading 1"/>
    <w:aliases w:val="Paper title"/>
    <w:next w:val="Subtitle"/>
    <w:link w:val="Heading1Char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Heading2">
    <w:name w:val="heading 2"/>
    <w:aliases w:val="1st level paper heading"/>
    <w:next w:val="BodyText"/>
    <w:link w:val="Heading2Char"/>
    <w:qFormat/>
    <w:rsid w:val="00EE0041"/>
    <w:pPr>
      <w:widowControl w:val="0"/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Heading3">
    <w:name w:val="heading 3"/>
    <w:aliases w:val="2nd level paper heading"/>
    <w:next w:val="BodyText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Heading4">
    <w:name w:val="heading 4"/>
    <w:aliases w:val="3rd level paper heading"/>
    <w:basedOn w:val="Normal"/>
    <w:next w:val="BodyText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Heading5">
    <w:name w:val="heading 5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Heading7">
    <w:name w:val="heading 7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Heading8">
    <w:name w:val="heading 8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Heading9">
    <w:name w:val="heading 9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BodyTextIndent">
    <w:name w:val="Body Text Indent"/>
    <w:basedOn w:val="BodyText"/>
    <w:uiPriority w:val="49"/>
    <w:locked/>
    <w:pPr>
      <w:ind w:left="1134" w:hanging="675"/>
    </w:pPr>
  </w:style>
  <w:style w:type="paragraph" w:customStyle="1" w:styleId="BodyTextMultiline">
    <w:name w:val="Body Text Multiline"/>
    <w:basedOn w:val="BodyText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Caption">
    <w:name w:val="caption"/>
    <w:next w:val="Normal"/>
    <w:uiPriority w:val="49"/>
    <w:pPr>
      <w:spacing w:after="85"/>
    </w:pPr>
    <w:rPr>
      <w:bCs/>
      <w:sz w:val="18"/>
      <w:lang w:val="en-US" w:eastAsia="en-US"/>
    </w:rPr>
  </w:style>
  <w:style w:type="paragraph" w:styleId="Footer">
    <w:name w:val="footer"/>
    <w:basedOn w:val="Normal"/>
    <w:link w:val="FooterChar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FootnoteText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Header">
    <w:name w:val="header"/>
    <w:next w:val="BodyText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BodyText"/>
    <w:uiPriority w:val="6"/>
    <w:qFormat/>
    <w:rsid w:val="00717C6F"/>
    <w:pPr>
      <w:numPr>
        <w:numId w:val="20"/>
      </w:numPr>
    </w:pPr>
  </w:style>
  <w:style w:type="paragraph" w:customStyle="1" w:styleId="ListNumbered">
    <w:name w:val="List Numbered"/>
    <w:basedOn w:val="BodyText"/>
    <w:uiPriority w:val="5"/>
    <w:qFormat/>
    <w:locked/>
    <w:rsid w:val="00717C6F"/>
    <w:pPr>
      <w:numPr>
        <w:numId w:val="22"/>
      </w:numPr>
    </w:pPr>
  </w:style>
  <w:style w:type="paragraph" w:styleId="Title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Normal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Normal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FootnoteReference">
    <w:name w:val="footnote reference"/>
    <w:basedOn w:val="DefaultParagraphFont"/>
    <w:semiHidden/>
    <w:locked/>
    <w:rPr>
      <w:vertAlign w:val="superscript"/>
    </w:rPr>
  </w:style>
  <w:style w:type="paragraph" w:styleId="Subtitle">
    <w:name w:val="Subtitle"/>
    <w:next w:val="BodyText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BodyText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Footer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Normal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DefaultParagraphFont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647F33"/>
    <w:rPr>
      <w:lang w:eastAsia="en-US"/>
    </w:rPr>
  </w:style>
  <w:style w:type="character" w:customStyle="1" w:styleId="AuthornameandaffiliationChar">
    <w:name w:val="Author name and affiliation Char"/>
    <w:basedOn w:val="BodyTextChar"/>
    <w:link w:val="Authornameandaffiliation"/>
    <w:uiPriority w:val="49"/>
    <w:rsid w:val="00647F33"/>
    <w:rPr>
      <w:lang w:val="en-US" w:eastAsia="en-US"/>
    </w:rPr>
  </w:style>
  <w:style w:type="table" w:styleId="TableGrid">
    <w:name w:val="Table Grid"/>
    <w:basedOn w:val="TableNormal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BodyText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BodyText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BodyTextChar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BodyText"/>
    <w:link w:val="ReferencelistChar"/>
    <w:uiPriority w:val="49"/>
    <w:qFormat/>
    <w:rsid w:val="009E0D5B"/>
    <w:pPr>
      <w:numPr>
        <w:numId w:val="30"/>
      </w:numPr>
      <w:ind w:left="720"/>
    </w:pPr>
    <w:rPr>
      <w:sz w:val="18"/>
      <w:szCs w:val="18"/>
    </w:rPr>
  </w:style>
  <w:style w:type="character" w:customStyle="1" w:styleId="OtherunnumberedheadingsChar">
    <w:name w:val="Other unnumbered headings Char"/>
    <w:basedOn w:val="BodyTextChar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BodyTextChar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BodyText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BodyTextChar"/>
    <w:link w:val="Tabletext"/>
    <w:uiPriority w:val="49"/>
    <w:rsid w:val="00883848"/>
    <w:rPr>
      <w:lang w:eastAsia="en-US"/>
    </w:rPr>
  </w:style>
  <w:style w:type="character" w:customStyle="1" w:styleId="Heading1Char">
    <w:name w:val="Heading 1 Char"/>
    <w:aliases w:val="Paper title Char"/>
    <w:basedOn w:val="DefaultParagraphFont"/>
    <w:link w:val="Heading1"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Heading2Char">
    <w:name w:val="Heading 2 Char"/>
    <w:aliases w:val="1st level paper heading Char"/>
    <w:basedOn w:val="DefaultParagraphFont"/>
    <w:link w:val="Heading2"/>
    <w:rsid w:val="00011C41"/>
    <w:rPr>
      <w:caps/>
      <w:lang w:eastAsia="en-US"/>
    </w:rPr>
  </w:style>
  <w:style w:type="paragraph" w:customStyle="1" w:styleId="Default">
    <w:name w:val="Default"/>
    <w:rsid w:val="00035A41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49"/>
    <w:unhideWhenUsed/>
    <w:locked/>
    <w:rsid w:val="00035A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A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locked/>
    <w:rsid w:val="00253DB2"/>
    <w:pPr>
      <w:overflowPunct/>
      <w:autoSpaceDE/>
      <w:autoSpaceDN/>
      <w:adjustRightInd/>
      <w:ind w:left="720"/>
      <w:contextualSpacing/>
      <w:textAlignment w:val="auto"/>
    </w:pPr>
    <w:rPr>
      <w:rFonts w:asciiTheme="minorHAnsi" w:eastAsiaTheme="minorHAnsi" w:hAnsiTheme="minorHAnsi" w:cstheme="minorBid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haska2@ncsu.ed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EE05FAB-8785-4CB2-B0A2-F2F793706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</Template>
  <TotalTime>494</TotalTime>
  <Pages>1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Extended Abtract</vt:lpstr>
    </vt:vector>
  </TitlesOfParts>
  <Company>IAEA</Company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Abtract</dc:title>
  <dc:creator>Chirayu.Batra@iaea.org</dc:creator>
  <cp:lastModifiedBy>kivanov2056@gmail.com</cp:lastModifiedBy>
  <cp:revision>32</cp:revision>
  <cp:lastPrinted>2015-12-01T10:27:00Z</cp:lastPrinted>
  <dcterms:created xsi:type="dcterms:W3CDTF">2021-05-31T16:47:00Z</dcterms:created>
  <dcterms:modified xsi:type="dcterms:W3CDTF">2021-06-05T19:47:00Z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</Properties>
</file>