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true"/>
        <w:keepLines/>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lineRule="auto" w:line="240"/>
        <w:ind w:left="0" w:right="0" w:hanging="0"/>
        <w:rPr>
          <w:rFonts w:ascii="Times New Roman" w:hAnsi="Times New Roman"/>
          <w:bCs/>
          <w:color w:val="auto"/>
          <w:sz w:val="24"/>
          <w:szCs w:val="24"/>
          <w:lang w:val="en-GB"/>
        </w:rPr>
      </w:pPr>
      <w:r>
        <w:rPr>
          <w:rFonts w:ascii="Times New Roman" w:hAnsi="Times New Roman"/>
          <w:bCs/>
          <w:color w:val="auto"/>
          <w:sz w:val="24"/>
          <w:szCs w:val="24"/>
          <w:lang w:val="en-GB"/>
        </w:rPr>
        <w:t xml:space="preserve">A concept of </w:t>
      </w:r>
      <w:r>
        <w:rPr>
          <w:rFonts w:ascii="Times New Roman" w:hAnsi="Times New Roman"/>
          <w:bCs/>
          <w:color w:val="auto"/>
          <w:sz w:val="24"/>
          <w:szCs w:val="24"/>
          <w:lang w:val="en-GB"/>
        </w:rPr>
        <w:t>fluid dynamic</w:t>
      </w:r>
      <w:r>
        <w:rPr>
          <w:rFonts w:ascii="Times New Roman" w:hAnsi="Times New Roman"/>
          <w:bCs/>
          <w:color w:val="auto"/>
          <w:sz w:val="24"/>
          <w:szCs w:val="24"/>
          <w:lang w:val="en-GB"/>
        </w:rPr>
        <w:t xml:space="preserve"> code for molten salt reactor analysis with Open FOAM</w:t>
      </w:r>
    </w:p>
    <w:p>
      <w:pPr>
        <w:pStyle w:val="Authornameandaffiliation"/>
        <w:ind w:left="0" w:right="0" w:hanging="0"/>
        <w:jc w:val="both"/>
        <w:rPr>
          <w:rFonts w:ascii="Times New Roman" w:hAnsi="Times New Roman"/>
          <w:color w:val="auto"/>
          <w:sz w:val="24"/>
          <w:szCs w:val="24"/>
          <w:lang w:val="en-GB"/>
        </w:rPr>
      </w:pPr>
      <w:r>
        <w:rPr>
          <w:color w:val="auto"/>
          <w:sz w:val="24"/>
          <w:szCs w:val="24"/>
          <w:lang w:val="en-GB"/>
        </w:rPr>
      </w:r>
    </w:p>
    <w:p>
      <w:pPr>
        <w:pStyle w:val="Authornameandaffiliation"/>
        <w:ind w:left="0" w:right="0" w:hanging="0"/>
        <w:jc w:val="both"/>
        <w:rPr>
          <w:rFonts w:ascii="Times New Roman" w:hAnsi="Times New Roman"/>
          <w:color w:val="auto"/>
          <w:sz w:val="24"/>
          <w:szCs w:val="24"/>
          <w:lang w:val="en-GB"/>
        </w:rPr>
      </w:pPr>
      <w:r>
        <w:rPr>
          <w:color w:val="auto"/>
          <w:sz w:val="24"/>
          <w:szCs w:val="24"/>
          <w:lang w:val="en-GB"/>
        </w:rPr>
        <w:t xml:space="preserve">Azizul Khakim </w:t>
      </w:r>
    </w:p>
    <w:p>
      <w:pPr>
        <w:pStyle w:val="Authornameandaffiliation"/>
        <w:ind w:left="0" w:right="0" w:hanging="0"/>
        <w:jc w:val="both"/>
        <w:rPr>
          <w:rFonts w:ascii="Times New Roman" w:hAnsi="Times New Roman"/>
          <w:color w:val="auto"/>
          <w:sz w:val="24"/>
          <w:szCs w:val="24"/>
          <w:lang w:val="en-GB"/>
        </w:rPr>
      </w:pPr>
      <w:r>
        <w:rPr>
          <w:color w:val="auto"/>
          <w:sz w:val="24"/>
          <w:szCs w:val="24"/>
          <w:lang w:val="en-GB"/>
        </w:rPr>
        <w:t>Nuclear Energy Regulatory Agency (BAPETEN)</w:t>
      </w:r>
    </w:p>
    <w:p>
      <w:pPr>
        <w:pStyle w:val="Authornameandaffiliation"/>
        <w:ind w:left="0" w:right="0" w:hanging="0"/>
        <w:jc w:val="both"/>
        <w:rPr>
          <w:rFonts w:ascii="Times New Roman" w:hAnsi="Times New Roman"/>
          <w:color w:val="auto"/>
          <w:sz w:val="24"/>
          <w:szCs w:val="24"/>
          <w:lang w:val="en-GB"/>
        </w:rPr>
      </w:pPr>
      <w:r>
        <w:rPr>
          <w:color w:val="auto"/>
          <w:sz w:val="24"/>
          <w:szCs w:val="24"/>
          <w:lang w:val="en-GB"/>
        </w:rPr>
        <w:t>Jl. Gajah Mada No. 8 Jakarta 10120 Indonesia</w:t>
      </w:r>
    </w:p>
    <w:p>
      <w:pPr>
        <w:pStyle w:val="Authornameandaffiliation"/>
        <w:ind w:left="0" w:right="0" w:hanging="0"/>
        <w:jc w:val="both"/>
        <w:rPr>
          <w:rFonts w:ascii="Times New Roman" w:hAnsi="Times New Roman"/>
          <w:color w:val="auto"/>
          <w:sz w:val="24"/>
          <w:szCs w:val="24"/>
        </w:rPr>
      </w:pPr>
      <w:r>
        <w:rPr>
          <w:color w:val="auto"/>
          <w:sz w:val="24"/>
          <w:szCs w:val="24"/>
          <w:lang w:val="en-GB"/>
        </w:rPr>
        <w:t>Email: a.khakim@bapeten.go.id</w:t>
      </w:r>
    </w:p>
    <w:p>
      <w:pPr>
        <w:pStyle w:val="Normal"/>
        <w:overflowPunct w:val="false"/>
        <w:spacing w:before="202" w:after="0"/>
        <w:jc w:val="both"/>
        <w:textAlignment w:val="auto"/>
        <w:rPr>
          <w:rFonts w:ascii="Times New Roman" w:hAnsi="Times New Roman"/>
          <w:color w:val="auto"/>
          <w:sz w:val="24"/>
          <w:szCs w:val="24"/>
        </w:rPr>
      </w:pPr>
      <w:r>
        <w:rPr>
          <w:rFonts w:eastAsia="Calibri"/>
          <w:color w:val="auto"/>
          <w:sz w:val="24"/>
          <w:szCs w:val="24"/>
          <w:lang w:eastAsia="ar-SA"/>
        </w:rPr>
        <w:t xml:space="preserve">Recently Molten Salt Reactor (MSR) gains more interest among nuclear researchers due to its </w:t>
      </w:r>
      <w:r>
        <w:rPr>
          <w:color w:val="auto"/>
          <w:sz w:val="24"/>
          <w:szCs w:val="24"/>
        </w:rPr>
        <w:t xml:space="preserve">promising competitiveness and safety characteristics. ThorCon MSR (TMSR500) is this kind of reactor projected to be built in Indonesia. Due to a limited number of commercial codes available in the market, one may have to develop their own code. One of the main MSR features is the use of fluid fuel, which serves as both fuel and coolant. The heat is generated in the moving fluid fuel </w:t>
      </w:r>
      <w:r>
        <w:rPr>
          <w:color w:val="auto"/>
          <w:sz w:val="24"/>
          <w:szCs w:val="24"/>
        </w:rPr>
        <w:t>which</w:t>
      </w:r>
      <w:r>
        <w:rPr>
          <w:color w:val="auto"/>
          <w:sz w:val="24"/>
          <w:szCs w:val="24"/>
        </w:rPr>
        <w:t xml:space="preserve"> makes it compl</w:t>
      </w:r>
      <w:r>
        <w:rPr>
          <w:color w:val="auto"/>
          <w:sz w:val="24"/>
          <w:szCs w:val="24"/>
        </w:rPr>
        <w:t>i</w:t>
      </w:r>
      <w:r>
        <w:rPr>
          <w:color w:val="auto"/>
          <w:sz w:val="24"/>
          <w:szCs w:val="24"/>
        </w:rPr>
        <w:t>cated in term</w:t>
      </w:r>
      <w:r>
        <w:rPr>
          <w:color w:val="auto"/>
          <w:sz w:val="24"/>
          <w:szCs w:val="24"/>
        </w:rPr>
        <w:t>s</w:t>
      </w:r>
      <w:r>
        <w:rPr>
          <w:color w:val="auto"/>
          <w:sz w:val="24"/>
          <w:szCs w:val="24"/>
        </w:rPr>
        <w:t xml:space="preserve"> of thermodynamic modeling. The available lumped-parameter codes which are based on experimental correlation of convective heat transfer can not be applied, instead, CFD (computational fluid dynamics) has to be used. CFD is </w:t>
      </w:r>
      <w:r>
        <w:rPr>
          <w:color w:val="auto"/>
          <w:sz w:val="24"/>
          <w:szCs w:val="24"/>
        </w:rPr>
        <w:t xml:space="preserve">an </w:t>
      </w:r>
      <w:r>
        <w:rPr>
          <w:color w:val="auto"/>
          <w:sz w:val="24"/>
          <w:szCs w:val="24"/>
        </w:rPr>
        <w:t xml:space="preserve">expensive tool </w:t>
      </w:r>
      <w:r>
        <w:rPr>
          <w:color w:val="auto"/>
          <w:sz w:val="24"/>
          <w:szCs w:val="24"/>
        </w:rPr>
        <w:t>that</w:t>
      </w:r>
      <w:r>
        <w:rPr>
          <w:color w:val="auto"/>
          <w:sz w:val="24"/>
          <w:szCs w:val="24"/>
        </w:rPr>
        <w:t xml:space="preserve"> may require the use of high-performance computing (HPC) for simulating 3-D multiphysics models. Unlike solid fuel reactor, where both prompt and delayed neutrons are born in the same spot of fission reaction, in the MSR the delayed neutrons emit somewhere else and could be escaping from the core due to fuel circulation.</w:t>
      </w:r>
    </w:p>
    <w:p>
      <w:pPr>
        <w:pStyle w:val="Normal"/>
        <w:overflowPunct w:val="false"/>
        <w:spacing w:before="202" w:after="0"/>
        <w:jc w:val="both"/>
        <w:textAlignment w:val="auto"/>
        <w:rPr>
          <w:rFonts w:ascii="Times New Roman" w:hAnsi="Times New Roman"/>
          <w:color w:val="auto"/>
          <w:sz w:val="24"/>
          <w:szCs w:val="24"/>
        </w:rPr>
      </w:pPr>
      <w:r>
        <w:rPr>
          <w:color w:val="auto"/>
          <w:sz w:val="24"/>
          <w:szCs w:val="24"/>
        </w:rPr>
        <w:t>Open FOAM is chosen as it is an open platform where the users can modify the source code for their simulation needs. Assuming the fluid fuel is completely incompressible, the following general transport equation is valid:</w:t>
      </w:r>
    </w:p>
    <w:p>
      <w:pPr>
        <w:pStyle w:val="Normal"/>
        <w:overflowPunct w:val="false"/>
        <w:spacing w:before="202" w:after="0"/>
        <w:jc w:val="right"/>
        <w:textAlignment w:val="auto"/>
        <w:rPr>
          <w:rFonts w:ascii="Times New Roman" w:hAnsi="Times New Roman"/>
          <w:color w:val="auto"/>
          <w:sz w:val="24"/>
          <w:szCs w:val="24"/>
        </w:rPr>
      </w:pPr>
      <w:r>
        <w:rPr>
          <w:color w:val="auto"/>
          <w:sz w:val="24"/>
          <w:szCs w:val="24"/>
        </w:rPr>
        <w:drawing>
          <wp:inline distT="0" distB="0" distL="0" distR="0">
            <wp:extent cx="3876040" cy="709295"/>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3876040" cy="709295"/>
                    </a:xfrm>
                    <a:prstGeom prst="rect">
                      <a:avLst/>
                    </a:prstGeom>
                  </pic:spPr>
                </pic:pic>
              </a:graphicData>
            </a:graphic>
          </wp:inline>
        </w:drawing>
      </w:r>
      <w:r>
        <w:rPr>
          <w:color w:val="auto"/>
          <w:sz w:val="24"/>
          <w:szCs w:val="24"/>
        </w:rPr>
        <w:tab/>
        <w:tab/>
        <w:tab/>
        <w:t>(1)</w:t>
      </w:r>
    </w:p>
    <w:p>
      <w:pPr>
        <w:pStyle w:val="Normal"/>
        <w:overflowPunct w:val="false"/>
        <w:spacing w:before="202" w:after="0"/>
        <w:jc w:val="both"/>
        <w:textAlignment w:val="auto"/>
        <w:rPr>
          <w:rFonts w:ascii="Times New Roman" w:hAnsi="Times New Roman"/>
          <w:color w:val="auto"/>
          <w:sz w:val="24"/>
          <w:szCs w:val="24"/>
        </w:rPr>
      </w:pPr>
      <w:r>
        <w:rPr>
          <w:color w:val="auto"/>
          <w:sz w:val="24"/>
          <w:szCs w:val="24"/>
        </w:rPr>
        <w:t>The first, second, third, and fourth terms of eq. (1) are time derivative, convective, dif</w:t>
      </w:r>
      <w:r>
        <w:rPr>
          <w:color w:val="auto"/>
          <w:sz w:val="24"/>
          <w:szCs w:val="24"/>
        </w:rPr>
        <w:t>f</w:t>
      </w:r>
      <w:r>
        <w:rPr>
          <w:color w:val="auto"/>
          <w:sz w:val="24"/>
          <w:szCs w:val="24"/>
        </w:rPr>
        <w:t>usion, and source terms, respectively. The variable</w:t>
      </w:r>
      <w:r>
        <w:rPr>
          <w:color w:val="auto"/>
          <w:sz w:val="24"/>
          <w:szCs w:val="24"/>
        </w:rPr>
        <w:t>s</w:t>
      </w:r>
      <w:r>
        <w:rPr>
          <w:color w:val="auto"/>
          <w:sz w:val="24"/>
          <w:szCs w:val="24"/>
        </w:rPr>
        <w:t xml:space="preserve"> </w:t>
      </w:r>
      <w:r>
        <w:rPr>
          <w:i/>
          <w:iCs/>
          <w:color w:val="auto"/>
          <w:sz w:val="24"/>
          <w:szCs w:val="24"/>
        </w:rPr>
        <w:t xml:space="preserve">t, x, </w:t>
      </w:r>
      <w:r>
        <w:rPr>
          <w:i w:val="false"/>
          <w:iCs w:val="false"/>
          <w:color w:val="auto"/>
          <w:sz w:val="24"/>
          <w:szCs w:val="24"/>
        </w:rPr>
        <w:t>and</w:t>
      </w:r>
      <w:r>
        <w:rPr>
          <w:i/>
          <w:iCs/>
          <w:color w:val="auto"/>
          <w:sz w:val="24"/>
          <w:szCs w:val="24"/>
        </w:rPr>
        <w:t xml:space="preserve"> u </w:t>
      </w:r>
      <w:r>
        <w:rPr>
          <w:i w:val="false"/>
          <w:iCs w:val="false"/>
          <w:color w:val="auto"/>
          <w:sz w:val="24"/>
          <w:szCs w:val="24"/>
        </w:rPr>
        <w:t xml:space="preserve">are time, space, and velocity, respectively. The </w:t>
      </w:r>
      <w:r>
        <w:rPr>
          <w:rFonts w:eastAsia="Times New Roman" w:cs="Times New Roman"/>
          <w:i/>
          <w:iCs/>
          <w:color w:val="auto"/>
          <w:sz w:val="24"/>
          <w:szCs w:val="24"/>
        </w:rPr>
        <w:t>ϕ</w:t>
      </w:r>
      <w:r>
        <w:rPr>
          <w:rFonts w:eastAsia="Times New Roman" w:cs="Times New Roman"/>
          <w:i w:val="false"/>
          <w:iCs w:val="false"/>
          <w:color w:val="auto"/>
          <w:sz w:val="24"/>
          <w:szCs w:val="24"/>
        </w:rPr>
        <w:t xml:space="preserve"> is an arbitrary transport parameter, and </w:t>
      </w:r>
      <w:r>
        <w:rPr>
          <w:rFonts w:eastAsia="Times New Roman" w:cs="Times New Roman"/>
          <w:i/>
          <w:iCs/>
          <w:color w:val="auto"/>
          <w:sz w:val="24"/>
          <w:szCs w:val="24"/>
        </w:rPr>
        <w:t>ρ</w:t>
      </w:r>
      <w:r>
        <w:rPr>
          <w:rFonts w:eastAsia="Times New Roman" w:cs="Times New Roman"/>
          <w:i w:val="false"/>
          <w:iCs w:val="false"/>
          <w:color w:val="auto"/>
          <w:sz w:val="24"/>
          <w:szCs w:val="24"/>
        </w:rPr>
        <w:t xml:space="preserve"> is the fluid density (kg/m3). The Γ is </w:t>
      </w:r>
      <w:r>
        <w:rPr>
          <w:rFonts w:eastAsia="Times New Roman" w:cs="Times New Roman"/>
          <w:i w:val="false"/>
          <w:iCs w:val="false"/>
          <w:color w:val="auto"/>
          <w:sz w:val="24"/>
          <w:szCs w:val="24"/>
        </w:rPr>
        <w:t xml:space="preserve">the </w:t>
      </w:r>
      <w:r>
        <w:rPr>
          <w:rFonts w:eastAsia="Times New Roman" w:cs="Times New Roman"/>
          <w:i w:val="false"/>
          <w:iCs w:val="false"/>
          <w:color w:val="auto"/>
          <w:sz w:val="24"/>
          <w:szCs w:val="24"/>
        </w:rPr>
        <w:t>diffusion coef</w:t>
      </w:r>
      <w:r>
        <w:rPr>
          <w:rFonts w:eastAsia="Times New Roman" w:cs="Times New Roman"/>
          <w:i w:val="false"/>
          <w:iCs w:val="false"/>
          <w:color w:val="auto"/>
          <w:sz w:val="24"/>
          <w:szCs w:val="24"/>
        </w:rPr>
        <w:t>f</w:t>
      </w:r>
      <w:r>
        <w:rPr>
          <w:rFonts w:eastAsia="Times New Roman" w:cs="Times New Roman"/>
          <w:i w:val="false"/>
          <w:iCs w:val="false"/>
          <w:color w:val="auto"/>
          <w:sz w:val="24"/>
          <w:szCs w:val="24"/>
        </w:rPr>
        <w:t xml:space="preserve">icient of the fluid (kg/m.s). When  </w:t>
      </w:r>
      <w:r>
        <w:rPr>
          <w:rFonts w:eastAsia="Times New Roman" w:cs="Times New Roman"/>
          <w:i/>
          <w:iCs/>
          <w:color w:val="auto"/>
          <w:sz w:val="24"/>
          <w:szCs w:val="24"/>
        </w:rPr>
        <w:t>ϕ=1</w:t>
      </w:r>
      <w:r>
        <w:rPr>
          <w:rFonts w:eastAsia="Times New Roman" w:cs="Times New Roman"/>
          <w:i w:val="false"/>
          <w:iCs w:val="false"/>
          <w:color w:val="auto"/>
          <w:sz w:val="24"/>
          <w:szCs w:val="24"/>
        </w:rPr>
        <w:t xml:space="preserve">, the eq. (1) becomes mass conservation equation: </w:t>
      </w:r>
    </w:p>
    <w:p>
      <w:pPr>
        <w:pStyle w:val="Normal"/>
        <w:overflowPunct w:val="false"/>
        <w:spacing w:before="202" w:after="0"/>
        <w:jc w:val="right"/>
        <w:textAlignment w:val="auto"/>
        <w:rPr>
          <w:rFonts w:ascii="Times New Roman" w:hAnsi="Times New Roman"/>
          <w:color w:val="auto"/>
          <w:sz w:val="24"/>
          <w:szCs w:val="24"/>
        </w:rPr>
      </w:pPr>
      <w:r>
        <w:rPr>
          <w:color w:val="auto"/>
          <w:sz w:val="24"/>
          <w:szCs w:val="24"/>
        </w:rPr>
        <w:drawing>
          <wp:inline distT="0" distB="0" distL="0" distR="0">
            <wp:extent cx="800735" cy="54292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800735" cy="542925"/>
                    </a:xfrm>
                    <a:prstGeom prst="rect">
                      <a:avLst/>
                    </a:prstGeom>
                  </pic:spPr>
                </pic:pic>
              </a:graphicData>
            </a:graphic>
          </wp:inline>
        </w:drawing>
      </w:r>
      <w:r>
        <w:rPr>
          <w:rFonts w:eastAsia="Times New Roman" w:cs="Times New Roman"/>
          <w:i w:val="false"/>
          <w:iCs w:val="false"/>
          <w:color w:val="auto"/>
          <w:sz w:val="24"/>
          <w:szCs w:val="24"/>
        </w:rPr>
        <w:tab/>
        <w:tab/>
        <w:tab/>
        <w:tab/>
        <w:tab/>
        <w:tab/>
        <w:tab/>
        <w:t>(2)</w:t>
      </w:r>
    </w:p>
    <w:p>
      <w:pPr>
        <w:pStyle w:val="Normal"/>
        <w:overflowPunct w:val="false"/>
        <w:spacing w:before="202" w:after="0"/>
        <w:jc w:val="both"/>
        <w:textAlignment w:val="auto"/>
        <w:rPr>
          <w:rFonts w:ascii="Times New Roman" w:hAnsi="Times New Roman"/>
          <w:color w:val="auto"/>
          <w:sz w:val="24"/>
          <w:szCs w:val="24"/>
        </w:rPr>
      </w:pPr>
      <w:r>
        <w:rPr>
          <w:rFonts w:eastAsia="Times New Roman" w:cs="Times New Roman"/>
          <w:i w:val="false"/>
          <w:iCs w:val="false"/>
          <w:color w:val="auto"/>
          <w:sz w:val="24"/>
          <w:szCs w:val="24"/>
        </w:rPr>
        <w:t xml:space="preserve">When </w:t>
      </w:r>
      <w:r>
        <w:rPr>
          <w:rFonts w:eastAsia="Times New Roman" w:cs="Times New Roman"/>
          <w:i/>
          <w:iCs/>
          <w:color w:val="auto"/>
          <w:sz w:val="24"/>
          <w:szCs w:val="24"/>
        </w:rPr>
        <w:t>ϕ=u</w:t>
      </w:r>
      <w:r>
        <w:rPr>
          <w:color w:val="auto"/>
          <w:sz w:val="24"/>
          <w:szCs w:val="24"/>
        </w:rPr>
        <w:t xml:space="preserve">, the eq. (1) becomes equation of momentum conservation: </w:t>
      </w:r>
    </w:p>
    <w:p>
      <w:pPr>
        <w:pStyle w:val="Normal"/>
        <w:overflowPunct w:val="false"/>
        <w:spacing w:before="202" w:after="0"/>
        <w:jc w:val="right"/>
        <w:textAlignment w:val="auto"/>
        <w:rPr>
          <w:rFonts w:ascii="Times New Roman" w:hAnsi="Times New Roman"/>
          <w:color w:val="auto"/>
          <w:sz w:val="24"/>
          <w:szCs w:val="24"/>
        </w:rPr>
      </w:pPr>
      <w:r>
        <w:rPr>
          <w:color w:val="auto"/>
          <w:sz w:val="24"/>
          <w:szCs w:val="24"/>
        </w:rPr>
        <w:drawing>
          <wp:inline distT="0" distB="0" distL="0" distR="0">
            <wp:extent cx="3653155" cy="71691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3653155" cy="716915"/>
                    </a:xfrm>
                    <a:prstGeom prst="rect">
                      <a:avLst/>
                    </a:prstGeom>
                  </pic:spPr>
                </pic:pic>
              </a:graphicData>
            </a:graphic>
          </wp:inline>
        </w:drawing>
      </w:r>
      <w:r>
        <w:rPr>
          <w:color w:val="auto"/>
          <w:sz w:val="24"/>
          <w:szCs w:val="24"/>
        </w:rPr>
        <w:tab/>
        <w:tab/>
        <w:tab/>
        <w:t>(3)</w:t>
      </w:r>
    </w:p>
    <w:p>
      <w:pPr>
        <w:pStyle w:val="Normal"/>
        <w:overflowPunct w:val="false"/>
        <w:spacing w:before="202" w:after="0"/>
        <w:jc w:val="both"/>
        <w:textAlignment w:val="auto"/>
        <w:rPr>
          <w:rFonts w:ascii="Times New Roman" w:hAnsi="Times New Roman"/>
          <w:color w:val="auto"/>
          <w:sz w:val="24"/>
          <w:szCs w:val="24"/>
        </w:rPr>
      </w:pPr>
      <w:r>
        <w:rPr>
          <w:color w:val="auto"/>
          <w:sz w:val="24"/>
          <w:szCs w:val="24"/>
        </w:rPr>
        <w:t xml:space="preserve">where </w:t>
      </w:r>
      <w:r>
        <w:rPr>
          <w:i/>
          <w:iCs/>
          <w:color w:val="auto"/>
          <w:sz w:val="24"/>
          <w:szCs w:val="24"/>
        </w:rPr>
        <w:t>g</w:t>
      </w:r>
      <w:r>
        <w:rPr>
          <w:i/>
          <w:iCs/>
          <w:color w:val="auto"/>
          <w:sz w:val="24"/>
          <w:szCs w:val="24"/>
          <w:vertAlign w:val="subscript"/>
        </w:rPr>
        <w:t>i</w:t>
      </w:r>
      <w:r>
        <w:rPr>
          <w:i/>
          <w:iCs/>
          <w:color w:val="auto"/>
          <w:sz w:val="24"/>
          <w:szCs w:val="24"/>
        </w:rPr>
        <w:t xml:space="preserve"> </w:t>
      </w:r>
      <w:r>
        <w:rPr>
          <w:i w:val="false"/>
          <w:iCs w:val="false"/>
          <w:color w:val="auto"/>
          <w:sz w:val="24"/>
          <w:szCs w:val="24"/>
        </w:rPr>
        <w:t>is the source term coming from gravity acceleration (m/s</w:t>
      </w:r>
      <w:r>
        <w:rPr>
          <w:i w:val="false"/>
          <w:iCs w:val="false"/>
          <w:color w:val="auto"/>
          <w:sz w:val="24"/>
          <w:szCs w:val="24"/>
          <w:vertAlign w:val="superscript"/>
        </w:rPr>
        <w:t>2</w:t>
      </w:r>
      <w:r>
        <w:rPr>
          <w:i w:val="false"/>
          <w:iCs w:val="false"/>
          <w:color w:val="auto"/>
          <w:sz w:val="24"/>
          <w:szCs w:val="24"/>
        </w:rPr>
        <w:t xml:space="preserve">). The fourth term of eq. (3) is the source term coming from pump pressure. The eq. (2) and (3) are more commonly known as Navier-Strokes equations which have become the basis of CFD. </w:t>
      </w:r>
    </w:p>
    <w:p>
      <w:pPr>
        <w:pStyle w:val="Normal"/>
        <w:overflowPunct w:val="false"/>
        <w:spacing w:before="202" w:after="0"/>
        <w:jc w:val="both"/>
        <w:textAlignment w:val="auto"/>
        <w:rPr>
          <w:rFonts w:ascii="Times New Roman" w:hAnsi="Times New Roman"/>
          <w:color w:val="auto"/>
          <w:sz w:val="24"/>
          <w:szCs w:val="24"/>
        </w:rPr>
      </w:pPr>
      <w:r>
        <w:rPr>
          <w:rFonts w:eastAsia="Times New Roman" w:cs="Times New Roman"/>
          <w:i w:val="false"/>
          <w:iCs w:val="false"/>
          <w:color w:val="auto"/>
          <w:sz w:val="24"/>
          <w:szCs w:val="24"/>
        </w:rPr>
        <w:t xml:space="preserve">When </w:t>
      </w:r>
      <w:r>
        <w:rPr>
          <w:rFonts w:eastAsia="Times New Roman" w:cs="Times New Roman"/>
          <w:i/>
          <w:iCs/>
          <w:color w:val="auto"/>
          <w:sz w:val="24"/>
          <w:szCs w:val="24"/>
        </w:rPr>
        <w:t>ϕ=C</w:t>
      </w:r>
      <w:r>
        <w:rPr>
          <w:rFonts w:eastAsia="Times New Roman" w:cs="Times New Roman"/>
          <w:i/>
          <w:iCs/>
          <w:color w:val="auto"/>
          <w:sz w:val="24"/>
          <w:szCs w:val="24"/>
          <w:vertAlign w:val="subscript"/>
        </w:rPr>
        <w:t>p</w:t>
      </w:r>
      <w:r>
        <w:rPr>
          <w:rFonts w:eastAsia="Times New Roman" w:cs="Times New Roman"/>
          <w:i/>
          <w:iCs/>
          <w:color w:val="auto"/>
          <w:sz w:val="24"/>
          <w:szCs w:val="24"/>
        </w:rPr>
        <w:t>T</w:t>
      </w:r>
      <w:r>
        <w:rPr>
          <w:i w:val="false"/>
          <w:iCs w:val="false"/>
          <w:color w:val="auto"/>
          <w:sz w:val="24"/>
          <w:szCs w:val="24"/>
        </w:rPr>
        <w:t xml:space="preserve">, the eq. (1) becomes equation of energy conservation: </w:t>
      </w:r>
    </w:p>
    <w:p>
      <w:pPr>
        <w:pStyle w:val="Normal"/>
        <w:jc w:val="right"/>
        <w:rPr>
          <w:rFonts w:ascii="Times New Roman" w:hAnsi="Times New Roman"/>
          <w:color w:val="auto"/>
          <w:sz w:val="24"/>
          <w:szCs w:val="24"/>
        </w:rPr>
      </w:pPr>
      <w:r>
        <w:rPr>
          <w:color w:val="auto"/>
          <w:sz w:val="24"/>
          <w:szCs w:val="24"/>
        </w:rPr>
        <w:drawing>
          <wp:inline distT="0" distB="0" distL="0" distR="0">
            <wp:extent cx="4202430" cy="62039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4202430" cy="620395"/>
                    </a:xfrm>
                    <a:prstGeom prst="rect">
                      <a:avLst/>
                    </a:prstGeom>
                  </pic:spPr>
                </pic:pic>
              </a:graphicData>
            </a:graphic>
          </wp:inline>
        </w:drawing>
      </w:r>
      <w:r>
        <w:rPr>
          <w:color w:val="auto"/>
          <w:sz w:val="24"/>
          <w:szCs w:val="24"/>
        </w:rPr>
        <w:tab/>
        <w:tab/>
        <w:tab/>
        <w:t>(4)</w:t>
      </w:r>
    </w:p>
    <w:p>
      <w:pPr>
        <w:pStyle w:val="Normal"/>
        <w:jc w:val="both"/>
        <w:rPr>
          <w:rFonts w:ascii="Times New Roman" w:hAnsi="Times New Roman"/>
          <w:color w:val="auto"/>
          <w:sz w:val="24"/>
          <w:szCs w:val="24"/>
        </w:rPr>
      </w:pPr>
      <w:r>
        <w:rPr>
          <w:color w:val="auto"/>
          <w:sz w:val="24"/>
          <w:szCs w:val="24"/>
        </w:rPr>
        <w:t xml:space="preserve">Where </w:t>
      </w:r>
      <w:r>
        <w:rPr>
          <w:i/>
          <w:iCs/>
          <w:color w:val="auto"/>
          <w:sz w:val="24"/>
          <w:szCs w:val="24"/>
        </w:rPr>
        <w:t>C</w:t>
      </w:r>
      <w:r>
        <w:rPr>
          <w:i/>
          <w:iCs/>
          <w:color w:val="auto"/>
          <w:sz w:val="24"/>
          <w:szCs w:val="24"/>
          <w:vertAlign w:val="subscript"/>
        </w:rPr>
        <w:t>p</w:t>
      </w:r>
      <w:r>
        <w:rPr>
          <w:i/>
          <w:iCs/>
          <w:color w:val="auto"/>
          <w:sz w:val="24"/>
          <w:szCs w:val="24"/>
        </w:rPr>
        <w:t xml:space="preserve"> </w:t>
      </w:r>
      <w:r>
        <w:rPr>
          <w:i w:val="false"/>
          <w:iCs w:val="false"/>
          <w:color w:val="auto"/>
          <w:sz w:val="24"/>
          <w:szCs w:val="24"/>
        </w:rPr>
        <w:t>and</w:t>
      </w:r>
      <w:r>
        <w:rPr>
          <w:i/>
          <w:iCs/>
          <w:color w:val="auto"/>
          <w:sz w:val="24"/>
          <w:szCs w:val="24"/>
        </w:rPr>
        <w:t xml:space="preserve"> k</w:t>
      </w:r>
      <w:r>
        <w:rPr>
          <w:color w:val="auto"/>
          <w:sz w:val="24"/>
          <w:szCs w:val="24"/>
        </w:rPr>
        <w:t xml:space="preserve"> are the fluid heat capacity (J/kg.K) and heat conductivity (w/m.K), respectively. The S</w:t>
      </w:r>
      <w:r>
        <w:rPr>
          <w:color w:val="auto"/>
          <w:sz w:val="24"/>
          <w:szCs w:val="24"/>
          <w:vertAlign w:val="subscript"/>
        </w:rPr>
        <w:t>v</w:t>
      </w:r>
      <w:r>
        <w:rPr>
          <w:color w:val="auto"/>
          <w:sz w:val="24"/>
          <w:szCs w:val="24"/>
        </w:rPr>
        <w:t xml:space="preserve"> is the source term of the energy equation (w/m</w:t>
      </w:r>
      <w:r>
        <w:rPr>
          <w:color w:val="auto"/>
          <w:sz w:val="24"/>
          <w:szCs w:val="24"/>
          <w:vertAlign w:val="superscript"/>
        </w:rPr>
        <w:t>3</w:t>
      </w:r>
      <w:r>
        <w:rPr>
          <w:color w:val="auto"/>
          <w:sz w:val="24"/>
          <w:szCs w:val="24"/>
        </w:rPr>
        <w:t xml:space="preserve">), in which for MSR, coming from fission reaction: </w:t>
      </w:r>
    </w:p>
    <w:p>
      <w:pPr>
        <w:pStyle w:val="Normal"/>
        <w:jc w:val="right"/>
        <w:rPr>
          <w:rFonts w:ascii="Times New Roman" w:hAnsi="Times New Roman"/>
          <w:color w:val="auto"/>
          <w:sz w:val="24"/>
          <w:szCs w:val="24"/>
        </w:rPr>
      </w:pPr>
      <w:r>
        <w:rPr>
          <w:color w:val="auto"/>
          <w:sz w:val="24"/>
          <w:szCs w:val="24"/>
        </w:rPr>
        <w:drawing>
          <wp:inline distT="0" distB="0" distL="0" distR="0">
            <wp:extent cx="1807845" cy="58229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1807845" cy="582295"/>
                    </a:xfrm>
                    <a:prstGeom prst="rect">
                      <a:avLst/>
                    </a:prstGeom>
                  </pic:spPr>
                </pic:pic>
              </a:graphicData>
            </a:graphic>
          </wp:inline>
        </w:drawing>
      </w:r>
      <w:r>
        <w:rPr>
          <w:color w:val="auto"/>
          <w:sz w:val="24"/>
          <w:szCs w:val="24"/>
        </w:rPr>
        <w:tab/>
        <w:tab/>
        <w:tab/>
        <w:tab/>
        <w:tab/>
        <w:tab/>
        <w:t>(5)</w:t>
      </w:r>
    </w:p>
    <w:p>
      <w:pPr>
        <w:pStyle w:val="Normal"/>
        <w:jc w:val="both"/>
        <w:rPr>
          <w:rFonts w:ascii="Times New Roman" w:hAnsi="Times New Roman"/>
          <w:color w:val="auto"/>
          <w:sz w:val="24"/>
          <w:szCs w:val="24"/>
        </w:rPr>
      </w:pPr>
      <w:r>
        <w:rPr>
          <w:color w:val="auto"/>
          <w:sz w:val="24"/>
          <w:szCs w:val="24"/>
        </w:rPr>
        <w:t xml:space="preserve">where </w:t>
      </w:r>
      <w:r>
        <w:rPr>
          <w:rFonts w:eastAsia="Times New Roman" w:cs="Times New Roman"/>
          <w:i/>
          <w:iCs/>
          <w:color w:val="auto"/>
          <w:sz w:val="24"/>
          <w:szCs w:val="24"/>
        </w:rPr>
        <w:t>ϵ</w:t>
      </w:r>
      <w:r>
        <w:rPr>
          <w:rFonts w:eastAsia="Times New Roman" w:cs="Times New Roman"/>
          <w:i/>
          <w:iCs/>
          <w:color w:val="auto"/>
          <w:sz w:val="24"/>
          <w:szCs w:val="24"/>
          <w:vertAlign w:val="subscript"/>
        </w:rPr>
        <w:t xml:space="preserve">f, </w:t>
      </w:r>
      <w:r>
        <w:rPr>
          <w:i/>
          <w:iCs/>
          <w:color w:val="auto"/>
          <w:sz w:val="24"/>
          <w:szCs w:val="24"/>
        </w:rPr>
        <w:t xml:space="preserve"> </w:t>
      </w:r>
      <w:r>
        <w:rPr>
          <w:rFonts w:eastAsia="Times New Roman" w:cs="Times New Roman"/>
          <w:i/>
          <w:iCs/>
          <w:color w:val="auto"/>
          <w:sz w:val="24"/>
          <w:szCs w:val="24"/>
        </w:rPr>
        <w:t>Σ</w:t>
      </w:r>
      <w:r>
        <w:rPr>
          <w:rFonts w:eastAsia="Times New Roman" w:cs="Times New Roman"/>
          <w:i/>
          <w:iCs/>
          <w:color w:val="auto"/>
          <w:sz w:val="24"/>
          <w:szCs w:val="24"/>
          <w:vertAlign w:val="subscript"/>
        </w:rPr>
        <w:t>f</w:t>
      </w:r>
      <w:r>
        <w:rPr>
          <w:rFonts w:eastAsia="Times New Roman" w:cs="Times New Roman"/>
          <w:i/>
          <w:iCs/>
          <w:color w:val="auto"/>
          <w:sz w:val="24"/>
          <w:szCs w:val="24"/>
        </w:rPr>
        <w:t xml:space="preserve"> </w:t>
      </w:r>
      <w:r>
        <w:rPr>
          <w:rFonts w:eastAsia="Times New Roman" w:cs="Times New Roman"/>
          <w:i w:val="false"/>
          <w:iCs w:val="false"/>
          <w:color w:val="auto"/>
          <w:sz w:val="24"/>
          <w:szCs w:val="24"/>
        </w:rPr>
        <w:t>and</w:t>
      </w:r>
      <w:r>
        <w:rPr>
          <w:rFonts w:eastAsia="Times New Roman" w:cs="Times New Roman"/>
          <w:i/>
          <w:iCs/>
          <w:color w:val="auto"/>
          <w:sz w:val="24"/>
          <w:szCs w:val="24"/>
        </w:rPr>
        <w:t xml:space="preserve"> Ф </w:t>
      </w:r>
      <w:r>
        <w:rPr>
          <w:rFonts w:eastAsia="Times New Roman" w:cs="Times New Roman"/>
          <w:i w:val="false"/>
          <w:iCs w:val="false"/>
          <w:color w:val="auto"/>
          <w:sz w:val="24"/>
          <w:szCs w:val="24"/>
        </w:rPr>
        <w:t xml:space="preserve">are the energy generated per fission, fission macroscopic cross-section, and local neutron flux. </w:t>
      </w:r>
    </w:p>
    <w:p>
      <w:pPr>
        <w:pStyle w:val="Normal"/>
        <w:jc w:val="both"/>
        <w:rPr>
          <w:rFonts w:ascii="Times New Roman" w:hAnsi="Times New Roman" w:eastAsia="Times New Roman" w:cs="Times New Roman"/>
          <w:i w:val="false"/>
          <w:i w:val="false"/>
          <w:iCs w:val="false"/>
          <w:color w:val="auto"/>
          <w:sz w:val="24"/>
          <w:szCs w:val="24"/>
        </w:rPr>
      </w:pPr>
      <w:r>
        <w:rPr>
          <w:rFonts w:eastAsia="Times New Roman" w:cs="Times New Roman"/>
          <w:i w:val="false"/>
          <w:iCs w:val="false"/>
          <w:color w:val="auto"/>
          <w:sz w:val="24"/>
          <w:szCs w:val="24"/>
        </w:rPr>
        <w:t>For fluid fuel reactor</w:t>
      </w:r>
      <w:r>
        <w:rPr>
          <w:rFonts w:eastAsia="Times New Roman" w:cs="Times New Roman"/>
          <w:i w:val="false"/>
          <w:iCs w:val="false"/>
          <w:color w:val="auto"/>
          <w:sz w:val="24"/>
          <w:szCs w:val="24"/>
        </w:rPr>
        <w:t>s</w:t>
      </w:r>
      <w:r>
        <w:rPr>
          <w:rFonts w:eastAsia="Times New Roman" w:cs="Times New Roman"/>
          <w:i w:val="false"/>
          <w:iCs w:val="false"/>
          <w:color w:val="auto"/>
          <w:sz w:val="24"/>
          <w:szCs w:val="24"/>
        </w:rPr>
        <w:t>, such as MSR or Aqueous Homogeneous Reactor (AHR), the fission energy generation takes place in the fluid fuel, therefore Eq. (4) is applied. On the other hand, for graphite moderator of MSR, unless gamma heating is taken into account, the following equation applies:</w:t>
      </w:r>
    </w:p>
    <w:p>
      <w:pPr>
        <w:pStyle w:val="Normal"/>
        <w:jc w:val="right"/>
        <w:rPr>
          <w:rFonts w:ascii="Times New Roman" w:hAnsi="Times New Roman"/>
          <w:color w:val="auto"/>
          <w:sz w:val="24"/>
          <w:szCs w:val="24"/>
        </w:rPr>
      </w:pPr>
      <w:r>
        <w:rPr>
          <w:color w:val="auto"/>
          <w:sz w:val="24"/>
          <w:szCs w:val="24"/>
        </w:rPr>
        <w:drawing>
          <wp:inline distT="0" distB="0" distL="0" distR="0">
            <wp:extent cx="1644650" cy="54292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1644650" cy="542925"/>
                    </a:xfrm>
                    <a:prstGeom prst="rect">
                      <a:avLst/>
                    </a:prstGeom>
                  </pic:spPr>
                </pic:pic>
              </a:graphicData>
            </a:graphic>
          </wp:inline>
        </w:drawing>
      </w:r>
      <w:r>
        <w:rPr>
          <w:rFonts w:eastAsia="Times New Roman" w:cs="Times New Roman"/>
          <w:i w:val="false"/>
          <w:iCs w:val="false"/>
          <w:color w:val="auto"/>
          <w:sz w:val="24"/>
          <w:szCs w:val="24"/>
        </w:rPr>
        <w:tab/>
        <w:tab/>
        <w:tab/>
        <w:tab/>
        <w:tab/>
        <w:t>(6)</w:t>
      </w:r>
    </w:p>
    <w:p>
      <w:pPr>
        <w:pStyle w:val="Normal"/>
        <w:jc w:val="both"/>
        <w:rPr>
          <w:rFonts w:ascii="Times New Roman" w:hAnsi="Times New Roman" w:eastAsia="Times New Roman" w:cs="Times New Roman"/>
          <w:i w:val="false"/>
          <w:i w:val="false"/>
          <w:iCs w:val="false"/>
          <w:color w:val="auto"/>
          <w:sz w:val="24"/>
          <w:szCs w:val="24"/>
        </w:rPr>
      </w:pPr>
      <w:r>
        <w:rPr>
          <w:rFonts w:eastAsia="Times New Roman" w:cs="Times New Roman"/>
          <w:i w:val="false"/>
          <w:iCs w:val="false"/>
          <w:color w:val="auto"/>
          <w:sz w:val="24"/>
          <w:szCs w:val="24"/>
        </w:rPr>
        <w:t>For an arbitrary pas</w:t>
      </w:r>
      <w:r>
        <w:rPr>
          <w:rFonts w:eastAsia="Times New Roman" w:cs="Times New Roman"/>
          <w:i w:val="false"/>
          <w:iCs w:val="false"/>
          <w:color w:val="auto"/>
          <w:sz w:val="24"/>
          <w:szCs w:val="24"/>
        </w:rPr>
        <w:t>s</w:t>
      </w:r>
      <w:r>
        <w:rPr>
          <w:rFonts w:eastAsia="Times New Roman" w:cs="Times New Roman"/>
          <w:i w:val="false"/>
          <w:iCs w:val="false"/>
          <w:color w:val="auto"/>
          <w:sz w:val="24"/>
          <w:szCs w:val="24"/>
        </w:rPr>
        <w:t xml:space="preserve">ive scalar quantity, </w:t>
      </w:r>
      <w:r>
        <w:rPr>
          <w:rFonts w:eastAsia="Times New Roman" w:cs="Times New Roman"/>
          <w:i/>
          <w:iCs/>
          <w:color w:val="auto"/>
          <w:sz w:val="24"/>
          <w:szCs w:val="24"/>
        </w:rPr>
        <w:t>Y</w:t>
      </w:r>
      <w:r>
        <w:rPr>
          <w:rFonts w:eastAsia="Times New Roman" w:cs="Times New Roman"/>
          <w:i/>
          <w:iCs/>
          <w:color w:val="auto"/>
          <w:sz w:val="24"/>
          <w:szCs w:val="24"/>
          <w:vertAlign w:val="subscript"/>
        </w:rPr>
        <w:t>i</w:t>
      </w:r>
      <w:r>
        <w:rPr>
          <w:rFonts w:eastAsia="Times New Roman" w:cs="Times New Roman"/>
          <w:i w:val="false"/>
          <w:iCs w:val="false"/>
          <w:color w:val="auto"/>
          <w:sz w:val="24"/>
          <w:szCs w:val="24"/>
        </w:rPr>
        <w:t xml:space="preserve">, which is transported by the fluid, the general equation can be derived from eq. (1) by  </w:t>
      </w:r>
      <w:r>
        <w:rPr>
          <w:rFonts w:eastAsia="Times New Roman" w:cs="Times New Roman"/>
          <w:i/>
          <w:iCs/>
          <w:color w:val="auto"/>
          <w:sz w:val="24"/>
          <w:szCs w:val="24"/>
        </w:rPr>
        <w:t>ϕ=Y</w:t>
      </w:r>
      <w:r>
        <w:rPr>
          <w:rFonts w:eastAsia="Times New Roman" w:cs="Times New Roman"/>
          <w:i/>
          <w:iCs/>
          <w:color w:val="auto"/>
          <w:sz w:val="24"/>
          <w:szCs w:val="24"/>
          <w:vertAlign w:val="subscript"/>
        </w:rPr>
        <w:t>i</w:t>
      </w:r>
      <w:r>
        <w:rPr>
          <w:rFonts w:eastAsia="Times New Roman" w:cs="Times New Roman"/>
          <w:i w:val="false"/>
          <w:iCs w:val="false"/>
          <w:color w:val="auto"/>
          <w:sz w:val="24"/>
          <w:szCs w:val="24"/>
        </w:rPr>
        <w:t xml:space="preserve">: </w:t>
      </w:r>
    </w:p>
    <w:p>
      <w:pPr>
        <w:pStyle w:val="Normal"/>
        <w:jc w:val="right"/>
        <w:rPr>
          <w:rFonts w:ascii="Times New Roman" w:hAnsi="Times New Roman" w:eastAsia="Times New Roman" w:cs="Times New Roman"/>
          <w:i w:val="false"/>
          <w:i w:val="false"/>
          <w:iCs w:val="false"/>
          <w:color w:val="auto"/>
          <w:sz w:val="24"/>
          <w:szCs w:val="24"/>
        </w:rPr>
      </w:pPr>
      <w:r>
        <w:rPr>
          <w:rFonts w:eastAsia="Times New Roman" w:cs="Times New Roman"/>
          <w:i w:val="false"/>
          <w:iCs w:val="false"/>
          <w:color w:val="auto"/>
          <w:sz w:val="24"/>
          <w:szCs w:val="24"/>
        </w:rPr>
        <w:drawing>
          <wp:inline distT="0" distB="0" distL="0" distR="0">
            <wp:extent cx="4085590" cy="63119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4085590" cy="631190"/>
                    </a:xfrm>
                    <a:prstGeom prst="rect">
                      <a:avLst/>
                    </a:prstGeom>
                  </pic:spPr>
                </pic:pic>
              </a:graphicData>
            </a:graphic>
          </wp:inline>
        </w:drawing>
      </w:r>
      <w:r>
        <w:rPr>
          <w:rFonts w:eastAsia="Times New Roman" w:cs="Times New Roman"/>
          <w:i w:val="false"/>
          <w:iCs w:val="false"/>
          <w:color w:val="auto"/>
          <w:sz w:val="24"/>
          <w:szCs w:val="24"/>
        </w:rPr>
        <w:tab/>
        <w:tab/>
        <w:tab/>
      </w:r>
      <w:r>
        <w:rPr>
          <w:rFonts w:eastAsia="Times New Roman" w:cs="Times New Roman"/>
          <w:i w:val="false"/>
          <w:iCs w:val="false"/>
          <w:color w:val="auto"/>
          <w:sz w:val="24"/>
          <w:szCs w:val="24"/>
        </w:rPr>
        <w:t>(7)</w:t>
      </w:r>
    </w:p>
    <w:p>
      <w:pPr>
        <w:pStyle w:val="Normal"/>
        <w:jc w:val="both"/>
        <w:rPr>
          <w:rFonts w:ascii="Times New Roman" w:hAnsi="Times New Roman"/>
          <w:color w:val="auto"/>
          <w:sz w:val="24"/>
          <w:szCs w:val="24"/>
        </w:rPr>
      </w:pPr>
      <w:r>
        <w:rPr>
          <w:color w:val="auto"/>
          <w:sz w:val="24"/>
          <w:szCs w:val="24"/>
        </w:rPr>
        <w:t xml:space="preserve">The passive scalar delayed neutron, </w:t>
      </w:r>
      <w:r>
        <w:rPr>
          <w:i/>
          <w:iCs/>
          <w:color w:val="auto"/>
          <w:sz w:val="24"/>
          <w:szCs w:val="24"/>
        </w:rPr>
        <w:t>C</w:t>
      </w:r>
      <w:r>
        <w:rPr>
          <w:i/>
          <w:iCs/>
          <w:color w:val="auto"/>
          <w:sz w:val="24"/>
          <w:szCs w:val="24"/>
          <w:vertAlign w:val="subscript"/>
        </w:rPr>
        <w:t>i</w:t>
      </w:r>
      <w:r>
        <w:rPr>
          <w:color w:val="auto"/>
          <w:sz w:val="24"/>
          <w:szCs w:val="24"/>
        </w:rPr>
        <w:t xml:space="preserve">, then can be expressed as </w:t>
      </w:r>
      <w:bookmarkStart w:id="0" w:name="__UnoMark__1010_4200025555"/>
      <w:bookmarkStart w:id="1" w:name="__UnoMark__999_4200025555"/>
      <w:bookmarkStart w:id="2" w:name="Mendeley_Bookmark_D7Ig1wshmI"/>
      <w:bookmarkStart w:id="3" w:name="Mendeley_Bookmark_IIMeWtXGvf"/>
      <w:r>
        <w:rPr>
          <w:color w:val="auto"/>
          <w:position w:val="0"/>
          <w:sz w:val="24"/>
          <w:sz w:val="24"/>
          <w:szCs w:val="24"/>
          <w:vertAlign w:val="baseline"/>
        </w:rPr>
        <w:t>[1]</w:t>
      </w:r>
      <w:bookmarkEnd w:id="0"/>
      <w:bookmarkEnd w:id="1"/>
      <w:bookmarkEnd w:id="2"/>
      <w:bookmarkEnd w:id="3"/>
      <w:r>
        <w:rPr>
          <w:color w:val="auto"/>
          <w:sz w:val="24"/>
          <w:szCs w:val="24"/>
        </w:rPr>
        <w:t>:</w:t>
      </w:r>
    </w:p>
    <w:p>
      <w:pPr>
        <w:pStyle w:val="Normal"/>
        <w:jc w:val="right"/>
        <w:rPr>
          <w:rFonts w:ascii="Times New Roman" w:hAnsi="Times New Roman"/>
          <w:color w:val="auto"/>
          <w:sz w:val="24"/>
          <w:szCs w:val="24"/>
        </w:rPr>
      </w:pPr>
      <w:r>
        <w:rPr>
          <w:color w:val="auto"/>
          <w:sz w:val="24"/>
          <w:szCs w:val="24"/>
        </w:rPr>
        <w:drawing>
          <wp:inline distT="0" distB="0" distL="0" distR="0">
            <wp:extent cx="4281805" cy="50863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4281805" cy="508635"/>
                    </a:xfrm>
                    <a:prstGeom prst="rect">
                      <a:avLst/>
                    </a:prstGeom>
                  </pic:spPr>
                </pic:pic>
              </a:graphicData>
            </a:graphic>
          </wp:inline>
        </w:drawing>
      </w:r>
      <w:r>
        <w:rPr>
          <w:color w:val="auto"/>
          <w:sz w:val="24"/>
          <w:szCs w:val="24"/>
        </w:rPr>
        <w:tab/>
        <w:tab/>
        <w:t>(8)</w:t>
      </w:r>
    </w:p>
    <w:p>
      <w:pPr>
        <w:pStyle w:val="Normal"/>
        <w:overflowPunct w:val="false"/>
        <w:spacing w:before="202" w:after="0"/>
        <w:jc w:val="both"/>
        <w:textAlignment w:val="auto"/>
        <w:rPr>
          <w:rFonts w:ascii="Times New Roman" w:hAnsi="Times New Roman"/>
          <w:color w:val="auto"/>
          <w:sz w:val="24"/>
          <w:szCs w:val="24"/>
        </w:rPr>
      </w:pPr>
      <w:r>
        <w:rPr>
          <w:color w:val="auto"/>
          <w:sz w:val="24"/>
          <w:szCs w:val="24"/>
        </w:rPr>
        <w:t xml:space="preserve">where </w:t>
      </w:r>
      <w:r>
        <w:rPr>
          <w:i/>
          <w:iCs/>
          <w:color w:val="auto"/>
          <w:sz w:val="24"/>
          <w:szCs w:val="24"/>
        </w:rPr>
        <w:t>Sc</w:t>
      </w:r>
      <w:r>
        <w:rPr>
          <w:i/>
          <w:iCs/>
          <w:color w:val="auto"/>
          <w:sz w:val="24"/>
          <w:szCs w:val="24"/>
          <w:vertAlign w:val="subscript"/>
        </w:rPr>
        <w:t>T</w:t>
      </w:r>
      <w:r>
        <w:rPr>
          <w:color w:val="auto"/>
          <w:sz w:val="24"/>
          <w:szCs w:val="24"/>
        </w:rPr>
        <w:t xml:space="preserve"> is turbulent Schmidt number, and </w:t>
      </w:r>
      <w:r>
        <w:rPr>
          <w:rFonts w:eastAsia="Times New Roman" w:cs="Times New Roman"/>
          <w:i/>
          <w:iCs/>
          <w:color w:val="auto"/>
          <w:sz w:val="24"/>
          <w:szCs w:val="24"/>
        </w:rPr>
        <w:t>ν</w:t>
      </w:r>
      <w:r>
        <w:rPr>
          <w:rFonts w:eastAsia="Times New Roman" w:cs="Times New Roman"/>
          <w:i/>
          <w:iCs/>
          <w:color w:val="auto"/>
          <w:sz w:val="24"/>
          <w:szCs w:val="24"/>
          <w:vertAlign w:val="subscript"/>
        </w:rPr>
        <w:t>T</w:t>
      </w:r>
      <w:r>
        <w:rPr>
          <w:rFonts w:eastAsia="Times New Roman" w:cs="Times New Roman"/>
          <w:color w:val="auto"/>
          <w:position w:val="0"/>
          <w:sz w:val="24"/>
          <w:sz w:val="24"/>
          <w:szCs w:val="24"/>
          <w:vertAlign w:val="baseline"/>
        </w:rPr>
        <w:t xml:space="preserve"> is the turbulent viscosity. The </w:t>
      </w:r>
      <w:r>
        <w:rPr>
          <w:rFonts w:eastAsia="Times New Roman" w:cs="Times New Roman"/>
          <w:i/>
          <w:iCs/>
          <w:color w:val="auto"/>
          <w:position w:val="0"/>
          <w:sz w:val="24"/>
          <w:sz w:val="24"/>
          <w:szCs w:val="24"/>
          <w:vertAlign w:val="baseline"/>
        </w:rPr>
        <w:t>β</w:t>
      </w:r>
      <w:r>
        <w:rPr>
          <w:rFonts w:eastAsia="Times New Roman" w:cs="Times New Roman"/>
          <w:i/>
          <w:iCs/>
          <w:color w:val="auto"/>
          <w:sz w:val="24"/>
          <w:szCs w:val="24"/>
          <w:vertAlign w:val="subscript"/>
        </w:rPr>
        <w:t>i</w:t>
      </w:r>
      <w:r>
        <w:rPr>
          <w:rFonts w:eastAsia="Times New Roman" w:cs="Times New Roman"/>
          <w:color w:val="auto"/>
          <w:position w:val="0"/>
          <w:sz w:val="24"/>
          <w:sz w:val="24"/>
          <w:szCs w:val="24"/>
          <w:vertAlign w:val="baseline"/>
        </w:rPr>
        <w:t xml:space="preserve"> and </w:t>
      </w:r>
      <w:r>
        <w:rPr>
          <w:rFonts w:eastAsia="Times New Roman" w:cs="Times New Roman"/>
          <w:i/>
          <w:iCs/>
          <w:color w:val="auto"/>
          <w:position w:val="0"/>
          <w:sz w:val="24"/>
          <w:sz w:val="24"/>
          <w:szCs w:val="24"/>
          <w:vertAlign w:val="baseline"/>
        </w:rPr>
        <w:t>λ</w:t>
      </w:r>
      <w:r>
        <w:rPr>
          <w:rFonts w:eastAsia="Times New Roman" w:cs="Times New Roman"/>
          <w:i/>
          <w:iCs/>
          <w:color w:val="auto"/>
          <w:sz w:val="24"/>
          <w:szCs w:val="24"/>
          <w:vertAlign w:val="subscript"/>
        </w:rPr>
        <w:t>i</w:t>
      </w:r>
      <w:r>
        <w:rPr>
          <w:rFonts w:eastAsia="Times New Roman" w:cs="Times New Roman"/>
          <w:color w:val="auto"/>
          <w:position w:val="0"/>
          <w:sz w:val="24"/>
          <w:sz w:val="24"/>
          <w:szCs w:val="24"/>
          <w:vertAlign w:val="baseline"/>
        </w:rPr>
        <w:t xml:space="preserve"> </w:t>
      </w:r>
      <w:r>
        <w:rPr>
          <w:rFonts w:eastAsia="Times New Roman" w:cs="Times New Roman"/>
          <w:color w:val="auto"/>
          <w:position w:val="0"/>
          <w:sz w:val="24"/>
          <w:sz w:val="24"/>
          <w:szCs w:val="24"/>
          <w:vertAlign w:val="baseline"/>
        </w:rPr>
        <w:t xml:space="preserve">are delayed neutron fraction and decay constant of group </w:t>
      </w:r>
      <w:r>
        <w:rPr>
          <w:rFonts w:eastAsia="Times New Roman" w:cs="Times New Roman"/>
          <w:i/>
          <w:iCs/>
          <w:color w:val="auto"/>
          <w:position w:val="0"/>
          <w:sz w:val="24"/>
          <w:sz w:val="24"/>
          <w:szCs w:val="24"/>
          <w:vertAlign w:val="baseline"/>
        </w:rPr>
        <w:t>i</w:t>
      </w:r>
      <w:r>
        <w:rPr>
          <w:rFonts w:eastAsia="Times New Roman" w:cs="Times New Roman"/>
          <w:color w:val="auto"/>
          <w:position w:val="0"/>
          <w:sz w:val="24"/>
          <w:sz w:val="24"/>
          <w:szCs w:val="24"/>
          <w:vertAlign w:val="baseline"/>
        </w:rPr>
        <w:t xml:space="preserve">, respectively. The parameter </w:t>
      </w:r>
      <w:r>
        <w:rPr>
          <w:rFonts w:eastAsia="Times New Roman" w:cs="Times New Roman"/>
          <w:i/>
          <w:iCs/>
          <w:color w:val="auto"/>
          <w:position w:val="0"/>
          <w:sz w:val="24"/>
          <w:sz w:val="24"/>
          <w:szCs w:val="24"/>
          <w:vertAlign w:val="baseline"/>
        </w:rPr>
        <w:t>ν</w:t>
      </w:r>
      <w:r>
        <w:rPr>
          <w:rFonts w:eastAsia="Times New Roman" w:cs="Times New Roman"/>
          <w:i/>
          <w:iCs/>
          <w:color w:val="auto"/>
          <w:sz w:val="24"/>
          <w:szCs w:val="24"/>
          <w:vertAlign w:val="subscript"/>
        </w:rPr>
        <w:t>f</w:t>
      </w:r>
      <w:r>
        <w:rPr>
          <w:rFonts w:eastAsia="Times New Roman" w:cs="Times New Roman"/>
          <w:i/>
          <w:iCs/>
          <w:color w:val="auto"/>
          <w:position w:val="0"/>
          <w:sz w:val="24"/>
          <w:sz w:val="24"/>
          <w:szCs w:val="24"/>
          <w:vertAlign w:val="baseline"/>
        </w:rPr>
        <w:t xml:space="preserve"> </w:t>
      </w:r>
      <w:r>
        <w:rPr>
          <w:rFonts w:eastAsia="Times New Roman" w:cs="Times New Roman"/>
          <w:i w:val="false"/>
          <w:iCs w:val="false"/>
          <w:color w:val="auto"/>
          <w:position w:val="0"/>
          <w:sz w:val="24"/>
          <w:sz w:val="24"/>
          <w:szCs w:val="24"/>
          <w:vertAlign w:val="baseline"/>
        </w:rPr>
        <w:t xml:space="preserve">is the average number of neutrons produced per fission. Those three parameters </w:t>
      </w:r>
      <w:r>
        <w:rPr>
          <w:rFonts w:eastAsia="Times New Roman" w:cs="Times New Roman"/>
          <w:i/>
          <w:iCs/>
          <w:color w:val="auto"/>
          <w:position w:val="0"/>
          <w:sz w:val="24"/>
          <w:sz w:val="24"/>
          <w:szCs w:val="24"/>
          <w:vertAlign w:val="baseline"/>
        </w:rPr>
        <w:t>β</w:t>
      </w:r>
      <w:r>
        <w:rPr>
          <w:rFonts w:eastAsia="Times New Roman" w:cs="Times New Roman"/>
          <w:i/>
          <w:iCs/>
          <w:color w:val="auto"/>
          <w:sz w:val="24"/>
          <w:szCs w:val="24"/>
          <w:vertAlign w:val="subscript"/>
        </w:rPr>
        <w:t>i</w:t>
      </w:r>
      <w:r>
        <w:rPr>
          <w:rFonts w:eastAsia="Times New Roman" w:cs="Times New Roman"/>
          <w:i/>
          <w:iCs/>
          <w:color w:val="auto"/>
          <w:position w:val="0"/>
          <w:sz w:val="24"/>
          <w:sz w:val="24"/>
          <w:szCs w:val="24"/>
          <w:vertAlign w:val="baseline"/>
        </w:rPr>
        <w:t>,</w:t>
      </w:r>
      <w:r>
        <w:rPr>
          <w:rFonts w:eastAsia="Times New Roman" w:cs="Times New Roman"/>
          <w:i w:val="false"/>
          <w:iCs w:val="false"/>
          <w:color w:val="auto"/>
          <w:position w:val="0"/>
          <w:sz w:val="24"/>
          <w:sz w:val="24"/>
          <w:szCs w:val="24"/>
          <w:vertAlign w:val="baseline"/>
        </w:rPr>
        <w:t xml:space="preserve"> </w:t>
      </w:r>
      <w:r>
        <w:rPr>
          <w:rFonts w:eastAsia="Times New Roman" w:cs="Times New Roman"/>
          <w:i/>
          <w:iCs/>
          <w:color w:val="auto"/>
          <w:position w:val="0"/>
          <w:sz w:val="24"/>
          <w:sz w:val="24"/>
          <w:szCs w:val="24"/>
          <w:vertAlign w:val="baseline"/>
        </w:rPr>
        <w:t>λ</w:t>
      </w:r>
      <w:r>
        <w:rPr>
          <w:rFonts w:eastAsia="Times New Roman" w:cs="Times New Roman"/>
          <w:i/>
          <w:iCs/>
          <w:color w:val="auto"/>
          <w:sz w:val="24"/>
          <w:szCs w:val="24"/>
          <w:vertAlign w:val="subscript"/>
        </w:rPr>
        <w:t>i</w:t>
      </w:r>
      <w:r>
        <w:rPr>
          <w:rFonts w:eastAsia="Times New Roman" w:cs="Times New Roman"/>
          <w:i w:val="false"/>
          <w:iCs w:val="false"/>
          <w:color w:val="auto"/>
          <w:position w:val="0"/>
          <w:sz w:val="24"/>
          <w:sz w:val="24"/>
          <w:szCs w:val="24"/>
          <w:vertAlign w:val="baseline"/>
        </w:rPr>
        <w:t xml:space="preserve">, </w:t>
      </w:r>
      <w:r>
        <w:rPr>
          <w:rFonts w:eastAsia="Times New Roman" w:cs="Times New Roman"/>
          <w:i w:val="false"/>
          <w:iCs w:val="false"/>
          <w:color w:val="auto"/>
          <w:position w:val="0"/>
          <w:sz w:val="24"/>
          <w:sz w:val="24"/>
          <w:szCs w:val="24"/>
          <w:vertAlign w:val="baseline"/>
        </w:rPr>
        <w:t xml:space="preserve">and </w:t>
      </w:r>
      <w:r>
        <w:rPr>
          <w:rFonts w:eastAsia="Times New Roman" w:cs="Times New Roman"/>
          <w:i/>
          <w:iCs/>
          <w:color w:val="auto"/>
          <w:position w:val="0"/>
          <w:sz w:val="24"/>
          <w:sz w:val="24"/>
          <w:szCs w:val="24"/>
          <w:vertAlign w:val="baseline"/>
        </w:rPr>
        <w:t>ν</w:t>
      </w:r>
      <w:r>
        <w:rPr>
          <w:rFonts w:eastAsia="Times New Roman" w:cs="Times New Roman"/>
          <w:i/>
          <w:iCs/>
          <w:color w:val="auto"/>
          <w:sz w:val="24"/>
          <w:szCs w:val="24"/>
          <w:vertAlign w:val="subscript"/>
        </w:rPr>
        <w:t>f</w:t>
      </w:r>
      <w:r>
        <w:rPr>
          <w:rFonts w:eastAsia="Times New Roman" w:cs="Times New Roman"/>
          <w:i/>
          <w:iCs/>
          <w:color w:val="auto"/>
          <w:position w:val="0"/>
          <w:sz w:val="24"/>
          <w:sz w:val="24"/>
          <w:szCs w:val="24"/>
          <w:vertAlign w:val="baseline"/>
        </w:rPr>
        <w:t xml:space="preserve"> </w:t>
      </w:r>
      <w:r>
        <w:rPr>
          <w:rFonts w:eastAsia="Times New Roman" w:cs="Times New Roman"/>
          <w:i w:val="false"/>
          <w:iCs w:val="false"/>
          <w:color w:val="auto"/>
          <w:position w:val="0"/>
          <w:sz w:val="24"/>
          <w:sz w:val="24"/>
          <w:szCs w:val="24"/>
          <w:vertAlign w:val="baseline"/>
        </w:rPr>
        <w:t>can be calculated in advance using neutronic code</w:t>
      </w:r>
      <w:r>
        <w:rPr>
          <w:rFonts w:eastAsia="Times New Roman" w:cs="Times New Roman"/>
          <w:i w:val="false"/>
          <w:iCs w:val="false"/>
          <w:color w:val="auto"/>
          <w:position w:val="0"/>
          <w:sz w:val="24"/>
          <w:sz w:val="24"/>
          <w:szCs w:val="24"/>
          <w:vertAlign w:val="baseline"/>
        </w:rPr>
        <w:t>s</w:t>
      </w:r>
      <w:r>
        <w:rPr>
          <w:rFonts w:eastAsia="Times New Roman" w:cs="Times New Roman"/>
          <w:i w:val="false"/>
          <w:iCs w:val="false"/>
          <w:color w:val="auto"/>
          <w:position w:val="0"/>
          <w:sz w:val="24"/>
          <w:sz w:val="24"/>
          <w:szCs w:val="24"/>
          <w:vertAlign w:val="baseline"/>
        </w:rPr>
        <w:t xml:space="preserve"> such as MCNP6. For laminar flow, the dif</w:t>
      </w:r>
      <w:r>
        <w:rPr>
          <w:rFonts w:eastAsia="Times New Roman" w:cs="Times New Roman"/>
          <w:i w:val="false"/>
          <w:iCs w:val="false"/>
          <w:color w:val="auto"/>
          <w:position w:val="0"/>
          <w:sz w:val="24"/>
          <w:sz w:val="24"/>
          <w:szCs w:val="24"/>
          <w:vertAlign w:val="baseline"/>
        </w:rPr>
        <w:t>f</w:t>
      </w:r>
      <w:r>
        <w:rPr>
          <w:rFonts w:eastAsia="Times New Roman" w:cs="Times New Roman"/>
          <w:i w:val="false"/>
          <w:iCs w:val="false"/>
          <w:color w:val="auto"/>
          <w:position w:val="0"/>
          <w:sz w:val="24"/>
          <w:sz w:val="24"/>
          <w:szCs w:val="24"/>
          <w:vertAlign w:val="baseline"/>
        </w:rPr>
        <w:t xml:space="preserve">usion term can be eliminated to become </w:t>
      </w:r>
      <w:bookmarkStart w:id="4" w:name="__UnoMark__1018_4200025555"/>
      <w:bookmarkStart w:id="5" w:name="__UnoMark__1011_4200025555"/>
      <w:bookmarkStart w:id="6" w:name="Mendeley_Bookmark_BjM4q9YLxM"/>
      <w:bookmarkStart w:id="7" w:name="__UnoMark__976_4200025555"/>
      <w:bookmarkStart w:id="8" w:name="Mendeley_Bookmark_EYnAezJXov"/>
      <w:r>
        <w:rPr>
          <w:rFonts w:eastAsia="Times New Roman" w:cs="Times New Roman"/>
          <w:i w:val="false"/>
          <w:iCs w:val="false"/>
          <w:color w:val="auto"/>
          <w:position w:val="0"/>
          <w:sz w:val="24"/>
          <w:sz w:val="24"/>
          <w:szCs w:val="24"/>
          <w:vertAlign w:val="baseline"/>
        </w:rPr>
        <w:t>[2]</w:t>
      </w:r>
      <w:bookmarkEnd w:id="4"/>
      <w:bookmarkEnd w:id="5"/>
      <w:bookmarkEnd w:id="6"/>
      <w:bookmarkEnd w:id="7"/>
      <w:bookmarkEnd w:id="8"/>
      <w:r>
        <w:rPr>
          <w:rFonts w:eastAsia="Times New Roman" w:cs="Times New Roman"/>
          <w:i w:val="false"/>
          <w:iCs w:val="false"/>
          <w:color w:val="auto"/>
          <w:position w:val="0"/>
          <w:sz w:val="24"/>
          <w:sz w:val="24"/>
          <w:szCs w:val="24"/>
          <w:vertAlign w:val="baseline"/>
        </w:rPr>
        <w:t xml:space="preserve">: </w:t>
      </w:r>
    </w:p>
    <w:p>
      <w:pPr>
        <w:pStyle w:val="Normal"/>
        <w:overflowPunct w:val="false"/>
        <w:spacing w:before="202" w:after="0"/>
        <w:jc w:val="right"/>
        <w:textAlignment w:val="auto"/>
        <w:rPr>
          <w:rFonts w:ascii="Times New Roman" w:hAnsi="Times New Roman"/>
          <w:color w:val="auto"/>
          <w:sz w:val="24"/>
          <w:szCs w:val="24"/>
        </w:rPr>
      </w:pPr>
      <w:r>
        <w:rPr>
          <w:rFonts w:eastAsia="Times New Roman" w:cs="Times New Roman"/>
          <w:i w:val="false"/>
          <w:iCs w:val="false"/>
          <w:color w:val="auto"/>
          <w:position w:val="0"/>
          <w:sz w:val="24"/>
          <w:sz w:val="24"/>
          <w:szCs w:val="24"/>
          <w:vertAlign w:val="baseline"/>
        </w:rPr>
        <w:drawing>
          <wp:inline distT="0" distB="0" distL="0" distR="0">
            <wp:extent cx="3870325" cy="61341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3870325" cy="613410"/>
                    </a:xfrm>
                    <a:prstGeom prst="rect">
                      <a:avLst/>
                    </a:prstGeom>
                  </pic:spPr>
                </pic:pic>
              </a:graphicData>
            </a:graphic>
          </wp:inline>
        </w:drawing>
      </w:r>
      <w:r>
        <w:rPr>
          <w:rFonts w:eastAsia="Times New Roman" w:cs="Times New Roman"/>
          <w:i w:val="false"/>
          <w:iCs w:val="false"/>
          <w:color w:val="auto"/>
          <w:position w:val="0"/>
          <w:sz w:val="24"/>
          <w:sz w:val="24"/>
          <w:szCs w:val="24"/>
          <w:vertAlign w:val="baseline"/>
        </w:rPr>
        <w:tab/>
        <w:tab/>
        <w:t>(9)</w:t>
      </w:r>
    </w:p>
    <w:p>
      <w:pPr>
        <w:pStyle w:val="Normal"/>
        <w:overflowPunct w:val="false"/>
        <w:spacing w:before="202" w:after="0"/>
        <w:jc w:val="both"/>
        <w:textAlignment w:val="auto"/>
        <w:rPr>
          <w:rFonts w:ascii="Times New Roman" w:hAnsi="Times New Roman"/>
          <w:color w:val="auto"/>
          <w:sz w:val="24"/>
          <w:szCs w:val="24"/>
        </w:rPr>
      </w:pPr>
      <w:r>
        <w:rPr>
          <w:rFonts w:eastAsia="Calibri"/>
          <w:color w:val="auto"/>
          <w:sz w:val="24"/>
          <w:szCs w:val="24"/>
          <w:lang w:eastAsia="ar-SA"/>
        </w:rPr>
        <w:t xml:space="preserve">The solvers for all those terms in eq. (1) are available in Open FOAM. The users may need to modify as necessary. </w:t>
      </w:r>
      <w:r>
        <w:rPr>
          <w:rFonts w:eastAsia="Calibri"/>
          <w:color w:val="auto"/>
          <w:sz w:val="24"/>
          <w:szCs w:val="24"/>
          <w:lang w:eastAsia="ar-SA"/>
        </w:rPr>
        <w:t>T</w:t>
      </w:r>
      <w:r>
        <w:rPr>
          <w:rFonts w:eastAsia="Calibri"/>
          <w:color w:val="auto"/>
          <w:sz w:val="24"/>
          <w:szCs w:val="24"/>
          <w:lang w:eastAsia="ar-SA"/>
        </w:rPr>
        <w:t xml:space="preserve">o reduce the number of cells, we need to simulate with </w:t>
      </w:r>
      <w:r>
        <w:rPr>
          <w:rFonts w:eastAsia="Calibri"/>
          <w:color w:val="auto"/>
          <w:sz w:val="24"/>
          <w:szCs w:val="24"/>
          <w:lang w:eastAsia="ar-SA"/>
        </w:rPr>
        <w:t xml:space="preserve">a </w:t>
      </w:r>
      <w:r>
        <w:rPr>
          <w:rFonts w:eastAsia="Calibri"/>
          <w:color w:val="auto"/>
          <w:sz w:val="24"/>
          <w:szCs w:val="24"/>
          <w:lang w:eastAsia="ar-SA"/>
        </w:rPr>
        <w:t xml:space="preserve">simple 2-D reactor using </w:t>
      </w:r>
      <w:r>
        <w:rPr>
          <w:rFonts w:eastAsia="Calibri"/>
          <w:color w:val="auto"/>
          <w:sz w:val="24"/>
          <w:szCs w:val="24"/>
          <w:lang w:eastAsia="ar-SA"/>
        </w:rPr>
        <w:t xml:space="preserve">our </w:t>
      </w:r>
      <w:r>
        <w:rPr>
          <w:rFonts w:eastAsia="Calibri"/>
          <w:color w:val="auto"/>
          <w:sz w:val="24"/>
          <w:szCs w:val="24"/>
          <w:lang w:eastAsia="ar-SA"/>
        </w:rPr>
        <w:t xml:space="preserve">172-core HPC </w:t>
      </w:r>
      <w:r>
        <w:rPr>
          <w:rFonts w:eastAsia="Calibri"/>
          <w:color w:val="auto"/>
          <w:sz w:val="24"/>
          <w:szCs w:val="24"/>
          <w:lang w:eastAsia="ar-SA"/>
        </w:rPr>
        <w:t>for the early steps</w:t>
      </w:r>
      <w:r>
        <w:rPr>
          <w:rFonts w:eastAsia="Calibri"/>
          <w:color w:val="auto"/>
          <w:sz w:val="24"/>
          <w:szCs w:val="24"/>
          <w:lang w:eastAsia="ar-SA"/>
        </w:rPr>
        <w:t xml:space="preserve">. </w:t>
      </w:r>
    </w:p>
    <w:p>
      <w:pPr>
        <w:pStyle w:val="Otherunnumberedheadings"/>
        <w:spacing w:before="280" w:after="280"/>
        <w:rPr>
          <w:rFonts w:ascii="Times New Roman" w:hAnsi="Times New Roman"/>
          <w:color w:val="auto"/>
          <w:sz w:val="24"/>
          <w:szCs w:val="24"/>
        </w:rPr>
      </w:pPr>
      <w:r>
        <w:rPr>
          <w:rFonts w:ascii="Times New Roman" w:hAnsi="Times New Roman"/>
          <w:color w:val="auto"/>
          <w:sz w:val="24"/>
          <w:szCs w:val="24"/>
        </w:rPr>
        <w:t>References</w:t>
      </w:r>
    </w:p>
    <w:p>
      <w:pPr>
        <w:sectPr>
          <w:footerReference w:type="even" r:id="rId11"/>
          <w:footerReference w:type="default" r:id="rId12"/>
          <w:type w:val="oddPage"/>
          <w:pgSz w:w="11906" w:h="16838"/>
          <w:pgMar w:left="1440" w:right="1440" w:header="0" w:top="1440" w:footer="964" w:bottom="1247" w:gutter="0"/>
          <w:pgNumType w:start="1" w:fmt="decimal"/>
          <w:formProt w:val="false"/>
          <w:textDirection w:val="lrTb"/>
          <w:docGrid w:type="default" w:linePitch="299" w:charSpace="0"/>
        </w:sectPr>
      </w:pPr>
    </w:p>
    <w:p>
      <w:pPr>
        <w:pStyle w:val="Normal"/>
        <w:spacing w:lineRule="auto" w:line="288" w:before="0" w:after="140"/>
        <w:ind w:left="640" w:right="0" w:hanging="640"/>
        <w:rPr>
          <w:rFonts w:ascii="Times New Roman" w:hAnsi="Times New Roman"/>
          <w:color w:val="auto"/>
          <w:sz w:val="24"/>
          <w:szCs w:val="24"/>
        </w:rPr>
      </w:pPr>
      <w:bookmarkStart w:id="9" w:name="__UnoMark__1019_4200025555"/>
      <w:bookmarkStart w:id="10" w:name="__UnoMark__1014_4200025555"/>
      <w:bookmarkStart w:id="11" w:name="Mendeley_Bookmark_qTQOW1Hwcv"/>
      <w:bookmarkStart w:id="12" w:name="__UnoMark__980_4200025555"/>
      <w:bookmarkStart w:id="13" w:name="Mendeley_Bookmark_6BSpf1m1eK"/>
      <w:r>
        <w:rPr>
          <w:color w:val="auto"/>
          <w:sz w:val="24"/>
          <w:szCs w:val="24"/>
        </w:rPr>
        <w:t>[1]</w:t>
        <w:tab/>
        <w:t xml:space="preserve">M. Aufiero </w:t>
      </w:r>
      <w:r>
        <w:rPr>
          <w:i/>
          <w:color w:val="auto"/>
          <w:sz w:val="24"/>
          <w:szCs w:val="24"/>
        </w:rPr>
        <w:t>et al.</w:t>
      </w:r>
      <w:r>
        <w:rPr>
          <w:color w:val="auto"/>
          <w:sz w:val="24"/>
          <w:szCs w:val="24"/>
        </w:rPr>
        <w:t xml:space="preserve">, “Calculating the effective delayed neutron fraction in the Molten Salt Fast Reactor: Analytical, deterministic and Monte Carlo approaches,” </w:t>
      </w:r>
      <w:r>
        <w:rPr>
          <w:i/>
          <w:color w:val="auto"/>
          <w:sz w:val="24"/>
          <w:szCs w:val="24"/>
        </w:rPr>
        <w:t>Ann. Nucl. Energy</w:t>
      </w:r>
      <w:r>
        <w:rPr>
          <w:color w:val="auto"/>
          <w:sz w:val="24"/>
          <w:szCs w:val="24"/>
        </w:rPr>
        <w:t>, vol. 65, pp. 78–90, 2014.</w:t>
      </w:r>
    </w:p>
    <w:p>
      <w:pPr>
        <w:pStyle w:val="Normal"/>
        <w:rPr>
          <w:rFonts w:ascii="Times New Roman" w:hAnsi="Times New Roman"/>
          <w:color w:val="auto"/>
          <w:sz w:val="24"/>
          <w:szCs w:val="24"/>
        </w:rPr>
      </w:pPr>
      <w:r>
        <w:rPr>
          <w:color w:val="auto"/>
          <w:sz w:val="24"/>
          <w:szCs w:val="24"/>
        </w:rPr>
        <w:t>[2]</w:t>
        <w:tab/>
        <w:t xml:space="preserve">A. Lindsay, G. Ridley, A. Rykhlevskii, and K. Huff, “Introduction to Moltres: An application for simulation of Molten Salt Reactors,” </w:t>
      </w:r>
      <w:r>
        <w:rPr>
          <w:i/>
          <w:color w:val="auto"/>
          <w:sz w:val="24"/>
          <w:szCs w:val="24"/>
        </w:rPr>
        <w:t>Ann. Nucl. Energy</w:t>
      </w:r>
      <w:r>
        <w:rPr>
          <w:color w:val="auto"/>
          <w:sz w:val="24"/>
          <w:szCs w:val="24"/>
        </w:rPr>
        <w:t>, vol. 114, pp. 530–540, 2018.</w:t>
      </w:r>
      <w:bookmarkEnd w:id="9"/>
      <w:bookmarkEnd w:id="10"/>
      <w:bookmarkEnd w:id="11"/>
      <w:bookmarkEnd w:id="12"/>
      <w:bookmarkEnd w:id="13"/>
    </w:p>
    <w:p>
      <w:pPr>
        <w:sectPr>
          <w:type w:val="continuous"/>
          <w:pgSz w:w="11906" w:h="16838"/>
          <w:pgMar w:left="1440" w:right="1440" w:header="0" w:top="1440" w:footer="964" w:bottom="1247" w:gutter="0"/>
          <w:formProt w:val="false"/>
          <w:textDirection w:val="lrTb"/>
          <w:docGrid w:type="default" w:linePitch="299" w:charSpace="0"/>
        </w:sectPr>
      </w:pPr>
    </w:p>
    <w:p>
      <w:pPr>
        <w:pStyle w:val="Referencelist"/>
        <w:widowControl/>
        <w:numPr>
          <w:ilvl w:val="0"/>
          <w:numId w:val="0"/>
        </w:numPr>
        <w:overflowPunct w:val="true"/>
        <w:bidi w:val="0"/>
        <w:spacing w:lineRule="atLeast" w:line="260" w:before="0" w:after="0"/>
        <w:ind w:left="720" w:right="0" w:hanging="0"/>
        <w:contextualSpacing/>
        <w:jc w:val="both"/>
        <w:textAlignment w:val="center"/>
        <w:rPr>
          <w:rFonts w:ascii="Times New Roman" w:hAnsi="Times New Roman"/>
          <w:color w:val="auto"/>
          <w:sz w:val="24"/>
          <w:szCs w:val="24"/>
        </w:rPr>
      </w:pPr>
      <w:r>
        <w:rPr>
          <w:color w:val="auto"/>
          <w:sz w:val="24"/>
          <w:szCs w:val="24"/>
        </w:rPr>
      </w:r>
    </w:p>
    <w:sectPr>
      <w:type w:val="continuous"/>
      <w:pgSz w:w="11906" w:h="16838"/>
      <w:pgMar w:left="1440" w:right="1440" w:header="0" w:top="1440" w:footer="964" w:bottom="1247"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Bold">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p>
    <w:pPr>
      <w:pStyle w:val="ZyxClassification2"/>
      <w:rPr/>
    </w:pPr>
    <w:r>
      <w:rPr/>
      <w:fldChar w:fldCharType="begin"/>
    </w:r>
    <w:r>
      <w:rPr/>
      <w:instrText> DOCPROPERTY "IaeaClassification2"</w:instrText>
    </w:r>
    <w:r>
      <w:rPr/>
      <w:fldChar w:fldCharType="separate"/>
    </w:r>
    <w:r>
      <w:rPr/>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r>
    <w:r>
      <w:rPr/>
      <w:instrText> DOCPROPERTY "IaeaClassification"</w:instrText>
    </w:r>
    <w:r>
      <w:rPr/>
      <w:fldChar w:fldCharType="separate"/>
    </w:r>
    <w:r>
      <w:rPr/>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decimal"/>
      <w:lvlText w:val="%3."/>
      <w:lvlJc w:val="left"/>
      <w:pPr>
        <w:ind w:left="0" w:hanging="0"/>
      </w:pPr>
    </w:lvl>
    <w:lvl w:ilvl="3">
      <w:start w:val="1"/>
      <w:pStyle w:val="Heading4"/>
      <w:numFmt w:val="decimal"/>
      <w:lvlText w:val="%3.%4."/>
      <w:lvlJc w:val="left"/>
      <w:pPr>
        <w:ind w:left="1701"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doNotExpandShiftReturn/>
  </w:compat>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style w:type="paragraph" w:styleId="Normal">
    <w:name w:val="Normal"/>
    <w:qFormat/>
    <w:pPr>
      <w:widowControl/>
      <w:kinsoku w:val="true"/>
      <w:overflowPunct w:val="true"/>
      <w:autoSpaceDE w:val="true"/>
      <w:bidi w:val="0"/>
      <w:jc w:val="left"/>
      <w:textAlignment w:val="center"/>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Subtitle"/>
    <w:qFormat/>
    <w:pPr>
      <w:widowControl/>
      <w:numPr>
        <w:ilvl w:val="0"/>
        <w:numId w:val="0"/>
      </w:numPr>
      <w:bidi w:val="0"/>
      <w:spacing w:lineRule="atLeast" w:line="280"/>
      <w:ind w:left="567" w:right="567" w:hanging="0"/>
      <w:jc w:val="left"/>
      <w:outlineLvl w:val="0"/>
    </w:pPr>
    <w:rPr>
      <w:rFonts w:ascii="Times New Roman Bold" w:hAnsi="Times New Roman Bold"/>
      <w:b/>
      <w:caps/>
      <w:sz w:val="24"/>
      <w:lang w:val="en-US" w:eastAsia="en-US"/>
    </w:rPr>
  </w:style>
  <w:style w:type="paragraph" w:styleId="Heading2">
    <w:name w:val="Heading 2"/>
    <w:basedOn w:val="Normal"/>
    <w:qFormat/>
    <w:pPr>
      <w:widowControl w:val="false"/>
      <w:numPr>
        <w:ilvl w:val="0"/>
        <w:numId w:val="0"/>
      </w:numPr>
      <w:bidi w:val="0"/>
      <w:spacing w:lineRule="atLeast" w:line="280" w:before="280" w:after="280"/>
      <w:jc w:val="left"/>
      <w:outlineLvl w:val="1"/>
    </w:pPr>
    <w:rPr>
      <w:caps/>
      <w:lang w:eastAsia="en-US"/>
    </w:rPr>
  </w:style>
  <w:style w:type="paragraph" w:styleId="Heading3">
    <w:name w:val="Heading 3"/>
    <w:basedOn w:val="Normal"/>
    <w:qFormat/>
    <w:pPr>
      <w:widowControl w:val="false"/>
      <w:numPr>
        <w:ilvl w:val="2"/>
        <w:numId w:val="1"/>
      </w:numPr>
      <w:bidi w:val="0"/>
      <w:spacing w:lineRule="exact" w:line="240" w:before="240" w:after="240"/>
      <w:jc w:val="left"/>
      <w:outlineLvl w:val="2"/>
    </w:pPr>
    <w:rPr>
      <w:b/>
      <w:lang w:eastAsia="en-US"/>
    </w:rPr>
  </w:style>
  <w:style w:type="paragraph" w:styleId="Heading4">
    <w:name w:val="Heading 4"/>
    <w:basedOn w:val="Normal"/>
    <w:qFormat/>
    <w:pPr>
      <w:widowControl w:val="false"/>
      <w:numPr>
        <w:ilvl w:val="3"/>
        <w:numId w:val="1"/>
      </w:numPr>
      <w:spacing w:lineRule="atLeast" w:line="240" w:before="280" w:after="280"/>
      <w:outlineLvl w:val="3"/>
    </w:pPr>
    <w:rPr>
      <w:i/>
      <w:sz w:val="20"/>
      <w:lang w:val="en-US"/>
    </w:rPr>
  </w:style>
  <w:style w:type="paragraph" w:styleId="Heading5">
    <w:name w:val="Heading 5"/>
    <w:basedOn w:val="Normal"/>
    <w:next w:val="Normal"/>
    <w:qFormat/>
    <w:pPr>
      <w:numPr>
        <w:ilvl w:val="0"/>
        <w:numId w:val="0"/>
      </w:numPr>
      <w:overflowPunct w:val="false"/>
      <w:spacing w:before="240" w:after="60"/>
      <w:textAlignment w:val="auto"/>
      <w:outlineLvl w:val="4"/>
    </w:pPr>
    <w:rPr>
      <w:b/>
      <w:bCs/>
      <w:i/>
      <w:iCs/>
      <w:sz w:val="26"/>
      <w:szCs w:val="26"/>
      <w:lang w:val="en-US"/>
    </w:rPr>
  </w:style>
  <w:style w:type="paragraph" w:styleId="Heading6">
    <w:name w:val="Heading 6"/>
    <w:basedOn w:val="Normal"/>
    <w:next w:val="Normal"/>
    <w:qFormat/>
    <w:pPr>
      <w:numPr>
        <w:ilvl w:val="0"/>
        <w:numId w:val="0"/>
      </w:numPr>
      <w:overflowPunct w:val="false"/>
      <w:spacing w:before="240" w:after="60"/>
      <w:textAlignment w:val="auto"/>
      <w:outlineLvl w:val="5"/>
    </w:pPr>
    <w:rPr>
      <w:b/>
      <w:bCs/>
      <w:szCs w:val="22"/>
      <w:lang w:val="en-US"/>
    </w:rPr>
  </w:style>
  <w:style w:type="paragraph" w:styleId="Heading7">
    <w:name w:val="Heading 7"/>
    <w:basedOn w:val="Normal"/>
    <w:next w:val="Normal"/>
    <w:qFormat/>
    <w:pPr>
      <w:numPr>
        <w:ilvl w:val="0"/>
        <w:numId w:val="0"/>
      </w:numPr>
      <w:overflowPunct w:val="false"/>
      <w:spacing w:before="240" w:after="60"/>
      <w:textAlignment w:val="auto"/>
      <w:outlineLvl w:val="6"/>
    </w:pPr>
    <w:rPr>
      <w:szCs w:val="24"/>
      <w:lang w:val="en-US"/>
    </w:rPr>
  </w:style>
  <w:style w:type="paragraph" w:styleId="Heading8">
    <w:name w:val="Heading 8"/>
    <w:basedOn w:val="Normal"/>
    <w:next w:val="Normal"/>
    <w:qFormat/>
    <w:pPr>
      <w:numPr>
        <w:ilvl w:val="0"/>
        <w:numId w:val="0"/>
      </w:numPr>
      <w:overflowPunct w:val="false"/>
      <w:spacing w:before="240" w:after="60"/>
      <w:textAlignment w:val="auto"/>
      <w:outlineLvl w:val="7"/>
    </w:pPr>
    <w:rPr>
      <w:i/>
      <w:iCs/>
      <w:szCs w:val="24"/>
      <w:lang w:val="en-US"/>
    </w:rPr>
  </w:style>
  <w:style w:type="paragraph" w:styleId="Heading9">
    <w:name w:val="Heading 9"/>
    <w:basedOn w:val="Normal"/>
    <w:next w:val="Normal"/>
    <w:qFormat/>
    <w:pPr>
      <w:numPr>
        <w:ilvl w:val="0"/>
        <w:numId w:val="0"/>
      </w:numPr>
      <w:overflowPunct w:val="false"/>
      <w:spacing w:before="240" w:after="60"/>
      <w:textAlignment w:val="auto"/>
      <w:outlineLvl w:val="8"/>
    </w:pPr>
    <w:rPr>
      <w:rFonts w:ascii="Arial" w:hAnsi="Arial" w:cs="Arial"/>
      <w:szCs w:val="22"/>
      <w:lang w:val="en-US"/>
    </w:rPr>
  </w:style>
  <w:style w:type="character" w:styleId="DefaultParagraphFont">
    <w:name w:val="Default Paragraph Font"/>
    <w:qFormat/>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FooterChar">
    <w:name w:val="Footer Char"/>
    <w:basedOn w:val="DefaultParagraphFont"/>
    <w:qFormat/>
    <w:rPr>
      <w:sz w:val="2"/>
      <w:lang w:val="en-US" w:eastAsia="en-US"/>
    </w:rPr>
  </w:style>
  <w:style w:type="character" w:styleId="RunningheadChar">
    <w:name w:val="Running head Char"/>
    <w:basedOn w:val="DefaultParagraphFont"/>
    <w:qFormat/>
    <w:rPr>
      <w:b/>
      <w:sz w:val="16"/>
      <w:szCs w:val="16"/>
      <w:lang w:eastAsia="en-US"/>
    </w:rPr>
  </w:style>
  <w:style w:type="character" w:styleId="BodyTextChar">
    <w:name w:val="Body Text Char"/>
    <w:basedOn w:val="DefaultParagraphFont"/>
    <w:qFormat/>
    <w:rPr>
      <w:lang w:eastAsia="en-US"/>
    </w:rPr>
  </w:style>
  <w:style w:type="character" w:styleId="AuthornameandaffiliationChar">
    <w:name w:val="Author name and affiliation Char"/>
    <w:basedOn w:val="BodyTextChar"/>
    <w:qFormat/>
    <w:rPr>
      <w:lang w:val="en-US" w:eastAsia="en-US"/>
    </w:rPr>
  </w:style>
  <w:style w:type="character" w:styleId="AbstracttextChar">
    <w:name w:val="Abstract text Char"/>
    <w:basedOn w:val="AuthornameandaffiliationChar"/>
    <w:qFormat/>
    <w:rPr>
      <w:sz w:val="18"/>
      <w:lang w:val="en-US" w:eastAsia="en-US"/>
    </w:rPr>
  </w:style>
  <w:style w:type="character" w:styleId="BalloonTextChar">
    <w:name w:val="Balloon Text Char"/>
    <w:basedOn w:val="DefaultParagraphFont"/>
    <w:qFormat/>
    <w:rPr>
      <w:rFonts w:ascii="Tahoma" w:hAnsi="Tahoma" w:cs="Tahoma"/>
      <w:sz w:val="16"/>
      <w:szCs w:val="16"/>
      <w:lang w:eastAsia="en-US"/>
    </w:rPr>
  </w:style>
  <w:style w:type="character" w:styleId="FigurecaptionChar">
    <w:name w:val="Figure caption Char"/>
    <w:basedOn w:val="BodyTextChar"/>
    <w:qFormat/>
    <w:rPr>
      <w:i/>
      <w:sz w:val="18"/>
      <w:lang w:eastAsia="en-US"/>
    </w:rPr>
  </w:style>
  <w:style w:type="character" w:styleId="OtherunnumberedheadingsChar">
    <w:name w:val="Other unnumbered headings Char"/>
    <w:basedOn w:val="BodyTextChar"/>
    <w:qFormat/>
    <w:rPr>
      <w:rFonts w:ascii="Times New Roman Bold" w:hAnsi="Times New Roman Bold"/>
      <w:b/>
      <w:caps/>
      <w:lang w:eastAsia="en-US"/>
    </w:rPr>
  </w:style>
  <w:style w:type="character" w:styleId="ReferencelistChar">
    <w:name w:val="Reference list Char"/>
    <w:basedOn w:val="BodyTextChar"/>
    <w:qFormat/>
    <w:rPr>
      <w:sz w:val="18"/>
      <w:szCs w:val="18"/>
      <w:lang w:eastAsia="en-US"/>
    </w:rPr>
  </w:style>
  <w:style w:type="character" w:styleId="TabletextChar">
    <w:name w:val="Table text Char"/>
    <w:basedOn w:val="BodyTextChar"/>
    <w:qFormat/>
    <w:rPr>
      <w:lang w:eastAsia="en-US"/>
    </w:rPr>
  </w:style>
  <w:style w:type="character" w:styleId="Heading1Char">
    <w:name w:val="Heading 1 Char"/>
    <w:basedOn w:val="DefaultParagraphFont"/>
    <w:qFormat/>
    <w:rPr>
      <w:rFonts w:ascii="Times New Roman Bold" w:hAnsi="Times New Roman Bold"/>
      <w:b/>
      <w:caps/>
      <w:sz w:val="24"/>
      <w:lang w:val="en-US" w:eastAsia="en-US"/>
    </w:rPr>
  </w:style>
  <w:style w:type="character" w:styleId="Heading2Char">
    <w:name w:val="Heading 2 Char"/>
    <w:basedOn w:val="DefaultParagraphFont"/>
    <w:qFormat/>
    <w:rPr>
      <w:caps/>
      <w:lang w:eastAsia="en-US"/>
    </w:rPr>
  </w:style>
  <w:style w:type="character" w:styleId="ListLabel1">
    <w:name w:val="ListLabel 1"/>
    <w:qFormat/>
    <w:rPr>
      <w:color w:val="auto"/>
    </w:rPr>
  </w:style>
  <w:style w:type="character" w:styleId="ListLabel2">
    <w:name w:val="ListLabel 2"/>
    <w:qFormat/>
    <w:rPr>
      <w:sz w:val="20"/>
    </w:rPr>
  </w:style>
  <w:style w:type="character" w:styleId="ListLabel3">
    <w:name w:val="ListLabel 3"/>
    <w:qFormat/>
    <w:rPr>
      <w:color w:val="auto"/>
    </w:rPr>
  </w:style>
  <w:style w:type="character" w:styleId="ListLabel4">
    <w:name w:val="ListLabel 4"/>
    <w:qFormat/>
    <w:rPr>
      <w:sz w:val="20"/>
    </w:rPr>
  </w:style>
  <w:style w:type="character" w:styleId="ListLabel5">
    <w:name w:val="ListLabel 5"/>
    <w:qFormat/>
    <w:rPr>
      <w:color w:val="auto"/>
    </w:rPr>
  </w:style>
  <w:style w:type="character" w:styleId="ListLabel6">
    <w:name w:val="ListLabel 6"/>
    <w:qFormat/>
    <w:rPr>
      <w:sz w:val="20"/>
    </w:rPr>
  </w:style>
  <w:style w:type="character" w:styleId="ListLabel7">
    <w:name w:val="ListLabel 7"/>
    <w:qFormat/>
    <w:rPr>
      <w:rFonts w:cs="Times New Roman"/>
      <w:b w:val="false"/>
      <w:i w:val="false"/>
      <w:caps w:val="false"/>
      <w:smallCaps w:val="false"/>
      <w:strike w:val="false"/>
      <w:dstrike w:val="false"/>
      <w:vanish w:val="false"/>
      <w:color w:val="000000"/>
      <w:position w:val="0"/>
      <w:sz w:val="24"/>
      <w:sz w:val="24"/>
      <w:vertAlign w:val="baseline"/>
    </w:rPr>
  </w:style>
  <w:style w:type="character" w:styleId="ListLabel8">
    <w:name w:val="ListLabel 8"/>
    <w:qFormat/>
    <w:rPr>
      <w:b w:val="false"/>
      <w:i w:val="false"/>
      <w:caps w:val="false"/>
      <w:smallCaps w:val="false"/>
      <w:strike w:val="false"/>
      <w:dstrike w:val="false"/>
      <w:vanish w:val="false"/>
      <w:color w:val="000000"/>
      <w:position w:val="0"/>
      <w:sz w:val="22"/>
      <w:sz w:val="22"/>
      <w:vertAlign w:val="baseline"/>
    </w:rPr>
  </w:style>
  <w:style w:type="character" w:styleId="ListLabel9">
    <w:name w:val="ListLabel 9"/>
    <w:qFormat/>
    <w:rPr>
      <w:b w:val="false"/>
      <w:i w:val="false"/>
      <w:caps w:val="false"/>
      <w:smallCaps w:val="false"/>
      <w:strike w:val="false"/>
      <w:dstrike w:val="false"/>
      <w:vanish w:val="false"/>
      <w:color w:val="000000"/>
      <w:position w:val="0"/>
      <w:sz w:val="22"/>
      <w:sz w:val="22"/>
      <w:vertAlign w:val="baseline"/>
    </w:rPr>
  </w:style>
  <w:style w:type="character" w:styleId="ListLabel10">
    <w:name w:val="ListLabel 10"/>
    <w:qFormat/>
    <w:rPr>
      <w:b w:val="false"/>
      <w:i w:val="false"/>
      <w:caps w:val="false"/>
      <w:smallCaps w:val="false"/>
      <w:strike w:val="false"/>
      <w:dstrike w:val="false"/>
      <w:vanish w:val="false"/>
      <w:color w:val="000000"/>
      <w:position w:val="0"/>
      <w:sz w:val="22"/>
      <w:sz w:val="22"/>
      <w:vertAlign w:val="baseline"/>
    </w:rPr>
  </w:style>
  <w:style w:type="character" w:styleId="ListLabel11">
    <w:name w:val="ListLabel 11"/>
    <w:qFormat/>
    <w:rPr>
      <w:rFonts w:cs="Times New Roman"/>
      <w:b w:val="false"/>
      <w:i w:val="false"/>
      <w:caps w:val="false"/>
      <w:smallCaps w:val="false"/>
      <w:strike w:val="false"/>
      <w:dstrike w:val="false"/>
      <w:vanish w:val="false"/>
      <w:color w:val="000000"/>
      <w:position w:val="0"/>
      <w:sz w:val="24"/>
      <w:sz w:val="24"/>
      <w:vertAlign w:val="baseline"/>
    </w:rPr>
  </w:style>
  <w:style w:type="character" w:styleId="ListLabel12">
    <w:name w:val="ListLabel 12"/>
    <w:qFormat/>
    <w:rPr>
      <w:color w:val="auto"/>
    </w:rPr>
  </w:style>
  <w:style w:type="character" w:styleId="ListLabel13">
    <w:name w:val="ListLabel 13"/>
    <w:qFormat/>
    <w:rPr>
      <w:sz w:val="20"/>
    </w:rPr>
  </w:style>
  <w:style w:type="character" w:styleId="ListLabel14">
    <w:name w:val="ListLabel 14"/>
    <w:qFormat/>
    <w:rPr>
      <w:color w:val="auto"/>
    </w:rPr>
  </w:style>
  <w:style w:type="character" w:styleId="ListLabel15">
    <w:name w:val="ListLabel 15"/>
    <w:qFormat/>
    <w:rPr>
      <w:sz w:val="20"/>
    </w:rPr>
  </w:style>
  <w:style w:type="character" w:styleId="ListLabel16">
    <w:name w:val="ListLabel 16"/>
    <w:qFormat/>
    <w:rPr>
      <w:color w:val="auto"/>
    </w:rPr>
  </w:style>
  <w:style w:type="character" w:styleId="ListLabel17">
    <w:name w:val="ListLabel 17"/>
    <w:qFormat/>
    <w:rPr>
      <w:sz w:val="20"/>
    </w:rPr>
  </w:style>
  <w:style w:type="character" w:styleId="ListLabel18">
    <w:name w:val="ListLabel 18"/>
    <w:qFormat/>
    <w:rPr>
      <w:color w:val="auto"/>
    </w:rPr>
  </w:style>
  <w:style w:type="character" w:styleId="ListLabel19">
    <w:name w:val="ListLabel 19"/>
    <w:qFormat/>
    <w:rPr>
      <w:sz w:val="20"/>
    </w:rPr>
  </w:style>
  <w:style w:type="character" w:styleId="ListLabel20">
    <w:name w:val="ListLabel 20"/>
    <w:qFormat/>
    <w:rPr>
      <w:color w:val="auto"/>
    </w:rPr>
  </w:style>
  <w:style w:type="character" w:styleId="ListLabel21">
    <w:name w:val="ListLabel 21"/>
    <w:qFormat/>
    <w:rPr>
      <w:sz w:val="20"/>
    </w:rPr>
  </w:style>
  <w:style w:type="character" w:styleId="ListLabel22">
    <w:name w:val="ListLabel 22"/>
    <w:qFormat/>
    <w:rPr>
      <w:color w:val="auto"/>
    </w:rPr>
  </w:style>
  <w:style w:type="character" w:styleId="ListLabel23">
    <w:name w:val="ListLabel 23"/>
    <w:qFormat/>
    <w:rPr>
      <w:sz w:val="20"/>
    </w:rPr>
  </w:style>
  <w:style w:type="character" w:styleId="ListLabel24">
    <w:name w:val="ListLabel 24"/>
    <w:qFormat/>
    <w:rPr>
      <w:color w:val="auto"/>
    </w:rPr>
  </w:style>
  <w:style w:type="character" w:styleId="ListLabel25">
    <w:name w:val="ListLabel 25"/>
    <w:qFormat/>
    <w:rPr>
      <w:sz w:val="20"/>
    </w:rPr>
  </w:style>
  <w:style w:type="character" w:styleId="ListLabel26">
    <w:name w:val="ListLabel 26"/>
    <w:qFormat/>
    <w:rPr>
      <w:color w:val="auto"/>
    </w:rPr>
  </w:style>
  <w:style w:type="character" w:styleId="ListLabel27">
    <w:name w:val="ListLabel 27"/>
    <w:qFormat/>
    <w:rPr>
      <w:sz w:val="20"/>
    </w:rPr>
  </w:style>
  <w:style w:type="character" w:styleId="ListLabel28">
    <w:name w:val="ListLabel 28"/>
    <w:qFormat/>
    <w:rPr>
      <w:color w:val="auto"/>
    </w:rPr>
  </w:style>
  <w:style w:type="character" w:styleId="ListLabel29">
    <w:name w:val="ListLabel 29"/>
    <w:qFormat/>
    <w:rPr>
      <w:sz w:val="20"/>
    </w:rPr>
  </w:style>
  <w:style w:type="character" w:styleId="ListLabel30">
    <w:name w:val="ListLabel 30"/>
    <w:qFormat/>
    <w:rPr>
      <w:color w:val="auto"/>
    </w:rPr>
  </w:style>
  <w:style w:type="character" w:styleId="ListLabel31">
    <w:name w:val="ListLabel 31"/>
    <w:qFormat/>
    <w:rPr>
      <w:sz w:val="20"/>
    </w:rPr>
  </w:style>
  <w:style w:type="character" w:styleId="ListLabel32">
    <w:name w:val="ListLabel 32"/>
    <w:qFormat/>
    <w:rPr>
      <w:rFonts w:cs="Times New Roman"/>
      <w:sz w:val="24"/>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color w:val="auto"/>
    </w:rPr>
  </w:style>
  <w:style w:type="character" w:styleId="ListLabel37">
    <w:name w:val="ListLabel 37"/>
    <w:qFormat/>
    <w:rPr>
      <w:sz w:val="20"/>
    </w:rPr>
  </w:style>
  <w:style w:type="character" w:styleId="ListLabel38">
    <w:name w:val="ListLabel 38"/>
    <w:qFormat/>
    <w:rPr>
      <w:color w:val="auto"/>
    </w:rPr>
  </w:style>
  <w:style w:type="character" w:styleId="ListLabel39">
    <w:name w:val="ListLabel 39"/>
    <w:qFormat/>
    <w:rPr>
      <w:sz w:val="20"/>
    </w:rPr>
  </w:style>
  <w:style w:type="character" w:styleId="ListLabel40">
    <w:name w:val="ListLabel 40"/>
    <w:qFormat/>
    <w:rPr>
      <w:color w:val="auto"/>
    </w:rPr>
  </w:style>
  <w:style w:type="character" w:styleId="ListLabel41">
    <w:name w:val="ListLabel 41"/>
    <w:qFormat/>
    <w:rPr>
      <w:sz w:val="20"/>
    </w:rPr>
  </w:style>
  <w:style w:type="character" w:styleId="ListLabel42">
    <w:name w:val="ListLabel 42"/>
    <w:qFormat/>
    <w:rPr>
      <w:color w:val="auto"/>
    </w:rPr>
  </w:style>
  <w:style w:type="character" w:styleId="ListLabel43">
    <w:name w:val="ListLabel 43"/>
    <w:qFormat/>
    <w:rPr>
      <w:sz w:val="20"/>
    </w:rPr>
  </w:style>
  <w:style w:type="character" w:styleId="ListLabel44">
    <w:name w:val="ListLabel 44"/>
    <w:qFormat/>
    <w:rPr>
      <w:color w:val="auto"/>
    </w:rPr>
  </w:style>
  <w:style w:type="character" w:styleId="ListLabel45">
    <w:name w:val="ListLabel 45"/>
    <w:qFormat/>
    <w:rPr>
      <w:sz w:val="20"/>
    </w:rPr>
  </w:style>
  <w:style w:type="character" w:styleId="ListLabel46">
    <w:name w:val="ListLabel 46"/>
    <w:qFormat/>
    <w:rPr>
      <w:color w:val="auto"/>
    </w:rPr>
  </w:style>
  <w:style w:type="character" w:styleId="ListLabel47">
    <w:name w:val="ListLabel 47"/>
    <w:qFormat/>
    <w:rPr>
      <w:sz w:val="20"/>
    </w:rPr>
  </w:style>
  <w:style w:type="character" w:styleId="ListLabel48">
    <w:name w:val="ListLabel 48"/>
    <w:qFormat/>
    <w:rPr>
      <w:color w:val="auto"/>
    </w:rPr>
  </w:style>
  <w:style w:type="character" w:styleId="ListLabel49">
    <w:name w:val="ListLabel 49"/>
    <w:qFormat/>
    <w:rPr>
      <w:sz w:val="20"/>
    </w:rPr>
  </w:style>
  <w:style w:type="character" w:styleId="ListLabel50">
    <w:name w:val="ListLabel 50"/>
    <w:qFormat/>
    <w:rPr>
      <w:rFonts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Times New Roman"/>
      <w:sz w:val="24"/>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sz w:val="24"/>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Times New Roman"/>
      <w:sz w:val="24"/>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sz w:val="24"/>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widowControl/>
      <w:bidi w:val="0"/>
      <w:spacing w:lineRule="atLeast" w:line="260" w:before="0" w:after="0"/>
      <w:ind w:left="0" w:right="0" w:firstLine="567"/>
      <w:contextualSpacing/>
      <w:jc w:val="both"/>
    </w:pPr>
    <w:rPr>
      <w:lang w:eastAsia="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btitle">
    <w:name w:val="Subtitle"/>
    <w:basedOn w:val="Normal"/>
    <w:qFormat/>
    <w:pPr>
      <w:widowControl/>
      <w:bidi w:val="0"/>
      <w:spacing w:lineRule="atLeast" w:line="280" w:before="0" w:after="280"/>
      <w:ind w:left="567" w:right="567" w:hanging="0"/>
      <w:contextualSpacing/>
      <w:jc w:val="left"/>
    </w:pPr>
    <w:rPr>
      <w:rFonts w:cs="Arial"/>
      <w:b/>
      <w:i/>
      <w:sz w:val="24"/>
      <w:szCs w:val="24"/>
      <w:lang w:val="en-US" w:eastAsia="en-US"/>
    </w:rPr>
  </w:style>
  <w:style w:type="paragraph" w:styleId="TextBodyIndent">
    <w:name w:val="Body Text Indent"/>
    <w:basedOn w:val="TextBody"/>
    <w:pPr>
      <w:ind w:left="1134" w:right="0" w:hanging="675"/>
    </w:pPr>
    <w:rPr/>
  </w:style>
  <w:style w:type="paragraph" w:styleId="BodyTextMultiline">
    <w:name w:val="Body Text Multiline"/>
    <w:basedOn w:val="TextBody"/>
    <w:qFormat/>
    <w:pPr/>
    <w:rPr/>
  </w:style>
  <w:style w:type="paragraph" w:styleId="BodyTextSummary">
    <w:name w:val="Body Text Summary"/>
    <w:qFormat/>
    <w:pPr>
      <w:widowControl/>
      <w:kinsoku w:val="true"/>
      <w:overflowPunct w:val="true"/>
      <w:autoSpaceDE w:val="true"/>
      <w:bidi w:val="0"/>
      <w:spacing w:lineRule="atLeast" w:line="280" w:before="0" w:after="170"/>
      <w:ind w:left="572" w:right="0" w:hanging="459"/>
      <w:jc w:val="both"/>
    </w:pPr>
    <w:rPr>
      <w:rFonts w:ascii="Times New Roman" w:hAnsi="Times New Roman" w:eastAsia="Times New Roman" w:cs="Times New Roman"/>
      <w:color w:val="auto"/>
      <w:kern w:val="0"/>
      <w:sz w:val="22"/>
      <w:szCs w:val="22"/>
      <w:lang w:val="en-GB" w:eastAsia="en-US" w:bidi="ar-SA"/>
    </w:rPr>
  </w:style>
  <w:style w:type="paragraph" w:styleId="Caption1">
    <w:name w:val="caption"/>
    <w:next w:val="Normal"/>
    <w:qFormat/>
    <w:pPr>
      <w:widowControl/>
      <w:kinsoku w:val="true"/>
      <w:overflowPunct w:val="true"/>
      <w:autoSpaceDE w:val="true"/>
      <w:bidi w:val="0"/>
      <w:spacing w:before="0" w:after="85"/>
      <w:jc w:val="left"/>
    </w:pPr>
    <w:rPr>
      <w:rFonts w:ascii="Times New Roman" w:hAnsi="Times New Roman" w:eastAsia="Times New Roman" w:cs="Times New Roman"/>
      <w:bCs/>
      <w:color w:val="auto"/>
      <w:kern w:val="0"/>
      <w:sz w:val="18"/>
      <w:szCs w:val="20"/>
      <w:lang w:val="en-US" w:eastAsia="en-US" w:bidi="ar-SA"/>
    </w:rPr>
  </w:style>
  <w:style w:type="paragraph" w:styleId="Footer">
    <w:name w:val="Footer"/>
    <w:basedOn w:val="Normal"/>
    <w:pPr>
      <w:overflowPunct w:val="false"/>
      <w:textAlignment w:val="auto"/>
    </w:pPr>
    <w:rPr>
      <w:sz w:val="2"/>
      <w:lang w:val="en-US"/>
    </w:rPr>
  </w:style>
  <w:style w:type="paragraph" w:styleId="Footnote">
    <w:name w:val="Footnote Text"/>
    <w:basedOn w:val="Normal"/>
    <w:pPr>
      <w:widowControl/>
      <w:tabs>
        <w:tab w:val="left" w:pos="459" w:leader="none"/>
      </w:tabs>
      <w:bidi w:val="0"/>
      <w:spacing w:before="142" w:after="0"/>
      <w:ind w:left="459" w:right="0" w:hanging="0"/>
      <w:jc w:val="both"/>
    </w:pPr>
    <w:rPr>
      <w:sz w:val="18"/>
      <w:lang w:eastAsia="en-US"/>
    </w:rPr>
  </w:style>
  <w:style w:type="paragraph" w:styleId="Header">
    <w:name w:val="Header"/>
    <w:basedOn w:val="Normal"/>
    <w:pPr>
      <w:widowControl/>
      <w:bidi w:val="0"/>
      <w:spacing w:before="0" w:after="85"/>
      <w:jc w:val="left"/>
    </w:pPr>
    <w:rPr>
      <w:sz w:val="18"/>
      <w:lang w:val="en-US" w:eastAsia="en-US"/>
    </w:rPr>
  </w:style>
  <w:style w:type="paragraph" w:styleId="ListBulleted">
    <w:name w:val="List Bulleted"/>
    <w:qFormat/>
    <w:pPr>
      <w:widowControl/>
      <w:tabs>
        <w:tab w:val="left" w:pos="919" w:leader="none"/>
      </w:tabs>
      <w:kinsoku w:val="true"/>
      <w:overflowPunct w:val="true"/>
      <w:autoSpaceDE w:val="true"/>
      <w:bidi w:val="0"/>
      <w:ind w:left="918" w:right="1134" w:hanging="459"/>
      <w:jc w:val="both"/>
    </w:pPr>
    <w:rPr>
      <w:rFonts w:ascii="Times New Roman" w:hAnsi="Times New Roman" w:eastAsia="Times New Roman" w:cs="Times New Roman"/>
      <w:color w:val="auto"/>
      <w:kern w:val="0"/>
      <w:sz w:val="22"/>
      <w:szCs w:val="20"/>
      <w:lang w:val="en-GB" w:eastAsia="en-US" w:bidi="ar-SA"/>
    </w:rPr>
  </w:style>
  <w:style w:type="paragraph" w:styleId="ListEmdash">
    <w:name w:val="List Emdash"/>
    <w:basedOn w:val="TextBody"/>
    <w:qFormat/>
    <w:pPr/>
    <w:rPr/>
  </w:style>
  <w:style w:type="paragraph" w:styleId="ListNumbered">
    <w:name w:val="List Numbered"/>
    <w:basedOn w:val="TextBody"/>
    <w:qFormat/>
    <w:pPr/>
    <w:rPr/>
  </w:style>
  <w:style w:type="paragraph" w:styleId="Title">
    <w:name w:val="Title"/>
    <w:basedOn w:val="Normal"/>
    <w:qFormat/>
    <w:pPr>
      <w:widowControl w:val="false"/>
      <w:numPr>
        <w:ilvl w:val="0"/>
        <w:numId w:val="0"/>
      </w:numPr>
      <w:bidi w:val="0"/>
      <w:spacing w:lineRule="exact" w:line="440"/>
      <w:jc w:val="center"/>
      <w:outlineLvl w:val="0"/>
    </w:pPr>
    <w:rPr>
      <w:rFonts w:ascii="Arial" w:hAnsi="Arial" w:cs="Arial"/>
      <w:bCs/>
      <w:sz w:val="42"/>
      <w:szCs w:val="32"/>
      <w:lang w:eastAsia="en-US"/>
    </w:rPr>
  </w:style>
  <w:style w:type="paragraph" w:styleId="ZyxConfid2Red">
    <w:name w:val="zyxConfid2Red"/>
    <w:basedOn w:val="Normal"/>
    <w:qFormat/>
    <w:pPr>
      <w:spacing w:lineRule="exact" w:line="220" w:before="0" w:after="20"/>
      <w:jc w:val="right"/>
    </w:pPr>
    <w:rPr>
      <w:rFonts w:ascii="Arial" w:hAnsi="Arial" w:cs="Arial"/>
      <w:color w:val="FF0000"/>
    </w:rPr>
  </w:style>
  <w:style w:type="paragraph" w:styleId="ZyxConfidRed">
    <w:name w:val="zyxConfidRed"/>
    <w:qFormat/>
    <w:pPr>
      <w:widowControl w:val="false"/>
      <w:kinsoku w:val="true"/>
      <w:overflowPunct w:val="true"/>
      <w:autoSpaceDE w:val="true"/>
      <w:bidi w:val="0"/>
      <w:spacing w:before="80" w:after="0"/>
      <w:jc w:val="right"/>
    </w:pPr>
    <w:rPr>
      <w:rFonts w:ascii="Arial" w:hAnsi="Arial" w:eastAsia="Times New Roman" w:cs="Times New Roman"/>
      <w:b/>
      <w:caps/>
      <w:color w:val="FF0000"/>
      <w:kern w:val="0"/>
      <w:sz w:val="40"/>
      <w:szCs w:val="20"/>
      <w:lang w:val="en-GB" w:eastAsia="en-US" w:bidi="ar-SA"/>
    </w:rPr>
  </w:style>
  <w:style w:type="paragraph" w:styleId="ZyxConfidBlack">
    <w:name w:val="zyxConfidBlack"/>
    <w:basedOn w:val="ZyxConfidRed"/>
    <w:qFormat/>
    <w:pPr>
      <w:widowControl/>
      <w:overflowPunct w:val="true"/>
      <w:textAlignment w:val="baseline"/>
    </w:pPr>
    <w:rPr>
      <w:rFonts w:cs="Arial"/>
      <w:bCs/>
      <w:color w:val="000000"/>
    </w:rPr>
  </w:style>
  <w:style w:type="paragraph" w:styleId="ZyxDistribution">
    <w:name w:val="zyxDistribution"/>
    <w:basedOn w:val="Normal"/>
    <w:qFormat/>
    <w:pPr>
      <w:widowControl w:val="false"/>
      <w:overflowPunct w:val="false"/>
      <w:spacing w:before="240" w:after="20"/>
      <w:ind w:left="142" w:right="0" w:hanging="0"/>
      <w:textAlignment w:val="auto"/>
    </w:pPr>
    <w:rPr>
      <w:rFonts w:ascii="Arial" w:hAnsi="Arial"/>
      <w:b/>
    </w:rPr>
  </w:style>
  <w:style w:type="paragraph" w:styleId="ZyxPrePrint">
    <w:name w:val="zyxPrePrint"/>
    <w:qFormat/>
    <w:pPr>
      <w:widowControl/>
      <w:kinsoku w:val="true"/>
      <w:overflowPunct w:val="true"/>
      <w:autoSpaceDE w:val="true"/>
      <w:bidi w:val="0"/>
      <w:spacing w:lineRule="exact" w:line="280" w:before="0" w:after="60"/>
      <w:ind w:left="113" w:right="0" w:hanging="0"/>
      <w:jc w:val="left"/>
    </w:pPr>
    <w:rPr>
      <w:rFonts w:ascii="Times New Roman" w:hAnsi="Times New Roman" w:eastAsia="Times New Roman" w:cs="Times New Roman"/>
      <w:color w:val="auto"/>
      <w:kern w:val="0"/>
      <w:sz w:val="22"/>
      <w:szCs w:val="20"/>
      <w:lang w:val="en-GB" w:eastAsia="en-US" w:bidi="ar-SA"/>
    </w:rPr>
  </w:style>
  <w:style w:type="paragraph" w:styleId="ZyxFillIn">
    <w:name w:val="zyxFill_In"/>
    <w:basedOn w:val="ZyxPrePrint"/>
    <w:qFormat/>
    <w:pPr/>
    <w:rPr>
      <w:b/>
    </w:rPr>
  </w:style>
  <w:style w:type="paragraph" w:styleId="ZyxLogo">
    <w:name w:val="zyxLogo"/>
    <w:basedOn w:val="Normal"/>
    <w:qFormat/>
    <w:pPr>
      <w:keepNext w:val="true"/>
      <w:spacing w:before="0" w:after="10"/>
    </w:pPr>
    <w:rPr>
      <w:rFonts w:ascii="Arial" w:hAnsi="Arial"/>
      <w:b/>
      <w:sz w:val="13"/>
    </w:rPr>
  </w:style>
  <w:style w:type="paragraph" w:styleId="ZyxP1Footer">
    <w:name w:val="zyxP1_Footer"/>
    <w:basedOn w:val="Normal"/>
    <w:qFormat/>
    <w:pPr>
      <w:widowControl w:val="false"/>
      <w:spacing w:lineRule="exact" w:line="160"/>
      <w:ind w:left="108" w:right="0" w:hanging="0"/>
    </w:pPr>
    <w:rPr>
      <w:sz w:val="14"/>
    </w:rPr>
  </w:style>
  <w:style w:type="paragraph" w:styleId="ZyxSensitivity">
    <w:name w:val="zyxSensitivity"/>
    <w:basedOn w:val="Normal"/>
    <w:qFormat/>
    <w:pPr>
      <w:widowControl w:val="false"/>
      <w:overflowPunct w:val="false"/>
      <w:spacing w:lineRule="exact" w:line="220"/>
      <w:ind w:left="142" w:right="0" w:hanging="0"/>
      <w:textAlignment w:val="auto"/>
    </w:pPr>
    <w:rPr>
      <w:rFonts w:ascii="Arial" w:hAnsi="Arial"/>
      <w:b/>
    </w:rPr>
  </w:style>
  <w:style w:type="paragraph" w:styleId="ZyxTitle">
    <w:name w:val="zyxTitle"/>
    <w:basedOn w:val="Normal"/>
    <w:qFormat/>
    <w:pPr>
      <w:keepNext w:val="true"/>
      <w:spacing w:lineRule="exact" w:line="420"/>
    </w:pPr>
    <w:rPr>
      <w:rFonts w:ascii="Arial" w:hAnsi="Arial"/>
      <w:sz w:val="40"/>
    </w:rPr>
  </w:style>
  <w:style w:type="paragraph" w:styleId="AgendaList">
    <w:name w:val="Agenda List"/>
    <w:qFormat/>
    <w:pPr>
      <w:widowControl/>
      <w:tabs>
        <w:tab w:val="left" w:pos="919" w:leader="none"/>
      </w:tabs>
      <w:kinsoku w:val="true"/>
      <w:overflowPunct w:val="true"/>
      <w:autoSpaceDE w:val="true"/>
      <w:bidi w:val="0"/>
      <w:spacing w:lineRule="exact" w:line="240" w:before="0" w:after="240"/>
      <w:ind w:left="918" w:right="0" w:hanging="0"/>
      <w:jc w:val="both"/>
    </w:pPr>
    <w:rPr>
      <w:rFonts w:ascii="Times New Roman" w:hAnsi="Times New Roman" w:eastAsia="Times New Roman" w:cs="Times New Roman"/>
      <w:color w:val="auto"/>
      <w:kern w:val="0"/>
      <w:sz w:val="22"/>
      <w:szCs w:val="20"/>
      <w:lang w:val="en-GB" w:eastAsia="en-US" w:bidi="ar-SA"/>
    </w:rPr>
  </w:style>
  <w:style w:type="paragraph" w:styleId="ZyxClassification1">
    <w:name w:val="zyxClassification1"/>
    <w:basedOn w:val="TextBody"/>
    <w:qFormat/>
    <w:pPr>
      <w:spacing w:lineRule="exact" w:line="280"/>
      <w:jc w:val="right"/>
    </w:pPr>
    <w:rPr>
      <w:rFonts w:ascii="Arial" w:hAnsi="Arial" w:cs="Arial"/>
      <w:b/>
      <w:bCs/>
      <w:caps/>
      <w:sz w:val="24"/>
    </w:rPr>
  </w:style>
  <w:style w:type="paragraph" w:styleId="ZyxClassification2">
    <w:name w:val="zyxClassification2"/>
    <w:basedOn w:val="Footer"/>
    <w:qFormat/>
    <w:pPr>
      <w:tabs>
        <w:tab w:val="center" w:pos="4320" w:leader="none"/>
        <w:tab w:val="right" w:pos="8640" w:leader="none"/>
      </w:tabs>
      <w:overflowPunct w:val="true"/>
      <w:ind w:left="0" w:right="0" w:firstLine="567"/>
      <w:jc w:val="right"/>
      <w:textAlignment w:val="baseline"/>
    </w:pPr>
    <w:rPr>
      <w:rFonts w:ascii="Arial" w:hAnsi="Arial" w:cs="Arial"/>
      <w:sz w:val="16"/>
      <w:lang w:val="en-GB"/>
    </w:rPr>
  </w:style>
  <w:style w:type="paragraph" w:styleId="Runninghead">
    <w:name w:val="Running head"/>
    <w:basedOn w:val="Normal"/>
    <w:qFormat/>
    <w:pPr>
      <w:jc w:val="center"/>
    </w:pPr>
    <w:rPr>
      <w:b/>
      <w:sz w:val="16"/>
      <w:szCs w:val="16"/>
    </w:rPr>
  </w:style>
  <w:style w:type="paragraph" w:styleId="Authornameandaffiliation">
    <w:name w:val="Author name and affiliation"/>
    <w:qFormat/>
    <w:pPr>
      <w:widowControl/>
      <w:kinsoku w:val="true"/>
      <w:overflowPunct w:val="true"/>
      <w:autoSpaceDE w:val="true"/>
      <w:bidi w:val="0"/>
      <w:spacing w:before="0" w:after="0"/>
      <w:ind w:left="567" w:right="0" w:hanging="0"/>
      <w:contextualSpacing/>
      <w:jc w:val="left"/>
    </w:pPr>
    <w:rPr>
      <w:rFonts w:ascii="Times New Roman" w:hAnsi="Times New Roman" w:eastAsia="Times New Roman" w:cs="Times New Roman"/>
      <w:color w:val="auto"/>
      <w:kern w:val="0"/>
      <w:sz w:val="22"/>
      <w:szCs w:val="20"/>
      <w:lang w:val="en-US" w:eastAsia="en-US" w:bidi="ar-SA"/>
    </w:rPr>
  </w:style>
  <w:style w:type="paragraph" w:styleId="Abstracttext">
    <w:name w:val="Abstract text"/>
    <w:basedOn w:val="Authornameandaffiliation"/>
    <w:qFormat/>
    <w:pPr>
      <w:spacing w:lineRule="atLeast" w:line="240"/>
      <w:ind w:left="0" w:right="0" w:firstLine="567"/>
    </w:pPr>
    <w:rPr>
      <w:sz w:val="18"/>
    </w:rPr>
  </w:style>
  <w:style w:type="paragraph" w:styleId="BalloonText">
    <w:name w:val="Balloon Text"/>
    <w:basedOn w:val="Normal"/>
    <w:qFormat/>
    <w:pPr/>
    <w:rPr>
      <w:rFonts w:ascii="Tahoma" w:hAnsi="Tahoma" w:cs="Tahoma"/>
      <w:sz w:val="16"/>
      <w:szCs w:val="16"/>
    </w:rPr>
  </w:style>
  <w:style w:type="paragraph" w:styleId="Figurecaption">
    <w:name w:val="Figure caption"/>
    <w:basedOn w:val="TextBody"/>
    <w:qFormat/>
    <w:pPr>
      <w:jc w:val="center"/>
    </w:pPr>
    <w:rPr>
      <w:i/>
      <w:sz w:val="18"/>
    </w:rPr>
  </w:style>
  <w:style w:type="paragraph" w:styleId="Otherunnumberedheadings">
    <w:name w:val="Other unnumbered headings"/>
    <w:qFormat/>
    <w:pPr>
      <w:widowControl/>
      <w:kinsoku w:val="true"/>
      <w:overflowPunct w:val="true"/>
      <w:autoSpaceDE w:val="true"/>
      <w:bidi w:val="0"/>
      <w:spacing w:lineRule="atLeast" w:line="260" w:before="280" w:after="280"/>
      <w:jc w:val="center"/>
    </w:pPr>
    <w:rPr>
      <w:rFonts w:ascii="Times New Roman Bold" w:hAnsi="Times New Roman Bold" w:eastAsia="Times New Roman" w:cs="Times New Roman"/>
      <w:b/>
      <w:caps/>
      <w:color w:val="auto"/>
      <w:kern w:val="0"/>
      <w:sz w:val="22"/>
      <w:szCs w:val="20"/>
      <w:lang w:val="en-GB" w:eastAsia="en-US" w:bidi="ar-SA"/>
    </w:rPr>
  </w:style>
  <w:style w:type="paragraph" w:styleId="Referencelist">
    <w:name w:val="Reference list"/>
    <w:basedOn w:val="TextBody"/>
    <w:qFormat/>
    <w:pPr/>
    <w:rPr>
      <w:sz w:val="18"/>
      <w:szCs w:val="18"/>
    </w:rPr>
  </w:style>
  <w:style w:type="paragraph" w:styleId="Tabletext">
    <w:name w:val="Table text"/>
    <w:basedOn w:val="TextBody"/>
    <w:qFormat/>
    <w:pPr>
      <w:ind w:left="0" w:right="0" w:hanging="0"/>
    </w:pPr>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IAEA Blank (r01).dotx</Template>
  <TotalTime>128</TotalTime>
  <Application>LibreOffice/6.0.4.2$Windows_X86_64 LibreOffice_project/9b0d9b32d5dcda91d2f1a96dc04c645c450872bf</Application>
  <Pages>3</Pages>
  <Words>691</Words>
  <Characters>3509</Characters>
  <CharactersWithSpaces>4215</CharactersWithSpaces>
  <Paragraphs>39</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2017-04-03T14:23:00Z</dcterms:created>
  <dc:creator>Chirayu.Batra@iaea.org</dc:creator>
  <dc:description/>
  <dc:language>en-ID</dc:language>
  <cp:lastModifiedBy/>
  <cp:lastPrinted>2015-12-01T10:27:00Z</cp:lastPrinted>
  <dcterms:modified xsi:type="dcterms:W3CDTF">2021-06-21T21:17:52Z</dcterms:modified>
  <cp:revision>93</cp:revision>
  <dc:subject/>
  <dc:title>Extended Abtract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0</vt:bool>
  </property>
  <property fmtid="{D5CDD505-2E9C-101B-9397-08002B2CF9AE}" pid="6" name="IaeaClassification">
    <vt:lpwstr/>
  </property>
  <property fmtid="{D5CDD505-2E9C-101B-9397-08002B2CF9AE}" pid="7" name="IaeaClassification2">
    <vt:lpwstr/>
  </property>
  <property fmtid="{D5CDD505-2E9C-101B-9397-08002B2CF9AE}" pid="8" name="IaeaClassificationDate">
    <vt:lpwstr/>
  </property>
  <property fmtid="{D5CDD505-2E9C-101B-9397-08002B2CF9AE}" pid="9" name="IaeaConfidentialAttachments">
    <vt:lpwstr/>
  </property>
  <property fmtid="{D5CDD505-2E9C-101B-9397-08002B2CF9AE}" pid="10" name="IaeaDistribution">
    <vt:lpwstr/>
  </property>
  <property fmtid="{D5CDD505-2E9C-101B-9397-08002B2CF9AE}" pid="11" name="IaeaSecurityClassifier">
    <vt:lpwstr/>
  </property>
  <property fmtid="{D5CDD505-2E9C-101B-9397-08002B2CF9AE}" pid="12" name="IaeaSensitivity">
    <vt:lpwstr/>
  </property>
  <property fmtid="{D5CDD505-2E9C-101B-9397-08002B2CF9AE}" pid="13" name="IaeaTransmission">
    <vt:lpwstr/>
  </property>
  <property fmtid="{D5CDD505-2E9C-101B-9397-08002B2CF9AE}" pid="14" name="LinksUpToDate">
    <vt:bool>0</vt:bool>
  </property>
  <property fmtid="{D5CDD505-2E9C-101B-9397-08002B2CF9AE}" pid="15" name="Mendeley Citation Style_1">
    <vt:lpwstr>http://www.zotero.org/styles/ieee</vt:lpwstr>
  </property>
  <property fmtid="{D5CDD505-2E9C-101B-9397-08002B2CF9AE}" pid="16" name="Mendeley Document_1">
    <vt:lpwstr>True</vt:lpwstr>
  </property>
  <property fmtid="{D5CDD505-2E9C-101B-9397-08002B2CF9AE}" pid="17" name="Mendeley Unique User Id_1">
    <vt:lpwstr>acf0c2a9-64d4-3f03-80b7-51556a472d84</vt:lpwstr>
  </property>
  <property fmtid="{D5CDD505-2E9C-101B-9397-08002B2CF9AE}" pid="18" name="Mendeley_Bookmark_6BSpf1m1eK_1">
    <vt:lpwstr>ADDIN Mendeley Bibliography CSL_BIBLIOGRAPHY </vt:lpwstr>
  </property>
  <property fmtid="{D5CDD505-2E9C-101B-9397-08002B2CF9AE}" pid="19" name="Mendeley_Bookmark_BjM4q9YLxM_1">
    <vt:lpwstr>ADDIN CSL_CITATION {"mendeley": {"formattedCitation": "[2]", "plainTextFormattedCitation": "[2]"}, "schema": "https://github.com/citation-style-language/schema/raw/master/csl-citation.json", "properties": {"noteIndex": 0}, "citationItems": [{"id": "ITEM-1</vt:lpwstr>
  </property>
  <property fmtid="{D5CDD505-2E9C-101B-9397-08002B2CF9AE}" pid="20" name="Mendeley_Bookmark_BjM4q9YLxM_2">
    <vt:lpwstr>", "itemData": {"author": [{"dropping-particle": "", "given": "Alexander", "family": "Lindsay", "parse-names": false, "suffix": "", "non-dropping-particle": ""}, {"dropping-particle": "", "given": "Gavin", "family": "Ridley", "parse-names": false, "suffix</vt:lpwstr>
  </property>
  <property fmtid="{D5CDD505-2E9C-101B-9397-08002B2CF9AE}" pid="21" name="Mendeley_Bookmark_BjM4q9YLxM_3">
    <vt:lpwstr>": "", "non-dropping-particle": ""}, {"dropping-particle": "", "given": "Andrei", "family": "Rykhlevskii", "parse-names": false, "suffix": "", "non-dropping-particle": ""}, {"dropping-particle": "", "given": "Kathryn", "family": "Huff", "parse-names": fal</vt:lpwstr>
  </property>
  <property fmtid="{D5CDD505-2E9C-101B-9397-08002B2CF9AE}" pid="22" name="Mendeley_Bookmark_BjM4q9YLxM_4">
    <vt:lpwstr>se, "suffix": "", "non-dropping-particle": ""}], "DOI": "10.1016/j.anucene.2017.12.025", "page": "530-540", "id": "ITEM-1", "ISSN": "0306-4549", "volume": "114", "publisher": "Elsevier Ltd", "type": "article-journal", "title": "Introduction to Moltres: An</vt:lpwstr>
  </property>
  <property fmtid="{D5CDD505-2E9C-101B-9397-08002B2CF9AE}" pid="23" name="Mendeley_Bookmark_BjM4q9YLxM_5">
    <vt:lpwstr> application for simulation of Molten Salt Reactors", "issued": {"date-parts": [["2018"]]}, "container-title": "Annals of Nuclear Energy"}, "uris": ["http://www.mendeley.com/documents/?uuid=bb185eab-2440-403e-a715-a2e9784c97f5"]}]}</vt:lpwstr>
  </property>
  <property fmtid="{D5CDD505-2E9C-101B-9397-08002B2CF9AE}" pid="24" name="Mendeley_Bookmark_D7Ig1wshmI_1">
    <vt:lpwstr>ADDIN CSL_CITATION {"mendeley": {"formattedCitation": "[1]", "plainTextFormattedCitation": "[1]", "previouslyFormattedCitation": "[1]"}, "schema": "https://github.com/citation-style-language/schema/raw/master/csl-citation.json", "properties": {"noteIndex"</vt:lpwstr>
  </property>
  <property fmtid="{D5CDD505-2E9C-101B-9397-08002B2CF9AE}" pid="25" name="Mendeley_Bookmark_D7Ig1wshmI_2">
    <vt:lpwstr>: 0}, "citationItems": [{"id": "ITEM-1", "itemData": {"author": [{"dropping-particle": "", "given": "Manuele", "family": "Aufiero", "parse-names": false, "suffix": "", "non-dropping-particle": ""}, {"dropping-particle": "", "given": "Mariya", "family": "B</vt:lpwstr>
  </property>
  <property fmtid="{D5CDD505-2E9C-101B-9397-08002B2CF9AE}" pid="26" name="Mendeley_Bookmark_D7Ig1wshmI_3">
    <vt:lpwstr>rovchenko", "parse-names": false, "suffix": "", "non-dropping-particle": ""}, {"dropping-particle": "", "given": "Antonio", "family": "Cammi", "parse-names": false, "suffix": "", "non-dropping-particle": ""}, {"dropping-particle": "", "given": "Ivor", "fa</vt:lpwstr>
  </property>
  <property fmtid="{D5CDD505-2E9C-101B-9397-08002B2CF9AE}" pid="27" name="Mendeley_Bookmark_D7Ig1wshmI_4">
    <vt:lpwstr>mily": "Clifford", "parse-names": false, "suffix": "", "non-dropping-particle": ""}, {"dropping-particle": "", "given": "Olivier", "family": "Geoffroy", "parse-names": false, "suffix": "", "non-dropping-particle": ""}, {"dropping-particle": "", "given": "</vt:lpwstr>
  </property>
  <property fmtid="{D5CDD505-2E9C-101B-9397-08002B2CF9AE}" pid="28" name="Mendeley_Bookmark_D7Ig1wshmI_5">
    <vt:lpwstr>Daniel", "family": "Heuer", "parse-names": false, "suffix": "", "non-dropping-particle": ""}, {"dropping-particle": "", "given": "Axel", "family": "Laureau", "parse-names": false, "suffix": "", "non-dropping-particle": ""}, {"dropping-particle": "", "give</vt:lpwstr>
  </property>
  <property fmtid="{D5CDD505-2E9C-101B-9397-08002B2CF9AE}" pid="29" name="Mendeley_Bookmark_D7Ig1wshmI_6">
    <vt:lpwstr>n": "Mario", "family": "Losa", "parse-names": false, "suffix": "", "non-dropping-particle": ""}, {"dropping-particle": "", "given": "Lelio", "family": "Luzzi", "parse-names": false, "suffix": "", "non-dropping-particle": ""}, {"dropping-particle": "", "gi</vt:lpwstr>
  </property>
  <property fmtid="{D5CDD505-2E9C-101B-9397-08002B2CF9AE}" pid="30" name="Mendeley_Bookmark_D7Ig1wshmI_7">
    <vt:lpwstr>ven": "Elsa", "family": "Merle-lucotte", "parse-names": false, "suffix": "", "non-dropping-particle": ""}, {"dropping-particle": "", "given": "Marco E", "family": "Ricotti", "parse-names": false, "suffix": "", "non-dropping-particle": ""}], "DOI": "10.101</vt:lpwstr>
  </property>
  <property fmtid="{D5CDD505-2E9C-101B-9397-08002B2CF9AE}" pid="31" name="Mendeley_Bookmark_D7Ig1wshmI_8">
    <vt:lpwstr>6/j.anucene.2013.10.015", "page": "78-90", "id": "ITEM-1", "ISSN": "0306-4549", "volume": "65", "publisher": "Elsevier Ltd", "type": "article-journal", "title": "Calculating the effective delayed neutron fraction in the Molten Salt Fast Reactor: Analytica</vt:lpwstr>
  </property>
  <property fmtid="{D5CDD505-2E9C-101B-9397-08002B2CF9AE}" pid="32" name="Mendeley_Bookmark_D7Ig1wshmI_9">
    <vt:lpwstr>l, deterministic and Monte Carlo approaches", "issued": {"date-parts": [["2014"]]}, "container-title": "Annals of Nuclear Energy"}, "uris": ["http://www.mendeley.com/documents/?uuid=01469d61-bbb3-4e5b-a8f4-ddf4f4c7e343"]}]}</vt:lpwstr>
  </property>
  <property fmtid="{D5CDD505-2E9C-101B-9397-08002B2CF9AE}" pid="33" name="Mendeley_Bookmark_EYnAezJXov_1">
    <vt:lpwstr>ADDIN CSL_CITATION {"mendeley": {"formattedCitation": "[2]", "plainTextFormattedCitation": "[2]"}, "schema": "https://github.com/citation-style-language/schema/raw/master/csl-citation.json", "properties": {"noteIndex": 0}, "citationItems": [{"id": "ITEM-1</vt:lpwstr>
  </property>
  <property fmtid="{D5CDD505-2E9C-101B-9397-08002B2CF9AE}" pid="34" name="Mendeley_Bookmark_EYnAezJXov_2">
    <vt:lpwstr>", "itemData": {"author": [{"dropping-particle": "", "given": "Alexander", "family": "Lindsay", "parse-names": false, "suffix": "", "non-dropping-particle": ""}, {"dropping-particle": "", "given": "Gavin", "family": "Ridley", "parse-names": false, "suffix</vt:lpwstr>
  </property>
  <property fmtid="{D5CDD505-2E9C-101B-9397-08002B2CF9AE}" pid="35" name="Mendeley_Bookmark_EYnAezJXov_3">
    <vt:lpwstr>": "", "non-dropping-particle": ""}, {"dropping-particle": "", "given": "Andrei", "family": "Rykhlevskii", "parse-names": false, "suffix": "", "non-dropping-particle": ""}, {"dropping-particle": "", "given": "Kathryn", "family": "Huff", "parse-names": fal</vt:lpwstr>
  </property>
  <property fmtid="{D5CDD505-2E9C-101B-9397-08002B2CF9AE}" pid="36" name="Mendeley_Bookmark_EYnAezJXov_4">
    <vt:lpwstr>se, "suffix": "", "non-dropping-particle": ""}], "DOI": "10.1016/j.anucene.2017.12.025", "page": "530-540", "id": "ITEM-1", "ISSN": "0306-4549", "volume": "114", "publisher": "Elsevier Ltd", "type": "article-journal", "title": "Introduction to Moltres: An</vt:lpwstr>
  </property>
  <property fmtid="{D5CDD505-2E9C-101B-9397-08002B2CF9AE}" pid="37" name="Mendeley_Bookmark_EYnAezJXov_5">
    <vt:lpwstr> application for simulation of Molten Salt Reactors", "issued": {"date-parts": [["2018"]]}, "container-title": "Annals of Nuclear Energy"}, "uris": ["http://www.mendeley.com/documents/?uuid=bb185eab-2440-403e-a715-a2e9784c97f5"]}]}</vt:lpwstr>
  </property>
  <property fmtid="{D5CDD505-2E9C-101B-9397-08002B2CF9AE}" pid="38" name="Mendeley_Bookmark_IIMeWtXGvf_1">
    <vt:lpwstr>ADDIN CSL_CITATION {"mendeley": {"formattedCitation": "[1]", "plainTextFormattedCitation": "[1]", "previouslyFormattedCitation": "[1]"}, "schema": "https://github.com/citation-style-language/schema/raw/master/csl-citation.json", "properties": {"noteIndex"</vt:lpwstr>
  </property>
  <property fmtid="{D5CDD505-2E9C-101B-9397-08002B2CF9AE}" pid="39" name="Mendeley_Bookmark_IIMeWtXGvf_2">
    <vt:lpwstr>: 0}, "citationItems": [{"id": "ITEM-1", "itemData": {"author": [{"dropping-particle": "", "given": "Manuele", "family": "Aufiero", "parse-names": false, "suffix": "", "non-dropping-particle": ""}, {"dropping-particle": "", "given": "Mariya", "family": "B</vt:lpwstr>
  </property>
  <property fmtid="{D5CDD505-2E9C-101B-9397-08002B2CF9AE}" pid="40" name="Mendeley_Bookmark_IIMeWtXGvf_3">
    <vt:lpwstr>rovchenko", "parse-names": false, "suffix": "", "non-dropping-particle": ""}, {"dropping-particle": "", "given": "Antonio", "family": "Cammi", "parse-names": false, "suffix": "", "non-dropping-particle": ""}, {"dropping-particle": "", "given": "Ivor", "fa</vt:lpwstr>
  </property>
  <property fmtid="{D5CDD505-2E9C-101B-9397-08002B2CF9AE}" pid="41" name="Mendeley_Bookmark_IIMeWtXGvf_4">
    <vt:lpwstr>mily": "Clifford", "parse-names": false, "suffix": "", "non-dropping-particle": ""}, {"dropping-particle": "", "given": "Olivier", "family": "Geoffroy", "parse-names": false, "suffix": "", "non-dropping-particle": ""}, {"dropping-particle": "", "given": "</vt:lpwstr>
  </property>
  <property fmtid="{D5CDD505-2E9C-101B-9397-08002B2CF9AE}" pid="42" name="Mendeley_Bookmark_IIMeWtXGvf_5">
    <vt:lpwstr>Daniel", "family": "Heuer", "parse-names": false, "suffix": "", "non-dropping-particle": ""}, {"dropping-particle": "", "given": "Axel", "family": "Laureau", "parse-names": false, "suffix": "", "non-dropping-particle": ""}, {"dropping-particle": "", "give</vt:lpwstr>
  </property>
  <property fmtid="{D5CDD505-2E9C-101B-9397-08002B2CF9AE}" pid="43" name="Mendeley_Bookmark_IIMeWtXGvf_6">
    <vt:lpwstr>n": "Mario", "family": "Losa", "parse-names": false, "suffix": "", "non-dropping-particle": ""}, {"dropping-particle": "", "given": "Lelio", "family": "Luzzi", "parse-names": false, "suffix": "", "non-dropping-particle": ""}, {"dropping-particle": "", "gi</vt:lpwstr>
  </property>
  <property fmtid="{D5CDD505-2E9C-101B-9397-08002B2CF9AE}" pid="44" name="Mendeley_Bookmark_IIMeWtXGvf_7">
    <vt:lpwstr>ven": "Elsa", "family": "Merle-lucotte", "parse-names": false, "suffix": "", "non-dropping-particle": ""}, {"dropping-particle": "", "given": "Marco E", "family": "Ricotti", "parse-names": false, "suffix": "", "non-dropping-particle": ""}], "DOI": "10.101</vt:lpwstr>
  </property>
  <property fmtid="{D5CDD505-2E9C-101B-9397-08002B2CF9AE}" pid="45" name="Mendeley_Bookmark_IIMeWtXGvf_8">
    <vt:lpwstr>6/j.anucene.2013.10.015", "page": "78-90", "id": "ITEM-1", "ISSN": "0306-4549", "volume": "65", "publisher": "Elsevier Ltd", "type": "article-journal", "title": "Calculating the effective delayed neutron fraction in the Molten Salt Fast Reactor: Analytica</vt:lpwstr>
  </property>
  <property fmtid="{D5CDD505-2E9C-101B-9397-08002B2CF9AE}" pid="46" name="Mendeley_Bookmark_IIMeWtXGvf_9">
    <vt:lpwstr>l, deterministic and Monte Carlo approaches", "issued": {"date-parts": [["2014"]]}, "container-title": "Annals of Nuclear Energy"}, "uris": ["http://www.mendeley.com/documents/?uuid=01469d61-bbb3-4e5b-a8f4-ddf4f4c7e343"]}]}</vt:lpwstr>
  </property>
  <property fmtid="{D5CDD505-2E9C-101B-9397-08002B2CF9AE}" pid="47" name="Mendeley_Bookmark_qTQOW1Hwcv_1">
    <vt:lpwstr>ADDIN Mendeley Bibliography CSL_BIBLIOGRAPHY </vt:lpwstr>
  </property>
  <property fmtid="{D5CDD505-2E9C-101B-9397-08002B2CF9AE}" pid="48" name="ScaleCrop">
    <vt:bool>0</vt:bool>
  </property>
  <property fmtid="{D5CDD505-2E9C-101B-9397-08002B2CF9AE}" pid="49" name="ShareDoc">
    <vt:bool>0</vt:bool>
  </property>
  <property fmtid="{D5CDD505-2E9C-101B-9397-08002B2CF9AE}" pid="50" name="Typist">
    <vt:lpwstr>Initials-Ext</vt:lpwstr>
  </property>
  <property fmtid="{D5CDD505-2E9C-101B-9397-08002B2CF9AE}" pid="51" name="category">
    <vt:lpwstr>IAEA Document</vt:lpwstr>
  </property>
</Properties>
</file>