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7FAC6A2B" w:rsidR="00604C59" w:rsidRPr="00073700" w:rsidRDefault="006B3F17" w:rsidP="00073700">
      <w:pPr>
        <w:pStyle w:val="Kop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 xml:space="preserve">guidance ETHICS AS AN ENABLING INFRASTRUCTURE </w:t>
      </w:r>
    </w:p>
    <w:p w14:paraId="2A7F935C" w14:textId="77777777" w:rsidR="00604C59" w:rsidRPr="00073700" w:rsidRDefault="00604C59" w:rsidP="00073700">
      <w:pPr>
        <w:pStyle w:val="Authornameandaffiliation"/>
        <w:ind w:left="0"/>
        <w:jc w:val="both"/>
        <w:rPr>
          <w:sz w:val="24"/>
          <w:szCs w:val="24"/>
          <w:lang w:val="en-GB"/>
        </w:rPr>
      </w:pPr>
    </w:p>
    <w:p w14:paraId="7B44FDE5" w14:textId="36899216" w:rsidR="00604C59" w:rsidRPr="006B3F17" w:rsidRDefault="006B3F17" w:rsidP="00073700">
      <w:pPr>
        <w:pStyle w:val="Authornameandaffiliation"/>
        <w:ind w:left="0"/>
        <w:jc w:val="both"/>
        <w:rPr>
          <w:sz w:val="24"/>
          <w:szCs w:val="24"/>
          <w:lang w:val="nl-NL"/>
        </w:rPr>
      </w:pPr>
      <w:r w:rsidRPr="006B3F17">
        <w:rPr>
          <w:sz w:val="24"/>
          <w:szCs w:val="24"/>
          <w:lang w:val="nl-NL"/>
        </w:rPr>
        <w:t>Prof.dr.ir. Peter-Paul Verbeek</w:t>
      </w:r>
    </w:p>
    <w:p w14:paraId="20CD335A" w14:textId="29037755" w:rsidR="00604C59" w:rsidRPr="00073700" w:rsidRDefault="006B3F17" w:rsidP="00073700">
      <w:pPr>
        <w:pStyle w:val="Authornameandaffiliation"/>
        <w:ind w:left="0"/>
        <w:jc w:val="both"/>
        <w:rPr>
          <w:sz w:val="24"/>
          <w:szCs w:val="24"/>
          <w:lang w:val="en-GB"/>
        </w:rPr>
      </w:pPr>
      <w:r>
        <w:rPr>
          <w:sz w:val="24"/>
          <w:szCs w:val="24"/>
          <w:lang w:val="en-GB"/>
        </w:rPr>
        <w:t>University of Twente</w:t>
      </w:r>
    </w:p>
    <w:p w14:paraId="7B37D297" w14:textId="7AAB4AB0" w:rsidR="00604C59" w:rsidRPr="00073700" w:rsidRDefault="006B3F17" w:rsidP="00073700">
      <w:pPr>
        <w:pStyle w:val="Authornameandaffiliation"/>
        <w:ind w:left="0"/>
        <w:jc w:val="both"/>
        <w:rPr>
          <w:sz w:val="24"/>
          <w:szCs w:val="24"/>
          <w:lang w:val="en-GB"/>
        </w:rPr>
      </w:pPr>
      <w:r>
        <w:rPr>
          <w:sz w:val="24"/>
          <w:szCs w:val="24"/>
          <w:lang w:val="en-GB"/>
        </w:rPr>
        <w:t>Enschede, The Netherlands</w:t>
      </w:r>
    </w:p>
    <w:p w14:paraId="55FF92A5" w14:textId="62C94D05" w:rsidR="006B3F17" w:rsidRPr="00E65DD1" w:rsidRDefault="00604C59" w:rsidP="00E65DD1">
      <w:pPr>
        <w:pStyle w:val="Authornameandaffiliation"/>
        <w:ind w:left="0"/>
        <w:jc w:val="both"/>
        <w:rPr>
          <w:sz w:val="24"/>
          <w:szCs w:val="24"/>
          <w:lang w:val="en-GB"/>
        </w:rPr>
      </w:pPr>
      <w:r w:rsidRPr="00073700">
        <w:rPr>
          <w:sz w:val="24"/>
          <w:szCs w:val="24"/>
          <w:lang w:val="en-GB"/>
        </w:rPr>
        <w:t xml:space="preserve">Email: </w:t>
      </w:r>
      <w:r w:rsidR="006B3F17">
        <w:rPr>
          <w:sz w:val="24"/>
          <w:szCs w:val="24"/>
          <w:lang w:val="en-GB"/>
        </w:rPr>
        <w:t>p.p.c.c.verbeek@utwente.nl</w:t>
      </w:r>
    </w:p>
    <w:p w14:paraId="6C974059" w14:textId="77777777" w:rsidR="00EF7E67" w:rsidRPr="00E65DD1" w:rsidRDefault="00EF7E67" w:rsidP="00EF7E67">
      <w:pPr>
        <w:overflowPunct/>
        <w:textAlignment w:val="auto"/>
        <w:rPr>
          <w:rFonts w:eastAsiaTheme="minorHAnsi"/>
          <w:sz w:val="24"/>
          <w:szCs w:val="24"/>
          <w:lang w:eastAsia="ar-SA"/>
        </w:rPr>
      </w:pPr>
    </w:p>
    <w:p w14:paraId="018C938B" w14:textId="77777777" w:rsidR="00EF7E67" w:rsidRPr="00E65DD1" w:rsidRDefault="00EF7E67" w:rsidP="00EF7E67">
      <w:pPr>
        <w:overflowPunct/>
        <w:textAlignment w:val="auto"/>
        <w:rPr>
          <w:rFonts w:eastAsiaTheme="minorHAnsi"/>
          <w:sz w:val="24"/>
          <w:szCs w:val="24"/>
          <w:lang w:eastAsia="ar-SA"/>
        </w:rPr>
      </w:pPr>
      <w:proofErr w:type="spellStart"/>
      <w:r w:rsidRPr="00E65DD1">
        <w:rPr>
          <w:rFonts w:eastAsiaTheme="minorHAnsi"/>
          <w:sz w:val="24"/>
          <w:szCs w:val="24"/>
          <w:lang w:eastAsia="ar-SA"/>
        </w:rPr>
        <w:t>Ethical</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discussions</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about</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technology</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typically</w:t>
      </w:r>
      <w:proofErr w:type="spellEnd"/>
      <w:r w:rsidRPr="00E65DD1">
        <w:rPr>
          <w:rFonts w:eastAsiaTheme="minorHAnsi"/>
          <w:sz w:val="24"/>
          <w:szCs w:val="24"/>
          <w:lang w:eastAsia="ar-SA"/>
        </w:rPr>
        <w:t xml:space="preserve"> have </w:t>
      </w:r>
      <w:proofErr w:type="spellStart"/>
      <w:r w:rsidRPr="00E65DD1">
        <w:rPr>
          <w:rFonts w:eastAsiaTheme="minorHAnsi"/>
          <w:sz w:val="24"/>
          <w:szCs w:val="24"/>
          <w:lang w:eastAsia="ar-SA"/>
        </w:rPr>
        <w:t>the</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character</w:t>
      </w:r>
      <w:proofErr w:type="spellEnd"/>
      <w:r w:rsidRPr="00E65DD1">
        <w:rPr>
          <w:rFonts w:eastAsiaTheme="minorHAnsi"/>
          <w:sz w:val="24"/>
          <w:szCs w:val="24"/>
          <w:lang w:eastAsia="ar-SA"/>
        </w:rPr>
        <w:t xml:space="preserve"> of a dilemma: </w:t>
      </w:r>
      <w:proofErr w:type="spellStart"/>
      <w:r w:rsidRPr="00E65DD1">
        <w:rPr>
          <w:rFonts w:eastAsiaTheme="minorHAnsi"/>
          <w:sz w:val="24"/>
          <w:szCs w:val="24"/>
          <w:lang w:eastAsia="ar-SA"/>
        </w:rPr>
        <w:t>should</w:t>
      </w:r>
      <w:proofErr w:type="spellEnd"/>
      <w:r w:rsidRPr="00E65DD1">
        <w:rPr>
          <w:rFonts w:eastAsiaTheme="minorHAnsi"/>
          <w:sz w:val="24"/>
          <w:szCs w:val="24"/>
          <w:lang w:eastAsia="ar-SA"/>
        </w:rPr>
        <w:t xml:space="preserve"> we or should we not accept this specific technology? In such dilemmas, ethics has the role of a border guard, assessing whether we should say ‘yes’ or ‘no’ to a technology. As a result, it is often hard to connect ethical reflection constructively to the development, implementation, and use of new technologies. </w:t>
      </w:r>
    </w:p>
    <w:p w14:paraId="0904DCB1" w14:textId="77777777" w:rsidR="00EF7E67" w:rsidRPr="00E65DD1" w:rsidRDefault="00EF7E67" w:rsidP="00EF7E67">
      <w:pPr>
        <w:overflowPunct/>
        <w:textAlignment w:val="auto"/>
        <w:rPr>
          <w:rFonts w:eastAsiaTheme="minorHAnsi"/>
          <w:sz w:val="24"/>
          <w:szCs w:val="24"/>
          <w:lang w:eastAsia="ar-SA"/>
        </w:rPr>
      </w:pPr>
    </w:p>
    <w:p w14:paraId="1A9337B0" w14:textId="0E256AC1" w:rsidR="00EF7E67" w:rsidRPr="00E65DD1" w:rsidRDefault="00EF7E67" w:rsidP="00EF7E67">
      <w:pPr>
        <w:overflowPunct/>
        <w:textAlignment w:val="auto"/>
        <w:rPr>
          <w:rFonts w:eastAsiaTheme="minorHAnsi"/>
          <w:sz w:val="24"/>
          <w:szCs w:val="24"/>
          <w:lang w:eastAsia="ar-SA"/>
        </w:rPr>
      </w:pPr>
      <w:r w:rsidRPr="00E65DD1">
        <w:rPr>
          <w:rFonts w:eastAsiaTheme="minorHAnsi"/>
          <w:sz w:val="24"/>
          <w:szCs w:val="24"/>
          <w:lang w:eastAsia="ar-SA"/>
        </w:rPr>
        <w:t xml:space="preserve">Moreover, this approach makes it hard to incorporate one of the most pressing challenges for the ethics of technology: the phenomenon of value dynamism, in which technologies have an influence on ethics itself, and help to redefine the values from which we evaluate technologies. One example of value dynamism concerns </w:t>
      </w:r>
      <w:r w:rsidR="00E65DD1" w:rsidRPr="00E65DD1">
        <w:rPr>
          <w:rFonts w:eastAsiaTheme="minorHAnsi"/>
          <w:sz w:val="24"/>
          <w:szCs w:val="24"/>
          <w:lang w:eastAsia="ar-SA"/>
        </w:rPr>
        <w:t>anaesthesia</w:t>
      </w:r>
      <w:r w:rsidRPr="00E65DD1">
        <w:rPr>
          <w:rFonts w:eastAsiaTheme="minorHAnsi"/>
          <w:sz w:val="24"/>
          <w:szCs w:val="24"/>
          <w:lang w:eastAsia="ar-SA"/>
        </w:rPr>
        <w:t xml:space="preserve"> for surgery: this technology was highly contested when it was introduced, because it would go against human dignity to open someone’s body while she or he is unconscious, while by now it would be totally unacceptable it a doctor would operate on someone </w:t>
      </w:r>
      <w:r w:rsidRPr="00E65DD1">
        <w:rPr>
          <w:rFonts w:eastAsiaTheme="minorHAnsi"/>
          <w:i/>
          <w:iCs/>
          <w:sz w:val="24"/>
          <w:szCs w:val="24"/>
          <w:lang w:eastAsia="ar-SA"/>
        </w:rPr>
        <w:t>without</w:t>
      </w:r>
      <w:r w:rsidRPr="00E65DD1">
        <w:rPr>
          <w:rFonts w:eastAsiaTheme="minorHAnsi"/>
          <w:sz w:val="24"/>
          <w:szCs w:val="24"/>
          <w:lang w:eastAsia="ar-SA"/>
        </w:rPr>
        <w:t xml:space="preserve"> </w:t>
      </w:r>
      <w:r w:rsidR="00E65DD1" w:rsidRPr="00E65DD1">
        <w:rPr>
          <w:rFonts w:eastAsiaTheme="minorHAnsi"/>
          <w:sz w:val="24"/>
          <w:szCs w:val="24"/>
          <w:lang w:eastAsia="ar-SA"/>
        </w:rPr>
        <w:t>anaesthesia</w:t>
      </w:r>
      <w:r w:rsidRPr="00E65DD1">
        <w:rPr>
          <w:rFonts w:eastAsiaTheme="minorHAnsi"/>
          <w:sz w:val="24"/>
          <w:szCs w:val="24"/>
          <w:lang w:eastAsia="ar-SA"/>
        </w:rPr>
        <w:t xml:space="preserve">. </w:t>
      </w:r>
      <w:proofErr w:type="gramStart"/>
      <w:r w:rsidRPr="00E65DD1">
        <w:rPr>
          <w:rFonts w:eastAsiaTheme="minorHAnsi"/>
          <w:sz w:val="24"/>
          <w:szCs w:val="24"/>
          <w:lang w:eastAsia="ar-SA"/>
        </w:rPr>
        <w:t>Also</w:t>
      </w:r>
      <w:proofErr w:type="gramEnd"/>
      <w:r w:rsidRPr="00E65DD1">
        <w:rPr>
          <w:rFonts w:eastAsiaTheme="minorHAnsi"/>
          <w:sz w:val="24"/>
          <w:szCs w:val="24"/>
          <w:lang w:eastAsia="ar-SA"/>
        </w:rPr>
        <w:t xml:space="preserve"> in relation to nuclear energy, this phenomenon plays a crucial role: ethical frameworks to assess this technology develop in interaction with the technology itself.</w:t>
      </w:r>
    </w:p>
    <w:p w14:paraId="1CCC218F" w14:textId="77777777" w:rsidR="00EF7E67" w:rsidRPr="00E65DD1" w:rsidRDefault="00EF7E67" w:rsidP="00EF7E67">
      <w:pPr>
        <w:overflowPunct/>
        <w:textAlignment w:val="auto"/>
        <w:rPr>
          <w:rFonts w:eastAsiaTheme="minorHAnsi"/>
          <w:sz w:val="24"/>
          <w:szCs w:val="24"/>
          <w:lang w:eastAsia="ar-SA"/>
        </w:rPr>
      </w:pPr>
    </w:p>
    <w:p w14:paraId="5E303923" w14:textId="77B22D32" w:rsidR="00EF7E67" w:rsidRPr="00E65DD1" w:rsidRDefault="00EF7E67" w:rsidP="00EF7E67">
      <w:pPr>
        <w:overflowPunct/>
        <w:textAlignment w:val="auto"/>
        <w:rPr>
          <w:rFonts w:eastAsiaTheme="minorHAnsi"/>
          <w:sz w:val="24"/>
          <w:szCs w:val="24"/>
          <w:lang w:eastAsia="ar-SA"/>
        </w:rPr>
      </w:pPr>
      <w:r w:rsidRPr="00E65DD1">
        <w:rPr>
          <w:rFonts w:eastAsiaTheme="minorHAnsi"/>
          <w:sz w:val="24"/>
          <w:szCs w:val="24"/>
          <w:lang w:eastAsia="ar-SA"/>
        </w:rPr>
        <w:t xml:space="preserve">In this lecture, I will therefore elaborate a model of ethics as ‘accompaniment’ rather than ‘assessment’. The recently developed ‘Guidance Ethics Approach’ (see figure 1) will be the basis for this approach. In a three-step approach, Guidance Ethics aims to (1) </w:t>
      </w:r>
      <w:r w:rsidR="00E65DD1" w:rsidRPr="00E65DD1">
        <w:rPr>
          <w:rFonts w:eastAsiaTheme="minorHAnsi"/>
          <w:sz w:val="24"/>
          <w:szCs w:val="24"/>
          <w:lang w:eastAsia="ar-SA"/>
        </w:rPr>
        <w:t>analyse</w:t>
      </w:r>
      <w:r w:rsidRPr="00E65DD1">
        <w:rPr>
          <w:rFonts w:eastAsiaTheme="minorHAnsi"/>
          <w:sz w:val="24"/>
          <w:szCs w:val="24"/>
          <w:lang w:eastAsia="ar-SA"/>
        </w:rPr>
        <w:t xml:space="preserve"> the technology in its concrete context of (potential) use; (2) anticipate the potential implications of this technology for all relevant stakeholders, in order to identify the values that are at stake in these implications; and (3) translate these values into concrete action perspectives regarding the technology itself (redesign), its environment (regulation, reconfiguration) and its users (education, communication, empowerment). </w:t>
      </w:r>
    </w:p>
    <w:p w14:paraId="7B0CCF29" w14:textId="77777777" w:rsidR="00EF7E67" w:rsidRPr="00E65DD1" w:rsidRDefault="00EF7E67" w:rsidP="00EF7E67">
      <w:pPr>
        <w:overflowPunct/>
        <w:textAlignment w:val="auto"/>
        <w:rPr>
          <w:rFonts w:eastAsiaTheme="minorHAnsi"/>
          <w:sz w:val="24"/>
          <w:szCs w:val="24"/>
          <w:lang w:eastAsia="ar-SA"/>
        </w:rPr>
      </w:pPr>
    </w:p>
    <w:p w14:paraId="4C811C1A" w14:textId="15AF7F47" w:rsidR="00EF7E67" w:rsidRPr="00E65DD1" w:rsidRDefault="00EF7E67" w:rsidP="00EF7E67">
      <w:pPr>
        <w:overflowPunct/>
        <w:textAlignment w:val="auto"/>
        <w:rPr>
          <w:rFonts w:eastAsiaTheme="minorHAnsi"/>
          <w:sz w:val="24"/>
          <w:szCs w:val="24"/>
          <w:lang w:eastAsia="ar-SA"/>
        </w:rPr>
      </w:pPr>
      <w:r w:rsidRPr="00E65DD1">
        <w:rPr>
          <w:rFonts w:eastAsiaTheme="minorHAnsi"/>
          <w:sz w:val="24"/>
          <w:szCs w:val="24"/>
          <w:lang w:eastAsia="ar-SA"/>
        </w:rPr>
        <w:t xml:space="preserve">Guidance Ethics aims to be an ethics ‘from within’ rather than ‘from outside’: it does not seek to find a distant position for ‘technology assessment’ but rather a close connection to guide the technology in its trajectory through society. Also, it aims to do ethics ‘bottom-up’ rather than ‘top-down’: instead of letting ethical experts apply existing ethical approaches to a technology, it invites professionals and citizens to voice the ethical concerns they encounter in their everyday dealing with the technology. </w:t>
      </w:r>
      <w:r w:rsidR="00E65DD1" w:rsidRPr="00E65DD1">
        <w:rPr>
          <w:rFonts w:eastAsiaTheme="minorHAnsi"/>
          <w:sz w:val="24"/>
          <w:szCs w:val="24"/>
          <w:lang w:eastAsia="ar-SA"/>
        </w:rPr>
        <w:t>And</w:t>
      </w:r>
      <w:r w:rsidRPr="00E65DD1">
        <w:rPr>
          <w:rFonts w:eastAsiaTheme="minorHAnsi"/>
          <w:sz w:val="24"/>
          <w:szCs w:val="24"/>
          <w:lang w:eastAsia="ar-SA"/>
        </w:rPr>
        <w:t xml:space="preserve"> third, Guidance Ethics is a form of ‘positive ethics’ rather than negative ethics. This does not imply that the approach always has a positive evaluation of new technologies, but rather that its primary focus is not on defining the boundaries of what we do </w:t>
      </w:r>
      <w:r w:rsidRPr="00E65DD1">
        <w:rPr>
          <w:rFonts w:eastAsiaTheme="minorHAnsi"/>
          <w:i/>
          <w:iCs/>
          <w:sz w:val="24"/>
          <w:szCs w:val="24"/>
          <w:lang w:eastAsia="ar-SA"/>
        </w:rPr>
        <w:t>not</w:t>
      </w:r>
      <w:r w:rsidRPr="00E65DD1">
        <w:rPr>
          <w:rFonts w:eastAsiaTheme="minorHAnsi"/>
          <w:sz w:val="24"/>
          <w:szCs w:val="24"/>
          <w:lang w:eastAsia="ar-SA"/>
        </w:rPr>
        <w:t xml:space="preserve"> want, but on identifying the conditions for what we </w:t>
      </w:r>
      <w:r w:rsidRPr="00E65DD1">
        <w:rPr>
          <w:rFonts w:eastAsiaTheme="minorHAnsi"/>
          <w:i/>
          <w:iCs/>
          <w:sz w:val="24"/>
          <w:szCs w:val="24"/>
          <w:lang w:eastAsia="ar-SA"/>
        </w:rPr>
        <w:t>do</w:t>
      </w:r>
      <w:r w:rsidRPr="00E65DD1">
        <w:rPr>
          <w:rFonts w:eastAsiaTheme="minorHAnsi"/>
          <w:sz w:val="24"/>
          <w:szCs w:val="24"/>
          <w:lang w:eastAsia="ar-SA"/>
        </w:rPr>
        <w:t xml:space="preserve"> want. </w:t>
      </w:r>
    </w:p>
    <w:p w14:paraId="2D8CD98A" w14:textId="101FE06C" w:rsidR="006B3F17" w:rsidRDefault="00EF7E67" w:rsidP="00EF7E67">
      <w:pPr>
        <w:overflowPunct/>
        <w:autoSpaceDE/>
        <w:autoSpaceDN/>
        <w:adjustRightInd/>
        <w:spacing w:before="280" w:after="280"/>
        <w:jc w:val="both"/>
        <w:textAlignment w:val="auto"/>
        <w:rPr>
          <w:rFonts w:eastAsiaTheme="minorHAnsi"/>
          <w:sz w:val="24"/>
          <w:szCs w:val="24"/>
          <w:lang w:eastAsia="ar-SA"/>
        </w:rPr>
      </w:pPr>
      <w:proofErr w:type="spellStart"/>
      <w:r w:rsidRPr="00E65DD1">
        <w:rPr>
          <w:rFonts w:eastAsiaTheme="minorHAnsi"/>
          <w:sz w:val="24"/>
          <w:szCs w:val="24"/>
          <w:lang w:eastAsia="ar-SA"/>
        </w:rPr>
        <w:t>Along</w:t>
      </w:r>
      <w:proofErr w:type="spellEnd"/>
      <w:r w:rsidRPr="00E65DD1">
        <w:rPr>
          <w:rFonts w:eastAsiaTheme="minorHAnsi"/>
          <w:sz w:val="24"/>
          <w:szCs w:val="24"/>
          <w:lang w:eastAsia="ar-SA"/>
        </w:rPr>
        <w:t xml:space="preserve"> these </w:t>
      </w:r>
      <w:proofErr w:type="spellStart"/>
      <w:r w:rsidRPr="00E65DD1">
        <w:rPr>
          <w:rFonts w:eastAsiaTheme="minorHAnsi"/>
          <w:sz w:val="24"/>
          <w:szCs w:val="24"/>
          <w:lang w:eastAsia="ar-SA"/>
        </w:rPr>
        <w:t>lines</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guidance</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ethics</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incorporates</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current</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philosophical</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insights</w:t>
      </w:r>
      <w:proofErr w:type="spellEnd"/>
      <w:r w:rsidRPr="00E65DD1">
        <w:rPr>
          <w:rFonts w:eastAsiaTheme="minorHAnsi"/>
          <w:sz w:val="24"/>
          <w:szCs w:val="24"/>
          <w:lang w:eastAsia="ar-SA"/>
        </w:rPr>
        <w:t xml:space="preserve"> in </w:t>
      </w:r>
      <w:proofErr w:type="spellStart"/>
      <w:r w:rsidRPr="00E65DD1">
        <w:rPr>
          <w:rFonts w:eastAsiaTheme="minorHAnsi"/>
          <w:sz w:val="24"/>
          <w:szCs w:val="24"/>
          <w:lang w:eastAsia="ar-SA"/>
        </w:rPr>
        <w:t>the</w:t>
      </w:r>
      <w:proofErr w:type="spellEnd"/>
      <w:r w:rsidRPr="00E65DD1">
        <w:rPr>
          <w:rFonts w:eastAsiaTheme="minorHAnsi"/>
          <w:sz w:val="24"/>
          <w:szCs w:val="24"/>
          <w:lang w:eastAsia="ar-SA"/>
        </w:rPr>
        <w:t xml:space="preserve"> relations </w:t>
      </w:r>
      <w:proofErr w:type="spellStart"/>
      <w:r w:rsidRPr="00E65DD1">
        <w:rPr>
          <w:rFonts w:eastAsiaTheme="minorHAnsi"/>
          <w:sz w:val="24"/>
          <w:szCs w:val="24"/>
          <w:lang w:eastAsia="ar-SA"/>
        </w:rPr>
        <w:t>between</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technologies</w:t>
      </w:r>
      <w:proofErr w:type="spellEnd"/>
      <w:r w:rsidRPr="00E65DD1">
        <w:rPr>
          <w:rFonts w:eastAsiaTheme="minorHAnsi"/>
          <w:sz w:val="24"/>
          <w:szCs w:val="24"/>
          <w:lang w:eastAsia="ar-SA"/>
        </w:rPr>
        <w:t xml:space="preserve">, human </w:t>
      </w:r>
      <w:proofErr w:type="spellStart"/>
      <w:r w:rsidRPr="00E65DD1">
        <w:rPr>
          <w:rFonts w:eastAsiaTheme="minorHAnsi"/>
          <w:sz w:val="24"/>
          <w:szCs w:val="24"/>
          <w:lang w:eastAsia="ar-SA"/>
        </w:rPr>
        <w:t>beings</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and</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ethics</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and</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connects</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them</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to</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actual</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practices</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around</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technologies</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By</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paying</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specific</w:t>
      </w:r>
      <w:proofErr w:type="spellEnd"/>
      <w:r w:rsidRPr="00E65DD1">
        <w:rPr>
          <w:rFonts w:eastAsiaTheme="minorHAnsi"/>
          <w:sz w:val="24"/>
          <w:szCs w:val="24"/>
          <w:lang w:eastAsia="ar-SA"/>
        </w:rPr>
        <w:t xml:space="preserve"> attention to the phenomenon of value dynamism in relation to nuclear energy, this lecture will elaborate how ethical reflection can be an enabling infrastructure for both </w:t>
      </w:r>
      <w:proofErr w:type="spellStart"/>
      <w:r w:rsidRPr="00E65DD1">
        <w:rPr>
          <w:rFonts w:eastAsiaTheme="minorHAnsi"/>
          <w:sz w:val="24"/>
          <w:szCs w:val="24"/>
          <w:lang w:eastAsia="ar-SA"/>
        </w:rPr>
        <w:t>technological</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and</w:t>
      </w:r>
      <w:proofErr w:type="spellEnd"/>
      <w:r w:rsidRPr="00E65DD1">
        <w:rPr>
          <w:rFonts w:eastAsiaTheme="minorHAnsi"/>
          <w:sz w:val="24"/>
          <w:szCs w:val="24"/>
          <w:lang w:eastAsia="ar-SA"/>
        </w:rPr>
        <w:t xml:space="preserve"> </w:t>
      </w:r>
      <w:proofErr w:type="spellStart"/>
      <w:r w:rsidRPr="00E65DD1">
        <w:rPr>
          <w:rFonts w:eastAsiaTheme="minorHAnsi"/>
          <w:sz w:val="24"/>
          <w:szCs w:val="24"/>
          <w:lang w:eastAsia="ar-SA"/>
        </w:rPr>
        <w:t>societal</w:t>
      </w:r>
      <w:proofErr w:type="spellEnd"/>
      <w:r w:rsidRPr="00E65DD1">
        <w:rPr>
          <w:rFonts w:eastAsiaTheme="minorHAnsi"/>
          <w:sz w:val="24"/>
          <w:szCs w:val="24"/>
          <w:lang w:eastAsia="ar-SA"/>
        </w:rPr>
        <w:t xml:space="preserve"> development.</w:t>
      </w:r>
    </w:p>
    <w:p w14:paraId="4C2676D5" w14:textId="77777777" w:rsidR="00E65DD1" w:rsidRDefault="00E65DD1" w:rsidP="00B90025">
      <w:pPr>
        <w:pStyle w:val="Bijschrift"/>
        <w:spacing w:before="240" w:after="480"/>
        <w:jc w:val="center"/>
        <w:rPr>
          <w:bCs w:val="0"/>
          <w:i/>
          <w:sz w:val="22"/>
          <w:szCs w:val="22"/>
          <w:lang w:val="en-GB"/>
        </w:rPr>
      </w:pPr>
    </w:p>
    <w:p w14:paraId="571B81B5" w14:textId="77777777" w:rsidR="00E65DD1" w:rsidRDefault="00E65DD1" w:rsidP="00B90025">
      <w:pPr>
        <w:pStyle w:val="Bijschrift"/>
        <w:spacing w:before="240" w:after="480"/>
        <w:jc w:val="center"/>
        <w:rPr>
          <w:bCs w:val="0"/>
          <w:i/>
          <w:sz w:val="22"/>
          <w:szCs w:val="22"/>
          <w:lang w:val="en-GB"/>
        </w:rPr>
      </w:pPr>
    </w:p>
    <w:p w14:paraId="42558022" w14:textId="62F8DCD7" w:rsidR="00E65DD1" w:rsidRPr="00E65DD1" w:rsidRDefault="00E65DD1" w:rsidP="00E65DD1">
      <w:pPr>
        <w:overflowPunct/>
        <w:autoSpaceDE/>
        <w:autoSpaceDN/>
        <w:adjustRightInd/>
        <w:textAlignment w:val="auto"/>
        <w:rPr>
          <w:sz w:val="24"/>
          <w:szCs w:val="24"/>
          <w:lang w:val="nl-NL" w:eastAsia="nl-NL"/>
        </w:rPr>
      </w:pPr>
      <w:r w:rsidRPr="00E65DD1">
        <w:rPr>
          <w:sz w:val="24"/>
          <w:szCs w:val="24"/>
          <w:lang w:val="nl-NL" w:eastAsia="nl-NL"/>
        </w:rPr>
        <w:fldChar w:fldCharType="begin"/>
      </w:r>
      <w:r w:rsidRPr="00E65DD1">
        <w:rPr>
          <w:sz w:val="24"/>
          <w:szCs w:val="24"/>
          <w:lang w:val="nl-NL" w:eastAsia="nl-NL"/>
        </w:rPr>
        <w:instrText xml:space="preserve"> INCLUDEPICTURE "/var/folders/33/2c6906113md0w6mj7vwm70w40000gn/T/com.microsoft.Word/WebArchiveCopyPasteTempFiles/img_0861-1.jpg?w=2048" \* MERGEFORMATINET </w:instrText>
      </w:r>
      <w:r w:rsidRPr="00E65DD1">
        <w:rPr>
          <w:sz w:val="24"/>
          <w:szCs w:val="24"/>
          <w:lang w:val="nl-NL" w:eastAsia="nl-NL"/>
        </w:rPr>
        <w:fldChar w:fldCharType="separate"/>
      </w:r>
      <w:r w:rsidRPr="00E65DD1">
        <w:rPr>
          <w:noProof/>
          <w:sz w:val="24"/>
          <w:szCs w:val="24"/>
          <w:lang w:val="nl-NL" w:eastAsia="nl-NL"/>
        </w:rPr>
        <w:drawing>
          <wp:inline distT="0" distB="0" distL="0" distR="0" wp14:anchorId="447B1EB3" wp14:editId="30951950">
            <wp:extent cx="5732145" cy="32645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3264535"/>
                    </a:xfrm>
                    <a:prstGeom prst="rect">
                      <a:avLst/>
                    </a:prstGeom>
                    <a:noFill/>
                    <a:ln>
                      <a:noFill/>
                    </a:ln>
                  </pic:spPr>
                </pic:pic>
              </a:graphicData>
            </a:graphic>
          </wp:inline>
        </w:drawing>
      </w:r>
      <w:r w:rsidRPr="00E65DD1">
        <w:rPr>
          <w:sz w:val="24"/>
          <w:szCs w:val="24"/>
          <w:lang w:val="nl-NL" w:eastAsia="nl-NL"/>
        </w:rPr>
        <w:fldChar w:fldCharType="end"/>
      </w:r>
    </w:p>
    <w:p w14:paraId="5A7CCAFE" w14:textId="77777777" w:rsidR="00E65DD1" w:rsidRDefault="00E65DD1" w:rsidP="00B90025">
      <w:pPr>
        <w:pStyle w:val="Bijschrift"/>
        <w:spacing w:before="240" w:after="480"/>
        <w:jc w:val="center"/>
        <w:rPr>
          <w:bCs w:val="0"/>
          <w:i/>
          <w:sz w:val="22"/>
          <w:szCs w:val="22"/>
          <w:lang w:val="en-GB"/>
        </w:rPr>
      </w:pPr>
    </w:p>
    <w:p w14:paraId="32164C8A" w14:textId="28AF22D6" w:rsidR="00B90025" w:rsidRPr="00DF3A79" w:rsidRDefault="00B90025" w:rsidP="00B90025">
      <w:pPr>
        <w:pStyle w:val="Bijschrift"/>
        <w:spacing w:before="240" w:after="480"/>
        <w:jc w:val="center"/>
        <w:rPr>
          <w:i/>
          <w:sz w:val="22"/>
          <w:szCs w:val="22"/>
          <w:lang w:val="en-GB"/>
        </w:rPr>
      </w:pPr>
      <w:r w:rsidRPr="00DF3A79">
        <w:rPr>
          <w:bCs w:val="0"/>
          <w:i/>
          <w:sz w:val="22"/>
          <w:szCs w:val="22"/>
          <w:lang w:val="en-GB"/>
        </w:rPr>
        <w:t xml:space="preserve">FIG. </w:t>
      </w:r>
      <w:r w:rsidRPr="00DF3A79">
        <w:rPr>
          <w:bCs w:val="0"/>
          <w:i/>
          <w:sz w:val="22"/>
          <w:szCs w:val="22"/>
          <w:lang w:val="en-GB"/>
        </w:rPr>
        <w:fldChar w:fldCharType="begin"/>
      </w:r>
      <w:r w:rsidRPr="00DF3A79">
        <w:rPr>
          <w:bCs w:val="0"/>
          <w:i/>
          <w:sz w:val="22"/>
          <w:szCs w:val="22"/>
          <w:lang w:val="en-GB"/>
        </w:rPr>
        <w:instrText xml:space="preserve"> SEQ Figure \* ARABIC </w:instrText>
      </w:r>
      <w:r w:rsidRPr="00DF3A79">
        <w:rPr>
          <w:bCs w:val="0"/>
          <w:i/>
          <w:sz w:val="22"/>
          <w:szCs w:val="22"/>
          <w:lang w:val="en-GB"/>
        </w:rPr>
        <w:fldChar w:fldCharType="separate"/>
      </w:r>
      <w:r w:rsidRPr="00DF3A79">
        <w:rPr>
          <w:bCs w:val="0"/>
          <w:i/>
          <w:sz w:val="22"/>
          <w:szCs w:val="22"/>
          <w:lang w:val="en-GB"/>
        </w:rPr>
        <w:t>1</w:t>
      </w:r>
      <w:r w:rsidRPr="00DF3A79">
        <w:rPr>
          <w:bCs w:val="0"/>
          <w:i/>
          <w:sz w:val="22"/>
          <w:szCs w:val="22"/>
          <w:lang w:val="en-GB"/>
        </w:rPr>
        <w:fldChar w:fldCharType="end"/>
      </w:r>
      <w:r w:rsidRPr="00DF3A79">
        <w:rPr>
          <w:bCs w:val="0"/>
          <w:i/>
          <w:sz w:val="22"/>
          <w:szCs w:val="22"/>
          <w:lang w:val="en-GB"/>
        </w:rPr>
        <w:t xml:space="preserve">. </w:t>
      </w:r>
      <w:r w:rsidR="00E65DD1">
        <w:rPr>
          <w:bCs w:val="0"/>
          <w:i/>
          <w:sz w:val="22"/>
          <w:szCs w:val="22"/>
          <w:lang w:val="en-GB"/>
        </w:rPr>
        <w:t>The Guidance Ethics Approach</w:t>
      </w:r>
      <w:r w:rsidRPr="00DF3A79">
        <w:rPr>
          <w:i/>
          <w:sz w:val="22"/>
          <w:szCs w:val="22"/>
          <w:lang w:val="en-GB"/>
        </w:rPr>
        <w:t>.</w:t>
      </w:r>
    </w:p>
    <w:p w14:paraId="55EE2405" w14:textId="61D8303A" w:rsidR="00B54CDF" w:rsidRPr="00DF3A79" w:rsidRDefault="00B54CDF" w:rsidP="00E65DD1">
      <w:pPr>
        <w:pStyle w:val="Referencelist"/>
        <w:numPr>
          <w:ilvl w:val="0"/>
          <w:numId w:val="0"/>
        </w:numPr>
        <w:rPr>
          <w:rFonts w:eastAsiaTheme="minorHAnsi"/>
          <w:sz w:val="22"/>
          <w:szCs w:val="20"/>
          <w:lang w:eastAsia="ar-SA"/>
        </w:rPr>
      </w:pPr>
    </w:p>
    <w:sectPr w:rsidR="00B54CDF" w:rsidRPr="00DF3A79" w:rsidSect="0026525A">
      <w:footerReference w:type="even" r:id="rId9"/>
      <w:footerReference w:type="default" r:id="rId10"/>
      <w:headerReference w:type="first" r:id="rId11"/>
      <w:footerReference w:type="first" r:id="rId1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C0C2" w14:textId="77777777" w:rsidR="0081156F" w:rsidRDefault="0081156F">
      <w:r>
        <w:separator/>
      </w:r>
    </w:p>
  </w:endnote>
  <w:endnote w:type="continuationSeparator" w:id="0">
    <w:p w14:paraId="2C5BBCED" w14:textId="77777777" w:rsidR="0081156F" w:rsidRDefault="0081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55CD" w14:textId="77777777" w:rsidR="0081156F" w:rsidRDefault="0081156F">
      <w:r>
        <w:t>___________________________________________________________________________</w:t>
      </w:r>
    </w:p>
  </w:footnote>
  <w:footnote w:type="continuationSeparator" w:id="0">
    <w:p w14:paraId="408F631D" w14:textId="77777777" w:rsidR="0081156F" w:rsidRDefault="0081156F">
      <w:r>
        <w:t>___________________________________________________________________________</w:t>
      </w:r>
    </w:p>
  </w:footnote>
  <w:footnote w:type="continuationNotice" w:id="1">
    <w:p w14:paraId="67CB3589" w14:textId="77777777" w:rsidR="0081156F" w:rsidRDefault="00811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Kop9"/>
            <w:spacing w:before="0" w:after="10"/>
          </w:pPr>
        </w:p>
      </w:tc>
      <w:tc>
        <w:tcPr>
          <w:tcW w:w="5702" w:type="dxa"/>
          <w:vMerge/>
          <w:vAlign w:val="bottom"/>
        </w:tcPr>
        <w:p w14:paraId="661582EC" w14:textId="77777777" w:rsidR="00E20E70" w:rsidRDefault="00E20E70">
          <w:pPr>
            <w:pStyle w:val="Kop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Kop3"/>
      <w:lvlText w:val="%1%2.%3."/>
      <w:lvlJc w:val="left"/>
      <w:pPr>
        <w:ind w:left="0" w:firstLine="0"/>
      </w:pPr>
      <w:rPr>
        <w:rFonts w:hint="default"/>
      </w:rPr>
    </w:lvl>
    <w:lvl w:ilvl="3">
      <w:start w:val="1"/>
      <w:numFmt w:val="decimal"/>
      <w:lvlRestart w:val="0"/>
      <w:pStyle w:val="Kop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Kop3"/>
        <w:lvlText w:val="%1%2.%3."/>
        <w:lvlJc w:val="left"/>
        <w:pPr>
          <w:ind w:left="0" w:firstLine="0"/>
        </w:pPr>
        <w:rPr>
          <w:rFonts w:hint="default"/>
        </w:rPr>
      </w:lvl>
    </w:lvlOverride>
    <w:lvlOverride w:ilvl="3">
      <w:lvl w:ilvl="3">
        <w:start w:val="1"/>
        <w:numFmt w:val="none"/>
        <w:lvlRestart w:val="0"/>
        <w:pStyle w:val="Kop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Kop3"/>
        <w:suff w:val="space"/>
        <w:lvlText w:val="%1%2.%3."/>
        <w:lvlJc w:val="left"/>
        <w:pPr>
          <w:ind w:left="0" w:firstLine="0"/>
        </w:pPr>
        <w:rPr>
          <w:rFonts w:hint="default"/>
        </w:rPr>
      </w:lvl>
    </w:lvlOverride>
    <w:lvlOverride w:ilvl="3">
      <w:lvl w:ilvl="3">
        <w:start w:val="1"/>
        <w:numFmt w:val="decimal"/>
        <w:lvlRestart w:val="0"/>
        <w:pStyle w:val="Kop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oNotDisplayPageBoundarie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nl-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F7E94"/>
    <w:rsid w:val="00107F61"/>
    <w:rsid w:val="001119D6"/>
    <w:rsid w:val="0012117D"/>
    <w:rsid w:val="00126389"/>
    <w:rsid w:val="001308F2"/>
    <w:rsid w:val="001313E8"/>
    <w:rsid w:val="0019014D"/>
    <w:rsid w:val="001C58F5"/>
    <w:rsid w:val="001D5CEE"/>
    <w:rsid w:val="001F49FB"/>
    <w:rsid w:val="002071D9"/>
    <w:rsid w:val="00235900"/>
    <w:rsid w:val="00256822"/>
    <w:rsid w:val="0026525A"/>
    <w:rsid w:val="00265CBF"/>
    <w:rsid w:val="00274790"/>
    <w:rsid w:val="00285755"/>
    <w:rsid w:val="002A1F9C"/>
    <w:rsid w:val="002B29C2"/>
    <w:rsid w:val="002C4208"/>
    <w:rsid w:val="00352DE1"/>
    <w:rsid w:val="003728E6"/>
    <w:rsid w:val="003B5E0E"/>
    <w:rsid w:val="003D255A"/>
    <w:rsid w:val="00416949"/>
    <w:rsid w:val="004370D8"/>
    <w:rsid w:val="00446113"/>
    <w:rsid w:val="00472C43"/>
    <w:rsid w:val="00477B19"/>
    <w:rsid w:val="004910D8"/>
    <w:rsid w:val="00537496"/>
    <w:rsid w:val="005441E3"/>
    <w:rsid w:val="00544ED3"/>
    <w:rsid w:val="00547F26"/>
    <w:rsid w:val="0057131A"/>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B2274"/>
    <w:rsid w:val="006B3F17"/>
    <w:rsid w:val="00717C6F"/>
    <w:rsid w:val="007445DA"/>
    <w:rsid w:val="00765630"/>
    <w:rsid w:val="00790E9A"/>
    <w:rsid w:val="007B4FD1"/>
    <w:rsid w:val="007B57CF"/>
    <w:rsid w:val="007D0519"/>
    <w:rsid w:val="00800B84"/>
    <w:rsid w:val="00802381"/>
    <w:rsid w:val="0081156F"/>
    <w:rsid w:val="00815F3A"/>
    <w:rsid w:val="008270D0"/>
    <w:rsid w:val="00827B38"/>
    <w:rsid w:val="0085046A"/>
    <w:rsid w:val="008601BE"/>
    <w:rsid w:val="00883848"/>
    <w:rsid w:val="00897ED5"/>
    <w:rsid w:val="008B6BB9"/>
    <w:rsid w:val="008C3C89"/>
    <w:rsid w:val="008F4C98"/>
    <w:rsid w:val="00911543"/>
    <w:rsid w:val="009519C9"/>
    <w:rsid w:val="009D0B86"/>
    <w:rsid w:val="009D21F0"/>
    <w:rsid w:val="009E0D5B"/>
    <w:rsid w:val="009E1558"/>
    <w:rsid w:val="00A42898"/>
    <w:rsid w:val="00A964E3"/>
    <w:rsid w:val="00AB6ACE"/>
    <w:rsid w:val="00AC5A3A"/>
    <w:rsid w:val="00AD6BB4"/>
    <w:rsid w:val="00AE0AE2"/>
    <w:rsid w:val="00AE6705"/>
    <w:rsid w:val="00B1443F"/>
    <w:rsid w:val="00B54CDF"/>
    <w:rsid w:val="00B808D8"/>
    <w:rsid w:val="00B82FA5"/>
    <w:rsid w:val="00B90025"/>
    <w:rsid w:val="00BC0D33"/>
    <w:rsid w:val="00BD1400"/>
    <w:rsid w:val="00BD196C"/>
    <w:rsid w:val="00BD605C"/>
    <w:rsid w:val="00BE2A76"/>
    <w:rsid w:val="00C520EE"/>
    <w:rsid w:val="00C65E60"/>
    <w:rsid w:val="00C95D35"/>
    <w:rsid w:val="00CB0288"/>
    <w:rsid w:val="00CE5A52"/>
    <w:rsid w:val="00CF7AF3"/>
    <w:rsid w:val="00D26ADA"/>
    <w:rsid w:val="00D35A78"/>
    <w:rsid w:val="00D555A1"/>
    <w:rsid w:val="00D64DC2"/>
    <w:rsid w:val="00DA46CA"/>
    <w:rsid w:val="00DE7061"/>
    <w:rsid w:val="00DF21EB"/>
    <w:rsid w:val="00DF3A79"/>
    <w:rsid w:val="00E20E70"/>
    <w:rsid w:val="00E25B68"/>
    <w:rsid w:val="00E65DD1"/>
    <w:rsid w:val="00E84003"/>
    <w:rsid w:val="00EC10FC"/>
    <w:rsid w:val="00EE0041"/>
    <w:rsid w:val="00EE29B9"/>
    <w:rsid w:val="00EF5DCA"/>
    <w:rsid w:val="00EF7E67"/>
    <w:rsid w:val="00F004EE"/>
    <w:rsid w:val="00F041CD"/>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ard">
    <w:name w:val="Normal"/>
    <w:uiPriority w:val="49"/>
    <w:rsid w:val="00CF7AF3"/>
    <w:pPr>
      <w:overflowPunct w:val="0"/>
      <w:autoSpaceDE w:val="0"/>
      <w:autoSpaceDN w:val="0"/>
      <w:adjustRightInd w:val="0"/>
      <w:textAlignment w:val="baseline"/>
    </w:pPr>
    <w:rPr>
      <w:sz w:val="22"/>
      <w:lang w:eastAsia="en-US"/>
    </w:rPr>
  </w:style>
  <w:style w:type="paragraph" w:styleId="Kop1">
    <w:name w:val="heading 1"/>
    <w:aliases w:val="Paper title"/>
    <w:next w:val="Ondertitel"/>
    <w:link w:val="Kop1Char"/>
    <w:qFormat/>
    <w:rsid w:val="00EE29B9"/>
    <w:pPr>
      <w:spacing w:line="280" w:lineRule="atLeast"/>
      <w:ind w:left="567" w:right="567"/>
      <w:outlineLvl w:val="0"/>
    </w:pPr>
    <w:rPr>
      <w:rFonts w:ascii="Times New Roman Bold" w:hAnsi="Times New Roman Bold"/>
      <w:b/>
      <w:caps/>
      <w:sz w:val="24"/>
      <w:lang w:val="en-US" w:eastAsia="en-US"/>
    </w:rPr>
  </w:style>
  <w:style w:type="paragraph" w:styleId="Kop2">
    <w:name w:val="heading 2"/>
    <w:aliases w:val="1st level paper heading"/>
    <w:next w:val="Plattetekst"/>
    <w:link w:val="Kop2Char"/>
    <w:qFormat/>
    <w:rsid w:val="00EE0041"/>
    <w:pPr>
      <w:widowControl w:val="0"/>
      <w:spacing w:before="100" w:beforeAutospacing="1" w:after="100" w:afterAutospacing="1" w:line="280" w:lineRule="atLeast"/>
      <w:outlineLvl w:val="1"/>
    </w:pPr>
    <w:rPr>
      <w:caps/>
      <w:lang w:eastAsia="en-US"/>
    </w:rPr>
  </w:style>
  <w:style w:type="paragraph" w:styleId="Kop3">
    <w:name w:val="heading 3"/>
    <w:aliases w:val="2nd level paper heading"/>
    <w:next w:val="Plattetekst"/>
    <w:uiPriority w:val="4"/>
    <w:qFormat/>
    <w:rsid w:val="00897ED5"/>
    <w:pPr>
      <w:widowControl w:val="0"/>
      <w:numPr>
        <w:ilvl w:val="2"/>
        <w:numId w:val="12"/>
      </w:numPr>
      <w:spacing w:before="240" w:after="240" w:line="240" w:lineRule="exact"/>
      <w:outlineLvl w:val="2"/>
    </w:pPr>
    <w:rPr>
      <w:b/>
      <w:lang w:eastAsia="en-US"/>
    </w:rPr>
  </w:style>
  <w:style w:type="paragraph" w:styleId="Kop4">
    <w:name w:val="heading 4"/>
    <w:aliases w:val="3rd level paper heading"/>
    <w:basedOn w:val="Standaard"/>
    <w:next w:val="Platteteks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Kop5">
    <w:name w:val="heading 5"/>
    <w:basedOn w:val="Standaard"/>
    <w:next w:val="Standaard"/>
    <w:uiPriority w:val="19"/>
    <w:locked/>
    <w:pPr>
      <w:overflowPunct/>
      <w:autoSpaceDE/>
      <w:autoSpaceDN/>
      <w:adjustRightInd/>
      <w:spacing w:before="240" w:after="60"/>
      <w:textAlignment w:val="auto"/>
      <w:outlineLvl w:val="4"/>
    </w:pPr>
    <w:rPr>
      <w:b/>
      <w:bCs/>
      <w:i/>
      <w:iCs/>
      <w:sz w:val="26"/>
      <w:szCs w:val="26"/>
      <w:lang w:val="en-US"/>
    </w:rPr>
  </w:style>
  <w:style w:type="paragraph" w:styleId="Kop6">
    <w:name w:val="heading 6"/>
    <w:basedOn w:val="Standaard"/>
    <w:next w:val="Standaard"/>
    <w:uiPriority w:val="19"/>
    <w:locked/>
    <w:pPr>
      <w:overflowPunct/>
      <w:autoSpaceDE/>
      <w:autoSpaceDN/>
      <w:adjustRightInd/>
      <w:spacing w:before="240" w:after="60"/>
      <w:textAlignment w:val="auto"/>
      <w:outlineLvl w:val="5"/>
    </w:pPr>
    <w:rPr>
      <w:b/>
      <w:bCs/>
      <w:szCs w:val="22"/>
      <w:lang w:val="en-US"/>
    </w:rPr>
  </w:style>
  <w:style w:type="paragraph" w:styleId="Kop7">
    <w:name w:val="heading 7"/>
    <w:basedOn w:val="Standaard"/>
    <w:next w:val="Standaard"/>
    <w:uiPriority w:val="19"/>
    <w:locked/>
    <w:pPr>
      <w:overflowPunct/>
      <w:autoSpaceDE/>
      <w:autoSpaceDN/>
      <w:adjustRightInd/>
      <w:spacing w:before="240" w:after="60"/>
      <w:textAlignment w:val="auto"/>
      <w:outlineLvl w:val="6"/>
    </w:pPr>
    <w:rPr>
      <w:szCs w:val="24"/>
      <w:lang w:val="en-US"/>
    </w:rPr>
  </w:style>
  <w:style w:type="paragraph" w:styleId="Kop8">
    <w:name w:val="heading 8"/>
    <w:basedOn w:val="Standaard"/>
    <w:next w:val="Standaard"/>
    <w:uiPriority w:val="19"/>
    <w:locked/>
    <w:pPr>
      <w:overflowPunct/>
      <w:autoSpaceDE/>
      <w:autoSpaceDN/>
      <w:adjustRightInd/>
      <w:spacing w:before="240" w:after="60"/>
      <w:textAlignment w:val="auto"/>
      <w:outlineLvl w:val="7"/>
    </w:pPr>
    <w:rPr>
      <w:i/>
      <w:iCs/>
      <w:szCs w:val="24"/>
      <w:lang w:val="en-US"/>
    </w:rPr>
  </w:style>
  <w:style w:type="paragraph" w:styleId="Kop9">
    <w:name w:val="heading 9"/>
    <w:basedOn w:val="Standaard"/>
    <w:next w:val="Standaard"/>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link w:val="PlattetekstChar"/>
    <w:qFormat/>
    <w:rsid w:val="00647F33"/>
    <w:pPr>
      <w:spacing w:line="260" w:lineRule="atLeast"/>
      <w:ind w:firstLine="567"/>
      <w:contextualSpacing/>
      <w:jc w:val="both"/>
    </w:pPr>
    <w:rPr>
      <w:lang w:eastAsia="en-US"/>
    </w:rPr>
  </w:style>
  <w:style w:type="paragraph" w:styleId="Plattetekstinspringen">
    <w:name w:val="Body Text Indent"/>
    <w:basedOn w:val="Plattetekst"/>
    <w:uiPriority w:val="49"/>
    <w:locked/>
    <w:pPr>
      <w:ind w:left="1134" w:hanging="675"/>
    </w:pPr>
  </w:style>
  <w:style w:type="paragraph" w:customStyle="1" w:styleId="BodyTextMultiline">
    <w:name w:val="Body Text Multiline"/>
    <w:basedOn w:val="Platteteks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Bijschrift">
    <w:name w:val="caption"/>
    <w:next w:val="Standaard"/>
    <w:uiPriority w:val="49"/>
    <w:pPr>
      <w:spacing w:after="85"/>
    </w:pPr>
    <w:rPr>
      <w:bCs/>
      <w:sz w:val="18"/>
      <w:lang w:val="en-US" w:eastAsia="en-US"/>
    </w:rPr>
  </w:style>
  <w:style w:type="paragraph" w:styleId="Voettekst">
    <w:name w:val="footer"/>
    <w:basedOn w:val="Standaard"/>
    <w:link w:val="VoettekstChar"/>
    <w:uiPriority w:val="99"/>
    <w:locked/>
    <w:pPr>
      <w:overflowPunct/>
      <w:autoSpaceDE/>
      <w:autoSpaceDN/>
      <w:adjustRightInd/>
      <w:textAlignment w:val="auto"/>
    </w:pPr>
    <w:rPr>
      <w:sz w:val="2"/>
      <w:lang w:val="en-US"/>
    </w:rPr>
  </w:style>
  <w:style w:type="paragraph" w:styleId="Voetnoottekst">
    <w:name w:val="footnote text"/>
    <w:semiHidden/>
    <w:locked/>
    <w:pPr>
      <w:tabs>
        <w:tab w:val="left" w:pos="459"/>
      </w:tabs>
      <w:spacing w:before="142"/>
      <w:ind w:left="459"/>
      <w:jc w:val="both"/>
    </w:pPr>
    <w:rPr>
      <w:sz w:val="18"/>
      <w:lang w:eastAsia="en-US"/>
    </w:rPr>
  </w:style>
  <w:style w:type="paragraph" w:styleId="Koptekst">
    <w:name w:val="header"/>
    <w:next w:val="Platteteks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Plattetekst"/>
    <w:uiPriority w:val="6"/>
    <w:qFormat/>
    <w:rsid w:val="00717C6F"/>
    <w:pPr>
      <w:numPr>
        <w:numId w:val="20"/>
      </w:numPr>
    </w:pPr>
  </w:style>
  <w:style w:type="paragraph" w:customStyle="1" w:styleId="ListNumbered">
    <w:name w:val="List Numbered"/>
    <w:basedOn w:val="Plattetekst"/>
    <w:uiPriority w:val="5"/>
    <w:qFormat/>
    <w:locked/>
    <w:rsid w:val="00717C6F"/>
    <w:pPr>
      <w:numPr>
        <w:numId w:val="22"/>
      </w:numPr>
    </w:pPr>
  </w:style>
  <w:style w:type="paragraph" w:styleId="Titel">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ard"/>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ard"/>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Standaard"/>
    <w:uiPriority w:val="49"/>
    <w:locked/>
    <w:pPr>
      <w:keepNext/>
      <w:spacing w:after="10"/>
    </w:pPr>
    <w:rPr>
      <w:rFonts w:ascii="Arial" w:hAnsi="Arial"/>
      <w:b/>
      <w:sz w:val="13"/>
    </w:rPr>
  </w:style>
  <w:style w:type="paragraph" w:customStyle="1" w:styleId="zyxP1Footer">
    <w:name w:val="zyxP1_Footer"/>
    <w:basedOn w:val="Standaard"/>
    <w:uiPriority w:val="49"/>
    <w:locked/>
    <w:pPr>
      <w:widowControl w:val="0"/>
      <w:spacing w:line="160" w:lineRule="exact"/>
      <w:ind w:left="108"/>
    </w:pPr>
    <w:rPr>
      <w:sz w:val="14"/>
    </w:rPr>
  </w:style>
  <w:style w:type="paragraph" w:customStyle="1" w:styleId="zyxSensitivity">
    <w:name w:val="zyxSensitivity"/>
    <w:basedOn w:val="Standaard"/>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Standaard"/>
    <w:uiPriority w:val="49"/>
    <w:locked/>
    <w:pPr>
      <w:keepNext/>
      <w:spacing w:line="420" w:lineRule="exact"/>
    </w:pPr>
    <w:rPr>
      <w:rFonts w:ascii="Arial" w:hAnsi="Arial"/>
      <w:sz w:val="40"/>
    </w:rPr>
  </w:style>
  <w:style w:type="character" w:styleId="Voetnootmarkering">
    <w:name w:val="footnote reference"/>
    <w:basedOn w:val="Standaardalinea-lettertype"/>
    <w:semiHidden/>
    <w:locked/>
    <w:rPr>
      <w:vertAlign w:val="superscript"/>
    </w:rPr>
  </w:style>
  <w:style w:type="paragraph" w:styleId="Ondertitel">
    <w:name w:val="Subtitle"/>
    <w:next w:val="Platteteks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Plattetekst"/>
    <w:uiPriority w:val="49"/>
    <w:locked/>
    <w:pPr>
      <w:spacing w:line="280" w:lineRule="exact"/>
      <w:jc w:val="right"/>
    </w:pPr>
    <w:rPr>
      <w:rFonts w:ascii="Arial" w:hAnsi="Arial" w:cs="Arial"/>
      <w:b/>
      <w:bCs/>
      <w:caps/>
      <w:sz w:val="24"/>
    </w:rPr>
  </w:style>
  <w:style w:type="paragraph" w:customStyle="1" w:styleId="zyxClassification2">
    <w:name w:val="zyxClassification2"/>
    <w:basedOn w:val="Voettekst"/>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VoettekstChar">
    <w:name w:val="Voettekst Char"/>
    <w:basedOn w:val="Standaardalinea-lettertype"/>
    <w:link w:val="Voettekst"/>
    <w:uiPriority w:val="99"/>
    <w:rsid w:val="00037321"/>
    <w:rPr>
      <w:sz w:val="2"/>
      <w:lang w:val="en-US" w:eastAsia="en-US"/>
    </w:rPr>
  </w:style>
  <w:style w:type="paragraph" w:customStyle="1" w:styleId="Runninghead">
    <w:name w:val="Running head"/>
    <w:basedOn w:val="Standaard"/>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Standaardalinea-lettertype"/>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PlattetekstChar">
    <w:name w:val="Platte tekst Char"/>
    <w:basedOn w:val="Standaardalinea-lettertype"/>
    <w:link w:val="Plattetekst"/>
    <w:rsid w:val="00647F33"/>
    <w:rPr>
      <w:lang w:eastAsia="en-US"/>
    </w:rPr>
  </w:style>
  <w:style w:type="character" w:customStyle="1" w:styleId="AuthornameandaffiliationChar">
    <w:name w:val="Author name and affiliation Char"/>
    <w:basedOn w:val="PlattetekstChar"/>
    <w:link w:val="Authornameandaffiliation"/>
    <w:uiPriority w:val="49"/>
    <w:rsid w:val="00647F33"/>
    <w:rPr>
      <w:lang w:val="en-US" w:eastAsia="en-US"/>
    </w:rPr>
  </w:style>
  <w:style w:type="table" w:styleId="Tabelraster">
    <w:name w:val="Table Grid"/>
    <w:basedOn w:val="Standaardtabe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ntekst">
    <w:name w:val="Balloon Text"/>
    <w:basedOn w:val="Standaard"/>
    <w:link w:val="BallontekstChar"/>
    <w:uiPriority w:val="49"/>
    <w:locked/>
    <w:rsid w:val="005F00A0"/>
    <w:rPr>
      <w:rFonts w:ascii="Tahoma" w:hAnsi="Tahoma" w:cs="Tahoma"/>
      <w:sz w:val="16"/>
      <w:szCs w:val="16"/>
    </w:rPr>
  </w:style>
  <w:style w:type="character" w:customStyle="1" w:styleId="BallontekstChar">
    <w:name w:val="Ballontekst Char"/>
    <w:basedOn w:val="Standaardalinea-lettertype"/>
    <w:link w:val="Ballontekst"/>
    <w:uiPriority w:val="49"/>
    <w:rsid w:val="005F00A0"/>
    <w:rPr>
      <w:rFonts w:ascii="Tahoma" w:hAnsi="Tahoma" w:cs="Tahoma"/>
      <w:sz w:val="16"/>
      <w:szCs w:val="16"/>
      <w:lang w:eastAsia="en-US"/>
    </w:rPr>
  </w:style>
  <w:style w:type="paragraph" w:customStyle="1" w:styleId="Figurecaption">
    <w:name w:val="Figure caption"/>
    <w:basedOn w:val="Plattetekst"/>
    <w:link w:val="FigurecaptionChar"/>
    <w:uiPriority w:val="49"/>
    <w:qFormat/>
    <w:locked/>
    <w:rsid w:val="00717C6F"/>
    <w:pPr>
      <w:jc w:val="center"/>
    </w:pPr>
    <w:rPr>
      <w:i/>
      <w:sz w:val="18"/>
    </w:rPr>
  </w:style>
  <w:style w:type="paragraph" w:customStyle="1" w:styleId="Otherunnumberedheadings">
    <w:name w:val="Other unnumbered headings"/>
    <w:next w:val="Platteteks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PlattetekstChar"/>
    <w:link w:val="Figurecaption"/>
    <w:uiPriority w:val="49"/>
    <w:rsid w:val="00717C6F"/>
    <w:rPr>
      <w:i/>
      <w:sz w:val="18"/>
      <w:lang w:eastAsia="en-US"/>
    </w:rPr>
  </w:style>
  <w:style w:type="paragraph" w:customStyle="1" w:styleId="Referencelist">
    <w:name w:val="Reference list"/>
    <w:basedOn w:val="Platteteks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Platteteks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PlattetekstChar"/>
    <w:link w:val="Referencelist"/>
    <w:uiPriority w:val="49"/>
    <w:rsid w:val="009E0D5B"/>
    <w:rPr>
      <w:sz w:val="18"/>
      <w:szCs w:val="18"/>
      <w:lang w:eastAsia="en-US"/>
    </w:rPr>
  </w:style>
  <w:style w:type="paragraph" w:customStyle="1" w:styleId="Tabletext">
    <w:name w:val="Table text"/>
    <w:basedOn w:val="Plattetekst"/>
    <w:link w:val="TabletextChar"/>
    <w:uiPriority w:val="49"/>
    <w:qFormat/>
    <w:rsid w:val="00883848"/>
    <w:pPr>
      <w:ind w:firstLine="0"/>
    </w:pPr>
  </w:style>
  <w:style w:type="character" w:customStyle="1" w:styleId="TabletextChar">
    <w:name w:val="Table text Char"/>
    <w:basedOn w:val="PlattetekstChar"/>
    <w:link w:val="Tabletext"/>
    <w:uiPriority w:val="49"/>
    <w:rsid w:val="00883848"/>
    <w:rPr>
      <w:lang w:eastAsia="en-US"/>
    </w:rPr>
  </w:style>
  <w:style w:type="character" w:customStyle="1" w:styleId="Kop1Char">
    <w:name w:val="Kop 1 Char"/>
    <w:aliases w:val="Paper title Char"/>
    <w:basedOn w:val="Standaardalinea-lettertype"/>
    <w:link w:val="Kop1"/>
    <w:rsid w:val="00477B19"/>
    <w:rPr>
      <w:rFonts w:ascii="Times New Roman Bold" w:hAnsi="Times New Roman Bold"/>
      <w:b/>
      <w:caps/>
      <w:sz w:val="24"/>
      <w:lang w:val="en-US" w:eastAsia="en-US"/>
    </w:rPr>
  </w:style>
  <w:style w:type="character" w:customStyle="1" w:styleId="Kop2Char">
    <w:name w:val="Kop 2 Char"/>
    <w:aliases w:val="1st level paper heading Char"/>
    <w:basedOn w:val="Standaardalinea-lettertype"/>
    <w:link w:val="Kop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7</TotalTime>
  <Pages>2</Pages>
  <Words>546</Words>
  <Characters>3008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Verbeek, Peter-Paul (UT-BMS)</cp:lastModifiedBy>
  <cp:revision>3</cp:revision>
  <cp:lastPrinted>2015-12-01T10:27:00Z</cp:lastPrinted>
  <dcterms:created xsi:type="dcterms:W3CDTF">2021-10-06T08:50:00Z</dcterms:created>
  <dcterms:modified xsi:type="dcterms:W3CDTF">2021-10-06T09:41:00Z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