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21A06" w14:textId="3F87EB9B" w:rsidR="001057ED" w:rsidRDefault="001057ED" w:rsidP="001057ED">
      <w:pPr>
        <w:pStyle w:val="1"/>
      </w:pPr>
      <w:bookmarkStart w:id="0" w:name="_Hlk69130178"/>
      <w:r>
        <w:t>Development of ARKADIA-Design for Design</w:t>
      </w:r>
    </w:p>
    <w:p w14:paraId="7AAEF406" w14:textId="77777777" w:rsidR="001057ED" w:rsidRDefault="001057ED" w:rsidP="001057ED">
      <w:pPr>
        <w:pStyle w:val="1"/>
      </w:pPr>
      <w:r>
        <w:t xml:space="preserve">Optimization Support </w:t>
      </w:r>
    </w:p>
    <w:p w14:paraId="0FC4CB33" w14:textId="77777777" w:rsidR="00FD4EAB" w:rsidRDefault="001057ED" w:rsidP="001057ED">
      <w:pPr>
        <w:pStyle w:val="1"/>
        <w:rPr>
          <w:i/>
          <w:iCs/>
          <w:caps w:val="0"/>
        </w:rPr>
      </w:pPr>
      <w:r w:rsidRPr="001057ED">
        <w:rPr>
          <w:i/>
          <w:iCs/>
        </w:rPr>
        <w:t>A</w:t>
      </w:r>
      <w:r w:rsidRPr="001057ED">
        <w:rPr>
          <w:i/>
          <w:iCs/>
          <w:caps w:val="0"/>
        </w:rPr>
        <w:t xml:space="preserve">pplication of coupling </w:t>
      </w:r>
      <w:r w:rsidR="000747FA">
        <w:rPr>
          <w:i/>
          <w:iCs/>
          <w:caps w:val="0"/>
        </w:rPr>
        <w:t>method</w:t>
      </w:r>
      <w:r w:rsidRPr="001057ED">
        <w:rPr>
          <w:i/>
          <w:iCs/>
          <w:caps w:val="0"/>
        </w:rPr>
        <w:t xml:space="preserve"> using</w:t>
      </w:r>
    </w:p>
    <w:p w14:paraId="7F97E0E4" w14:textId="77777777" w:rsidR="00FD4EAB" w:rsidRDefault="001057ED" w:rsidP="001057ED">
      <w:pPr>
        <w:pStyle w:val="1"/>
        <w:rPr>
          <w:i/>
          <w:iCs/>
          <w:caps w:val="0"/>
        </w:rPr>
      </w:pPr>
      <w:r w:rsidRPr="001057ED">
        <w:rPr>
          <w:i/>
          <w:iCs/>
          <w:caps w:val="0"/>
        </w:rPr>
        <w:t xml:space="preserve">multi-level </w:t>
      </w:r>
      <w:r w:rsidR="000747FA">
        <w:rPr>
          <w:i/>
          <w:iCs/>
          <w:caps w:val="0"/>
        </w:rPr>
        <w:t>simulation</w:t>
      </w:r>
      <w:r w:rsidR="00FD4EAB">
        <w:rPr>
          <w:i/>
          <w:iCs/>
          <w:caps w:val="0"/>
        </w:rPr>
        <w:t xml:space="preserve"> </w:t>
      </w:r>
      <w:r w:rsidR="000747FA">
        <w:rPr>
          <w:i/>
          <w:iCs/>
          <w:caps w:val="0"/>
        </w:rPr>
        <w:t>technique</w:t>
      </w:r>
      <w:r w:rsidRPr="001057ED">
        <w:rPr>
          <w:i/>
          <w:iCs/>
          <w:caps w:val="0"/>
        </w:rPr>
        <w:t xml:space="preserve"> for</w:t>
      </w:r>
    </w:p>
    <w:p w14:paraId="433FE03C" w14:textId="009B82F1" w:rsidR="00E20E70" w:rsidRPr="001057ED" w:rsidRDefault="001057ED" w:rsidP="001057ED">
      <w:pPr>
        <w:pStyle w:val="1"/>
        <w:rPr>
          <w:i/>
          <w:iCs/>
        </w:rPr>
      </w:pPr>
      <w:r w:rsidRPr="001057ED">
        <w:rPr>
          <w:i/>
          <w:iCs/>
          <w:caps w:val="0"/>
        </w:rPr>
        <w:t xml:space="preserve">plant </w:t>
      </w:r>
      <w:r w:rsidR="000747FA">
        <w:rPr>
          <w:i/>
          <w:iCs/>
          <w:caps w:val="0"/>
        </w:rPr>
        <w:t>thermal-hydraulics analysis</w:t>
      </w:r>
    </w:p>
    <w:p w14:paraId="433FE03F" w14:textId="77777777" w:rsidR="00802381" w:rsidRDefault="00802381" w:rsidP="00537496">
      <w:pPr>
        <w:pStyle w:val="Authornameandaffiliation"/>
      </w:pPr>
    </w:p>
    <w:p w14:paraId="433FE040" w14:textId="0E56CA75" w:rsidR="003B5E0E" w:rsidRDefault="001057ED" w:rsidP="00537496">
      <w:pPr>
        <w:pStyle w:val="Authornameandaffiliation"/>
      </w:pPr>
      <w:r>
        <w:t>N. DODA</w:t>
      </w:r>
      <w:r w:rsidRPr="00003206">
        <w:rPr>
          <w:vertAlign w:val="superscript"/>
        </w:rPr>
        <w:t>1</w:t>
      </w:r>
      <w:r>
        <w:t>, K. YOSHIMURA</w:t>
      </w:r>
      <w:r w:rsidRPr="00003206">
        <w:rPr>
          <w:vertAlign w:val="superscript"/>
        </w:rPr>
        <w:t>1</w:t>
      </w:r>
      <w:r>
        <w:t>, E. HAMASE</w:t>
      </w:r>
      <w:r w:rsidRPr="00003206">
        <w:rPr>
          <w:vertAlign w:val="superscript"/>
        </w:rPr>
        <w:t>1</w:t>
      </w:r>
      <w:r>
        <w:t>, K. YOKOYAMA</w:t>
      </w:r>
      <w:r w:rsidRPr="00003206">
        <w:rPr>
          <w:vertAlign w:val="superscript"/>
        </w:rPr>
        <w:t>1</w:t>
      </w:r>
      <w:r>
        <w:t>, T. UWABA</w:t>
      </w:r>
      <w:r w:rsidRPr="00003206">
        <w:rPr>
          <w:vertAlign w:val="superscript"/>
        </w:rPr>
        <w:t>1</w:t>
      </w:r>
      <w:r>
        <w:t>, and M. TANAKA</w:t>
      </w:r>
      <w:r w:rsidRPr="00003206">
        <w:rPr>
          <w:vertAlign w:val="superscript"/>
        </w:rPr>
        <w:t>1</w:t>
      </w:r>
    </w:p>
    <w:p w14:paraId="433FE042" w14:textId="4E9F18A6" w:rsidR="00FF386F" w:rsidRDefault="001057ED" w:rsidP="00537496">
      <w:pPr>
        <w:pStyle w:val="Authornameandaffiliation"/>
      </w:pPr>
      <w:r>
        <w:rPr>
          <w:vertAlign w:val="superscript"/>
        </w:rPr>
        <w:t>1</w:t>
      </w:r>
      <w:r>
        <w:t>Japan Atomic Energy Agency, Oarai, Ibaraki</w:t>
      </w:r>
      <w:r w:rsidR="00FF386F">
        <w:t xml:space="preserve">, </w:t>
      </w:r>
      <w:r>
        <w:t>Japan</w:t>
      </w:r>
    </w:p>
    <w:p w14:paraId="4914FDE2" w14:textId="77777777" w:rsidR="001057ED" w:rsidRDefault="001057ED" w:rsidP="00537496">
      <w:pPr>
        <w:pStyle w:val="Authornameandaffiliation"/>
      </w:pPr>
    </w:p>
    <w:p w14:paraId="107A145D" w14:textId="40F37FA8" w:rsidR="00003206" w:rsidRDefault="00FF386F" w:rsidP="00127CD7">
      <w:pPr>
        <w:pStyle w:val="Authornameandaffiliation"/>
      </w:pPr>
      <w:r>
        <w:t>Email</w:t>
      </w:r>
      <w:r w:rsidR="001057ED">
        <w:t xml:space="preserve"> contact of corresponding author</w:t>
      </w:r>
      <w:r>
        <w:t xml:space="preserve">: </w:t>
      </w:r>
      <w:r w:rsidR="001057ED">
        <w:t>doda.norihiro@jaea.go.jp</w:t>
      </w:r>
    </w:p>
    <w:bookmarkEnd w:id="0"/>
    <w:p w14:paraId="2FBFF294" w14:textId="6C40243E" w:rsidR="000B1F53" w:rsidRPr="00C96C64" w:rsidRDefault="000B1F53" w:rsidP="000B1F53">
      <w:pPr>
        <w:pStyle w:val="2"/>
        <w:numPr>
          <w:ilvl w:val="1"/>
          <w:numId w:val="35"/>
        </w:numPr>
      </w:pPr>
      <w:r w:rsidRPr="00C96C64">
        <w:t>INTRODUCTION</w:t>
      </w:r>
    </w:p>
    <w:p w14:paraId="0E3DF79F" w14:textId="6010B031" w:rsidR="005E23B2" w:rsidRDefault="000747FA" w:rsidP="00A67ED7">
      <w:pPr>
        <w:pStyle w:val="a1"/>
      </w:pPr>
      <w:r>
        <w:t>To design</w:t>
      </w:r>
      <w:r w:rsidR="00A67ED7" w:rsidRPr="00C96C64">
        <w:t xml:space="preserve"> advanced nuclear reactors as a safe, economic, and sustainable carbon-free energy source, Japan Atomic Energy Agency </w:t>
      </w:r>
      <w:r w:rsidR="005E23B2" w:rsidRPr="00C96C64">
        <w:t xml:space="preserve">(JAEA) </w:t>
      </w:r>
      <w:r w:rsidR="00A67ED7" w:rsidRPr="00C96C64">
        <w:t xml:space="preserve">has begun the development of </w:t>
      </w:r>
      <w:r w:rsidR="00002BD0" w:rsidRPr="00C96C64">
        <w:t xml:space="preserve">the </w:t>
      </w:r>
      <w:r>
        <w:t>“</w:t>
      </w:r>
      <w:r w:rsidR="00A67ED7" w:rsidRPr="00C96C64">
        <w:t>Advanced Reactor Knowledge- and AI-aided Design Integration Approach through the whole plant lifecycle (ARKADIA</w:t>
      </w:r>
      <w:r>
        <w:t xml:space="preserve">)” </w:t>
      </w:r>
      <w:r w:rsidR="00A67ED7" w:rsidRPr="00432593">
        <w:t>[1].</w:t>
      </w:r>
      <w:r w:rsidR="00A67ED7" w:rsidRPr="00C96C64">
        <w:t xml:space="preserve"> The development </w:t>
      </w:r>
      <w:r>
        <w:t xml:space="preserve">is </w:t>
      </w:r>
      <w:r w:rsidR="00A67ED7" w:rsidRPr="00C96C64">
        <w:t xml:space="preserve">done in two phases: ARKADIA-Design </w:t>
      </w:r>
      <w:r w:rsidR="00A67ED7" w:rsidRPr="00432593">
        <w:t>[2]</w:t>
      </w:r>
      <w:r w:rsidR="00A67ED7" w:rsidRPr="00C96C64">
        <w:t xml:space="preserve"> and ARKADIA-Safety which respectively deal with </w:t>
      </w:r>
      <w:r>
        <w:t xml:space="preserve">the </w:t>
      </w:r>
      <w:r w:rsidR="00A67ED7" w:rsidRPr="00C96C64">
        <w:t xml:space="preserve">design and </w:t>
      </w:r>
      <w:r>
        <w:t xml:space="preserve">the </w:t>
      </w:r>
      <w:r w:rsidR="00A67ED7" w:rsidRPr="00C96C64">
        <w:t xml:space="preserve">safety </w:t>
      </w:r>
      <w:r>
        <w:t xml:space="preserve">problems </w:t>
      </w:r>
      <w:r w:rsidR="00543693" w:rsidRPr="00C96C64">
        <w:t xml:space="preserve">of </w:t>
      </w:r>
      <w:r>
        <w:t xml:space="preserve">the </w:t>
      </w:r>
      <w:r w:rsidR="00E77D0E" w:rsidRPr="00C96C64">
        <w:t>advanced</w:t>
      </w:r>
      <w:r w:rsidR="00543693" w:rsidRPr="00C96C64">
        <w:t xml:space="preserve"> nuclear reactor </w:t>
      </w:r>
      <w:r w:rsidR="00A67ED7" w:rsidRPr="00C96C64">
        <w:t xml:space="preserve">will be constructed independently till the end of FY2023 and they will be merged into one </w:t>
      </w:r>
      <w:r>
        <w:t xml:space="preserve">system, </w:t>
      </w:r>
      <w:r w:rsidR="00A67ED7" w:rsidRPr="00C96C64">
        <w:t>ARKADIA</w:t>
      </w:r>
      <w:r>
        <w:t xml:space="preserve">, </w:t>
      </w:r>
      <w:r w:rsidR="00A67ED7" w:rsidRPr="00C96C64">
        <w:t>in the second phase till the end of FY2028. ARKADIA-Design offers functions to support design optimization both in normal operating conditions and design basis events mainly during the conceptual design stage in the fields of core design, plant structure design including thermal-hydraulics analysis, and maintenance plan</w:t>
      </w:r>
      <w:r>
        <w:t xml:space="preserve"> optimization</w:t>
      </w:r>
      <w:r w:rsidR="00A67ED7" w:rsidRPr="00C96C64">
        <w:t>.</w:t>
      </w:r>
      <w:r w:rsidR="00F07B90" w:rsidRPr="00C96C64">
        <w:rPr>
          <w:rFonts w:hint="eastAsia"/>
          <w:lang w:eastAsia="ja-JP"/>
        </w:rPr>
        <w:t xml:space="preserve"> </w:t>
      </w:r>
      <w:r>
        <w:rPr>
          <w:lang w:eastAsia="ja-JP"/>
        </w:rPr>
        <w:t xml:space="preserve">For the design optimization, </w:t>
      </w:r>
      <w:r w:rsidR="00A67ED7" w:rsidRPr="00C96C64">
        <w:t>various numerical analyses</w:t>
      </w:r>
      <w:r>
        <w:t xml:space="preserve"> </w:t>
      </w:r>
      <w:r>
        <w:rPr>
          <w:lang w:eastAsia="ja-JP"/>
        </w:rPr>
        <w:t>must</w:t>
      </w:r>
      <w:r w:rsidRPr="00C96C64">
        <w:t xml:space="preserve"> </w:t>
      </w:r>
      <w:r>
        <w:t xml:space="preserve">be </w:t>
      </w:r>
      <w:r w:rsidRPr="00C96C64">
        <w:t>conduct</w:t>
      </w:r>
      <w:r>
        <w:t>ed</w:t>
      </w:r>
      <w:r w:rsidR="00A67ED7" w:rsidRPr="00C96C64">
        <w:t xml:space="preserve"> using </w:t>
      </w:r>
      <w:r>
        <w:t xml:space="preserve">the </w:t>
      </w:r>
      <w:r w:rsidR="00A67ED7" w:rsidRPr="00C96C64">
        <w:t>one-dimensional plant dynamics analysis (1D) code which</w:t>
      </w:r>
      <w:r>
        <w:t xml:space="preserve"> evaluates</w:t>
      </w:r>
      <w:r w:rsidR="00A67ED7" w:rsidRPr="00C96C64">
        <w:t xml:space="preserve"> various design options and </w:t>
      </w:r>
      <w:r>
        <w:t xml:space="preserve">the </w:t>
      </w:r>
      <w:r w:rsidR="00A67ED7" w:rsidRPr="00C96C64">
        <w:t xml:space="preserve">multi-dimensional analysis code which evaluates local phenomena in detail. In the conventional design procedure, for instance, to find the core specifications that satisfy the feasible conditions and achieve the maximum core performance, physical phenomena </w:t>
      </w:r>
      <w:r>
        <w:t xml:space="preserve">in the core </w:t>
      </w:r>
      <w:r w:rsidR="00543693" w:rsidRPr="00C96C64">
        <w:t xml:space="preserve">have been </w:t>
      </w:r>
      <w:r w:rsidR="00316F5C" w:rsidRPr="00C96C64">
        <w:t>analy</w:t>
      </w:r>
      <w:r w:rsidR="00316F5C">
        <w:t>s</w:t>
      </w:r>
      <w:r w:rsidR="00316F5C" w:rsidRPr="00C96C64">
        <w:t xml:space="preserve">ed </w:t>
      </w:r>
      <w:r w:rsidR="00A67ED7" w:rsidRPr="00C96C64">
        <w:t xml:space="preserve">individually </w:t>
      </w:r>
      <w:r>
        <w:t xml:space="preserve">using the </w:t>
      </w:r>
      <w:r w:rsidRPr="000747FA">
        <w:t xml:space="preserve">models in </w:t>
      </w:r>
      <w:r w:rsidR="00A67ED7" w:rsidRPr="000747FA">
        <w:t xml:space="preserve">different scales and fields where </w:t>
      </w:r>
      <w:r w:rsidRPr="000747FA">
        <w:t>a certain amount of the conservativeness</w:t>
      </w:r>
      <w:r>
        <w:t xml:space="preserve"> </w:t>
      </w:r>
      <w:r w:rsidRPr="000747FA">
        <w:t>is included at the boundary conditions in each analysis</w:t>
      </w:r>
      <w:r w:rsidR="008460E9">
        <w:rPr>
          <w:rFonts w:hint="eastAsia"/>
          <w:lang w:eastAsia="ja-JP"/>
        </w:rPr>
        <w:t>.</w:t>
      </w:r>
      <w:r>
        <w:t xml:space="preserve"> </w:t>
      </w:r>
      <w:r w:rsidR="00A67ED7" w:rsidRPr="00C96C64">
        <w:t xml:space="preserve">Hence, the core specifications </w:t>
      </w:r>
      <w:r>
        <w:t xml:space="preserve">as the solution </w:t>
      </w:r>
      <w:r w:rsidR="00A67ED7" w:rsidRPr="00C96C64">
        <w:t xml:space="preserve">tend to be conservative. ARKADIA-Design, therefore, performs a whole plant analysis based on the multi-level simulation (MLS) technique in which the analysis codes </w:t>
      </w:r>
      <w:r>
        <w:t xml:space="preserve">with the </w:t>
      </w:r>
      <w:r w:rsidRPr="00C96C64">
        <w:t>resolution</w:t>
      </w:r>
      <w:r>
        <w:t xml:space="preserve"> required by the user </w:t>
      </w:r>
      <w:r w:rsidR="00A67ED7" w:rsidRPr="00C96C64">
        <w:t xml:space="preserve">are coupled to simulate the phenomena. For </w:t>
      </w:r>
      <w:r>
        <w:t xml:space="preserve">the </w:t>
      </w:r>
      <w:r w:rsidR="00A67ED7" w:rsidRPr="00C96C64">
        <w:t>MLS technique, at present, three</w:t>
      </w:r>
      <w:r w:rsidRPr="00C96C64">
        <w:t xml:space="preserve"> coupl</w:t>
      </w:r>
      <w:r>
        <w:t>ing methods are implemented in the ARKADIA-Design</w:t>
      </w:r>
      <w:r w:rsidR="00A67ED7" w:rsidRPr="00C96C64">
        <w:t>: (1) the coupling method with 1D and computational fluid dynamics analysis</w:t>
      </w:r>
      <w:r w:rsidR="005C30C9" w:rsidRPr="00C96C64">
        <w:t xml:space="preserve"> </w:t>
      </w:r>
      <w:r>
        <w:t xml:space="preserve">(CFD) </w:t>
      </w:r>
      <w:r w:rsidR="00A67ED7" w:rsidRPr="00C96C64">
        <w:t xml:space="preserve">to predict the effect of multi-dimensional thermal-hydraulics phenomena in </w:t>
      </w:r>
      <w:r w:rsidR="007233EE" w:rsidRPr="00C96C64">
        <w:t xml:space="preserve">local components </w:t>
      </w:r>
      <w:r w:rsidR="00A67ED7" w:rsidRPr="00C96C64">
        <w:t xml:space="preserve">on the whole plant dynamics, (2) the coupling method with the core thermal-hydraulics analysis in </w:t>
      </w:r>
      <w:r w:rsidR="00990AA6">
        <w:t xml:space="preserve">the </w:t>
      </w:r>
      <w:r w:rsidR="00A67ED7" w:rsidRPr="00C96C64">
        <w:t xml:space="preserve">1D code, neutronics calculation, and core structural mechanics analysis to evaluate core deformation reactivity feedback, and (3) the coupling method with 1D and subchannel thermal-hydraulics </w:t>
      </w:r>
      <w:r w:rsidR="00990AA6" w:rsidRPr="00C96C64">
        <w:t>analys</w:t>
      </w:r>
      <w:r w:rsidR="00990AA6">
        <w:t>e</w:t>
      </w:r>
      <w:r w:rsidR="00990AA6" w:rsidRPr="00C96C64">
        <w:t xml:space="preserve">s </w:t>
      </w:r>
      <w:r w:rsidR="00A67ED7" w:rsidRPr="00C96C64">
        <w:t xml:space="preserve">to evaluate detailed temperature distribution in a subassembly with thermal interaction between adjacent subassemblies and to offer the detail wrapper tube temperature distribution for accurate prediction of core deformation. </w:t>
      </w:r>
      <w:r w:rsidR="005E23B2" w:rsidRPr="00C96C64">
        <w:t>T</w:t>
      </w:r>
      <w:r w:rsidR="00A67ED7" w:rsidRPr="00C96C64">
        <w:t>his paper</w:t>
      </w:r>
      <w:r w:rsidR="00277296" w:rsidRPr="00C96C64">
        <w:rPr>
          <w:lang w:eastAsia="ja-JP"/>
        </w:rPr>
        <w:t xml:space="preserve"> outline</w:t>
      </w:r>
      <w:r w:rsidR="005E23B2" w:rsidRPr="00C96C64">
        <w:rPr>
          <w:lang w:eastAsia="ja-JP"/>
        </w:rPr>
        <w:t>s</w:t>
      </w:r>
      <w:r w:rsidR="00277296" w:rsidRPr="00C96C64">
        <w:rPr>
          <w:lang w:eastAsia="ja-JP"/>
        </w:rPr>
        <w:t xml:space="preserve"> </w:t>
      </w:r>
      <w:r w:rsidR="00A67ED7" w:rsidRPr="00C96C64">
        <w:t>the</w:t>
      </w:r>
      <w:r>
        <w:t>se</w:t>
      </w:r>
      <w:r w:rsidR="00A67ED7" w:rsidRPr="00C96C64">
        <w:t xml:space="preserve"> coupling methods </w:t>
      </w:r>
      <w:r w:rsidR="00277296" w:rsidRPr="00C96C64">
        <w:t xml:space="preserve">in ARKADIA-Design and </w:t>
      </w:r>
      <w:r>
        <w:t xml:space="preserve">presents </w:t>
      </w:r>
      <w:r w:rsidR="00277296" w:rsidRPr="00C96C64">
        <w:t xml:space="preserve">the numerical </w:t>
      </w:r>
      <w:r>
        <w:t xml:space="preserve">result </w:t>
      </w:r>
      <w:r w:rsidR="00A67ED7" w:rsidRPr="00C96C64">
        <w:t xml:space="preserve">of the </w:t>
      </w:r>
      <w:r w:rsidRPr="00C96C64">
        <w:t xml:space="preserve">1D-CFD coupling method </w:t>
      </w:r>
      <w:r>
        <w:t xml:space="preserve">for the </w:t>
      </w:r>
      <w:r w:rsidR="00A67ED7" w:rsidRPr="00C96C64">
        <w:t>experimental fast breeder reactor EBR-II tests</w:t>
      </w:r>
      <w:r w:rsidR="00C151D7" w:rsidRPr="00C96C64">
        <w:t xml:space="preserve"> </w:t>
      </w:r>
      <w:r w:rsidR="00C151D7" w:rsidRPr="00736FD4">
        <w:t>[</w:t>
      </w:r>
      <w:r w:rsidR="00C151D7" w:rsidRPr="00736FD4">
        <w:rPr>
          <w:rFonts w:hint="eastAsia"/>
          <w:lang w:eastAsia="ja-JP"/>
        </w:rPr>
        <w:t>3</w:t>
      </w:r>
      <w:r w:rsidR="00C151D7" w:rsidRPr="00736FD4">
        <w:t>]</w:t>
      </w:r>
      <w:r>
        <w:t xml:space="preserve"> as a representative example of the numerical analysis in ARKADIA-Design</w:t>
      </w:r>
      <w:r w:rsidR="00A67ED7" w:rsidRPr="00C96C64">
        <w:t>.</w:t>
      </w:r>
    </w:p>
    <w:p w14:paraId="136615B6" w14:textId="57ED5E61" w:rsidR="00E30C96" w:rsidRPr="00C96C64" w:rsidRDefault="00E30C96" w:rsidP="00E30C96">
      <w:pPr>
        <w:pStyle w:val="2"/>
        <w:numPr>
          <w:ilvl w:val="1"/>
          <w:numId w:val="35"/>
        </w:numPr>
      </w:pPr>
      <w:r w:rsidRPr="00C96C64">
        <w:rPr>
          <w:lang w:eastAsia="ja-JP"/>
        </w:rPr>
        <w:t>COUPLING ANALYSIS METHODS</w:t>
      </w:r>
      <w:r w:rsidR="005123A6" w:rsidRPr="00C96C64">
        <w:rPr>
          <w:lang w:eastAsia="ja-JP"/>
        </w:rPr>
        <w:t xml:space="preserve"> IN ARKADIA-DESIGN</w:t>
      </w:r>
    </w:p>
    <w:p w14:paraId="3F8AF8DF" w14:textId="3D3FC328" w:rsidR="000747FA" w:rsidRPr="00637257" w:rsidRDefault="005E23B2" w:rsidP="00611D1C">
      <w:pPr>
        <w:pStyle w:val="a1"/>
        <w:rPr>
          <w:lang w:eastAsia="ja-JP"/>
        </w:rPr>
      </w:pPr>
      <w:r w:rsidRPr="00637257">
        <w:t>I</w:t>
      </w:r>
      <w:r w:rsidR="002151C6" w:rsidRPr="00637257">
        <w:t xml:space="preserve">n the ARKADIA-Design, any numerical analysis codes can be used to build a virtual plant based on the MLS technique by coupling </w:t>
      </w:r>
      <w:r w:rsidR="000902C2" w:rsidRPr="00637257">
        <w:t xml:space="preserve">code </w:t>
      </w:r>
      <w:r w:rsidR="002151C6" w:rsidRPr="00637257">
        <w:t>analyses</w:t>
      </w:r>
      <w:r w:rsidR="000902C2" w:rsidRPr="00637257">
        <w:t xml:space="preserve">, whose level of detail is determined depending on </w:t>
      </w:r>
      <w:r w:rsidR="000747FA" w:rsidRPr="00637257">
        <w:t xml:space="preserve">the </w:t>
      </w:r>
      <w:r w:rsidR="002151C6" w:rsidRPr="00637257">
        <w:t>user’s requirements including the objective, accuracy, and region of interest. In the ML</w:t>
      </w:r>
      <w:r w:rsidR="00E77D0E" w:rsidRPr="00637257">
        <w:rPr>
          <w:rFonts w:hint="eastAsia"/>
          <w:lang w:eastAsia="ja-JP"/>
        </w:rPr>
        <w:t>S</w:t>
      </w:r>
      <w:r w:rsidR="002151C6" w:rsidRPr="00637257">
        <w:t xml:space="preserve"> approach, the models at different degrees of resolution are employed </w:t>
      </w:r>
      <w:r w:rsidR="000747FA" w:rsidRPr="00637257">
        <w:t xml:space="preserve">in the decomposed domains, </w:t>
      </w:r>
      <w:r w:rsidR="002151C6" w:rsidRPr="00637257">
        <w:t xml:space="preserve">and the </w:t>
      </w:r>
      <w:r w:rsidR="000747FA" w:rsidRPr="00637257">
        <w:t xml:space="preserve">models at different </w:t>
      </w:r>
      <w:r w:rsidR="002151C6" w:rsidRPr="00637257">
        <w:t>resolution</w:t>
      </w:r>
      <w:r w:rsidR="000747FA" w:rsidRPr="00637257">
        <w:t>s</w:t>
      </w:r>
      <w:r w:rsidR="002151C6" w:rsidRPr="00637257">
        <w:t xml:space="preserve"> depending on the requirements by </w:t>
      </w:r>
      <w:r w:rsidR="00D1009B" w:rsidRPr="00637257">
        <w:t xml:space="preserve">a </w:t>
      </w:r>
      <w:r w:rsidR="002151C6" w:rsidRPr="00637257">
        <w:t>user</w:t>
      </w:r>
      <w:r w:rsidR="000747FA" w:rsidRPr="00637257">
        <w:t xml:space="preserve"> can be </w:t>
      </w:r>
      <w:r w:rsidR="000747FA" w:rsidRPr="00637257">
        <w:rPr>
          <w:rFonts w:hint="eastAsia"/>
          <w:lang w:eastAsia="ja-JP"/>
        </w:rPr>
        <w:t>coupled</w:t>
      </w:r>
      <w:r w:rsidR="002151C6" w:rsidRPr="00637257">
        <w:t>.</w:t>
      </w:r>
      <w:r w:rsidR="00B730CC" w:rsidRPr="00637257">
        <w:t xml:space="preserve"> The </w:t>
      </w:r>
      <w:r w:rsidR="00DF407C" w:rsidRPr="00637257">
        <w:t xml:space="preserve">numerical </w:t>
      </w:r>
      <w:r w:rsidR="00B730CC" w:rsidRPr="00637257">
        <w:t xml:space="preserve">analysis </w:t>
      </w:r>
      <w:r w:rsidR="00DF407C" w:rsidRPr="00637257">
        <w:rPr>
          <w:rFonts w:hint="eastAsia"/>
          <w:lang w:eastAsia="ja-JP"/>
        </w:rPr>
        <w:t>o</w:t>
      </w:r>
      <w:r w:rsidR="00DF407C" w:rsidRPr="00637257">
        <w:rPr>
          <w:lang w:eastAsia="ja-JP"/>
        </w:rPr>
        <w:t xml:space="preserve">ption </w:t>
      </w:r>
      <w:r w:rsidR="00B730CC" w:rsidRPr="00637257">
        <w:t xml:space="preserve">can be </w:t>
      </w:r>
      <w:r w:rsidR="00DF407C" w:rsidRPr="00637257">
        <w:t xml:space="preserve">selected in the </w:t>
      </w:r>
      <w:r w:rsidR="00B730CC" w:rsidRPr="00637257">
        <w:t xml:space="preserve">single analysis using 1D code for efficient analysis, </w:t>
      </w:r>
      <w:r w:rsidR="00DF407C" w:rsidRPr="00637257">
        <w:t xml:space="preserve">the </w:t>
      </w:r>
      <w:r w:rsidR="00B730CC" w:rsidRPr="00637257">
        <w:t xml:space="preserve">single analysis using CFD </w:t>
      </w:r>
      <w:r w:rsidR="007A3325" w:rsidRPr="00637257">
        <w:t xml:space="preserve">code </w:t>
      </w:r>
      <w:r w:rsidR="00B730CC" w:rsidRPr="00637257">
        <w:t xml:space="preserve">for detailed analysis, and </w:t>
      </w:r>
      <w:r w:rsidR="00DF407C" w:rsidRPr="00637257">
        <w:t xml:space="preserve">the </w:t>
      </w:r>
      <w:r w:rsidR="00B730CC" w:rsidRPr="00637257">
        <w:t>coupled analysis using 1D and CFD</w:t>
      </w:r>
      <w:r w:rsidR="007A3325" w:rsidRPr="00637257">
        <w:t xml:space="preserve"> codes</w:t>
      </w:r>
      <w:r w:rsidR="00B730CC" w:rsidRPr="00637257">
        <w:t>.</w:t>
      </w:r>
      <w:r w:rsidR="009A1712" w:rsidRPr="00637257">
        <w:rPr>
          <w:rFonts w:hint="eastAsia"/>
          <w:lang w:eastAsia="ja-JP"/>
        </w:rPr>
        <w:t xml:space="preserve"> </w:t>
      </w:r>
      <w:r w:rsidR="00D70666" w:rsidRPr="00637257">
        <w:rPr>
          <w:rFonts w:hint="eastAsia"/>
          <w:lang w:eastAsia="ja-JP"/>
        </w:rPr>
        <w:t>T</w:t>
      </w:r>
      <w:r w:rsidR="00996D5B" w:rsidRPr="00637257">
        <w:t xml:space="preserve">he domain </w:t>
      </w:r>
      <w:r w:rsidR="008C1F0A" w:rsidRPr="00637257">
        <w:t xml:space="preserve">assignment </w:t>
      </w:r>
      <w:r w:rsidR="008460E9" w:rsidRPr="00637257">
        <w:t xml:space="preserve">is </w:t>
      </w:r>
      <w:r w:rsidR="008C1F0A" w:rsidRPr="00637257">
        <w:t xml:space="preserve">based on the separate domain </w:t>
      </w:r>
      <w:r w:rsidR="00996D5B" w:rsidRPr="00637257">
        <w:t>approach</w:t>
      </w:r>
      <w:r w:rsidR="00D70666" w:rsidRPr="00637257">
        <w:t>, in which</w:t>
      </w:r>
      <w:r w:rsidR="000747FA" w:rsidRPr="00637257">
        <w:t xml:space="preserve"> </w:t>
      </w:r>
      <w:r w:rsidR="00996D5B" w:rsidRPr="00637257">
        <w:t xml:space="preserve">domains of interest treated by the different codes </w:t>
      </w:r>
      <w:r w:rsidR="000747FA" w:rsidRPr="00637257">
        <w:t xml:space="preserve">at different resolution levels </w:t>
      </w:r>
      <w:r w:rsidR="00996D5B" w:rsidRPr="00637257">
        <w:t>are not overlapped. The boundaries at the inlet and outlet of each domain are connected to those of the other domain.</w:t>
      </w:r>
      <w:r w:rsidR="00A35C00" w:rsidRPr="00637257">
        <w:t xml:space="preserve"> </w:t>
      </w:r>
      <w:r w:rsidR="008C1F0A" w:rsidRPr="00637257">
        <w:t xml:space="preserve">For the time synchronization of the </w:t>
      </w:r>
      <w:r w:rsidR="00D15941" w:rsidRPr="00637257">
        <w:t xml:space="preserve">coupled </w:t>
      </w:r>
      <w:r w:rsidR="008C1F0A" w:rsidRPr="00637257">
        <w:t>codes, the sequential two-way coupling method [4]</w:t>
      </w:r>
      <w:r w:rsidR="007A3325" w:rsidRPr="00637257">
        <w:t xml:space="preserve"> </w:t>
      </w:r>
      <w:r w:rsidR="008460E9" w:rsidRPr="00637257">
        <w:t xml:space="preserve">is </w:t>
      </w:r>
      <w:r w:rsidR="008C1F0A" w:rsidRPr="00637257">
        <w:t xml:space="preserve">employed as a base </w:t>
      </w:r>
      <w:r w:rsidR="008C1F0A" w:rsidRPr="00637257">
        <w:lastRenderedPageBreak/>
        <w:t>technology.</w:t>
      </w:r>
      <w:r w:rsidR="00292FC2" w:rsidRPr="00637257">
        <w:t xml:space="preserve"> </w:t>
      </w:r>
      <w:r w:rsidR="00292FC2" w:rsidRPr="00637257">
        <w:rPr>
          <w:lang w:eastAsia="ja-JP"/>
        </w:rPr>
        <w:t>A</w:t>
      </w:r>
      <w:r w:rsidR="00AE0FD5" w:rsidRPr="00637257">
        <w:rPr>
          <w:lang w:eastAsia="ja-JP"/>
        </w:rPr>
        <w:t>lgorithm</w:t>
      </w:r>
      <w:r w:rsidR="009A1712" w:rsidRPr="00637257">
        <w:rPr>
          <w:lang w:eastAsia="ja-JP"/>
        </w:rPr>
        <w:t>s for coupling stability will be considered</w:t>
      </w:r>
      <w:r w:rsidR="00292FC2" w:rsidRPr="00637257">
        <w:rPr>
          <w:lang w:eastAsia="ja-JP"/>
        </w:rPr>
        <w:t xml:space="preserve"> </w:t>
      </w:r>
      <w:r w:rsidR="003C1387" w:rsidRPr="00637257">
        <w:rPr>
          <w:lang w:eastAsia="ja-JP"/>
        </w:rPr>
        <w:t xml:space="preserve">to introduce </w:t>
      </w:r>
      <w:r w:rsidR="00292FC2" w:rsidRPr="00637257">
        <w:rPr>
          <w:lang w:eastAsia="ja-JP"/>
        </w:rPr>
        <w:t>in the future</w:t>
      </w:r>
      <w:r w:rsidR="009A1712" w:rsidRPr="00637257">
        <w:rPr>
          <w:lang w:eastAsia="ja-JP"/>
        </w:rPr>
        <w:t xml:space="preserve">. </w:t>
      </w:r>
      <w:r w:rsidR="000747FA" w:rsidRPr="00637257">
        <w:rPr>
          <w:lang w:eastAsia="ja-JP"/>
        </w:rPr>
        <w:t xml:space="preserve">In the case of the 1D-CFD coupling method, in a </w:t>
      </w:r>
      <w:r w:rsidR="00A35C00" w:rsidRPr="00637257">
        <w:rPr>
          <w:lang w:eastAsia="ja-JP"/>
        </w:rPr>
        <w:t>one-time step calculation from time step of</w:t>
      </w:r>
      <w:r w:rsidR="00A35C00" w:rsidRPr="00637257">
        <w:rPr>
          <w:i/>
          <w:iCs/>
          <w:lang w:eastAsia="ja-JP"/>
        </w:rPr>
        <w:t xml:space="preserve"> n</w:t>
      </w:r>
      <w:r w:rsidR="00A35C00" w:rsidRPr="00637257">
        <w:rPr>
          <w:lang w:eastAsia="ja-JP"/>
        </w:rPr>
        <w:t xml:space="preserve"> to </w:t>
      </w:r>
      <w:r w:rsidR="00A35C00" w:rsidRPr="00637257">
        <w:rPr>
          <w:i/>
          <w:iCs/>
          <w:lang w:eastAsia="ja-JP"/>
        </w:rPr>
        <w:t>n</w:t>
      </w:r>
      <w:r w:rsidR="00A35C00" w:rsidRPr="00637257">
        <w:rPr>
          <w:lang w:eastAsia="ja-JP"/>
        </w:rPr>
        <w:t xml:space="preserve">+1, the 1D </w:t>
      </w:r>
      <w:r w:rsidR="00D70666" w:rsidRPr="00637257">
        <w:rPr>
          <w:lang w:eastAsia="ja-JP"/>
        </w:rPr>
        <w:t xml:space="preserve">code </w:t>
      </w:r>
      <w:r w:rsidR="00A35C00" w:rsidRPr="00637257">
        <w:rPr>
          <w:lang w:eastAsia="ja-JP"/>
        </w:rPr>
        <w:t xml:space="preserve">runs using boundary conditions calculated by the </w:t>
      </w:r>
      <w:r w:rsidR="000747FA" w:rsidRPr="00637257">
        <w:rPr>
          <w:lang w:eastAsia="ja-JP"/>
        </w:rPr>
        <w:t>CFD</w:t>
      </w:r>
      <w:r w:rsidR="00D70666" w:rsidRPr="00637257">
        <w:rPr>
          <w:lang w:eastAsia="ja-JP"/>
        </w:rPr>
        <w:t xml:space="preserve"> code</w:t>
      </w:r>
      <w:r w:rsidR="00A35C00" w:rsidRPr="00637257">
        <w:rPr>
          <w:lang w:eastAsia="ja-JP"/>
        </w:rPr>
        <w:t xml:space="preserve"> at the previous time step</w:t>
      </w:r>
      <w:r w:rsidR="00A35C00" w:rsidRPr="00637257">
        <w:rPr>
          <w:i/>
          <w:iCs/>
          <w:lang w:eastAsia="ja-JP"/>
        </w:rPr>
        <w:t xml:space="preserve"> n</w:t>
      </w:r>
      <w:r w:rsidR="00A35C00" w:rsidRPr="00637257">
        <w:rPr>
          <w:lang w:eastAsia="ja-JP"/>
        </w:rPr>
        <w:t xml:space="preserve">, and </w:t>
      </w:r>
      <w:r w:rsidR="00D70666" w:rsidRPr="00637257">
        <w:rPr>
          <w:lang w:eastAsia="ja-JP"/>
        </w:rPr>
        <w:t xml:space="preserve">the </w:t>
      </w:r>
      <w:r w:rsidR="000747FA" w:rsidRPr="00637257">
        <w:rPr>
          <w:lang w:eastAsia="ja-JP"/>
        </w:rPr>
        <w:t>CFD</w:t>
      </w:r>
      <w:r w:rsidR="00D70666" w:rsidRPr="00637257">
        <w:rPr>
          <w:lang w:eastAsia="ja-JP"/>
        </w:rPr>
        <w:t xml:space="preserve"> code</w:t>
      </w:r>
      <w:r w:rsidR="00A35C00" w:rsidRPr="00637257">
        <w:rPr>
          <w:lang w:eastAsia="ja-JP"/>
        </w:rPr>
        <w:t xml:space="preserve"> runs using boundary conditions calculated by </w:t>
      </w:r>
      <w:r w:rsidR="00D15941" w:rsidRPr="00637257">
        <w:rPr>
          <w:lang w:eastAsia="ja-JP"/>
        </w:rPr>
        <w:t xml:space="preserve">the </w:t>
      </w:r>
      <w:r w:rsidR="00A35C00" w:rsidRPr="00637257">
        <w:rPr>
          <w:lang w:eastAsia="ja-JP"/>
        </w:rPr>
        <w:t xml:space="preserve">1D </w:t>
      </w:r>
      <w:r w:rsidR="00D70666" w:rsidRPr="00637257">
        <w:rPr>
          <w:lang w:eastAsia="ja-JP"/>
        </w:rPr>
        <w:t xml:space="preserve">code </w:t>
      </w:r>
      <w:r w:rsidR="00A35C00" w:rsidRPr="00637257">
        <w:rPr>
          <w:lang w:eastAsia="ja-JP"/>
        </w:rPr>
        <w:t>as predicted values.</w:t>
      </w:r>
      <w:r w:rsidR="00900CF2" w:rsidRPr="00637257">
        <w:rPr>
          <w:lang w:eastAsia="ja-JP"/>
        </w:rPr>
        <w:t xml:space="preserve"> </w:t>
      </w:r>
      <w:r w:rsidR="008C7522" w:rsidRPr="00637257">
        <w:rPr>
          <w:lang w:eastAsia="ja-JP"/>
        </w:rPr>
        <w:t xml:space="preserve">Currently, the user prepares the input </w:t>
      </w:r>
      <w:r w:rsidR="007A3325" w:rsidRPr="00637257">
        <w:rPr>
          <w:lang w:eastAsia="ja-JP"/>
        </w:rPr>
        <w:t xml:space="preserve">for the analysis code </w:t>
      </w:r>
      <w:r w:rsidR="00531DE8" w:rsidRPr="00637257">
        <w:rPr>
          <w:rFonts w:hint="eastAsia"/>
          <w:lang w:eastAsia="ja-JP"/>
        </w:rPr>
        <w:t>t</w:t>
      </w:r>
      <w:r w:rsidR="00531DE8" w:rsidRPr="00637257">
        <w:rPr>
          <w:lang w:eastAsia="ja-JP"/>
        </w:rPr>
        <w:t>o</w:t>
      </w:r>
      <w:r w:rsidR="008C7522" w:rsidRPr="00637257">
        <w:rPr>
          <w:lang w:eastAsia="ja-JP"/>
        </w:rPr>
        <w:t xml:space="preserve"> the resolution required by the user, but </w:t>
      </w:r>
      <w:r w:rsidR="005652D1" w:rsidRPr="00637257">
        <w:rPr>
          <w:lang w:eastAsia="ja-JP"/>
        </w:rPr>
        <w:t>the</w:t>
      </w:r>
      <w:r w:rsidR="00292FC2" w:rsidRPr="00637257">
        <w:rPr>
          <w:lang w:eastAsia="ja-JP"/>
        </w:rPr>
        <w:t xml:space="preserve"> </w:t>
      </w:r>
      <w:r w:rsidR="00DF407C" w:rsidRPr="00637257">
        <w:rPr>
          <w:lang w:eastAsia="ja-JP"/>
        </w:rPr>
        <w:t xml:space="preserve">goal is that the </w:t>
      </w:r>
      <w:r w:rsidR="00292FC2" w:rsidRPr="00637257">
        <w:rPr>
          <w:lang w:eastAsia="ja-JP"/>
        </w:rPr>
        <w:t xml:space="preserve">input generation </w:t>
      </w:r>
      <w:r w:rsidR="00DF407C" w:rsidRPr="00637257">
        <w:rPr>
          <w:lang w:eastAsia="ja-JP"/>
        </w:rPr>
        <w:t>is</w:t>
      </w:r>
      <w:r w:rsidR="00292FC2" w:rsidRPr="00637257">
        <w:rPr>
          <w:lang w:eastAsia="ja-JP"/>
        </w:rPr>
        <w:t xml:space="preserve"> aided by the knowledge-base system which is separately develop</w:t>
      </w:r>
      <w:r w:rsidR="00127CD7" w:rsidRPr="00637257">
        <w:rPr>
          <w:lang w:eastAsia="ja-JP"/>
        </w:rPr>
        <w:t>ed</w:t>
      </w:r>
      <w:r w:rsidR="00292FC2" w:rsidRPr="00637257">
        <w:rPr>
          <w:lang w:eastAsia="ja-JP"/>
        </w:rPr>
        <w:t xml:space="preserve"> [1].</w:t>
      </w:r>
    </w:p>
    <w:p w14:paraId="76598805" w14:textId="775EF0FC" w:rsidR="00E1453C" w:rsidRPr="00C96C64" w:rsidRDefault="005C30C9" w:rsidP="000B1F53">
      <w:pPr>
        <w:pStyle w:val="2"/>
        <w:numPr>
          <w:ilvl w:val="1"/>
          <w:numId w:val="35"/>
        </w:numPr>
      </w:pPr>
      <w:r w:rsidRPr="00C96C64">
        <w:rPr>
          <w:lang w:eastAsia="ja-JP"/>
        </w:rPr>
        <w:t xml:space="preserve">NUMERICAL </w:t>
      </w:r>
      <w:r w:rsidR="00CE1AC1" w:rsidRPr="00C96C64">
        <w:rPr>
          <w:lang w:eastAsia="ja-JP"/>
        </w:rPr>
        <w:t>SIMULATIONS OF EBR-II TEST</w:t>
      </w:r>
      <w:r w:rsidRPr="00C96C64">
        <w:rPr>
          <w:lang w:eastAsia="ja-JP"/>
        </w:rPr>
        <w:t>S BY COUPL</w:t>
      </w:r>
      <w:r w:rsidR="00E30C96" w:rsidRPr="00C96C64">
        <w:rPr>
          <w:lang w:eastAsia="ja-JP"/>
        </w:rPr>
        <w:t>ING</w:t>
      </w:r>
      <w:r w:rsidRPr="00C96C64">
        <w:rPr>
          <w:lang w:eastAsia="ja-JP"/>
        </w:rPr>
        <w:t xml:space="preserve"> </w:t>
      </w:r>
      <w:r w:rsidR="00E30C96" w:rsidRPr="00C96C64">
        <w:rPr>
          <w:lang w:eastAsia="ja-JP"/>
        </w:rPr>
        <w:t xml:space="preserve">ANALYSIS </w:t>
      </w:r>
      <w:r w:rsidRPr="00C96C64">
        <w:rPr>
          <w:lang w:eastAsia="ja-JP"/>
        </w:rPr>
        <w:t>METHODS</w:t>
      </w:r>
    </w:p>
    <w:p w14:paraId="09C06B4D" w14:textId="6DF8BB45" w:rsidR="00E1453C" w:rsidRPr="00C96C64" w:rsidRDefault="00810A57" w:rsidP="00CE1AC1">
      <w:pPr>
        <w:pStyle w:val="3"/>
        <w:numPr>
          <w:ilvl w:val="2"/>
          <w:numId w:val="3"/>
        </w:numPr>
      </w:pPr>
      <w:bookmarkStart w:id="1" w:name="_Hlk103702110"/>
      <w:r w:rsidRPr="00C96C64">
        <w:t xml:space="preserve">Natural circulation and thermal stratification analysis by </w:t>
      </w:r>
      <w:r w:rsidR="00E1453C" w:rsidRPr="00C96C64">
        <w:t>1D-CFD coupl</w:t>
      </w:r>
      <w:r w:rsidR="005C30C9" w:rsidRPr="00C96C64">
        <w:t>ing</w:t>
      </w:r>
      <w:r w:rsidR="00E1453C" w:rsidRPr="00C96C64">
        <w:t xml:space="preserve"> </w:t>
      </w:r>
      <w:r w:rsidRPr="00C96C64">
        <w:t>method</w:t>
      </w:r>
    </w:p>
    <w:p w14:paraId="31B74497" w14:textId="70D16EDC" w:rsidR="00A31816" w:rsidRDefault="002270B5" w:rsidP="00274D06">
      <w:pPr>
        <w:pStyle w:val="a1"/>
      </w:pPr>
      <w:bookmarkStart w:id="2" w:name="_Hlk103838236"/>
      <w:bookmarkEnd w:id="1"/>
      <w:r w:rsidRPr="00C96C64">
        <w:t>The coupling method using Super-COPD</w:t>
      </w:r>
      <w:r w:rsidR="005E23B2" w:rsidRPr="00C96C64">
        <w:t xml:space="preserve"> [5]</w:t>
      </w:r>
      <w:r w:rsidRPr="00C96C64">
        <w:t xml:space="preserve"> </w:t>
      </w:r>
      <w:r w:rsidR="00F4114D" w:rsidRPr="00C96C64">
        <w:t>as</w:t>
      </w:r>
      <w:r w:rsidRPr="00C96C64">
        <w:t xml:space="preserve"> </w:t>
      </w:r>
      <w:r w:rsidR="00D1009B">
        <w:t xml:space="preserve">a </w:t>
      </w:r>
      <w:r w:rsidRPr="00C96C64">
        <w:t xml:space="preserve">1D </w:t>
      </w:r>
      <w:r w:rsidR="00A52190" w:rsidRPr="00C96C64">
        <w:t xml:space="preserve">code </w:t>
      </w:r>
      <w:r w:rsidRPr="00C96C64">
        <w:t>and FLUENT</w:t>
      </w:r>
      <w:r w:rsidR="005E23B2" w:rsidRPr="00C96C64">
        <w:t xml:space="preserve"> </w:t>
      </w:r>
      <w:r w:rsidR="00F4114D" w:rsidRPr="00C96C64">
        <w:t>as</w:t>
      </w:r>
      <w:r w:rsidRPr="00C96C64">
        <w:t xml:space="preserve"> </w:t>
      </w:r>
      <w:r w:rsidR="00D1009B">
        <w:t xml:space="preserve">a </w:t>
      </w:r>
      <w:r w:rsidRPr="00C96C64">
        <w:t xml:space="preserve">CFD </w:t>
      </w:r>
      <w:r w:rsidR="00A52190" w:rsidRPr="00C96C64">
        <w:t xml:space="preserve">code </w:t>
      </w:r>
      <w:r w:rsidR="00135EA9">
        <w:t>ha</w:t>
      </w:r>
      <w:r w:rsidR="000747FA">
        <w:t xml:space="preserve">s </w:t>
      </w:r>
      <w:r w:rsidR="00135EA9">
        <w:t xml:space="preserve">been </w:t>
      </w:r>
      <w:r w:rsidR="000747FA">
        <w:t>develop</w:t>
      </w:r>
      <w:r w:rsidR="00135EA9">
        <w:t>ed</w:t>
      </w:r>
      <w:r w:rsidR="000747FA">
        <w:t xml:space="preserve"> through </w:t>
      </w:r>
      <w:r w:rsidRPr="00C96C64">
        <w:t xml:space="preserve">the analyses of loss of flow tests </w:t>
      </w:r>
      <w:r w:rsidR="000747FA">
        <w:t>of SHRT-17 and SHRT-45R [</w:t>
      </w:r>
      <w:r w:rsidR="005A1519">
        <w:t>6</w:t>
      </w:r>
      <w:r w:rsidR="000747FA">
        <w:t xml:space="preserve">], and also </w:t>
      </w:r>
      <w:r w:rsidR="00135EA9">
        <w:t xml:space="preserve">loss of heat sink tests of </w:t>
      </w:r>
      <w:r w:rsidR="000747FA">
        <w:t>BOP301/302R [</w:t>
      </w:r>
      <w:r w:rsidR="005A1519">
        <w:t>7</w:t>
      </w:r>
      <w:r w:rsidR="000747FA">
        <w:t xml:space="preserve">] conducted </w:t>
      </w:r>
      <w:r w:rsidRPr="00C96C64">
        <w:t xml:space="preserve">in EBR-II. </w:t>
      </w:r>
      <w:r w:rsidR="00896AD2" w:rsidRPr="00C96C64">
        <w:t>In the analyses, the upper plenum, Z-pipe</w:t>
      </w:r>
      <w:r w:rsidR="008460E9">
        <w:t xml:space="preserve">, and </w:t>
      </w:r>
      <w:r w:rsidR="008460E9" w:rsidRPr="00C96C64">
        <w:t>cold pool</w:t>
      </w:r>
      <w:r w:rsidR="00896AD2" w:rsidRPr="00C96C64">
        <w:t xml:space="preserve"> were </w:t>
      </w:r>
      <w:r w:rsidR="00710D10" w:rsidRPr="00C96C64">
        <w:t>modelled</w:t>
      </w:r>
      <w:r w:rsidR="00986BA7">
        <w:rPr>
          <w:rFonts w:hint="eastAsia"/>
          <w:lang w:eastAsia="ja-JP"/>
        </w:rPr>
        <w:t xml:space="preserve"> </w:t>
      </w:r>
      <w:r w:rsidR="00896AD2" w:rsidRPr="00C96C64">
        <w:t xml:space="preserve">by </w:t>
      </w:r>
      <w:r w:rsidR="00BB6E14" w:rsidRPr="00BB6E14">
        <w:t>FLUENT</w:t>
      </w:r>
      <w:r w:rsidR="000747FA">
        <w:t>,</w:t>
      </w:r>
      <w:r w:rsidR="008D1C52" w:rsidRPr="00C96C64">
        <w:t xml:space="preserve"> and the other regions were </w:t>
      </w:r>
      <w:r w:rsidR="00710D10" w:rsidRPr="00C96C64">
        <w:t>modelled</w:t>
      </w:r>
      <w:r w:rsidR="008D1C52" w:rsidRPr="00C96C64">
        <w:t xml:space="preserve"> by </w:t>
      </w:r>
      <w:r w:rsidR="00BB6E14" w:rsidRPr="00BB6E14">
        <w:t>Super-COPD</w:t>
      </w:r>
      <w:r w:rsidR="008D1C52" w:rsidRPr="00C96C64">
        <w:t xml:space="preserve">. </w:t>
      </w:r>
      <w:r w:rsidR="00BC1FBA">
        <w:t xml:space="preserve">Figure 1 shows the CFD models by FLUENT for EBR-II. </w:t>
      </w:r>
      <w:r w:rsidR="008D1C52" w:rsidRPr="00C96C64">
        <w:t xml:space="preserve">The flow rates and temperatures at </w:t>
      </w:r>
      <w:r w:rsidR="009C0F0E">
        <w:t xml:space="preserve">the </w:t>
      </w:r>
      <w:r w:rsidR="008D1C52" w:rsidRPr="00C96C64">
        <w:t>inlet</w:t>
      </w:r>
      <w:r w:rsidR="00933C45" w:rsidRPr="00C96C64">
        <w:t>s</w:t>
      </w:r>
      <w:r w:rsidR="008D1C52" w:rsidRPr="00C96C64">
        <w:t xml:space="preserve"> of the CFD region</w:t>
      </w:r>
      <w:r w:rsidR="009C0F0E">
        <w:t>s</w:t>
      </w:r>
      <w:r w:rsidR="008D1C52" w:rsidRPr="00C96C64">
        <w:t xml:space="preserve"> </w:t>
      </w:r>
      <w:r w:rsidR="000747FA">
        <w:t xml:space="preserve">with </w:t>
      </w:r>
      <w:r w:rsidR="000747FA" w:rsidRPr="00BB6E14">
        <w:t>FLUENT</w:t>
      </w:r>
      <w:r w:rsidR="000747FA" w:rsidRPr="00C96C64">
        <w:t xml:space="preserve"> as boundary condition</w:t>
      </w:r>
      <w:r w:rsidR="000747FA">
        <w:t xml:space="preserve">s </w:t>
      </w:r>
      <w:r w:rsidR="008D1C52" w:rsidRPr="00C96C64">
        <w:t xml:space="preserve">were </w:t>
      </w:r>
      <w:r w:rsidR="009C0F0E">
        <w:t>obtain</w:t>
      </w:r>
      <w:r w:rsidR="009C0F0E" w:rsidRPr="00C96C64">
        <w:t xml:space="preserve">ed </w:t>
      </w:r>
      <w:r w:rsidR="008D1C52" w:rsidRPr="00C96C64">
        <w:t xml:space="preserve">by </w:t>
      </w:r>
      <w:r w:rsidR="000747FA">
        <w:t xml:space="preserve">1D with </w:t>
      </w:r>
      <w:r w:rsidR="00BB6E14" w:rsidRPr="00BB6E14">
        <w:t>Super-COPD</w:t>
      </w:r>
      <w:r w:rsidR="008D1C52" w:rsidRPr="00C96C64">
        <w:t xml:space="preserve">. The temperatures </w:t>
      </w:r>
      <w:r w:rsidR="00533F84" w:rsidRPr="00C96C64">
        <w:t xml:space="preserve">at </w:t>
      </w:r>
      <w:r w:rsidR="009C0F0E">
        <w:t xml:space="preserve">the </w:t>
      </w:r>
      <w:r w:rsidR="00533F84" w:rsidRPr="00C96C64">
        <w:t>outlet</w:t>
      </w:r>
      <w:r w:rsidR="00933C45" w:rsidRPr="00C96C64">
        <w:t>s</w:t>
      </w:r>
      <w:r w:rsidR="00533F84" w:rsidRPr="00C96C64">
        <w:t xml:space="preserve"> and </w:t>
      </w:r>
      <w:r w:rsidR="008D1C52" w:rsidRPr="00C96C64">
        <w:t xml:space="preserve">the pressure differences between </w:t>
      </w:r>
      <w:r w:rsidR="009C0F0E">
        <w:t xml:space="preserve">the </w:t>
      </w:r>
      <w:r w:rsidR="008D1C52" w:rsidRPr="00C96C64">
        <w:t>inlet</w:t>
      </w:r>
      <w:r w:rsidR="00933C45" w:rsidRPr="00C96C64">
        <w:t>s</w:t>
      </w:r>
      <w:r w:rsidR="008D1C52" w:rsidRPr="00C96C64">
        <w:t xml:space="preserve"> and outlet</w:t>
      </w:r>
      <w:r w:rsidR="00933C45" w:rsidRPr="00C96C64">
        <w:t>s</w:t>
      </w:r>
      <w:r w:rsidR="00533F84" w:rsidRPr="00C96C64">
        <w:t xml:space="preserve"> </w:t>
      </w:r>
      <w:r w:rsidR="008D1C52" w:rsidRPr="00C96C64">
        <w:t>of the CFD region</w:t>
      </w:r>
      <w:r w:rsidR="009C0F0E">
        <w:t>s</w:t>
      </w:r>
      <w:r w:rsidR="008D1C52" w:rsidRPr="00C96C64">
        <w:t xml:space="preserve"> </w:t>
      </w:r>
      <w:r w:rsidR="009C0F0E">
        <w:t xml:space="preserve">obtained </w:t>
      </w:r>
      <w:r w:rsidR="008D1C52" w:rsidRPr="00C96C64">
        <w:t xml:space="preserve">by </w:t>
      </w:r>
      <w:r w:rsidR="00BB6E14" w:rsidRPr="00BB6E14">
        <w:t>FLUENT</w:t>
      </w:r>
      <w:r w:rsidR="008D1C52" w:rsidRPr="00C96C64">
        <w:t xml:space="preserve"> </w:t>
      </w:r>
      <w:r w:rsidR="000747FA">
        <w:t xml:space="preserve">were </w:t>
      </w:r>
      <w:r w:rsidR="008D1C52" w:rsidRPr="00C96C64">
        <w:t xml:space="preserve">as </w:t>
      </w:r>
      <w:r w:rsidR="000747FA">
        <w:t xml:space="preserve">inlet </w:t>
      </w:r>
      <w:r w:rsidR="008D1C52" w:rsidRPr="00C96C64">
        <w:t>boundary condition</w:t>
      </w:r>
      <w:r w:rsidR="00933C45" w:rsidRPr="00C96C64">
        <w:t>s</w:t>
      </w:r>
      <w:r w:rsidR="008D1C52" w:rsidRPr="00C96C64">
        <w:t xml:space="preserve"> of </w:t>
      </w:r>
      <w:r w:rsidR="00BB6E14" w:rsidRPr="00BB6E14">
        <w:t>Super-COPD</w:t>
      </w:r>
      <w:r w:rsidR="00896AD2" w:rsidRPr="00C96C64">
        <w:t xml:space="preserve">. </w:t>
      </w:r>
      <w:r w:rsidR="000747FA">
        <w:t xml:space="preserve">Thus, the coupled analysis with 1D and CFD codes was advanced by the </w:t>
      </w:r>
      <w:r w:rsidR="000747FA" w:rsidRPr="00C96C64">
        <w:t>sequential two-way coupling method</w:t>
      </w:r>
      <w:r w:rsidR="000747FA">
        <w:t xml:space="preserve">. </w:t>
      </w:r>
      <w:r w:rsidR="00BC1FBA">
        <w:t xml:space="preserve">Figure 2 shows </w:t>
      </w:r>
      <w:r w:rsidR="00BC1FBA">
        <w:rPr>
          <w:lang w:eastAsia="ja-JP"/>
        </w:rPr>
        <w:t>t</w:t>
      </w:r>
      <w:r w:rsidRPr="00C96C64">
        <w:rPr>
          <w:lang w:eastAsia="ja-JP"/>
        </w:rPr>
        <w:t xml:space="preserve">he </w:t>
      </w:r>
      <w:r w:rsidR="000747FA">
        <w:rPr>
          <w:lang w:eastAsia="ja-JP"/>
        </w:rPr>
        <w:t xml:space="preserve">typical </w:t>
      </w:r>
      <w:r w:rsidR="00BC1FBA">
        <w:rPr>
          <w:lang w:eastAsia="ja-JP"/>
        </w:rPr>
        <w:t xml:space="preserve">coupled analysis result of the temperature </w:t>
      </w:r>
      <w:r w:rsidR="00CC34D7">
        <w:rPr>
          <w:lang w:eastAsia="ja-JP"/>
        </w:rPr>
        <w:t xml:space="preserve">distribution </w:t>
      </w:r>
      <w:r w:rsidR="00BC1FBA">
        <w:rPr>
          <w:lang w:eastAsia="ja-JP"/>
        </w:rPr>
        <w:t>in the upper plenum and Z-pipe</w:t>
      </w:r>
      <w:r w:rsidR="00CC34D7">
        <w:rPr>
          <w:lang w:eastAsia="ja-JP"/>
        </w:rPr>
        <w:t xml:space="preserve"> at </w:t>
      </w:r>
      <w:r w:rsidR="000747FA">
        <w:rPr>
          <w:lang w:eastAsia="ja-JP"/>
        </w:rPr>
        <w:t xml:space="preserve">a </w:t>
      </w:r>
      <w:r w:rsidR="00CC34D7">
        <w:rPr>
          <w:lang w:eastAsia="ja-JP"/>
        </w:rPr>
        <w:t xml:space="preserve">representative time step in </w:t>
      </w:r>
      <w:r w:rsidR="009C0F0E">
        <w:rPr>
          <w:lang w:eastAsia="ja-JP"/>
        </w:rPr>
        <w:t xml:space="preserve">the </w:t>
      </w:r>
      <w:r w:rsidR="00CC34D7">
        <w:rPr>
          <w:lang w:eastAsia="ja-JP"/>
        </w:rPr>
        <w:t>SHRT-17 test</w:t>
      </w:r>
      <w:r w:rsidR="00BC1FBA">
        <w:rPr>
          <w:lang w:eastAsia="ja-JP"/>
        </w:rPr>
        <w:t>.</w:t>
      </w:r>
      <w:r w:rsidR="00BC1FBA">
        <w:t xml:space="preserve"> </w:t>
      </w:r>
      <w:r w:rsidR="009A6C5A" w:rsidRPr="009A6C5A">
        <w:t>The thermal stratification locally formed in the upper plenum and Z-pipe could be predicted by the coupled analysis</w:t>
      </w:r>
      <w:r w:rsidR="004E7C81">
        <w:t xml:space="preserve"> while predicting </w:t>
      </w:r>
      <w:r w:rsidR="00D37AE2" w:rsidRPr="00D37AE2">
        <w:t>the natural circulation in the whole plant</w:t>
      </w:r>
      <w:r w:rsidR="009A6C5A" w:rsidRPr="009A6C5A">
        <w:t>.</w:t>
      </w:r>
      <w:r w:rsidR="00A31816" w:rsidRPr="00217A63">
        <w:rPr>
          <w:rFonts w:hint="eastAsia"/>
          <w:noProof/>
          <w:sz w:val="22"/>
          <w:lang w:val="en-US" w:eastAsia="ja-JP"/>
        </w:rPr>
        <mc:AlternateContent>
          <mc:Choice Requires="wps">
            <w:drawing>
              <wp:anchor distT="0" distB="0" distL="114300" distR="114300" simplePos="0" relativeHeight="251659264" behindDoc="0" locked="1" layoutInCell="1" allowOverlap="1" wp14:anchorId="3C7497F8" wp14:editId="39A6D513">
                <wp:simplePos x="0" y="0"/>
                <wp:positionH relativeFrom="margin">
                  <wp:align>right</wp:align>
                </wp:positionH>
                <wp:positionV relativeFrom="margin">
                  <wp:posOffset>3700145</wp:posOffset>
                </wp:positionV>
                <wp:extent cx="5740400" cy="2218055"/>
                <wp:effectExtent l="0" t="0" r="0" b="0"/>
                <wp:wrapTopAndBottom/>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0400" cy="2218413"/>
                        </a:xfrm>
                        <a:prstGeom prst="rect">
                          <a:avLst/>
                        </a:prstGeom>
                        <a:solidFill>
                          <a:sysClr val="window" lastClr="FFFFFF"/>
                        </a:solidFill>
                        <a:ln w="6350">
                          <a:noFill/>
                        </a:ln>
                        <a:effectLst/>
                      </wps:spPr>
                      <wps:txbx>
                        <w:txbxContent>
                          <w:tbl>
                            <w:tblPr>
                              <w:tblW w:w="9015" w:type="dxa"/>
                              <w:tblInd w:w="-142" w:type="dxa"/>
                              <w:tblLayout w:type="fixed"/>
                              <w:tblLook w:val="04A0" w:firstRow="1" w:lastRow="0" w:firstColumn="1" w:lastColumn="0" w:noHBand="0" w:noVBand="1"/>
                            </w:tblPr>
                            <w:tblGrid>
                              <w:gridCol w:w="3261"/>
                              <w:gridCol w:w="2551"/>
                              <w:gridCol w:w="3203"/>
                            </w:tblGrid>
                            <w:tr w:rsidR="000B5566" w:rsidRPr="00DE367F" w14:paraId="760A9FD3" w14:textId="77777777" w:rsidTr="0090305D">
                              <w:trPr>
                                <w:trHeight w:val="2410"/>
                              </w:trPr>
                              <w:tc>
                                <w:tcPr>
                                  <w:tcW w:w="3261" w:type="dxa"/>
                                </w:tcPr>
                                <w:p w14:paraId="2906BD51" w14:textId="69BED960" w:rsidR="000B5566" w:rsidRPr="00DE367F" w:rsidRDefault="000B5566" w:rsidP="00B30112">
                                  <w:pPr>
                                    <w:snapToGrid w:val="0"/>
                                    <w:jc w:val="center"/>
                                    <w:rPr>
                                      <w:noProof/>
                                      <w:sz w:val="20"/>
                                      <w:szCs w:val="16"/>
                                    </w:rPr>
                                  </w:pPr>
                                  <w:r>
                                    <w:rPr>
                                      <w:noProof/>
                                      <w:lang w:val="en-US" w:eastAsia="ja-JP"/>
                                    </w:rPr>
                                    <w:drawing>
                                      <wp:inline distT="0" distB="0" distL="0" distR="0" wp14:anchorId="59A6220C" wp14:editId="7A7DE877">
                                        <wp:extent cx="1676583" cy="1692000"/>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76583" cy="1692000"/>
                                                </a:xfrm>
                                                <a:prstGeom prst="rect">
                                                  <a:avLst/>
                                                </a:prstGeom>
                                              </pic:spPr>
                                            </pic:pic>
                                          </a:graphicData>
                                        </a:graphic>
                                      </wp:inline>
                                    </w:drawing>
                                  </w:r>
                                </w:p>
                              </w:tc>
                              <w:tc>
                                <w:tcPr>
                                  <w:tcW w:w="2551" w:type="dxa"/>
                                  <w:shd w:val="clear" w:color="auto" w:fill="auto"/>
                                  <w:vAlign w:val="center"/>
                                </w:tcPr>
                                <w:p w14:paraId="26AE454D" w14:textId="768A4637" w:rsidR="000B5566" w:rsidRPr="003165CF" w:rsidRDefault="000B5566" w:rsidP="003165CF">
                                  <w:pPr>
                                    <w:snapToGrid w:val="0"/>
                                    <w:jc w:val="center"/>
                                  </w:pPr>
                                  <w:r>
                                    <w:rPr>
                                      <w:noProof/>
                                      <w:lang w:val="en-US" w:eastAsia="ja-JP"/>
                                    </w:rPr>
                                    <w:drawing>
                                      <wp:inline distT="0" distB="0" distL="0" distR="0" wp14:anchorId="08F1BFCD" wp14:editId="0C5556F0">
                                        <wp:extent cx="1452650" cy="1620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52650" cy="1620000"/>
                                                </a:xfrm>
                                                <a:prstGeom prst="rect">
                                                  <a:avLst/>
                                                </a:prstGeom>
                                              </pic:spPr>
                                            </pic:pic>
                                          </a:graphicData>
                                        </a:graphic>
                                      </wp:inline>
                                    </w:drawing>
                                  </w:r>
                                </w:p>
                              </w:tc>
                              <w:tc>
                                <w:tcPr>
                                  <w:tcW w:w="3203" w:type="dxa"/>
                                  <w:shd w:val="clear" w:color="auto" w:fill="auto"/>
                                  <w:vAlign w:val="center"/>
                                </w:tcPr>
                                <w:p w14:paraId="1454032D" w14:textId="311F4017" w:rsidR="000B5566" w:rsidRPr="003165CF" w:rsidRDefault="00E52288" w:rsidP="00E52288">
                                  <w:pPr>
                                    <w:snapToGrid w:val="0"/>
                                    <w:jc w:val="center"/>
                                    <w:rPr>
                                      <w:rFonts w:eastAsia="游明朝"/>
                                      <w:sz w:val="20"/>
                                    </w:rPr>
                                  </w:pPr>
                                  <w:r>
                                    <w:rPr>
                                      <w:noProof/>
                                      <w:lang w:val="en-US" w:eastAsia="ja-JP"/>
                                    </w:rPr>
                                    <w:drawing>
                                      <wp:inline distT="0" distB="0" distL="0" distR="0" wp14:anchorId="43EADD01" wp14:editId="58234519">
                                        <wp:extent cx="1597851" cy="1692000"/>
                                        <wp:effectExtent l="0" t="0" r="2540" b="381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97851" cy="1692000"/>
                                                </a:xfrm>
                                                <a:prstGeom prst="rect">
                                                  <a:avLst/>
                                                </a:prstGeom>
                                              </pic:spPr>
                                            </pic:pic>
                                          </a:graphicData>
                                        </a:graphic>
                                      </wp:inline>
                                    </w:drawing>
                                  </w:r>
                                </w:p>
                              </w:tc>
                            </w:tr>
                            <w:tr w:rsidR="000B5566" w:rsidRPr="00DE367F" w14:paraId="56B96638" w14:textId="77777777" w:rsidTr="003165CF">
                              <w:trPr>
                                <w:trHeight w:val="283"/>
                              </w:trPr>
                              <w:tc>
                                <w:tcPr>
                                  <w:tcW w:w="3261" w:type="dxa"/>
                                </w:tcPr>
                                <w:p w14:paraId="6A80B75F" w14:textId="12BE44BB" w:rsidR="000B5566" w:rsidRPr="00FD4EAB" w:rsidRDefault="000B5566" w:rsidP="00DA1B23">
                                  <w:pPr>
                                    <w:snapToGrid w:val="0"/>
                                    <w:jc w:val="center"/>
                                    <w:rPr>
                                      <w:rFonts w:eastAsia="游明朝"/>
                                      <w:i/>
                                      <w:iCs/>
                                      <w:noProof/>
                                      <w:sz w:val="20"/>
                                      <w:lang w:eastAsia="ja-JP"/>
                                    </w:rPr>
                                  </w:pPr>
                                  <w:r w:rsidRPr="00FD4EAB">
                                    <w:rPr>
                                      <w:i/>
                                      <w:iCs/>
                                      <w:noProof/>
                                      <w:sz w:val="18"/>
                                      <w:szCs w:val="14"/>
                                    </w:rPr>
                                    <w:t>(a) Upper plenum and Z-pipe</w:t>
                                  </w:r>
                                </w:p>
                              </w:tc>
                              <w:tc>
                                <w:tcPr>
                                  <w:tcW w:w="2551" w:type="dxa"/>
                                </w:tcPr>
                                <w:p w14:paraId="7C5C3990" w14:textId="5E19EA59" w:rsidR="000B5566" w:rsidRPr="00FD4EAB" w:rsidRDefault="000B5566" w:rsidP="00DA1B23">
                                  <w:pPr>
                                    <w:snapToGrid w:val="0"/>
                                    <w:jc w:val="center"/>
                                    <w:rPr>
                                      <w:rFonts w:eastAsia="游明朝"/>
                                      <w:i/>
                                      <w:iCs/>
                                      <w:noProof/>
                                      <w:sz w:val="18"/>
                                      <w:szCs w:val="18"/>
                                      <w:lang w:eastAsia="ja-JP"/>
                                    </w:rPr>
                                  </w:pPr>
                                  <w:r w:rsidRPr="00FD4EAB">
                                    <w:rPr>
                                      <w:rFonts w:eastAsia="游明朝"/>
                                      <w:i/>
                                      <w:iCs/>
                                      <w:sz w:val="18"/>
                                      <w:szCs w:val="18"/>
                                    </w:rPr>
                                    <w:t>(b) Cold pool</w:t>
                                  </w:r>
                                </w:p>
                              </w:tc>
                              <w:tc>
                                <w:tcPr>
                                  <w:tcW w:w="3203" w:type="dxa"/>
                                  <w:vMerge w:val="restart"/>
                                  <w:shd w:val="clear" w:color="auto" w:fill="auto"/>
                                </w:tcPr>
                                <w:p w14:paraId="791932A9" w14:textId="4EF6CB41" w:rsidR="000B5566" w:rsidRPr="00FD4EAB" w:rsidRDefault="000B5566" w:rsidP="00DA1B23">
                                  <w:pPr>
                                    <w:snapToGrid w:val="0"/>
                                    <w:jc w:val="center"/>
                                    <w:rPr>
                                      <w:rFonts w:eastAsia="游明朝"/>
                                      <w:i/>
                                      <w:iCs/>
                                      <w:sz w:val="20"/>
                                    </w:rPr>
                                  </w:pPr>
                                  <w:r w:rsidRPr="00FD4EAB">
                                    <w:rPr>
                                      <w:rFonts w:eastAsia="游明朝"/>
                                      <w:i/>
                                      <w:iCs/>
                                      <w:sz w:val="18"/>
                                      <w:szCs w:val="18"/>
                                    </w:rPr>
                                    <w:t>FIG.</w:t>
                                  </w:r>
                                  <w:r w:rsidR="00F030C2" w:rsidRPr="00F030C2">
                                    <w:rPr>
                                      <w:rFonts w:eastAsia="游明朝"/>
                                      <w:i/>
                                      <w:iCs/>
                                      <w:noProof/>
                                      <w:sz w:val="18"/>
                                      <w:szCs w:val="18"/>
                                      <w:lang w:eastAsia="ja-JP"/>
                                    </w:rPr>
                                    <w:t> </w:t>
                                  </w:r>
                                  <w:r w:rsidRPr="00FD4EAB">
                                    <w:rPr>
                                      <w:rFonts w:eastAsia="游明朝"/>
                                      <w:i/>
                                      <w:iCs/>
                                      <w:sz w:val="18"/>
                                      <w:szCs w:val="18"/>
                                    </w:rPr>
                                    <w:t>2</w:t>
                                  </w:r>
                                  <w:r w:rsidR="00F030C2">
                                    <w:rPr>
                                      <w:rFonts w:eastAsia="游明朝"/>
                                      <w:i/>
                                      <w:iCs/>
                                      <w:sz w:val="18"/>
                                      <w:szCs w:val="18"/>
                                    </w:rPr>
                                    <w:t>.</w:t>
                                  </w:r>
                                  <w:r w:rsidRPr="00FD4EAB">
                                    <w:rPr>
                                      <w:rFonts w:eastAsia="游明朝"/>
                                      <w:i/>
                                      <w:iCs/>
                                      <w:sz w:val="18"/>
                                      <w:szCs w:val="18"/>
                                    </w:rPr>
                                    <w:t xml:space="preserve"> Temperature distribution in upper plenum and Z-pipe at 240s after scram in SHRT-17 test.</w:t>
                                  </w:r>
                                </w:p>
                              </w:tc>
                            </w:tr>
                            <w:tr w:rsidR="000B5566" w:rsidRPr="00DE367F" w14:paraId="43A5B7EA" w14:textId="77777777" w:rsidTr="003165CF">
                              <w:trPr>
                                <w:trHeight w:val="397"/>
                              </w:trPr>
                              <w:tc>
                                <w:tcPr>
                                  <w:tcW w:w="5812" w:type="dxa"/>
                                  <w:gridSpan w:val="2"/>
                                </w:tcPr>
                                <w:p w14:paraId="6063F506" w14:textId="6CE04EE2" w:rsidR="000B5566" w:rsidRPr="00FD4EAB" w:rsidRDefault="000B5566" w:rsidP="003165CF">
                                  <w:pPr>
                                    <w:snapToGrid w:val="0"/>
                                    <w:spacing w:beforeLines="50" w:before="120"/>
                                    <w:jc w:val="center"/>
                                    <w:rPr>
                                      <w:rFonts w:eastAsia="游明朝"/>
                                      <w:i/>
                                      <w:iCs/>
                                      <w:noProof/>
                                      <w:sz w:val="20"/>
                                      <w:lang w:eastAsia="ja-JP"/>
                                    </w:rPr>
                                  </w:pPr>
                                  <w:r w:rsidRPr="00FD4EAB">
                                    <w:rPr>
                                      <w:rFonts w:eastAsia="游明朝"/>
                                      <w:i/>
                                      <w:iCs/>
                                      <w:noProof/>
                                      <w:sz w:val="18"/>
                                      <w:szCs w:val="18"/>
                                      <w:lang w:eastAsia="ja-JP"/>
                                    </w:rPr>
                                    <w:t>FIG.</w:t>
                                  </w:r>
                                  <w:r w:rsidR="00F030C2" w:rsidRPr="00F030C2">
                                    <w:rPr>
                                      <w:rFonts w:eastAsia="游明朝"/>
                                      <w:i/>
                                      <w:iCs/>
                                      <w:noProof/>
                                      <w:sz w:val="18"/>
                                      <w:szCs w:val="18"/>
                                      <w:lang w:eastAsia="ja-JP"/>
                                    </w:rPr>
                                    <w:t> </w:t>
                                  </w:r>
                                  <w:r w:rsidRPr="00FD4EAB">
                                    <w:rPr>
                                      <w:rFonts w:eastAsia="游明朝"/>
                                      <w:i/>
                                      <w:iCs/>
                                      <w:noProof/>
                                      <w:sz w:val="18"/>
                                      <w:szCs w:val="18"/>
                                      <w:lang w:eastAsia="ja-JP"/>
                                    </w:rPr>
                                    <w:t>1</w:t>
                                  </w:r>
                                  <w:r w:rsidR="00F030C2">
                                    <w:rPr>
                                      <w:rFonts w:eastAsia="游明朝"/>
                                      <w:i/>
                                      <w:iCs/>
                                      <w:noProof/>
                                      <w:sz w:val="18"/>
                                      <w:szCs w:val="18"/>
                                      <w:lang w:eastAsia="ja-JP"/>
                                    </w:rPr>
                                    <w:t>.</w:t>
                                  </w:r>
                                  <w:r w:rsidRPr="00FD4EAB">
                                    <w:rPr>
                                      <w:rFonts w:eastAsia="游明朝"/>
                                      <w:i/>
                                      <w:iCs/>
                                      <w:noProof/>
                                      <w:sz w:val="18"/>
                                      <w:szCs w:val="18"/>
                                      <w:lang w:eastAsia="ja-JP"/>
                                    </w:rPr>
                                    <w:t xml:space="preserve"> CFD models for EBR-II</w:t>
                                  </w:r>
                                  <w:r w:rsidR="00F030C2">
                                    <w:rPr>
                                      <w:rFonts w:eastAsia="游明朝"/>
                                      <w:i/>
                                      <w:iCs/>
                                      <w:noProof/>
                                      <w:sz w:val="18"/>
                                      <w:szCs w:val="18"/>
                                      <w:lang w:eastAsia="ja-JP"/>
                                    </w:rPr>
                                    <w:t>.</w:t>
                                  </w:r>
                                </w:p>
                              </w:tc>
                              <w:tc>
                                <w:tcPr>
                                  <w:tcW w:w="3203" w:type="dxa"/>
                                  <w:vMerge/>
                                  <w:shd w:val="clear" w:color="auto" w:fill="auto"/>
                                </w:tcPr>
                                <w:p w14:paraId="75BBE0A3" w14:textId="476B3653" w:rsidR="000B5566" w:rsidRPr="00DE367F" w:rsidRDefault="000B5566" w:rsidP="00DA1B23">
                                  <w:pPr>
                                    <w:snapToGrid w:val="0"/>
                                    <w:jc w:val="center"/>
                                    <w:rPr>
                                      <w:noProof/>
                                      <w:sz w:val="20"/>
                                      <w:szCs w:val="16"/>
                                    </w:rPr>
                                  </w:pPr>
                                </w:p>
                              </w:tc>
                            </w:tr>
                          </w:tbl>
                          <w:p w14:paraId="7DB6CDD6" w14:textId="77777777" w:rsidR="00A31816" w:rsidRPr="006A4EEB" w:rsidRDefault="00A31816" w:rsidP="00A31816">
                            <w:pPr>
                              <w:snapToGrid w:val="0"/>
                              <w:rPr>
                                <w:b/>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497F8" id="_x0000_t202" coordsize="21600,21600" o:spt="202" path="m,l,21600r21600,l21600,xe">
                <v:stroke joinstyle="miter"/>
                <v:path gradientshapeok="t" o:connecttype="rect"/>
              </v:shapetype>
              <v:shape id="テキスト ボックス 50" o:spid="_x0000_s1026" type="#_x0000_t202" style="position:absolute;left:0;text-align:left;margin-left:400.8pt;margin-top:291.35pt;width:452pt;height:174.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" fillcolor="window" stroked="f" strokeweight=".5pt">
                <v:textbox>
                  <w:txbxContent>
                    <w:tbl>
                      <w:tblPr>
                        <w:tblW w:w="9015" w:type="dxa"/>
                        <w:tblInd w:w="-142" w:type="dxa"/>
                        <w:tblLayout w:type="fixed"/>
                        <w:tblLook w:val="04A0" w:firstRow="1" w:lastRow="0" w:firstColumn="1" w:lastColumn="0" w:noHBand="0" w:noVBand="1"/>
                      </w:tblPr>
                      <w:tblGrid>
                        <w:gridCol w:w="3261"/>
                        <w:gridCol w:w="2551"/>
                        <w:gridCol w:w="3203"/>
                      </w:tblGrid>
                      <w:tr w:rsidR="000B5566" w:rsidRPr="00DE367F" w14:paraId="760A9FD3" w14:textId="77777777" w:rsidTr="0090305D">
                        <w:trPr>
                          <w:trHeight w:val="2410"/>
                        </w:trPr>
                        <w:tc>
                          <w:tcPr>
                            <w:tcW w:w="3261" w:type="dxa"/>
                          </w:tcPr>
                          <w:p w14:paraId="2906BD51" w14:textId="69BED960" w:rsidR="000B5566" w:rsidRPr="00DE367F" w:rsidRDefault="000B5566" w:rsidP="00B30112">
                            <w:pPr>
                              <w:snapToGrid w:val="0"/>
                              <w:jc w:val="center"/>
                              <w:rPr>
                                <w:noProof/>
                                <w:sz w:val="20"/>
                                <w:szCs w:val="16"/>
                              </w:rPr>
                            </w:pPr>
                            <w:r>
                              <w:rPr>
                                <w:noProof/>
                                <w:lang w:val="en-US" w:eastAsia="ja-JP"/>
                              </w:rPr>
                              <w:drawing>
                                <wp:inline distT="0" distB="0" distL="0" distR="0" wp14:anchorId="59A6220C" wp14:editId="7A7DE877">
                                  <wp:extent cx="1676583" cy="1692000"/>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76583" cy="1692000"/>
                                          </a:xfrm>
                                          <a:prstGeom prst="rect">
                                            <a:avLst/>
                                          </a:prstGeom>
                                        </pic:spPr>
                                      </pic:pic>
                                    </a:graphicData>
                                  </a:graphic>
                                </wp:inline>
                              </w:drawing>
                            </w:r>
                          </w:p>
                        </w:tc>
                        <w:tc>
                          <w:tcPr>
                            <w:tcW w:w="2551" w:type="dxa"/>
                            <w:shd w:val="clear" w:color="auto" w:fill="auto"/>
                            <w:vAlign w:val="center"/>
                          </w:tcPr>
                          <w:p w14:paraId="26AE454D" w14:textId="768A4637" w:rsidR="000B5566" w:rsidRPr="003165CF" w:rsidRDefault="000B5566" w:rsidP="003165CF">
                            <w:pPr>
                              <w:snapToGrid w:val="0"/>
                              <w:jc w:val="center"/>
                            </w:pPr>
                            <w:r>
                              <w:rPr>
                                <w:noProof/>
                                <w:lang w:val="en-US" w:eastAsia="ja-JP"/>
                              </w:rPr>
                              <w:drawing>
                                <wp:inline distT="0" distB="0" distL="0" distR="0" wp14:anchorId="08F1BFCD" wp14:editId="0C5556F0">
                                  <wp:extent cx="1452650" cy="1620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52650" cy="1620000"/>
                                          </a:xfrm>
                                          <a:prstGeom prst="rect">
                                            <a:avLst/>
                                          </a:prstGeom>
                                        </pic:spPr>
                                      </pic:pic>
                                    </a:graphicData>
                                  </a:graphic>
                                </wp:inline>
                              </w:drawing>
                            </w:r>
                          </w:p>
                        </w:tc>
                        <w:tc>
                          <w:tcPr>
                            <w:tcW w:w="3203" w:type="dxa"/>
                            <w:shd w:val="clear" w:color="auto" w:fill="auto"/>
                            <w:vAlign w:val="center"/>
                          </w:tcPr>
                          <w:p w14:paraId="1454032D" w14:textId="311F4017" w:rsidR="000B5566" w:rsidRPr="003165CF" w:rsidRDefault="00E52288" w:rsidP="00E52288">
                            <w:pPr>
                              <w:snapToGrid w:val="0"/>
                              <w:jc w:val="center"/>
                              <w:rPr>
                                <w:rFonts w:eastAsia="游明朝"/>
                                <w:sz w:val="20"/>
                              </w:rPr>
                            </w:pPr>
                            <w:r>
                              <w:rPr>
                                <w:noProof/>
                                <w:lang w:val="en-US" w:eastAsia="ja-JP"/>
                              </w:rPr>
                              <w:drawing>
                                <wp:inline distT="0" distB="0" distL="0" distR="0" wp14:anchorId="43EADD01" wp14:editId="58234519">
                                  <wp:extent cx="1597851" cy="1692000"/>
                                  <wp:effectExtent l="0" t="0" r="2540" b="381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97851" cy="1692000"/>
                                          </a:xfrm>
                                          <a:prstGeom prst="rect">
                                            <a:avLst/>
                                          </a:prstGeom>
                                        </pic:spPr>
                                      </pic:pic>
                                    </a:graphicData>
                                  </a:graphic>
                                </wp:inline>
                              </w:drawing>
                            </w:r>
                          </w:p>
                        </w:tc>
                      </w:tr>
                      <w:tr w:rsidR="000B5566" w:rsidRPr="00DE367F" w14:paraId="56B96638" w14:textId="77777777" w:rsidTr="003165CF">
                        <w:trPr>
                          <w:trHeight w:val="283"/>
                        </w:trPr>
                        <w:tc>
                          <w:tcPr>
                            <w:tcW w:w="3261" w:type="dxa"/>
                          </w:tcPr>
                          <w:p w14:paraId="6A80B75F" w14:textId="12BE44BB" w:rsidR="000B5566" w:rsidRPr="00FD4EAB" w:rsidRDefault="000B5566" w:rsidP="00DA1B23">
                            <w:pPr>
                              <w:snapToGrid w:val="0"/>
                              <w:jc w:val="center"/>
                              <w:rPr>
                                <w:rFonts w:eastAsia="游明朝"/>
                                <w:i/>
                                <w:iCs/>
                                <w:noProof/>
                                <w:sz w:val="20"/>
                                <w:lang w:eastAsia="ja-JP"/>
                              </w:rPr>
                            </w:pPr>
                            <w:r w:rsidRPr="00FD4EAB">
                              <w:rPr>
                                <w:i/>
                                <w:iCs/>
                                <w:noProof/>
                                <w:sz w:val="18"/>
                                <w:szCs w:val="14"/>
                              </w:rPr>
                              <w:t>(a) Upper plenum and Z-pipe</w:t>
                            </w:r>
                          </w:p>
                        </w:tc>
                        <w:tc>
                          <w:tcPr>
                            <w:tcW w:w="2551" w:type="dxa"/>
                          </w:tcPr>
                          <w:p w14:paraId="7C5C3990" w14:textId="5E19EA59" w:rsidR="000B5566" w:rsidRPr="00FD4EAB" w:rsidRDefault="000B5566" w:rsidP="00DA1B23">
                            <w:pPr>
                              <w:snapToGrid w:val="0"/>
                              <w:jc w:val="center"/>
                              <w:rPr>
                                <w:rFonts w:eastAsia="游明朝"/>
                                <w:i/>
                                <w:iCs/>
                                <w:noProof/>
                                <w:sz w:val="18"/>
                                <w:szCs w:val="18"/>
                                <w:lang w:eastAsia="ja-JP"/>
                              </w:rPr>
                            </w:pPr>
                            <w:r w:rsidRPr="00FD4EAB">
                              <w:rPr>
                                <w:rFonts w:eastAsia="游明朝"/>
                                <w:i/>
                                <w:iCs/>
                                <w:sz w:val="18"/>
                                <w:szCs w:val="18"/>
                              </w:rPr>
                              <w:t>(b) Cold pool</w:t>
                            </w:r>
                          </w:p>
                        </w:tc>
                        <w:tc>
                          <w:tcPr>
                            <w:tcW w:w="3203" w:type="dxa"/>
                            <w:vMerge w:val="restart"/>
                            <w:shd w:val="clear" w:color="auto" w:fill="auto"/>
                          </w:tcPr>
                          <w:p w14:paraId="791932A9" w14:textId="4EF6CB41" w:rsidR="000B5566" w:rsidRPr="00FD4EAB" w:rsidRDefault="000B5566" w:rsidP="00DA1B23">
                            <w:pPr>
                              <w:snapToGrid w:val="0"/>
                              <w:jc w:val="center"/>
                              <w:rPr>
                                <w:rFonts w:eastAsia="游明朝"/>
                                <w:i/>
                                <w:iCs/>
                                <w:sz w:val="20"/>
                              </w:rPr>
                            </w:pPr>
                            <w:r w:rsidRPr="00FD4EAB">
                              <w:rPr>
                                <w:rFonts w:eastAsia="游明朝"/>
                                <w:i/>
                                <w:iCs/>
                                <w:sz w:val="18"/>
                                <w:szCs w:val="18"/>
                              </w:rPr>
                              <w:t>FIG.</w:t>
                            </w:r>
                            <w:r w:rsidR="00F030C2" w:rsidRPr="00F030C2">
                              <w:rPr>
                                <w:rFonts w:eastAsia="游明朝"/>
                                <w:i/>
                                <w:iCs/>
                                <w:noProof/>
                                <w:sz w:val="18"/>
                                <w:szCs w:val="18"/>
                                <w:lang w:eastAsia="ja-JP"/>
                              </w:rPr>
                              <w:t> </w:t>
                            </w:r>
                            <w:r w:rsidRPr="00FD4EAB">
                              <w:rPr>
                                <w:rFonts w:eastAsia="游明朝"/>
                                <w:i/>
                                <w:iCs/>
                                <w:sz w:val="18"/>
                                <w:szCs w:val="18"/>
                              </w:rPr>
                              <w:t>2</w:t>
                            </w:r>
                            <w:r w:rsidR="00F030C2">
                              <w:rPr>
                                <w:rFonts w:eastAsia="游明朝"/>
                                <w:i/>
                                <w:iCs/>
                                <w:sz w:val="18"/>
                                <w:szCs w:val="18"/>
                              </w:rPr>
                              <w:t>.</w:t>
                            </w:r>
                            <w:r w:rsidRPr="00FD4EAB">
                              <w:rPr>
                                <w:rFonts w:eastAsia="游明朝"/>
                                <w:i/>
                                <w:iCs/>
                                <w:sz w:val="18"/>
                                <w:szCs w:val="18"/>
                              </w:rPr>
                              <w:t xml:space="preserve"> Temperature distribution in upper plenum and Z-pipe at 240s after scram in SHRT-17 test.</w:t>
                            </w:r>
                          </w:p>
                        </w:tc>
                      </w:tr>
                      <w:tr w:rsidR="000B5566" w:rsidRPr="00DE367F" w14:paraId="43A5B7EA" w14:textId="77777777" w:rsidTr="003165CF">
                        <w:trPr>
                          <w:trHeight w:val="397"/>
                        </w:trPr>
                        <w:tc>
                          <w:tcPr>
                            <w:tcW w:w="5812" w:type="dxa"/>
                            <w:gridSpan w:val="2"/>
                          </w:tcPr>
                          <w:p w14:paraId="6063F506" w14:textId="6CE04EE2" w:rsidR="000B5566" w:rsidRPr="00FD4EAB" w:rsidRDefault="000B5566" w:rsidP="003165CF">
                            <w:pPr>
                              <w:snapToGrid w:val="0"/>
                              <w:spacing w:beforeLines="50" w:before="120"/>
                              <w:jc w:val="center"/>
                              <w:rPr>
                                <w:rFonts w:eastAsia="游明朝"/>
                                <w:i/>
                                <w:iCs/>
                                <w:noProof/>
                                <w:sz w:val="20"/>
                                <w:lang w:eastAsia="ja-JP"/>
                              </w:rPr>
                            </w:pPr>
                            <w:r w:rsidRPr="00FD4EAB">
                              <w:rPr>
                                <w:rFonts w:eastAsia="游明朝"/>
                                <w:i/>
                                <w:iCs/>
                                <w:noProof/>
                                <w:sz w:val="18"/>
                                <w:szCs w:val="18"/>
                                <w:lang w:eastAsia="ja-JP"/>
                              </w:rPr>
                              <w:t>FIG.</w:t>
                            </w:r>
                            <w:r w:rsidR="00F030C2" w:rsidRPr="00F030C2">
                              <w:rPr>
                                <w:rFonts w:eastAsia="游明朝"/>
                                <w:i/>
                                <w:iCs/>
                                <w:noProof/>
                                <w:sz w:val="18"/>
                                <w:szCs w:val="18"/>
                                <w:lang w:eastAsia="ja-JP"/>
                              </w:rPr>
                              <w:t> </w:t>
                            </w:r>
                            <w:r w:rsidRPr="00FD4EAB">
                              <w:rPr>
                                <w:rFonts w:eastAsia="游明朝"/>
                                <w:i/>
                                <w:iCs/>
                                <w:noProof/>
                                <w:sz w:val="18"/>
                                <w:szCs w:val="18"/>
                                <w:lang w:eastAsia="ja-JP"/>
                              </w:rPr>
                              <w:t>1</w:t>
                            </w:r>
                            <w:r w:rsidR="00F030C2">
                              <w:rPr>
                                <w:rFonts w:eastAsia="游明朝"/>
                                <w:i/>
                                <w:iCs/>
                                <w:noProof/>
                                <w:sz w:val="18"/>
                                <w:szCs w:val="18"/>
                                <w:lang w:eastAsia="ja-JP"/>
                              </w:rPr>
                              <w:t>.</w:t>
                            </w:r>
                            <w:r w:rsidRPr="00FD4EAB">
                              <w:rPr>
                                <w:rFonts w:eastAsia="游明朝"/>
                                <w:i/>
                                <w:iCs/>
                                <w:noProof/>
                                <w:sz w:val="18"/>
                                <w:szCs w:val="18"/>
                                <w:lang w:eastAsia="ja-JP"/>
                              </w:rPr>
                              <w:t xml:space="preserve"> CFD models for EBR-II</w:t>
                            </w:r>
                            <w:r w:rsidR="00F030C2">
                              <w:rPr>
                                <w:rFonts w:eastAsia="游明朝"/>
                                <w:i/>
                                <w:iCs/>
                                <w:noProof/>
                                <w:sz w:val="18"/>
                                <w:szCs w:val="18"/>
                                <w:lang w:eastAsia="ja-JP"/>
                              </w:rPr>
                              <w:t>.</w:t>
                            </w:r>
                          </w:p>
                        </w:tc>
                        <w:tc>
                          <w:tcPr>
                            <w:tcW w:w="3203" w:type="dxa"/>
                            <w:vMerge/>
                            <w:shd w:val="clear" w:color="auto" w:fill="auto"/>
                          </w:tcPr>
                          <w:p w14:paraId="75BBE0A3" w14:textId="476B3653" w:rsidR="000B5566" w:rsidRPr="00DE367F" w:rsidRDefault="000B5566" w:rsidP="00DA1B23">
                            <w:pPr>
                              <w:snapToGrid w:val="0"/>
                              <w:jc w:val="center"/>
                              <w:rPr>
                                <w:noProof/>
                                <w:sz w:val="20"/>
                                <w:szCs w:val="16"/>
                              </w:rPr>
                            </w:pPr>
                          </w:p>
                        </w:tc>
                      </w:tr>
                    </w:tbl>
                    <w:p w14:paraId="7DB6CDD6" w14:textId="77777777" w:rsidR="00A31816" w:rsidRPr="006A4EEB" w:rsidRDefault="00A31816" w:rsidP="00A31816">
                      <w:pPr>
                        <w:snapToGrid w:val="0"/>
                        <w:rPr>
                          <w:b/>
                          <w:szCs w:val="22"/>
                        </w:rPr>
                      </w:pPr>
                    </w:p>
                  </w:txbxContent>
                </v:textbox>
                <w10:wrap type="topAndBottom" anchorx="margin" anchory="margin"/>
                <w10:anchorlock/>
              </v:shape>
            </w:pict>
          </mc:Fallback>
        </mc:AlternateContent>
      </w:r>
    </w:p>
    <w:bookmarkEnd w:id="2"/>
    <w:p w14:paraId="16455BD6" w14:textId="7C1CE990" w:rsidR="00E1453C" w:rsidRPr="00C96C64" w:rsidRDefault="00810A57" w:rsidP="00E1453C">
      <w:pPr>
        <w:pStyle w:val="3"/>
        <w:numPr>
          <w:ilvl w:val="2"/>
          <w:numId w:val="3"/>
        </w:numPr>
      </w:pPr>
      <w:r w:rsidRPr="00C96C64">
        <w:t>Core deformation reactivity analysis by c</w:t>
      </w:r>
      <w:r w:rsidR="00E1453C" w:rsidRPr="00C96C64">
        <w:t>oupl</w:t>
      </w:r>
      <w:r w:rsidR="005C30C9" w:rsidRPr="00C96C64">
        <w:t>ing</w:t>
      </w:r>
      <w:r w:rsidR="00E1453C" w:rsidRPr="00C96C64">
        <w:t xml:space="preserve"> </w:t>
      </w:r>
      <w:r w:rsidRPr="00C96C64">
        <w:t xml:space="preserve">method </w:t>
      </w:r>
      <w:r w:rsidR="00E1453C" w:rsidRPr="00C96C64">
        <w:t xml:space="preserve">of </w:t>
      </w:r>
      <w:r w:rsidR="00A52190" w:rsidRPr="00C96C64">
        <w:t>neutronics</w:t>
      </w:r>
      <w:r w:rsidR="00E1453C" w:rsidRPr="00C96C64">
        <w:t>, thermal-hydraulics, and structural mechanics</w:t>
      </w:r>
    </w:p>
    <w:p w14:paraId="3ADD9FE3" w14:textId="7BE699A2" w:rsidR="009A122E" w:rsidRPr="00C96C64" w:rsidRDefault="00F4114D" w:rsidP="009A122E">
      <w:pPr>
        <w:pStyle w:val="a1"/>
        <w:rPr>
          <w:lang w:eastAsia="ja-JP"/>
        </w:rPr>
      </w:pPr>
      <w:r w:rsidRPr="00C96C64">
        <w:t xml:space="preserve">The coupling method of </w:t>
      </w:r>
      <w:r w:rsidR="00A52190" w:rsidRPr="00C96C64">
        <w:t>neutronics</w:t>
      </w:r>
      <w:r w:rsidR="00E52288">
        <w:t xml:space="preserve"> </w:t>
      </w:r>
      <w:r w:rsidR="000747FA">
        <w:t xml:space="preserve">calculation </w:t>
      </w:r>
      <w:r w:rsidR="00351C49" w:rsidRPr="00C96C64">
        <w:t xml:space="preserve">using </w:t>
      </w:r>
      <w:bookmarkStart w:id="3" w:name="_Hlk103955120"/>
      <w:r w:rsidR="00351C49" w:rsidRPr="00C96C64">
        <w:t>MARBLE</w:t>
      </w:r>
      <w:bookmarkEnd w:id="3"/>
      <w:r w:rsidR="00351C49" w:rsidRPr="00C96C64">
        <w:t xml:space="preserve"> </w:t>
      </w:r>
      <w:r w:rsidR="00351C49" w:rsidRPr="00432593">
        <w:t>[</w:t>
      </w:r>
      <w:r w:rsidR="00364E57" w:rsidRPr="00432593">
        <w:t>8</w:t>
      </w:r>
      <w:r w:rsidR="00351C49" w:rsidRPr="00432593">
        <w:t>]</w:t>
      </w:r>
      <w:r w:rsidR="000747FA">
        <w:t xml:space="preserve">, core </w:t>
      </w:r>
      <w:r w:rsidR="000747FA" w:rsidRPr="00C96C64">
        <w:t>thermal-hydraulics</w:t>
      </w:r>
      <w:r w:rsidR="000747FA">
        <w:t xml:space="preserve"> using </w:t>
      </w:r>
      <w:r w:rsidR="000747FA" w:rsidRPr="00C96C64">
        <w:t xml:space="preserve">Super-COPD, and structural mechanics </w:t>
      </w:r>
      <w:r w:rsidR="000747FA">
        <w:t xml:space="preserve">using </w:t>
      </w:r>
      <w:r w:rsidR="00351C49" w:rsidRPr="00C96C64">
        <w:t xml:space="preserve">FINAS </w:t>
      </w:r>
      <w:r w:rsidR="00351C49" w:rsidRPr="00432593">
        <w:t>[</w:t>
      </w:r>
      <w:r w:rsidR="00364E57" w:rsidRPr="00432593">
        <w:t>9</w:t>
      </w:r>
      <w:r w:rsidR="00351C49" w:rsidRPr="00432593">
        <w:t>]</w:t>
      </w:r>
      <w:r w:rsidR="00A52190" w:rsidRPr="00C96C64">
        <w:t xml:space="preserve"> </w:t>
      </w:r>
      <w:r w:rsidR="007872AD">
        <w:t>ha</w:t>
      </w:r>
      <w:r w:rsidR="000747FA">
        <w:t>s</w:t>
      </w:r>
      <w:r w:rsidR="007872AD" w:rsidRPr="00C96C64">
        <w:t xml:space="preserve"> </w:t>
      </w:r>
      <w:r w:rsidRPr="00C96C64">
        <w:t xml:space="preserve">been applied to the analysis of unprotected loss of flow test </w:t>
      </w:r>
      <w:r w:rsidR="000747FA">
        <w:t xml:space="preserve">of SHRT-45R conducted </w:t>
      </w:r>
      <w:r w:rsidRPr="00C96C64">
        <w:t>in EBR-II</w:t>
      </w:r>
      <w:r w:rsidR="009A122E" w:rsidRPr="00C96C64">
        <w:t xml:space="preserve">. </w:t>
      </w:r>
      <w:r w:rsidR="00EE14E7" w:rsidRPr="00C96C64">
        <w:t>In the analysis</w:t>
      </w:r>
      <w:r w:rsidR="00322BD9" w:rsidRPr="00C96C64">
        <w:t xml:space="preserve"> </w:t>
      </w:r>
      <w:r w:rsidR="00322BD9" w:rsidRPr="00432593">
        <w:t>[10]</w:t>
      </w:r>
      <w:r w:rsidR="00EE14E7" w:rsidRPr="00C96C64">
        <w:t>, t</w:t>
      </w:r>
      <w:r w:rsidR="009A122E" w:rsidRPr="00C96C64">
        <w:t xml:space="preserve">he temperature distribution of the fuel subassembly </w:t>
      </w:r>
      <w:r w:rsidR="008460E9">
        <w:t>wa</w:t>
      </w:r>
      <w:r w:rsidR="008460E9" w:rsidRPr="00C96C64">
        <w:t xml:space="preserve">s </w:t>
      </w:r>
      <w:r w:rsidR="00BB6EE7" w:rsidRPr="00C96C64">
        <w:t xml:space="preserve">firstly </w:t>
      </w:r>
      <w:r w:rsidR="009A122E" w:rsidRPr="00C96C64">
        <w:t xml:space="preserve">estimated by </w:t>
      </w:r>
      <w:r w:rsidR="00BB6E14" w:rsidRPr="00BB6E14">
        <w:t>Super-COPD</w:t>
      </w:r>
      <w:r w:rsidR="00BB6EE7" w:rsidRPr="00C96C64">
        <w:t>,</w:t>
      </w:r>
      <w:r w:rsidR="009A122E" w:rsidRPr="00C96C64">
        <w:t xml:space="preserve"> and </w:t>
      </w:r>
      <w:r w:rsidR="00BB6EE7" w:rsidRPr="00C96C64">
        <w:t xml:space="preserve">then using the temperature distribution, </w:t>
      </w:r>
      <w:r w:rsidR="009A122E" w:rsidRPr="00C96C64">
        <w:t>the deformation of fuel subassembl</w:t>
      </w:r>
      <w:r w:rsidR="000D0468" w:rsidRPr="00C96C64">
        <w:t>ies</w:t>
      </w:r>
      <w:r w:rsidR="009A122E" w:rsidRPr="00C96C64">
        <w:t xml:space="preserve"> </w:t>
      </w:r>
      <w:r w:rsidR="008460E9">
        <w:t>wa</w:t>
      </w:r>
      <w:r w:rsidR="008460E9" w:rsidRPr="00C96C64">
        <w:t xml:space="preserve">s </w:t>
      </w:r>
      <w:r w:rsidR="009A122E" w:rsidRPr="00C96C64">
        <w:t xml:space="preserve">estimated by </w:t>
      </w:r>
      <w:r w:rsidR="00BB6E14" w:rsidRPr="00BB6E14">
        <w:t>FINAS</w:t>
      </w:r>
      <w:r w:rsidR="009A122E" w:rsidRPr="00C96C64">
        <w:t xml:space="preserve">. The obtained information on the temperature and deformation </w:t>
      </w:r>
      <w:r w:rsidR="008460E9">
        <w:t>wa</w:t>
      </w:r>
      <w:r w:rsidR="008460E9" w:rsidRPr="00C96C64">
        <w:t xml:space="preserve">s </w:t>
      </w:r>
      <w:r w:rsidR="009A122E" w:rsidRPr="00C96C64">
        <w:t xml:space="preserve">used to </w:t>
      </w:r>
      <w:r w:rsidR="00316F5C" w:rsidRPr="00C96C64">
        <w:t>analy</w:t>
      </w:r>
      <w:r w:rsidR="00316F5C">
        <w:t>s</w:t>
      </w:r>
      <w:r w:rsidR="00316F5C" w:rsidRPr="00C96C64">
        <w:t xml:space="preserve">e </w:t>
      </w:r>
      <w:r w:rsidR="009A122E" w:rsidRPr="00C96C64">
        <w:t xml:space="preserve">the core deformation reactivity based on a diffusion perturbation theory in </w:t>
      </w:r>
      <w:r w:rsidR="00BB6E14" w:rsidRPr="00BB6E14">
        <w:t>MARBLE</w:t>
      </w:r>
      <w:r w:rsidR="009A122E" w:rsidRPr="00C96C64">
        <w:t xml:space="preserve">. </w:t>
      </w:r>
      <w:r w:rsidR="00BB6EE7" w:rsidRPr="00C96C64">
        <w:t>From the simulation results, a</w:t>
      </w:r>
      <w:r w:rsidR="009A122E" w:rsidRPr="00C96C64">
        <w:t xml:space="preserve"> negative feedback effect </w:t>
      </w:r>
      <w:r w:rsidR="000D0468" w:rsidRPr="00C96C64">
        <w:t xml:space="preserve">by the core deformation reactivity on reactor power </w:t>
      </w:r>
      <w:r w:rsidR="009A122E" w:rsidRPr="00C96C64">
        <w:t>w</w:t>
      </w:r>
      <w:r w:rsidR="000D0468" w:rsidRPr="00C96C64">
        <w:t>as</w:t>
      </w:r>
      <w:r w:rsidR="009A122E" w:rsidRPr="00C96C64">
        <w:t xml:space="preserve"> successfully indicated</w:t>
      </w:r>
      <w:r w:rsidR="001F50F7">
        <w:t xml:space="preserve"> and the natural circulation </w:t>
      </w:r>
      <w:r w:rsidR="00710D10">
        <w:t>behaviour</w:t>
      </w:r>
      <w:r w:rsidR="001F50F7">
        <w:t xml:space="preserve"> </w:t>
      </w:r>
      <w:r w:rsidR="001F50F7" w:rsidRPr="001F50F7">
        <w:t>during the plant transient</w:t>
      </w:r>
      <w:r w:rsidR="001F50F7">
        <w:t xml:space="preserve"> could be predicted</w:t>
      </w:r>
      <w:r w:rsidR="00CC5121" w:rsidRPr="00C96C64">
        <w:rPr>
          <w:rFonts w:hint="eastAsia"/>
          <w:lang w:eastAsia="ja-JP"/>
        </w:rPr>
        <w:t>.</w:t>
      </w:r>
      <w:r w:rsidR="009B309F">
        <w:rPr>
          <w:lang w:eastAsia="ja-JP"/>
        </w:rPr>
        <w:t xml:space="preserve"> </w:t>
      </w:r>
    </w:p>
    <w:p w14:paraId="0EC33679" w14:textId="3CBEF981" w:rsidR="00E1453C" w:rsidRPr="00C96C64" w:rsidRDefault="00EE14E7" w:rsidP="00E1453C">
      <w:pPr>
        <w:pStyle w:val="3"/>
        <w:numPr>
          <w:ilvl w:val="2"/>
          <w:numId w:val="10"/>
        </w:numPr>
      </w:pPr>
      <w:bookmarkStart w:id="4" w:name="_Hlk103702229"/>
      <w:r w:rsidRPr="00C96C64">
        <w:rPr>
          <w:lang w:eastAsia="ja-JP"/>
        </w:rPr>
        <w:t>Subassembly</w:t>
      </w:r>
      <w:r w:rsidR="00810A57" w:rsidRPr="00C96C64">
        <w:rPr>
          <w:lang w:eastAsia="ja-JP"/>
        </w:rPr>
        <w:t xml:space="preserve"> thermal-hydraulics analysis by </w:t>
      </w:r>
      <w:r w:rsidR="00E1453C" w:rsidRPr="00C96C64">
        <w:rPr>
          <w:rFonts w:hint="eastAsia"/>
          <w:lang w:eastAsia="ja-JP"/>
        </w:rPr>
        <w:t>1</w:t>
      </w:r>
      <w:r w:rsidR="00E1453C" w:rsidRPr="00C96C64">
        <w:rPr>
          <w:lang w:eastAsia="ja-JP"/>
        </w:rPr>
        <w:t>D-Subchannel coupl</w:t>
      </w:r>
      <w:r w:rsidR="005C30C9" w:rsidRPr="00C96C64">
        <w:rPr>
          <w:lang w:eastAsia="ja-JP"/>
        </w:rPr>
        <w:t>ing</w:t>
      </w:r>
      <w:r w:rsidR="00E1453C" w:rsidRPr="00C96C64">
        <w:rPr>
          <w:lang w:eastAsia="ja-JP"/>
        </w:rPr>
        <w:t xml:space="preserve"> </w:t>
      </w:r>
      <w:r w:rsidR="00810A57" w:rsidRPr="00C96C64">
        <w:rPr>
          <w:lang w:eastAsia="ja-JP"/>
        </w:rPr>
        <w:t>method</w:t>
      </w:r>
    </w:p>
    <w:p w14:paraId="450C56D3" w14:textId="58A0E5B8" w:rsidR="00EE14E7" w:rsidRDefault="00A52190" w:rsidP="009A122E">
      <w:pPr>
        <w:pStyle w:val="a1"/>
      </w:pPr>
      <w:r w:rsidRPr="00C96C64">
        <w:t xml:space="preserve">The coupling method using Super-COPD as </w:t>
      </w:r>
      <w:r w:rsidR="007872AD">
        <w:t xml:space="preserve">the </w:t>
      </w:r>
      <w:r w:rsidRPr="00C96C64">
        <w:t xml:space="preserve">1D code and ASFRE </w:t>
      </w:r>
      <w:r w:rsidRPr="00432593">
        <w:t>[1</w:t>
      </w:r>
      <w:r w:rsidR="00364E57" w:rsidRPr="00432593">
        <w:t>1</w:t>
      </w:r>
      <w:r w:rsidRPr="00432593">
        <w:t>]</w:t>
      </w:r>
      <w:r w:rsidRPr="00C96C64">
        <w:t xml:space="preserve"> as </w:t>
      </w:r>
      <w:r w:rsidR="007872AD">
        <w:t xml:space="preserve">a </w:t>
      </w:r>
      <w:r w:rsidRPr="00C96C64">
        <w:t xml:space="preserve">subchannel </w:t>
      </w:r>
      <w:r w:rsidR="00FF13DB" w:rsidRPr="00C96C64">
        <w:t xml:space="preserve">analysis </w:t>
      </w:r>
      <w:r w:rsidRPr="00C96C64">
        <w:t xml:space="preserve">code has been applied to the analysis of unprotected loss of flow test </w:t>
      </w:r>
      <w:r w:rsidR="00E52288">
        <w:t xml:space="preserve">of SHRT-45R conducted </w:t>
      </w:r>
      <w:r w:rsidRPr="00C96C64">
        <w:t xml:space="preserve">in EBR-II. </w:t>
      </w:r>
      <w:r w:rsidR="009A0F86" w:rsidRPr="00C96C64">
        <w:t>In the analysis</w:t>
      </w:r>
      <w:r w:rsidR="00322BD9" w:rsidRPr="00C96C64">
        <w:t xml:space="preserve"> </w:t>
      </w:r>
      <w:r w:rsidR="00322BD9" w:rsidRPr="00432593">
        <w:t>[12]</w:t>
      </w:r>
      <w:r w:rsidR="009A0F86" w:rsidRPr="00C96C64">
        <w:t xml:space="preserve">, </w:t>
      </w:r>
      <w:r w:rsidR="00C36C32">
        <w:t>t</w:t>
      </w:r>
      <w:r w:rsidR="006C7BDD" w:rsidRPr="00C96C64">
        <w:t xml:space="preserve">he whole core thermal-hydraulics </w:t>
      </w:r>
      <w:r w:rsidR="00710D10">
        <w:t>behaviour</w:t>
      </w:r>
      <w:r w:rsidR="000747FA">
        <w:t xml:space="preserve"> </w:t>
      </w:r>
      <w:r w:rsidR="008460E9">
        <w:t>wa</w:t>
      </w:r>
      <w:r w:rsidR="008460E9" w:rsidRPr="00C96C64">
        <w:t xml:space="preserve">s </w:t>
      </w:r>
      <w:r w:rsidR="00670066">
        <w:t>analy</w:t>
      </w:r>
      <w:r w:rsidR="00316F5C">
        <w:t>s</w:t>
      </w:r>
      <w:r w:rsidR="00670066">
        <w:t>ed</w:t>
      </w:r>
      <w:r w:rsidR="00670066" w:rsidRPr="00C96C64">
        <w:t xml:space="preserve"> </w:t>
      </w:r>
      <w:r w:rsidR="006C7BDD" w:rsidRPr="00C96C64">
        <w:t xml:space="preserve">by </w:t>
      </w:r>
      <w:r w:rsidR="00BB6E14" w:rsidRPr="00BB6E14">
        <w:t>Super-COPD</w:t>
      </w:r>
      <w:r w:rsidR="006C7BDD" w:rsidRPr="00C96C64">
        <w:t xml:space="preserve"> and the thermal-hydraulics </w:t>
      </w:r>
      <w:r w:rsidR="000747FA">
        <w:lastRenderedPageBreak/>
        <w:t xml:space="preserve">analysis </w:t>
      </w:r>
      <w:r w:rsidR="006C7BDD" w:rsidRPr="00C96C64">
        <w:t xml:space="preserve">in subassembly </w:t>
      </w:r>
      <w:r w:rsidR="008460E9">
        <w:t>wa</w:t>
      </w:r>
      <w:r w:rsidR="008460E9" w:rsidRPr="00C96C64">
        <w:t xml:space="preserve">s </w:t>
      </w:r>
      <w:r w:rsidR="000747FA">
        <w:t xml:space="preserve">done </w:t>
      </w:r>
      <w:r w:rsidR="006C7BDD" w:rsidRPr="00C96C64">
        <w:t xml:space="preserve">by </w:t>
      </w:r>
      <w:r w:rsidR="00BB6E14" w:rsidRPr="00BB6E14">
        <w:t>ASFRE</w:t>
      </w:r>
      <w:r w:rsidR="006C7BDD" w:rsidRPr="00C96C64">
        <w:t xml:space="preserve">. </w:t>
      </w:r>
      <w:r w:rsidR="00BB6E14" w:rsidRPr="00BB6E14">
        <w:t>Super-COPD</w:t>
      </w:r>
      <w:r w:rsidR="00BB6E14" w:rsidRPr="00BB6E14" w:rsidDel="00BB6E14">
        <w:t xml:space="preserve"> </w:t>
      </w:r>
      <w:r w:rsidR="008460E9">
        <w:t xml:space="preserve">analysed </w:t>
      </w:r>
      <w:r w:rsidR="000747FA">
        <w:t xml:space="preserve">thermal-hydraulics </w:t>
      </w:r>
      <w:r w:rsidR="00173963" w:rsidRPr="00C96C64">
        <w:t xml:space="preserve">firstly with the boundary conditions given by the results of the ASFRE calculated in the previous time step, and then the ASFRE </w:t>
      </w:r>
      <w:r w:rsidR="008460E9" w:rsidRPr="00C96C64">
        <w:t>calculate</w:t>
      </w:r>
      <w:r w:rsidR="008460E9">
        <w:t>d</w:t>
      </w:r>
      <w:r w:rsidR="008460E9" w:rsidRPr="00C96C64">
        <w:t xml:space="preserve"> </w:t>
      </w:r>
      <w:r w:rsidR="00173963" w:rsidRPr="00C96C64">
        <w:t xml:space="preserve">with the boundary conditions given by the Super-COPD in the same time step. The temperatures of </w:t>
      </w:r>
      <w:r w:rsidR="000747FA">
        <w:t xml:space="preserve">the </w:t>
      </w:r>
      <w:r w:rsidR="00173963" w:rsidRPr="00C96C64">
        <w:t>inlet of the subassembly and the adjacent inter-w</w:t>
      </w:r>
      <w:r w:rsidR="00C36C32">
        <w:t>r</w:t>
      </w:r>
      <w:r w:rsidR="00173963" w:rsidRPr="00C96C64">
        <w:t xml:space="preserve">apper gap region, the inlet flow rate, and subassembly power were estimated by </w:t>
      </w:r>
      <w:r w:rsidR="00BB6E14" w:rsidRPr="00BB6E14">
        <w:t>Super-COPD</w:t>
      </w:r>
      <w:r w:rsidR="00173963" w:rsidRPr="00C96C64">
        <w:t xml:space="preserve"> as boundary conditions of </w:t>
      </w:r>
      <w:r w:rsidR="00BB6E14" w:rsidRPr="00BB6E14">
        <w:t>ASFRE</w:t>
      </w:r>
      <w:r w:rsidR="00173963" w:rsidRPr="00C96C64">
        <w:t xml:space="preserve">. The outlet temperature of the subassembly, </w:t>
      </w:r>
      <w:r w:rsidR="000747FA" w:rsidRPr="00C96C64">
        <w:t>pressure</w:t>
      </w:r>
      <w:r w:rsidR="000747FA">
        <w:t xml:space="preserve"> </w:t>
      </w:r>
      <w:r w:rsidR="000747FA" w:rsidRPr="00C96C64">
        <w:t>differen</w:t>
      </w:r>
      <w:r w:rsidR="000747FA">
        <w:t>ce</w:t>
      </w:r>
      <w:r w:rsidR="000747FA" w:rsidRPr="00C96C64">
        <w:t xml:space="preserve"> </w:t>
      </w:r>
      <w:r w:rsidR="000747FA">
        <w:t xml:space="preserve">between the </w:t>
      </w:r>
      <w:r w:rsidR="00173963" w:rsidRPr="00C96C64">
        <w:t>inlet</w:t>
      </w:r>
      <w:r w:rsidR="000747FA">
        <w:t xml:space="preserve"> and the </w:t>
      </w:r>
      <w:r w:rsidR="00173963" w:rsidRPr="00C96C64">
        <w:t xml:space="preserve">outlet, and heat flux on </w:t>
      </w:r>
      <w:r w:rsidR="000747FA">
        <w:t xml:space="preserve">the </w:t>
      </w:r>
      <w:r w:rsidR="00173963" w:rsidRPr="00C96C64">
        <w:t xml:space="preserve">wrapper tube surface were estimated by </w:t>
      </w:r>
      <w:r w:rsidR="00BB6E14" w:rsidRPr="00BB6E14">
        <w:t>ASFRE</w:t>
      </w:r>
      <w:r w:rsidR="00173963" w:rsidRPr="00C96C64">
        <w:t xml:space="preserve"> as boundary conditions of </w:t>
      </w:r>
      <w:r w:rsidR="00BB6E14" w:rsidRPr="00BB6E14">
        <w:t>Super-COPD</w:t>
      </w:r>
      <w:r w:rsidR="00173963" w:rsidRPr="00C96C64">
        <w:t xml:space="preserve">. </w:t>
      </w:r>
      <w:r w:rsidR="00670066">
        <w:t>T</w:t>
      </w:r>
      <w:r w:rsidR="00525387" w:rsidRPr="00C96C64">
        <w:t xml:space="preserve">he </w:t>
      </w:r>
      <w:r w:rsidR="009A122E" w:rsidRPr="00C96C64">
        <w:t xml:space="preserve">temperature distribution in a subassembly </w:t>
      </w:r>
      <w:r w:rsidR="00670066">
        <w:t xml:space="preserve">could be predicted </w:t>
      </w:r>
      <w:r w:rsidR="00525387">
        <w:t xml:space="preserve">considering the </w:t>
      </w:r>
      <w:r w:rsidR="009A122E" w:rsidRPr="00C96C64">
        <w:t xml:space="preserve">inter-subassembly heat transfer in </w:t>
      </w:r>
      <w:r w:rsidR="00670066">
        <w:t xml:space="preserve">the </w:t>
      </w:r>
      <w:r w:rsidR="009A122E" w:rsidRPr="00C96C64">
        <w:t>radial direction of the core during the plant transient from forced circulation to natural circulation conditions.</w:t>
      </w:r>
      <w:r w:rsidR="009A122E" w:rsidRPr="009A122E">
        <w:t xml:space="preserve"> </w:t>
      </w:r>
    </w:p>
    <w:bookmarkEnd w:id="4"/>
    <w:p w14:paraId="433FE059" w14:textId="41AE2364" w:rsidR="00F004EE" w:rsidRDefault="00541BD7" w:rsidP="000B1F53">
      <w:pPr>
        <w:pStyle w:val="2"/>
        <w:numPr>
          <w:ilvl w:val="1"/>
          <w:numId w:val="35"/>
        </w:numPr>
      </w:pPr>
      <w:r>
        <w:t>C</w:t>
      </w:r>
      <w:r w:rsidR="00195D24">
        <w:t>ONC</w:t>
      </w:r>
      <w:r>
        <w:t>LUSION</w:t>
      </w:r>
    </w:p>
    <w:p w14:paraId="78B7D383" w14:textId="049EB289" w:rsidR="00B73BB4" w:rsidRDefault="00E52288" w:rsidP="000B3872">
      <w:pPr>
        <w:pStyle w:val="a1"/>
      </w:pPr>
      <w:r w:rsidRPr="00E52288">
        <w:t xml:space="preserve">ARKADIA-Design </w:t>
      </w:r>
      <w:r w:rsidR="000B3872">
        <w:t>has been</w:t>
      </w:r>
      <w:r w:rsidRPr="00E52288">
        <w:t xml:space="preserve"> developed to support design optimization both in normal operating conditions and design basis events mainly during the conceptual design stage in the fields of core design, plant structure design including thermal-hydraulics analysis, and maintenance plan optimization.</w:t>
      </w:r>
      <w:r>
        <w:t xml:space="preserve"> </w:t>
      </w:r>
      <w:r w:rsidR="000B3872">
        <w:t>ARKADIA-Design performs a whole plant analysis based on a multi-level simulation technique</w:t>
      </w:r>
      <w:r w:rsidR="00B73BB4" w:rsidRPr="00B73BB4">
        <w:t xml:space="preserve"> by coupling analyses</w:t>
      </w:r>
      <w:r w:rsidR="008460E9" w:rsidRPr="008460E9">
        <w:t xml:space="preserve">, whose level of detail is determined </w:t>
      </w:r>
      <w:r w:rsidR="008460E9">
        <w:t>depending on</w:t>
      </w:r>
      <w:r w:rsidR="00B73BB4" w:rsidRPr="00B73BB4">
        <w:t xml:space="preserve"> the user’s requirements</w:t>
      </w:r>
      <w:r w:rsidR="008460E9" w:rsidRPr="008460E9">
        <w:t xml:space="preserve"> including the objective, accuracy, and region of interest</w:t>
      </w:r>
      <w:r w:rsidR="000B3872">
        <w:t xml:space="preserve">. </w:t>
      </w:r>
      <w:r w:rsidR="00B73BB4" w:rsidRPr="00B73BB4">
        <w:t xml:space="preserve">The </w:t>
      </w:r>
      <w:r w:rsidR="00B73BB4">
        <w:t>simulation capability</w:t>
      </w:r>
      <w:r w:rsidR="00B73BB4" w:rsidRPr="00B73BB4">
        <w:t xml:space="preserve"> of the </w:t>
      </w:r>
      <w:r w:rsidR="008460E9" w:rsidRPr="00B73BB4">
        <w:t>coupl</w:t>
      </w:r>
      <w:r w:rsidR="008460E9">
        <w:t>ing</w:t>
      </w:r>
      <w:r w:rsidR="008460E9" w:rsidRPr="00B73BB4">
        <w:t xml:space="preserve"> </w:t>
      </w:r>
      <w:r w:rsidR="00B73BB4" w:rsidRPr="00B73BB4">
        <w:t xml:space="preserve">analysis methods in ARKADIA-Design was demonstrated through </w:t>
      </w:r>
      <w:r w:rsidR="00B73BB4">
        <w:t xml:space="preserve">the application </w:t>
      </w:r>
      <w:r w:rsidR="00B73BB4" w:rsidRPr="00B73BB4">
        <w:t>to the experimental fast breeder reactor EBR-II tests.</w:t>
      </w:r>
    </w:p>
    <w:p w14:paraId="6DEEEEA7" w14:textId="77777777" w:rsidR="00E52288" w:rsidRDefault="00E52288" w:rsidP="00E52288">
      <w:pPr>
        <w:pStyle w:val="Otherunnumberedheadings"/>
      </w:pPr>
      <w:r w:rsidRPr="00285755">
        <w:t>ACKNOWLEDGEMENTS</w:t>
      </w:r>
    </w:p>
    <w:p w14:paraId="4FE8C47B" w14:textId="2ED2735C" w:rsidR="00E52288" w:rsidRPr="00E52288" w:rsidRDefault="00E52288" w:rsidP="00537496">
      <w:pPr>
        <w:pStyle w:val="a1"/>
      </w:pPr>
      <w:r w:rsidRPr="00E52288">
        <w:t>The paper includes some of the results of the “Technical development program on a common base for fast reactors” ensured to JAEA by the Ministry of Economy, Trade and Industry in Japan (METI).</w:t>
      </w:r>
    </w:p>
    <w:p w14:paraId="433FE097" w14:textId="77777777" w:rsidR="00D26ADA" w:rsidRPr="00285755" w:rsidRDefault="00D26ADA" w:rsidP="00537496">
      <w:pPr>
        <w:pStyle w:val="Otherunnumberedheadings"/>
      </w:pPr>
      <w:r>
        <w:t>References</w:t>
      </w:r>
    </w:p>
    <w:p w14:paraId="6611FB7B" w14:textId="7E7BB6C9" w:rsidR="00C90FDA" w:rsidRPr="00B25E80" w:rsidRDefault="00BF4AC7" w:rsidP="00537496">
      <w:pPr>
        <w:pStyle w:val="Referencelist"/>
      </w:pPr>
      <w:r w:rsidRPr="00B25E80">
        <w:t>OHSHIMA</w:t>
      </w:r>
      <w:r w:rsidR="00C90FDA" w:rsidRPr="00B25E80">
        <w:t xml:space="preserve">, </w:t>
      </w:r>
      <w:r w:rsidR="00C90FDA" w:rsidRPr="00B25E80">
        <w:rPr>
          <w:lang w:eastAsia="ja-JP"/>
        </w:rPr>
        <w:t>H.</w:t>
      </w:r>
      <w:r w:rsidR="00C90FDA" w:rsidRPr="00B25E80">
        <w:t xml:space="preserve"> et al., “ARKADIA–For </w:t>
      </w:r>
      <w:r w:rsidR="005A1D2E">
        <w:rPr>
          <w:rFonts w:hint="eastAsia"/>
          <w:lang w:eastAsia="ja-JP"/>
        </w:rPr>
        <w:t>t</w:t>
      </w:r>
      <w:r w:rsidR="005A1D2E">
        <w:rPr>
          <w:lang w:eastAsia="ja-JP"/>
        </w:rPr>
        <w:t xml:space="preserve">he </w:t>
      </w:r>
      <w:r w:rsidR="00C90FDA" w:rsidRPr="00B25E80">
        <w:t xml:space="preserve">Innovation </w:t>
      </w:r>
      <w:r w:rsidR="005A1D2E">
        <w:t>of</w:t>
      </w:r>
      <w:r w:rsidR="00C90FDA" w:rsidRPr="00B25E80">
        <w:t xml:space="preserve"> Advanced Nuclear Reactor Design”</w:t>
      </w:r>
      <w:r w:rsidR="001F05CD" w:rsidRPr="00B25E80">
        <w:t>,</w:t>
      </w:r>
      <w:r w:rsidR="00C90FDA" w:rsidRPr="00B25E80">
        <w:t xml:space="preserve"> </w:t>
      </w:r>
      <w:r w:rsidR="00DA5B73">
        <w:t xml:space="preserve">To be published in </w:t>
      </w:r>
      <w:r w:rsidR="005A1D2E" w:rsidRPr="00FD4EAB">
        <w:rPr>
          <w:i/>
          <w:iCs/>
        </w:rPr>
        <w:t>Journal of Nuclear Engineering and Radiation Science</w:t>
      </w:r>
      <w:r w:rsidR="005A1D2E">
        <w:t>,</w:t>
      </w:r>
      <w:r w:rsidR="00DA5B73">
        <w:t xml:space="preserve"> NERS-21-1157 (2022)</w:t>
      </w:r>
      <w:r w:rsidR="00C90FDA" w:rsidRPr="00B25E80">
        <w:t>.</w:t>
      </w:r>
    </w:p>
    <w:p w14:paraId="1FE113D4" w14:textId="575A54B5" w:rsidR="00412844" w:rsidRPr="00B25E80" w:rsidRDefault="00BF4AC7" w:rsidP="00412844">
      <w:pPr>
        <w:pStyle w:val="Referencelist"/>
      </w:pPr>
      <w:r w:rsidRPr="00B25E80">
        <w:rPr>
          <w:lang w:eastAsia="ja-JP"/>
        </w:rPr>
        <w:t>TANAKA</w:t>
      </w:r>
      <w:r w:rsidR="001F05CD" w:rsidRPr="00B25E80">
        <w:rPr>
          <w:lang w:eastAsia="ja-JP"/>
        </w:rPr>
        <w:t xml:space="preserve">, M. et al., “Development of numerical analysis codes for multi-level and multi-physics approaches in an advanced reactor design study”, </w:t>
      </w:r>
      <w:bookmarkStart w:id="5" w:name="_Hlk103944974"/>
      <w:r w:rsidR="00AC5A8F" w:rsidRPr="00432593">
        <w:rPr>
          <w:i/>
          <w:iCs/>
          <w:lang w:eastAsia="ja-JP"/>
        </w:rPr>
        <w:t>Proc. of the 19th International Topical Meeting on Nuclear Reactor Thermal Hydraulics (</w:t>
      </w:r>
      <w:r w:rsidR="001F05CD" w:rsidRPr="00432593">
        <w:rPr>
          <w:i/>
          <w:iCs/>
          <w:lang w:eastAsia="ja-JP"/>
        </w:rPr>
        <w:t>NURETH-19</w:t>
      </w:r>
      <w:r w:rsidR="00AC5A8F" w:rsidRPr="00432593">
        <w:rPr>
          <w:i/>
          <w:iCs/>
          <w:lang w:eastAsia="ja-JP"/>
        </w:rPr>
        <w:t>)</w:t>
      </w:r>
      <w:r w:rsidR="001F05CD" w:rsidRPr="00B25E80">
        <w:rPr>
          <w:lang w:eastAsia="ja-JP"/>
        </w:rPr>
        <w:t>, Brussels, Belgium</w:t>
      </w:r>
      <w:r w:rsidR="00AC5A8F" w:rsidRPr="00B25E80">
        <w:rPr>
          <w:lang w:eastAsia="ja-JP"/>
        </w:rPr>
        <w:t xml:space="preserve"> (</w:t>
      </w:r>
      <w:r w:rsidR="001F05CD" w:rsidRPr="00B25E80">
        <w:rPr>
          <w:lang w:eastAsia="ja-JP"/>
        </w:rPr>
        <w:t>2022)</w:t>
      </w:r>
      <w:bookmarkEnd w:id="5"/>
      <w:r w:rsidR="001F05CD" w:rsidRPr="00B25E80">
        <w:rPr>
          <w:lang w:eastAsia="ja-JP"/>
        </w:rPr>
        <w:t>.</w:t>
      </w:r>
    </w:p>
    <w:p w14:paraId="6AFC207D" w14:textId="2B4ADBB9" w:rsidR="00C151D7" w:rsidRPr="00B25E80" w:rsidRDefault="00BF4AC7" w:rsidP="00412844">
      <w:pPr>
        <w:pStyle w:val="Referencelist"/>
      </w:pPr>
      <w:r w:rsidRPr="00B25E80">
        <w:t>INTERNATIONAL ATOMIC ENERGY AGENCY</w:t>
      </w:r>
      <w:r w:rsidR="00C151D7" w:rsidRPr="00B25E80">
        <w:t>, Benchmark analysis of EBR II shutdown heat removal</w:t>
      </w:r>
      <w:r w:rsidR="00EC3D4E" w:rsidRPr="00B25E80">
        <w:t>,</w:t>
      </w:r>
      <w:r w:rsidR="00EC3D4E" w:rsidRPr="00B25E80">
        <w:rPr>
          <w:lang w:eastAsia="ja-JP"/>
        </w:rPr>
        <w:t xml:space="preserve"> </w:t>
      </w:r>
      <w:r w:rsidR="00C151D7" w:rsidRPr="00B25E80">
        <w:t>IAEA-TECDOC-1819, IAEA, Vienna (2017).</w:t>
      </w:r>
    </w:p>
    <w:p w14:paraId="5F3F488E" w14:textId="20D1890C" w:rsidR="00F07B90" w:rsidRPr="00B25E80" w:rsidRDefault="00F07B90" w:rsidP="00CE1AC1">
      <w:pPr>
        <w:pStyle w:val="Referencelist"/>
      </w:pPr>
      <w:r w:rsidRPr="00B25E80">
        <w:t>H</w:t>
      </w:r>
      <w:r w:rsidR="00BF4AC7" w:rsidRPr="00B25E80">
        <w:t>U</w:t>
      </w:r>
      <w:r w:rsidRPr="00B25E80">
        <w:t>,</w:t>
      </w:r>
      <w:r w:rsidR="00BF4AC7" w:rsidRPr="00B25E80">
        <w:t xml:space="preserve"> R.</w:t>
      </w:r>
      <w:r w:rsidRPr="00B25E80">
        <w:t xml:space="preserve"> et al., “Strategy for Multi-Scale Single-Phase Flow Coupling,” ANL/NE-13/4</w:t>
      </w:r>
      <w:r w:rsidR="00BF4AC7" w:rsidRPr="00B25E80">
        <w:t>, Argonne National Laboratory</w:t>
      </w:r>
      <w:r w:rsidRPr="00B25E80">
        <w:t xml:space="preserve"> (2013).</w:t>
      </w:r>
    </w:p>
    <w:p w14:paraId="36DF1F7A" w14:textId="21835FD0" w:rsidR="00CE1AC1" w:rsidRPr="00B25E80" w:rsidRDefault="007B363D" w:rsidP="00CE1AC1">
      <w:pPr>
        <w:pStyle w:val="Referencelist"/>
      </w:pPr>
      <w:r w:rsidRPr="00B25E80">
        <w:t>N</w:t>
      </w:r>
      <w:r w:rsidR="00EC3D4E" w:rsidRPr="00432593">
        <w:t>AKAI</w:t>
      </w:r>
      <w:r w:rsidRPr="00B25E80">
        <w:t>,</w:t>
      </w:r>
      <w:r w:rsidR="00784591" w:rsidRPr="00B25E80">
        <w:t xml:space="preserve"> S.</w:t>
      </w:r>
      <w:r w:rsidRPr="00B25E80">
        <w:t xml:space="preserve"> et al., “Super-COPD module integrated plant dynamics analysis code; Code system description (Programmer's manual),” PNC-TN9520 88-019 (1988).</w:t>
      </w:r>
    </w:p>
    <w:p w14:paraId="6228DDE7" w14:textId="1B7E0774" w:rsidR="007B363D" w:rsidRPr="00B25E80" w:rsidRDefault="005A1519" w:rsidP="007B363D">
      <w:pPr>
        <w:pStyle w:val="Referencelist"/>
      </w:pPr>
      <w:r w:rsidRPr="00B25E80">
        <w:t xml:space="preserve">YOSHIMURA, K. et al., “Development of 1D-CFD coupling method through benchmark analyses of SHRT tests in EBR-II”, </w:t>
      </w:r>
      <w:r w:rsidRPr="00432593">
        <w:rPr>
          <w:i/>
          <w:iCs/>
          <w:lang w:eastAsia="ja-JP"/>
        </w:rPr>
        <w:t>Proc. of NURETH-19</w:t>
      </w:r>
      <w:r w:rsidRPr="00432593">
        <w:rPr>
          <w:lang w:eastAsia="ja-JP"/>
        </w:rPr>
        <w:t>, Brussels, Belgium (2022).</w:t>
      </w:r>
    </w:p>
    <w:p w14:paraId="7B83D7C1" w14:textId="4D6B86CD" w:rsidR="00F07B90" w:rsidRPr="00B25E80" w:rsidRDefault="00EC3D4E" w:rsidP="00F07B90">
      <w:pPr>
        <w:pStyle w:val="Referencelist"/>
      </w:pPr>
      <w:bookmarkStart w:id="6" w:name="_Hlk104895960"/>
      <w:r w:rsidRPr="00B25E80">
        <w:t>YOSHIMURA</w:t>
      </w:r>
      <w:r w:rsidR="00F07B90" w:rsidRPr="00B25E80">
        <w:t>, K. et al., “</w:t>
      </w:r>
      <w:r w:rsidR="005A1519">
        <w:rPr>
          <w:rFonts w:hint="eastAsia"/>
          <w:lang w:eastAsia="ja-JP"/>
        </w:rPr>
        <w:t>A</w:t>
      </w:r>
      <w:r w:rsidR="005A1519">
        <w:t>pplication of 1D-CFD coupling method to unprotected loss of heat sink event in EBR-II focusing on thermal stratification in cold pool</w:t>
      </w:r>
      <w:r w:rsidR="00F07B90" w:rsidRPr="00B25E80">
        <w:t xml:space="preserve">”, </w:t>
      </w:r>
      <w:r w:rsidRPr="00432593">
        <w:rPr>
          <w:i/>
          <w:iCs/>
          <w:lang w:eastAsia="ja-JP"/>
        </w:rPr>
        <w:t xml:space="preserve">Proc. of </w:t>
      </w:r>
      <w:r w:rsidR="005A1519">
        <w:rPr>
          <w:i/>
          <w:iCs/>
          <w:lang w:eastAsia="ja-JP"/>
        </w:rPr>
        <w:t>ICONE29</w:t>
      </w:r>
      <w:r w:rsidRPr="00432593">
        <w:rPr>
          <w:lang w:eastAsia="ja-JP"/>
        </w:rPr>
        <w:t xml:space="preserve">, </w:t>
      </w:r>
      <w:r w:rsidR="005A1519">
        <w:rPr>
          <w:lang w:eastAsia="ja-JP"/>
        </w:rPr>
        <w:t xml:space="preserve">Shenzhen, China, ICONE29-89259 </w:t>
      </w:r>
      <w:r w:rsidRPr="00432593">
        <w:rPr>
          <w:lang w:eastAsia="ja-JP"/>
        </w:rPr>
        <w:t>(2022).</w:t>
      </w:r>
      <w:bookmarkEnd w:id="6"/>
    </w:p>
    <w:p w14:paraId="1DF5C5BD" w14:textId="7CB563DB" w:rsidR="00D53614" w:rsidRPr="00B25E80" w:rsidRDefault="00EC3D4E" w:rsidP="00D53614">
      <w:pPr>
        <w:pStyle w:val="Referencelist"/>
        <w:rPr>
          <w:lang w:eastAsia="ja-JP"/>
        </w:rPr>
      </w:pPr>
      <w:r w:rsidRPr="00B25E80">
        <w:rPr>
          <w:lang w:eastAsia="ja-JP"/>
        </w:rPr>
        <w:t>YOKOYAMA</w:t>
      </w:r>
      <w:r w:rsidR="00D53614" w:rsidRPr="00B25E80">
        <w:rPr>
          <w:lang w:eastAsia="ja-JP"/>
        </w:rPr>
        <w:t xml:space="preserve">, K. et al., “Development of comprehensive and versatile framework for reactor analysis, MARBLE,” </w:t>
      </w:r>
      <w:r w:rsidR="00D53614" w:rsidRPr="00432593">
        <w:rPr>
          <w:i/>
          <w:iCs/>
          <w:lang w:eastAsia="ja-JP"/>
        </w:rPr>
        <w:t>Annals of Nuclear Energy</w:t>
      </w:r>
      <w:r w:rsidR="00D53614" w:rsidRPr="00B25E80">
        <w:rPr>
          <w:lang w:eastAsia="ja-JP"/>
        </w:rPr>
        <w:t>, 66, pp. 51-60 (2014).</w:t>
      </w:r>
    </w:p>
    <w:p w14:paraId="1A09AFBC" w14:textId="73378CC6" w:rsidR="00F07B90" w:rsidRPr="00B25E80" w:rsidRDefault="00BF4AC7" w:rsidP="00CE1AC1">
      <w:pPr>
        <w:pStyle w:val="Referencelist"/>
      </w:pPr>
      <w:r w:rsidRPr="00B25E80">
        <w:rPr>
          <w:lang w:eastAsia="ja-JP"/>
        </w:rPr>
        <w:t>JAPAN ATOMIC ENERGY AGENCY</w:t>
      </w:r>
      <w:r w:rsidR="00D53614" w:rsidRPr="00B25E80">
        <w:rPr>
          <w:lang w:eastAsia="ja-JP"/>
        </w:rPr>
        <w:t>, “Finite Element Nonlinear Structural Analysis System Version 13,” PNC TN9520 95-014 (1995).</w:t>
      </w:r>
    </w:p>
    <w:p w14:paraId="409DE92E" w14:textId="62031681" w:rsidR="00412844" w:rsidRPr="00B25E80" w:rsidRDefault="00E77D0E" w:rsidP="00412844">
      <w:pPr>
        <w:pStyle w:val="Referencelist"/>
      </w:pPr>
      <w:r w:rsidRPr="00B25E80">
        <w:rPr>
          <w:lang w:eastAsia="ja-JP"/>
        </w:rPr>
        <w:t>D</w:t>
      </w:r>
      <w:r w:rsidR="00BF4AC7" w:rsidRPr="00B25E80">
        <w:rPr>
          <w:lang w:eastAsia="ja-JP"/>
        </w:rPr>
        <w:t>ODA</w:t>
      </w:r>
      <w:r w:rsidRPr="00B25E80">
        <w:t xml:space="preserve">, </w:t>
      </w:r>
      <w:r w:rsidRPr="00B25E80">
        <w:rPr>
          <w:lang w:eastAsia="ja-JP"/>
        </w:rPr>
        <w:t>N</w:t>
      </w:r>
      <w:r w:rsidRPr="00B25E80">
        <w:t>. et al., “</w:t>
      </w:r>
      <w:r w:rsidRPr="00B25E80">
        <w:rPr>
          <w:lang w:eastAsia="ja-JP"/>
        </w:rPr>
        <w:t>D</w:t>
      </w:r>
      <w:r w:rsidRPr="00B25E80">
        <w:t xml:space="preserve">evelopment of evaluation method for core deformation reactivity feedback in sodium-cooled fast reactor by coupled analysis approach”, </w:t>
      </w:r>
      <w:r w:rsidR="00EC3D4E" w:rsidRPr="00B25E80">
        <w:rPr>
          <w:i/>
          <w:iCs/>
          <w:lang w:eastAsia="ja-JP"/>
        </w:rPr>
        <w:t>Proc. of NURETH-19</w:t>
      </w:r>
      <w:r w:rsidR="00EC3D4E" w:rsidRPr="00B25E80">
        <w:rPr>
          <w:lang w:eastAsia="ja-JP"/>
        </w:rPr>
        <w:t>, Brussels, Belgium (2022)</w:t>
      </w:r>
      <w:r w:rsidRPr="00B25E80">
        <w:t>.</w:t>
      </w:r>
    </w:p>
    <w:p w14:paraId="51F360CE" w14:textId="65C37F9E" w:rsidR="00F07B90" w:rsidRPr="00B25E80" w:rsidRDefault="00D53614" w:rsidP="00412844">
      <w:pPr>
        <w:pStyle w:val="Referencelist"/>
      </w:pPr>
      <w:r w:rsidRPr="00B25E80">
        <w:rPr>
          <w:lang w:eastAsia="ja-JP"/>
        </w:rPr>
        <w:t>O</w:t>
      </w:r>
      <w:r w:rsidR="00BF4AC7" w:rsidRPr="00B25E80">
        <w:rPr>
          <w:lang w:eastAsia="ja-JP"/>
        </w:rPr>
        <w:t>TAKA</w:t>
      </w:r>
      <w:r w:rsidRPr="00B25E80">
        <w:rPr>
          <w:lang w:eastAsia="ja-JP"/>
        </w:rPr>
        <w:t>, M. et al., “Validation of single-phase subchannel analysis code ASFRE-III,” PNC-TN9410 96-212</w:t>
      </w:r>
      <w:r w:rsidR="00B25E80" w:rsidRPr="00432593">
        <w:rPr>
          <w:lang w:eastAsia="ja-JP"/>
        </w:rPr>
        <w:t xml:space="preserve"> </w:t>
      </w:r>
      <w:r w:rsidRPr="00B25E80">
        <w:rPr>
          <w:lang w:eastAsia="ja-JP"/>
        </w:rPr>
        <w:t>(1996).</w:t>
      </w:r>
    </w:p>
    <w:p w14:paraId="5EEC770D" w14:textId="4D3194EF" w:rsidR="00784591" w:rsidRPr="00B25E80" w:rsidRDefault="00BF4AC7" w:rsidP="00784591">
      <w:pPr>
        <w:pStyle w:val="Referencelist"/>
      </w:pPr>
      <w:r w:rsidRPr="00B25E80">
        <w:rPr>
          <w:lang w:eastAsia="ja-JP"/>
        </w:rPr>
        <w:t>DODA</w:t>
      </w:r>
      <w:r w:rsidR="00784591" w:rsidRPr="00B25E80">
        <w:rPr>
          <w:lang w:eastAsia="ja-JP"/>
        </w:rPr>
        <w:t xml:space="preserve">, N. et al., </w:t>
      </w:r>
      <w:r w:rsidR="00784591" w:rsidRPr="00B25E80">
        <w:rPr>
          <w:rFonts w:hint="eastAsia"/>
          <w:lang w:eastAsia="ja-JP"/>
        </w:rPr>
        <w:t>“</w:t>
      </w:r>
      <w:r w:rsidR="00784591" w:rsidRPr="00B25E80">
        <w:rPr>
          <w:lang w:eastAsia="ja-JP"/>
        </w:rPr>
        <w:t xml:space="preserve">Development of multi-level simulation system for core thermal-hydraulics coupled with plant dynamics analysis </w:t>
      </w:r>
      <w:r w:rsidR="00784591" w:rsidRPr="00B25E80">
        <w:rPr>
          <w:rFonts w:hint="eastAsia"/>
          <w:lang w:eastAsia="ja-JP"/>
        </w:rPr>
        <w:t>–</w:t>
      </w:r>
      <w:r w:rsidR="00784591" w:rsidRPr="00B25E80">
        <w:rPr>
          <w:lang w:eastAsia="ja-JP"/>
        </w:rPr>
        <w:t xml:space="preserve"> prediction of transient temperature distribution in a subassembly under inter-subassembly heat transfer effect –</w:t>
      </w:r>
      <w:r w:rsidR="00784591" w:rsidRPr="00B25E80">
        <w:rPr>
          <w:rFonts w:hint="eastAsia"/>
          <w:lang w:eastAsia="ja-JP"/>
        </w:rPr>
        <w:t>”</w:t>
      </w:r>
      <w:r w:rsidR="00784591" w:rsidRPr="00B25E80">
        <w:rPr>
          <w:lang w:eastAsia="ja-JP"/>
        </w:rPr>
        <w:t xml:space="preserve">, </w:t>
      </w:r>
      <w:r w:rsidR="00EC3D4E" w:rsidRPr="00432593">
        <w:rPr>
          <w:i/>
          <w:iCs/>
          <w:lang w:eastAsia="ja-JP"/>
        </w:rPr>
        <w:t xml:space="preserve">Proc. of </w:t>
      </w:r>
      <w:r w:rsidRPr="00432593">
        <w:rPr>
          <w:i/>
          <w:iCs/>
          <w:lang w:eastAsia="ja-JP"/>
        </w:rPr>
        <w:t xml:space="preserve">Fast Reactors and Related Fuel Cycles: Next Generation Nuclear Systems for Sustainable Development </w:t>
      </w:r>
      <w:r w:rsidR="00EC3D4E" w:rsidRPr="00432593">
        <w:rPr>
          <w:i/>
          <w:iCs/>
          <w:lang w:eastAsia="ja-JP"/>
        </w:rPr>
        <w:t>(</w:t>
      </w:r>
      <w:r w:rsidR="00784591" w:rsidRPr="00432593">
        <w:rPr>
          <w:i/>
          <w:iCs/>
          <w:lang w:eastAsia="ja-JP"/>
        </w:rPr>
        <w:t>FR22</w:t>
      </w:r>
      <w:r w:rsidR="00EC3D4E" w:rsidRPr="00432593">
        <w:rPr>
          <w:i/>
          <w:iCs/>
          <w:lang w:eastAsia="ja-JP"/>
        </w:rPr>
        <w:t>)</w:t>
      </w:r>
      <w:r w:rsidR="00EC3D4E" w:rsidRPr="00B25E80">
        <w:rPr>
          <w:lang w:eastAsia="ja-JP"/>
        </w:rPr>
        <w:t>,</w:t>
      </w:r>
      <w:r w:rsidR="00784591" w:rsidRPr="00B25E80">
        <w:rPr>
          <w:lang w:eastAsia="ja-JP"/>
        </w:rPr>
        <w:t xml:space="preserve"> Vienna, Austria</w:t>
      </w:r>
      <w:r w:rsidR="00EC3D4E" w:rsidRPr="00B25E80">
        <w:rPr>
          <w:lang w:eastAsia="ja-JP"/>
        </w:rPr>
        <w:t xml:space="preserve"> (</w:t>
      </w:r>
      <w:r w:rsidR="00784591" w:rsidRPr="00B25E80">
        <w:rPr>
          <w:lang w:eastAsia="ja-JP"/>
        </w:rPr>
        <w:t>2022)</w:t>
      </w:r>
      <w:r w:rsidRPr="00B25E80">
        <w:rPr>
          <w:lang w:eastAsia="ja-JP"/>
        </w:rPr>
        <w:t>.</w:t>
      </w:r>
    </w:p>
    <w:sectPr w:rsidR="00784591" w:rsidRPr="00B25E80" w:rsidSect="0026525A">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CF722" w14:textId="77777777" w:rsidR="00A63D0F" w:rsidRDefault="00A63D0F">
      <w:r>
        <w:separator/>
      </w:r>
    </w:p>
  </w:endnote>
  <w:endnote w:type="continuationSeparator" w:id="0">
    <w:p w14:paraId="0CB779BD" w14:textId="77777777" w:rsidR="00A63D0F" w:rsidRDefault="00A6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E0C6" w14:textId="2E066A6D" w:rsidR="00E20E70" w:rsidRDefault="00E20E70">
    <w:pPr>
      <w:pStyle w:val="zyxClassification1"/>
    </w:pPr>
    <w:r>
      <w:fldChar w:fldCharType="begin"/>
    </w:r>
    <w:r>
      <w:instrText xml:space="preserve"> DOCPROPERTY "IaeaClassification"  \* MERGEFORMAT </w:instrText>
    </w:r>
    <w:r>
      <w:fldChar w:fldCharType="end"/>
    </w:r>
  </w:p>
  <w:p w14:paraId="433FE0C7" w14:textId="3D84584D"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E0C8" w14:textId="3BF4283A" w:rsidR="00E20E70" w:rsidRDefault="00E20E70">
    <w:pPr>
      <w:pStyle w:val="zyxClassification1"/>
    </w:pPr>
    <w:r>
      <w:fldChar w:fldCharType="begin"/>
    </w:r>
    <w:r>
      <w:instrText xml:space="preserve"> DOCPROPERTY "IaeaClassification"  \* MERGEFORMAT </w:instrText>
    </w:r>
    <w:r>
      <w:fldChar w:fldCharType="end"/>
    </w:r>
  </w:p>
  <w:p w14:paraId="433FE0C9" w14:textId="29F0B661"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6F6894">
      <w:rPr>
        <w:rFonts w:ascii="Times New Roman" w:hAnsi="Times New Roman" w:cs="Times New Roman"/>
        <w:noProof/>
        <w:sz w:val="20"/>
      </w:rPr>
      <w:t>3</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433FE0D8" w14:textId="77777777">
      <w:trPr>
        <w:cantSplit/>
      </w:trPr>
      <w:tc>
        <w:tcPr>
          <w:tcW w:w="4644" w:type="dxa"/>
        </w:tcPr>
        <w:p w14:paraId="433FE0D4" w14:textId="62DCD360"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433FE0D5" w14:textId="1362B20D"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8" w:name="DOC_bkmClassification2"/>
      <w:tc>
        <w:tcPr>
          <w:tcW w:w="5670" w:type="dxa"/>
          <w:tcMar>
            <w:right w:w="249" w:type="dxa"/>
          </w:tcMar>
        </w:tcPr>
        <w:p w14:paraId="433FE0D6" w14:textId="024E2B0B"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8"/>
        <w:p w14:paraId="433FE0D7" w14:textId="58C47364"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9" w:name="DOC_bkmFileName"/>
  <w:p w14:paraId="433FE0D9" w14:textId="49C613EA" w:rsidR="00E20E70" w:rsidRDefault="00E20E70">
    <w:r>
      <w:rPr>
        <w:sz w:val="16"/>
      </w:rPr>
      <w:fldChar w:fldCharType="begin"/>
    </w:r>
    <w:r>
      <w:rPr>
        <w:sz w:val="16"/>
      </w:rPr>
      <w:instrText xml:space="preserve"> FILENAME \* MERGEFORMAT </w:instrText>
    </w:r>
    <w:r>
      <w:rPr>
        <w:sz w:val="16"/>
      </w:rPr>
      <w:fldChar w:fldCharType="separate"/>
    </w:r>
    <w:r w:rsidR="00F030C2">
      <w:rPr>
        <w:noProof/>
        <w:sz w:val="16"/>
      </w:rPr>
      <w:t>TH-TM_ExtAbstract_98_0531b.docx</w:t>
    </w:r>
    <w:r>
      <w:rPr>
        <w:sz w:val="16"/>
      </w:rPr>
      <w:fldChar w:fldCharType="end"/>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23406" w14:textId="77777777" w:rsidR="00A63D0F" w:rsidRDefault="00A63D0F">
      <w:r>
        <w:t>___________________________________________________________________________</w:t>
      </w:r>
    </w:p>
  </w:footnote>
  <w:footnote w:type="continuationSeparator" w:id="0">
    <w:p w14:paraId="090D998A" w14:textId="77777777" w:rsidR="00A63D0F" w:rsidRDefault="00A63D0F">
      <w:r>
        <w:t>___________________________________________________________________________</w:t>
      </w:r>
    </w:p>
  </w:footnote>
  <w:footnote w:type="continuationNotice" w:id="1">
    <w:p w14:paraId="3538C845" w14:textId="77777777" w:rsidR="00A63D0F" w:rsidRDefault="00A63D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E0C3" w14:textId="0C76F6B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757C" w14:textId="77777777" w:rsidR="004B35B7" w:rsidRPr="004B35B7" w:rsidRDefault="004B35B7" w:rsidP="004B35B7">
    <w:pPr>
      <w:pStyle w:val="a1"/>
      <w:ind w:firstLine="0"/>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433FE0CE" w14:textId="77777777">
      <w:trPr>
        <w:cantSplit/>
        <w:trHeight w:val="716"/>
      </w:trPr>
      <w:tc>
        <w:tcPr>
          <w:tcW w:w="979" w:type="dxa"/>
          <w:vMerge w:val="restart"/>
        </w:tcPr>
        <w:p w14:paraId="433FE0CA" w14:textId="77777777" w:rsidR="00E20E70" w:rsidRDefault="00E20E70">
          <w:pPr>
            <w:spacing w:before="180"/>
            <w:ind w:left="17"/>
          </w:pPr>
        </w:p>
      </w:tc>
      <w:tc>
        <w:tcPr>
          <w:tcW w:w="3638" w:type="dxa"/>
          <w:vAlign w:val="bottom"/>
        </w:tcPr>
        <w:p w14:paraId="433FE0CB" w14:textId="77777777" w:rsidR="00E20E70" w:rsidRDefault="00E20E70">
          <w:pPr>
            <w:spacing w:after="20"/>
          </w:pPr>
        </w:p>
      </w:tc>
      <w:bookmarkStart w:id="7" w:name="DOC_bkmClassification1"/>
      <w:tc>
        <w:tcPr>
          <w:tcW w:w="5702" w:type="dxa"/>
          <w:vMerge w:val="restart"/>
          <w:tcMar>
            <w:right w:w="193" w:type="dxa"/>
          </w:tcMar>
        </w:tcPr>
        <w:p w14:paraId="433FE0CC" w14:textId="096BCEAC"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7"/>
        <w:p w14:paraId="433FE0CD" w14:textId="4FBC213F" w:rsidR="00E20E70" w:rsidRDefault="00E20E70">
          <w:pPr>
            <w:pStyle w:val="zyxConfid2Red"/>
          </w:pPr>
          <w:r>
            <w:fldChar w:fldCharType="begin"/>
          </w:r>
          <w:r>
            <w:instrText>DOCPROPERTY "IaeaClassification2"  \* MERGEFORMAT</w:instrText>
          </w:r>
          <w:r>
            <w:fldChar w:fldCharType="end"/>
          </w:r>
        </w:p>
      </w:tc>
    </w:tr>
    <w:tr w:rsidR="00E20E70" w14:paraId="433FE0D2" w14:textId="77777777">
      <w:trPr>
        <w:cantSplit/>
        <w:trHeight w:val="167"/>
      </w:trPr>
      <w:tc>
        <w:tcPr>
          <w:tcW w:w="979" w:type="dxa"/>
          <w:vMerge/>
        </w:tcPr>
        <w:p w14:paraId="433FE0CF" w14:textId="77777777" w:rsidR="00E20E70" w:rsidRDefault="00E20E70">
          <w:pPr>
            <w:spacing w:before="57"/>
          </w:pPr>
        </w:p>
      </w:tc>
      <w:tc>
        <w:tcPr>
          <w:tcW w:w="3638" w:type="dxa"/>
          <w:vAlign w:val="bottom"/>
        </w:tcPr>
        <w:p w14:paraId="433FE0D0" w14:textId="77777777" w:rsidR="00E20E70" w:rsidRDefault="00E20E70">
          <w:pPr>
            <w:pStyle w:val="9"/>
            <w:spacing w:before="0" w:after="10"/>
          </w:pPr>
        </w:p>
      </w:tc>
      <w:tc>
        <w:tcPr>
          <w:tcW w:w="5702" w:type="dxa"/>
          <w:vMerge/>
          <w:vAlign w:val="bottom"/>
        </w:tcPr>
        <w:p w14:paraId="433FE0D1" w14:textId="77777777" w:rsidR="00E20E70" w:rsidRDefault="00E20E70">
          <w:pPr>
            <w:pStyle w:val="9"/>
            <w:spacing w:before="0" w:after="10"/>
          </w:pPr>
        </w:p>
      </w:tc>
    </w:tr>
  </w:tbl>
  <w:p w14:paraId="433FE0D3"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57F0"/>
    <w:multiLevelType w:val="hybridMultilevel"/>
    <w:tmpl w:val="094CE6F6"/>
    <w:lvl w:ilvl="0" w:tplc="985A591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2559C4"/>
    <w:multiLevelType w:val="hybridMultilevel"/>
    <w:tmpl w:val="F578B398"/>
    <w:lvl w:ilvl="0" w:tplc="11FC56C8">
      <w:start w:val="1"/>
      <w:numFmt w:val="decimal"/>
      <w:lvlText w:val="2.%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A24264"/>
    <w:multiLevelType w:val="multilevel"/>
    <w:tmpl w:val="F1EC865C"/>
    <w:lvl w:ilvl="0">
      <w:start w:val="1"/>
      <w:numFmt w:val="decimal"/>
      <w:pStyle w:val="AgendaList"/>
      <w:lvlText w:val="%1."/>
      <w:lvlJc w:val="left"/>
      <w:rPr>
        <w:rFonts w:ascii="Times New Roman" w:hAnsi="Times New Roman" w:hint="default"/>
        <w:b w:val="0"/>
        <w:i w:val="0"/>
        <w:caps w:val="0"/>
        <w:strike w:val="0"/>
        <w:dstrike w:val="0"/>
        <w:vanish w:val="0"/>
        <w:color w:val="000000"/>
        <w:sz w:val="22"/>
        <w:vertAlign w:val="baseline"/>
      </w:rPr>
    </w:lvl>
    <w:lvl w:ilvl="1">
      <w:start w:val="1"/>
      <w:numFmt w:val="lowerLetter"/>
      <w:lvlText w:val="(%2)"/>
      <w:lvlJc w:val="left"/>
      <w:rPr>
        <w:rFonts w:ascii="Times New Roman" w:hAnsi="Times New Roman" w:hint="default"/>
        <w:b w:val="0"/>
        <w:i w:val="0"/>
        <w:caps w:val="0"/>
        <w:strike w:val="0"/>
        <w:dstrike w:val="0"/>
        <w:vanish w:val="0"/>
        <w:color w:val="000000"/>
        <w:sz w:val="22"/>
        <w:vertAlign w:val="baseline"/>
      </w:rPr>
    </w:lvl>
    <w:lvl w:ilvl="2">
      <w:start w:val="1"/>
      <w:numFmt w:val="bullet"/>
      <w:lvlText w:val="-"/>
      <w:lvlJc w:val="left"/>
      <w:rPr>
        <w:rFonts w:ascii="Times New Roman" w:cs="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4"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9EA217A"/>
    <w:multiLevelType w:val="hybridMultilevel"/>
    <w:tmpl w:val="7DCEBCBE"/>
    <w:lvl w:ilvl="0" w:tplc="C1DCCBEE">
      <w:start w:val="1"/>
      <w:numFmt w:val="bullet"/>
      <w:lvlText w:val="-"/>
      <w:lvlJc w:val="left"/>
      <w:rPr>
        <w:rFonts w:ascii="Times New Roman" w:hAnsi="Times New Roman" w:cs="Times New Roman" w:hint="default"/>
        <w:b w:val="0"/>
        <w:i w:val="0"/>
        <w:caps w:val="0"/>
        <w:strike w:val="0"/>
        <w:dstrike w:val="0"/>
        <w:vanish w:val="0"/>
        <w:color w:val="00000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51093"/>
    <w:multiLevelType w:val="multilevel"/>
    <w:tmpl w:val="8A16E634"/>
    <w:lvl w:ilvl="0">
      <w:start w:val="1"/>
      <w:numFmt w:val="none"/>
      <w:lvlRestart w:val="0"/>
      <w:lvlText w:val=""/>
      <w:lvlJc w:val="left"/>
      <w:pPr>
        <w:tabs>
          <w:tab w:val="num" w:pos="459"/>
        </w:tabs>
        <w:ind w:left="0" w:firstLine="0"/>
      </w:pPr>
      <w:rPr>
        <w:rFonts w:hint="default"/>
      </w:rPr>
    </w:lvl>
    <w:lvl w:ilvl="1">
      <w:start w:val="1"/>
      <w:numFmt w:val="decimal"/>
      <w:lvlRestart w:val="0"/>
      <w:pStyle w:val="2"/>
      <w:suff w:val="space"/>
      <w:lvlText w:val="%1%2."/>
      <w:lvlJc w:val="left"/>
      <w:pPr>
        <w:ind w:left="0" w:firstLine="0"/>
      </w:pPr>
      <w:rPr>
        <w:rFonts w:hint="default"/>
        <w:color w:val="auto"/>
      </w:rPr>
    </w:lvl>
    <w:lvl w:ilvl="2">
      <w:start w:val="1"/>
      <w:numFmt w:val="decimal"/>
      <w:lvlRestart w:val="0"/>
      <w:lvlText w:val="%1%2.%3."/>
      <w:lvlJc w:val="left"/>
      <w:pPr>
        <w:ind w:left="0" w:firstLine="0"/>
      </w:pPr>
      <w:rPr>
        <w:rFonts w:hint="default"/>
      </w:rPr>
    </w:lvl>
    <w:lvl w:ilvl="3">
      <w:start w:val="1"/>
      <w:numFmt w:val="decimal"/>
      <w:lvlRestart w:val="0"/>
      <w:pStyle w:val="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3" w15:restartNumberingAfterBreak="0">
    <w:nsid w:val="7665634F"/>
    <w:multiLevelType w:val="hybridMultilevel"/>
    <w:tmpl w:val="34482B46"/>
    <w:lvl w:ilvl="0" w:tplc="4A587E7C">
      <w:start w:val="1"/>
      <w:numFmt w:val="decimal"/>
      <w:lvlText w:val="%1."/>
      <w:lvlJc w:val="left"/>
      <w:rPr>
        <w:rFonts w:ascii="Times New Roman" w:hAnsi="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656494154">
    <w:abstractNumId w:val="9"/>
  </w:num>
  <w:num w:numId="2" w16cid:durableId="569510015">
    <w:abstractNumId w:val="6"/>
  </w:num>
  <w:num w:numId="3" w16cid:durableId="167135608">
    <w:abstractNumId w:val="12"/>
  </w:num>
  <w:num w:numId="4" w16cid:durableId="5598780">
    <w:abstractNumId w:val="12"/>
  </w:num>
  <w:num w:numId="5" w16cid:durableId="441343739">
    <w:abstractNumId w:val="12"/>
  </w:num>
  <w:num w:numId="6" w16cid:durableId="1331448332">
    <w:abstractNumId w:val="7"/>
  </w:num>
  <w:num w:numId="7" w16cid:durableId="684139037">
    <w:abstractNumId w:val="10"/>
  </w:num>
  <w:num w:numId="8" w16cid:durableId="2040351206">
    <w:abstractNumId w:val="13"/>
  </w:num>
  <w:num w:numId="9" w16cid:durableId="1371882427">
    <w:abstractNumId w:val="3"/>
  </w:num>
  <w:num w:numId="10" w16cid:durableId="1745176086">
    <w:abstractNumId w:val="12"/>
  </w:num>
  <w:num w:numId="11" w16cid:durableId="846211962">
    <w:abstractNumId w:val="12"/>
  </w:num>
  <w:num w:numId="12" w16cid:durableId="1626698141">
    <w:abstractNumId w:val="12"/>
  </w:num>
  <w:num w:numId="13" w16cid:durableId="1985616582">
    <w:abstractNumId w:val="12"/>
  </w:num>
  <w:num w:numId="14" w16cid:durableId="611783433">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suff w:val="space"/>
        <w:lvlText w:val="%1%2."/>
        <w:lvlJc w:val="left"/>
        <w:pPr>
          <w:ind w:left="0" w:firstLine="0"/>
        </w:pPr>
        <w:rPr>
          <w:rFonts w:hint="default"/>
          <w:color w:val="auto"/>
        </w:rPr>
      </w:lvl>
    </w:lvlOverride>
    <w:lvlOverride w:ilvl="2">
      <w:lvl w:ilvl="2">
        <w:start w:val="1"/>
        <w:numFmt w:val="decimal"/>
        <w:lvlRestart w:val="0"/>
        <w:suff w:val="space"/>
        <w:lvlText w:val="%1%2.%3."/>
        <w:lvlJc w:val="left"/>
        <w:pPr>
          <w:ind w:left="0" w:firstLine="0"/>
        </w:pPr>
        <w:rPr>
          <w:rFonts w:hint="default"/>
        </w:rPr>
      </w:lvl>
    </w:lvlOverride>
    <w:lvlOverride w:ilvl="3">
      <w:lvl w:ilvl="3">
        <w:start w:val="1"/>
        <w:numFmt w:val="decimal"/>
        <w:lvlRestart w:val="0"/>
        <w:pStyle w:val="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361011373">
    <w:abstractNumId w:val="12"/>
  </w:num>
  <w:num w:numId="16" w16cid:durableId="1766532135">
    <w:abstractNumId w:val="12"/>
  </w:num>
  <w:num w:numId="17" w16cid:durableId="848716708">
    <w:abstractNumId w:val="12"/>
  </w:num>
  <w:num w:numId="18" w16cid:durableId="8393490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4929777">
    <w:abstractNumId w:val="12"/>
  </w:num>
  <w:num w:numId="20" w16cid:durableId="1196850066">
    <w:abstractNumId w:val="4"/>
  </w:num>
  <w:num w:numId="21" w16cid:durableId="2040625747">
    <w:abstractNumId w:val="12"/>
  </w:num>
  <w:num w:numId="22" w16cid:durableId="26218356">
    <w:abstractNumId w:val="5"/>
  </w:num>
  <w:num w:numId="23" w16cid:durableId="1332876114">
    <w:abstractNumId w:val="2"/>
  </w:num>
  <w:num w:numId="24" w16cid:durableId="1097482526">
    <w:abstractNumId w:val="11"/>
  </w:num>
  <w:num w:numId="25" w16cid:durableId="1736585378">
    <w:abstractNumId w:val="12"/>
  </w:num>
  <w:num w:numId="26" w16cid:durableId="25371851">
    <w:abstractNumId w:val="12"/>
  </w:num>
  <w:num w:numId="27" w16cid:durableId="502553086">
    <w:abstractNumId w:val="12"/>
  </w:num>
  <w:num w:numId="28" w16cid:durableId="1936934879">
    <w:abstractNumId w:val="12"/>
  </w:num>
  <w:num w:numId="29" w16cid:durableId="1790204368">
    <w:abstractNumId w:val="12"/>
  </w:num>
  <w:num w:numId="30" w16cid:durableId="943808771">
    <w:abstractNumId w:val="8"/>
  </w:num>
  <w:num w:numId="31" w16cid:durableId="1239245570">
    <w:abstractNumId w:val="8"/>
  </w:num>
  <w:num w:numId="32" w16cid:durableId="872503827">
    <w:abstractNumId w:val="12"/>
  </w:num>
  <w:num w:numId="33" w16cid:durableId="2145541392">
    <w:abstractNumId w:val="1"/>
  </w:num>
  <w:num w:numId="34" w16cid:durableId="14083077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29559294">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lvlText w:val="%1%2."/>
        <w:lvlJc w:val="left"/>
        <w:pPr>
          <w:ind w:left="0" w:firstLine="0"/>
        </w:pPr>
        <w:rPr>
          <w:rFonts w:hint="default"/>
          <w:color w:val="auto"/>
        </w:rPr>
      </w:lvl>
    </w:lvlOverride>
    <w:lvlOverride w:ilvl="2">
      <w:lvl w:ilvl="2">
        <w:start w:val="1"/>
        <w:numFmt w:val="decimal"/>
        <w:lvlRestart w:val="0"/>
        <w:lvlText w:val="%1%2.%3."/>
        <w:lvlJc w:val="left"/>
        <w:pPr>
          <w:ind w:left="0" w:firstLine="0"/>
        </w:pPr>
        <w:rPr>
          <w:rFonts w:hint="default"/>
        </w:rPr>
      </w:lvl>
    </w:lvlOverride>
    <w:lvlOverride w:ilvl="3">
      <w:lvl w:ilvl="3">
        <w:start w:val="1"/>
        <w:numFmt w:val="none"/>
        <w:lvlRestart w:val="0"/>
        <w:pStyle w:val="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36" w16cid:durableId="1139806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0" w:nlCheck="1" w:checkStyle="1"/>
  <w:activeWritingStyle w:appName="MSWord" w:lang="ja-JP"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OwsLQwMDE0MzY1sDBX0lEKTi0uzszPAykwsagFAEO/L2ctAAAA"/>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20E2"/>
    <w:rsid w:val="00002BD0"/>
    <w:rsid w:val="00003206"/>
    <w:rsid w:val="000229AB"/>
    <w:rsid w:val="0002569A"/>
    <w:rsid w:val="0003664B"/>
    <w:rsid w:val="00037321"/>
    <w:rsid w:val="0005087E"/>
    <w:rsid w:val="0006156F"/>
    <w:rsid w:val="00063561"/>
    <w:rsid w:val="00063D1E"/>
    <w:rsid w:val="00070664"/>
    <w:rsid w:val="0007430B"/>
    <w:rsid w:val="000747FA"/>
    <w:rsid w:val="000756B7"/>
    <w:rsid w:val="0007647D"/>
    <w:rsid w:val="000774C8"/>
    <w:rsid w:val="000902C2"/>
    <w:rsid w:val="00093A64"/>
    <w:rsid w:val="000A0299"/>
    <w:rsid w:val="000A2990"/>
    <w:rsid w:val="000A4C26"/>
    <w:rsid w:val="000B1F53"/>
    <w:rsid w:val="000B3872"/>
    <w:rsid w:val="000B5566"/>
    <w:rsid w:val="000C1E53"/>
    <w:rsid w:val="000C4332"/>
    <w:rsid w:val="000C713F"/>
    <w:rsid w:val="000D0468"/>
    <w:rsid w:val="000D4858"/>
    <w:rsid w:val="000D5904"/>
    <w:rsid w:val="000E2690"/>
    <w:rsid w:val="000E3ABB"/>
    <w:rsid w:val="000F7E94"/>
    <w:rsid w:val="001003C7"/>
    <w:rsid w:val="001038BF"/>
    <w:rsid w:val="001048C6"/>
    <w:rsid w:val="0010567D"/>
    <w:rsid w:val="001057ED"/>
    <w:rsid w:val="001119D6"/>
    <w:rsid w:val="00127CD7"/>
    <w:rsid w:val="001308F2"/>
    <w:rsid w:val="001313E8"/>
    <w:rsid w:val="00134852"/>
    <w:rsid w:val="00135EA9"/>
    <w:rsid w:val="00142A2A"/>
    <w:rsid w:val="001437F8"/>
    <w:rsid w:val="00163C2F"/>
    <w:rsid w:val="00164145"/>
    <w:rsid w:val="00173963"/>
    <w:rsid w:val="00183BC4"/>
    <w:rsid w:val="00195D24"/>
    <w:rsid w:val="001B60EB"/>
    <w:rsid w:val="001C58F5"/>
    <w:rsid w:val="001D5CEE"/>
    <w:rsid w:val="001E310E"/>
    <w:rsid w:val="001E3F6E"/>
    <w:rsid w:val="001F0045"/>
    <w:rsid w:val="001F05CD"/>
    <w:rsid w:val="001F1A30"/>
    <w:rsid w:val="001F2D19"/>
    <w:rsid w:val="001F50F7"/>
    <w:rsid w:val="001F7DF0"/>
    <w:rsid w:val="00205100"/>
    <w:rsid w:val="00205C5F"/>
    <w:rsid w:val="002071D9"/>
    <w:rsid w:val="0021252B"/>
    <w:rsid w:val="002151C6"/>
    <w:rsid w:val="0021583C"/>
    <w:rsid w:val="002201F5"/>
    <w:rsid w:val="002270B5"/>
    <w:rsid w:val="00227B20"/>
    <w:rsid w:val="0023450F"/>
    <w:rsid w:val="002413EA"/>
    <w:rsid w:val="00245360"/>
    <w:rsid w:val="00256822"/>
    <w:rsid w:val="002632FB"/>
    <w:rsid w:val="0026525A"/>
    <w:rsid w:val="00274790"/>
    <w:rsid w:val="00274D06"/>
    <w:rsid w:val="00277296"/>
    <w:rsid w:val="00285755"/>
    <w:rsid w:val="00292FC2"/>
    <w:rsid w:val="00296404"/>
    <w:rsid w:val="002A1F9C"/>
    <w:rsid w:val="002B29C2"/>
    <w:rsid w:val="002B3627"/>
    <w:rsid w:val="002C0678"/>
    <w:rsid w:val="002C29DB"/>
    <w:rsid w:val="002C2F86"/>
    <w:rsid w:val="002C4208"/>
    <w:rsid w:val="002C54E4"/>
    <w:rsid w:val="002C5759"/>
    <w:rsid w:val="002D3347"/>
    <w:rsid w:val="002D5C53"/>
    <w:rsid w:val="002D79DA"/>
    <w:rsid w:val="002E0526"/>
    <w:rsid w:val="002E388A"/>
    <w:rsid w:val="002E6364"/>
    <w:rsid w:val="00305743"/>
    <w:rsid w:val="00314F30"/>
    <w:rsid w:val="003165CF"/>
    <w:rsid w:val="00316F5C"/>
    <w:rsid w:val="00322BD9"/>
    <w:rsid w:val="003339A2"/>
    <w:rsid w:val="00347388"/>
    <w:rsid w:val="00350B00"/>
    <w:rsid w:val="00351C49"/>
    <w:rsid w:val="00352DE1"/>
    <w:rsid w:val="00364B5D"/>
    <w:rsid w:val="00364E57"/>
    <w:rsid w:val="003728E6"/>
    <w:rsid w:val="00374805"/>
    <w:rsid w:val="003A1287"/>
    <w:rsid w:val="003B2025"/>
    <w:rsid w:val="003B5E0E"/>
    <w:rsid w:val="003B75D1"/>
    <w:rsid w:val="003B780C"/>
    <w:rsid w:val="003C1387"/>
    <w:rsid w:val="003C2CA3"/>
    <w:rsid w:val="003C663B"/>
    <w:rsid w:val="003C7B09"/>
    <w:rsid w:val="003D255A"/>
    <w:rsid w:val="003E52C3"/>
    <w:rsid w:val="003F5C3B"/>
    <w:rsid w:val="004114BA"/>
    <w:rsid w:val="00412844"/>
    <w:rsid w:val="00416949"/>
    <w:rsid w:val="0041727D"/>
    <w:rsid w:val="00421983"/>
    <w:rsid w:val="004309D5"/>
    <w:rsid w:val="00432593"/>
    <w:rsid w:val="004370D8"/>
    <w:rsid w:val="00445975"/>
    <w:rsid w:val="00472C43"/>
    <w:rsid w:val="00482E6E"/>
    <w:rsid w:val="00497A84"/>
    <w:rsid w:val="004A238F"/>
    <w:rsid w:val="004B35B7"/>
    <w:rsid w:val="004B3C3C"/>
    <w:rsid w:val="004C2334"/>
    <w:rsid w:val="004C4EBF"/>
    <w:rsid w:val="004C5E39"/>
    <w:rsid w:val="004E3934"/>
    <w:rsid w:val="004E7C81"/>
    <w:rsid w:val="004E7E24"/>
    <w:rsid w:val="004F2749"/>
    <w:rsid w:val="004F4D17"/>
    <w:rsid w:val="00510CC4"/>
    <w:rsid w:val="0051167E"/>
    <w:rsid w:val="005123A6"/>
    <w:rsid w:val="00525387"/>
    <w:rsid w:val="00525E77"/>
    <w:rsid w:val="00527E81"/>
    <w:rsid w:val="00531DE8"/>
    <w:rsid w:val="00533F84"/>
    <w:rsid w:val="00537496"/>
    <w:rsid w:val="00541BD7"/>
    <w:rsid w:val="00543693"/>
    <w:rsid w:val="00544ED3"/>
    <w:rsid w:val="00545EA8"/>
    <w:rsid w:val="0054755C"/>
    <w:rsid w:val="00554406"/>
    <w:rsid w:val="00556032"/>
    <w:rsid w:val="00562A3C"/>
    <w:rsid w:val="00562C61"/>
    <w:rsid w:val="005652D1"/>
    <w:rsid w:val="00576394"/>
    <w:rsid w:val="0057733A"/>
    <w:rsid w:val="0058477B"/>
    <w:rsid w:val="005863D9"/>
    <w:rsid w:val="0058654F"/>
    <w:rsid w:val="00596ACA"/>
    <w:rsid w:val="005A1519"/>
    <w:rsid w:val="005A1D2E"/>
    <w:rsid w:val="005C30C9"/>
    <w:rsid w:val="005C6CE5"/>
    <w:rsid w:val="005D7603"/>
    <w:rsid w:val="005E23B2"/>
    <w:rsid w:val="005E39BC"/>
    <w:rsid w:val="005F00A0"/>
    <w:rsid w:val="006077C8"/>
    <w:rsid w:val="00611D1C"/>
    <w:rsid w:val="0061448D"/>
    <w:rsid w:val="00615BD1"/>
    <w:rsid w:val="00623A85"/>
    <w:rsid w:val="00637257"/>
    <w:rsid w:val="00646F6C"/>
    <w:rsid w:val="00647F33"/>
    <w:rsid w:val="00650CFE"/>
    <w:rsid w:val="00651B01"/>
    <w:rsid w:val="00662532"/>
    <w:rsid w:val="00670066"/>
    <w:rsid w:val="00687D14"/>
    <w:rsid w:val="006A16FB"/>
    <w:rsid w:val="006A67E5"/>
    <w:rsid w:val="006A6E5E"/>
    <w:rsid w:val="006B0120"/>
    <w:rsid w:val="006B1DCC"/>
    <w:rsid w:val="006B2274"/>
    <w:rsid w:val="006C787A"/>
    <w:rsid w:val="006C7BDD"/>
    <w:rsid w:val="006D3070"/>
    <w:rsid w:val="006E14AF"/>
    <w:rsid w:val="006F51BB"/>
    <w:rsid w:val="006F6894"/>
    <w:rsid w:val="006F6BEE"/>
    <w:rsid w:val="00703C38"/>
    <w:rsid w:val="00705AF8"/>
    <w:rsid w:val="00710D10"/>
    <w:rsid w:val="00717C6F"/>
    <w:rsid w:val="007233EE"/>
    <w:rsid w:val="00733265"/>
    <w:rsid w:val="00736FD4"/>
    <w:rsid w:val="0074061E"/>
    <w:rsid w:val="00740C62"/>
    <w:rsid w:val="007445DA"/>
    <w:rsid w:val="00750B68"/>
    <w:rsid w:val="00771616"/>
    <w:rsid w:val="007719D5"/>
    <w:rsid w:val="0077751C"/>
    <w:rsid w:val="00782EFF"/>
    <w:rsid w:val="00784591"/>
    <w:rsid w:val="007872AD"/>
    <w:rsid w:val="007A1600"/>
    <w:rsid w:val="007A21CC"/>
    <w:rsid w:val="007A3325"/>
    <w:rsid w:val="007B363D"/>
    <w:rsid w:val="007B4FD1"/>
    <w:rsid w:val="007E63D4"/>
    <w:rsid w:val="007F15DE"/>
    <w:rsid w:val="00802381"/>
    <w:rsid w:val="00810A57"/>
    <w:rsid w:val="0083096A"/>
    <w:rsid w:val="00840E76"/>
    <w:rsid w:val="008460E9"/>
    <w:rsid w:val="008617B3"/>
    <w:rsid w:val="0086759F"/>
    <w:rsid w:val="00871F40"/>
    <w:rsid w:val="00873F45"/>
    <w:rsid w:val="008815DF"/>
    <w:rsid w:val="00883848"/>
    <w:rsid w:val="00884D61"/>
    <w:rsid w:val="00892D09"/>
    <w:rsid w:val="00894C09"/>
    <w:rsid w:val="00896AD2"/>
    <w:rsid w:val="00897ED5"/>
    <w:rsid w:val="008A4C67"/>
    <w:rsid w:val="008B6BB9"/>
    <w:rsid w:val="008C1F0A"/>
    <w:rsid w:val="008C7522"/>
    <w:rsid w:val="008D1C52"/>
    <w:rsid w:val="008E22E1"/>
    <w:rsid w:val="008F4AF8"/>
    <w:rsid w:val="00900CF2"/>
    <w:rsid w:val="0090305D"/>
    <w:rsid w:val="00910E15"/>
    <w:rsid w:val="00911543"/>
    <w:rsid w:val="00915935"/>
    <w:rsid w:val="00917E19"/>
    <w:rsid w:val="00921D36"/>
    <w:rsid w:val="00933C45"/>
    <w:rsid w:val="00940AEA"/>
    <w:rsid w:val="009519C9"/>
    <w:rsid w:val="00965406"/>
    <w:rsid w:val="00966191"/>
    <w:rsid w:val="00970B56"/>
    <w:rsid w:val="00976C1E"/>
    <w:rsid w:val="0097723A"/>
    <w:rsid w:val="0098177F"/>
    <w:rsid w:val="00986BA7"/>
    <w:rsid w:val="00990AA6"/>
    <w:rsid w:val="00991045"/>
    <w:rsid w:val="009959C2"/>
    <w:rsid w:val="00996D5B"/>
    <w:rsid w:val="009A0F86"/>
    <w:rsid w:val="009A122E"/>
    <w:rsid w:val="009A1712"/>
    <w:rsid w:val="009A4631"/>
    <w:rsid w:val="009A6C5A"/>
    <w:rsid w:val="009B309F"/>
    <w:rsid w:val="009C0F0E"/>
    <w:rsid w:val="009C16E0"/>
    <w:rsid w:val="009C7C2E"/>
    <w:rsid w:val="009D0B86"/>
    <w:rsid w:val="009D29AC"/>
    <w:rsid w:val="009E0D5B"/>
    <w:rsid w:val="009E1558"/>
    <w:rsid w:val="00A1447F"/>
    <w:rsid w:val="00A233D1"/>
    <w:rsid w:val="00A25E53"/>
    <w:rsid w:val="00A31816"/>
    <w:rsid w:val="00A35C00"/>
    <w:rsid w:val="00A36684"/>
    <w:rsid w:val="00A366B0"/>
    <w:rsid w:val="00A3742D"/>
    <w:rsid w:val="00A42898"/>
    <w:rsid w:val="00A52190"/>
    <w:rsid w:val="00A53910"/>
    <w:rsid w:val="00A56B2C"/>
    <w:rsid w:val="00A57919"/>
    <w:rsid w:val="00A63D0F"/>
    <w:rsid w:val="00A67ED7"/>
    <w:rsid w:val="00A80A4C"/>
    <w:rsid w:val="00A9622D"/>
    <w:rsid w:val="00A967A6"/>
    <w:rsid w:val="00AA01B0"/>
    <w:rsid w:val="00AA1EDF"/>
    <w:rsid w:val="00AA7025"/>
    <w:rsid w:val="00AA78C2"/>
    <w:rsid w:val="00AB1D5A"/>
    <w:rsid w:val="00AB6ACE"/>
    <w:rsid w:val="00AB7173"/>
    <w:rsid w:val="00AC5A3A"/>
    <w:rsid w:val="00AC5A8F"/>
    <w:rsid w:val="00AE0FD5"/>
    <w:rsid w:val="00AE74A6"/>
    <w:rsid w:val="00AF4491"/>
    <w:rsid w:val="00B142F5"/>
    <w:rsid w:val="00B21F6B"/>
    <w:rsid w:val="00B25527"/>
    <w:rsid w:val="00B25E80"/>
    <w:rsid w:val="00B30112"/>
    <w:rsid w:val="00B31398"/>
    <w:rsid w:val="00B31A6B"/>
    <w:rsid w:val="00B36279"/>
    <w:rsid w:val="00B51AB0"/>
    <w:rsid w:val="00B55B85"/>
    <w:rsid w:val="00B604BE"/>
    <w:rsid w:val="00B730CC"/>
    <w:rsid w:val="00B739EC"/>
    <w:rsid w:val="00B73B0D"/>
    <w:rsid w:val="00B73BB4"/>
    <w:rsid w:val="00B81456"/>
    <w:rsid w:val="00B82FA5"/>
    <w:rsid w:val="00BA4B3F"/>
    <w:rsid w:val="00BB2A10"/>
    <w:rsid w:val="00BB6E14"/>
    <w:rsid w:val="00BB6EE7"/>
    <w:rsid w:val="00BB7681"/>
    <w:rsid w:val="00BC1658"/>
    <w:rsid w:val="00BC1FBA"/>
    <w:rsid w:val="00BD1400"/>
    <w:rsid w:val="00BD605C"/>
    <w:rsid w:val="00BE2A76"/>
    <w:rsid w:val="00BE32BD"/>
    <w:rsid w:val="00BF0956"/>
    <w:rsid w:val="00BF1901"/>
    <w:rsid w:val="00BF3193"/>
    <w:rsid w:val="00BF4AC7"/>
    <w:rsid w:val="00C0102A"/>
    <w:rsid w:val="00C0758B"/>
    <w:rsid w:val="00C136C6"/>
    <w:rsid w:val="00C14B66"/>
    <w:rsid w:val="00C151D7"/>
    <w:rsid w:val="00C2459E"/>
    <w:rsid w:val="00C36C32"/>
    <w:rsid w:val="00C54E9F"/>
    <w:rsid w:val="00C65E60"/>
    <w:rsid w:val="00C77A31"/>
    <w:rsid w:val="00C833FE"/>
    <w:rsid w:val="00C90FDA"/>
    <w:rsid w:val="00C932CA"/>
    <w:rsid w:val="00C93F0E"/>
    <w:rsid w:val="00C96C64"/>
    <w:rsid w:val="00CA0102"/>
    <w:rsid w:val="00CB2029"/>
    <w:rsid w:val="00CB3198"/>
    <w:rsid w:val="00CC2483"/>
    <w:rsid w:val="00CC34D7"/>
    <w:rsid w:val="00CC5121"/>
    <w:rsid w:val="00CD0667"/>
    <w:rsid w:val="00CD2AFB"/>
    <w:rsid w:val="00CD468C"/>
    <w:rsid w:val="00CE1AC1"/>
    <w:rsid w:val="00CE4D44"/>
    <w:rsid w:val="00CE5A52"/>
    <w:rsid w:val="00CF7AF3"/>
    <w:rsid w:val="00D031BB"/>
    <w:rsid w:val="00D1009B"/>
    <w:rsid w:val="00D15941"/>
    <w:rsid w:val="00D2026B"/>
    <w:rsid w:val="00D20286"/>
    <w:rsid w:val="00D26ADA"/>
    <w:rsid w:val="00D276DF"/>
    <w:rsid w:val="00D35A78"/>
    <w:rsid w:val="00D37AE2"/>
    <w:rsid w:val="00D47D90"/>
    <w:rsid w:val="00D53614"/>
    <w:rsid w:val="00D555A1"/>
    <w:rsid w:val="00D62894"/>
    <w:rsid w:val="00D64DC2"/>
    <w:rsid w:val="00D70666"/>
    <w:rsid w:val="00D918A2"/>
    <w:rsid w:val="00DA1B23"/>
    <w:rsid w:val="00DA46CA"/>
    <w:rsid w:val="00DA5B73"/>
    <w:rsid w:val="00DB7627"/>
    <w:rsid w:val="00DD54A5"/>
    <w:rsid w:val="00DE367F"/>
    <w:rsid w:val="00DF21EB"/>
    <w:rsid w:val="00DF407C"/>
    <w:rsid w:val="00E06BB0"/>
    <w:rsid w:val="00E1453C"/>
    <w:rsid w:val="00E20E70"/>
    <w:rsid w:val="00E22006"/>
    <w:rsid w:val="00E22CEA"/>
    <w:rsid w:val="00E25B68"/>
    <w:rsid w:val="00E30C96"/>
    <w:rsid w:val="00E33A1A"/>
    <w:rsid w:val="00E435E1"/>
    <w:rsid w:val="00E50467"/>
    <w:rsid w:val="00E52288"/>
    <w:rsid w:val="00E53E33"/>
    <w:rsid w:val="00E77D0E"/>
    <w:rsid w:val="00E83153"/>
    <w:rsid w:val="00E83196"/>
    <w:rsid w:val="00E84003"/>
    <w:rsid w:val="00EC10FC"/>
    <w:rsid w:val="00EC2BE1"/>
    <w:rsid w:val="00EC3D4E"/>
    <w:rsid w:val="00ED05F0"/>
    <w:rsid w:val="00ED0A99"/>
    <w:rsid w:val="00EE0041"/>
    <w:rsid w:val="00EE14E7"/>
    <w:rsid w:val="00EE29B9"/>
    <w:rsid w:val="00EF204F"/>
    <w:rsid w:val="00EF7527"/>
    <w:rsid w:val="00F004EE"/>
    <w:rsid w:val="00F030C2"/>
    <w:rsid w:val="00F03C39"/>
    <w:rsid w:val="00F07B90"/>
    <w:rsid w:val="00F30ACE"/>
    <w:rsid w:val="00F33531"/>
    <w:rsid w:val="00F4114D"/>
    <w:rsid w:val="00F42CF2"/>
    <w:rsid w:val="00F42E23"/>
    <w:rsid w:val="00F45DBC"/>
    <w:rsid w:val="00F45EEE"/>
    <w:rsid w:val="00F51E9C"/>
    <w:rsid w:val="00F523CA"/>
    <w:rsid w:val="00F60E1E"/>
    <w:rsid w:val="00F61410"/>
    <w:rsid w:val="00F73892"/>
    <w:rsid w:val="00F74A9D"/>
    <w:rsid w:val="00F9252F"/>
    <w:rsid w:val="00F957CF"/>
    <w:rsid w:val="00F976F6"/>
    <w:rsid w:val="00FA50F5"/>
    <w:rsid w:val="00FC280D"/>
    <w:rsid w:val="00FC2D81"/>
    <w:rsid w:val="00FD4EAB"/>
    <w:rsid w:val="00FD792E"/>
    <w:rsid w:val="00FE63EF"/>
    <w:rsid w:val="00FF13DB"/>
    <w:rsid w:val="00FF2129"/>
    <w:rsid w:val="00FF386F"/>
    <w:rsid w:val="00FF39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3FE039"/>
  <w15:docId w15:val="{8F091D43-DD22-42FB-A747-A2C97FB0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uiPriority w:val="49"/>
    <w:rsid w:val="00CF7AF3"/>
    <w:pPr>
      <w:overflowPunct w:val="0"/>
      <w:autoSpaceDE w:val="0"/>
      <w:autoSpaceDN w:val="0"/>
      <w:adjustRightInd w:val="0"/>
      <w:textAlignment w:val="baseline"/>
    </w:pPr>
    <w:rPr>
      <w:sz w:val="22"/>
      <w:lang w:eastAsia="en-US"/>
    </w:rPr>
  </w:style>
  <w:style w:type="paragraph" w:styleId="1">
    <w:name w:val="heading 1"/>
    <w:aliases w:val="Paper title"/>
    <w:next w:val="a0"/>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2">
    <w:name w:val="heading 2"/>
    <w:aliases w:val="1st level paper heading"/>
    <w:next w:val="a1"/>
    <w:uiPriority w:val="4"/>
    <w:qFormat/>
    <w:rsid w:val="00EE0041"/>
    <w:pPr>
      <w:widowControl w:val="0"/>
      <w:numPr>
        <w:ilvl w:val="1"/>
        <w:numId w:val="3"/>
      </w:numPr>
      <w:spacing w:before="100" w:beforeAutospacing="1" w:after="100" w:afterAutospacing="1" w:line="280" w:lineRule="atLeast"/>
      <w:outlineLvl w:val="1"/>
    </w:pPr>
    <w:rPr>
      <w:caps/>
      <w:lang w:eastAsia="en-US"/>
    </w:rPr>
  </w:style>
  <w:style w:type="paragraph" w:styleId="3">
    <w:name w:val="heading 3"/>
    <w:aliases w:val="2nd level paper heading"/>
    <w:next w:val="a1"/>
    <w:link w:val="30"/>
    <w:uiPriority w:val="4"/>
    <w:qFormat/>
    <w:rsid w:val="00897ED5"/>
    <w:pPr>
      <w:widowControl w:val="0"/>
      <w:spacing w:before="240" w:after="240" w:line="240" w:lineRule="exact"/>
      <w:outlineLvl w:val="2"/>
    </w:pPr>
    <w:rPr>
      <w:b/>
      <w:lang w:eastAsia="en-US"/>
    </w:rPr>
  </w:style>
  <w:style w:type="paragraph" w:styleId="4">
    <w:name w:val="heading 4"/>
    <w:aliases w:val="3rd level paper heading"/>
    <w:basedOn w:val="a"/>
    <w:next w:val="a1"/>
    <w:uiPriority w:val="4"/>
    <w:qFormat/>
    <w:rsid w:val="00897ED5"/>
    <w:pPr>
      <w:widowControl w:val="0"/>
      <w:numPr>
        <w:ilvl w:val="3"/>
        <w:numId w:val="3"/>
      </w:numPr>
      <w:spacing w:before="100" w:beforeAutospacing="1" w:after="100" w:afterAutospacing="1" w:line="240" w:lineRule="atLeast"/>
      <w:outlineLvl w:val="3"/>
    </w:pPr>
    <w:rPr>
      <w:i/>
      <w:sz w:val="20"/>
      <w:lang w:val="en-US"/>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lang w:val="en-US"/>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lang w:val="en-US"/>
    </w:rPr>
  </w:style>
  <w:style w:type="paragraph" w:styleId="7">
    <w:name w:val="heading 7"/>
    <w:basedOn w:val="a"/>
    <w:next w:val="a"/>
    <w:uiPriority w:val="19"/>
    <w:locked/>
    <w:pPr>
      <w:overflowPunct/>
      <w:autoSpaceDE/>
      <w:autoSpaceDN/>
      <w:adjustRightInd/>
      <w:spacing w:before="240" w:after="60"/>
      <w:textAlignment w:val="auto"/>
      <w:outlineLvl w:val="6"/>
    </w:pPr>
    <w:rPr>
      <w:szCs w:val="24"/>
      <w:lang w:val="en-US"/>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lang w:val="en-US"/>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a5"/>
    <w:qFormat/>
    <w:rsid w:val="00647F33"/>
    <w:pPr>
      <w:spacing w:line="260" w:lineRule="atLeast"/>
      <w:ind w:firstLine="567"/>
      <w:contextualSpacing/>
      <w:jc w:val="both"/>
    </w:pPr>
    <w:rPr>
      <w:lang w:eastAsia="en-US"/>
    </w:rPr>
  </w:style>
  <w:style w:type="paragraph" w:styleId="a6">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7">
    <w:name w:val="caption"/>
    <w:next w:val="a"/>
    <w:uiPriority w:val="49"/>
    <w:pPr>
      <w:spacing w:after="85"/>
    </w:pPr>
    <w:rPr>
      <w:bCs/>
      <w:sz w:val="18"/>
      <w:lang w:val="en-US" w:eastAsia="en-US"/>
    </w:rPr>
  </w:style>
  <w:style w:type="paragraph" w:styleId="a8">
    <w:name w:val="footer"/>
    <w:basedOn w:val="a"/>
    <w:link w:val="a9"/>
    <w:uiPriority w:val="99"/>
    <w:locked/>
    <w:pPr>
      <w:overflowPunct/>
      <w:autoSpaceDE/>
      <w:autoSpaceDN/>
      <w:adjustRightInd/>
      <w:textAlignment w:val="auto"/>
    </w:pPr>
    <w:rPr>
      <w:sz w:val="2"/>
      <w:lang w:val="en-US"/>
    </w:rPr>
  </w:style>
  <w:style w:type="paragraph" w:styleId="aa">
    <w:name w:val="footnote text"/>
    <w:semiHidden/>
    <w:locked/>
    <w:pPr>
      <w:tabs>
        <w:tab w:val="left" w:pos="459"/>
      </w:tabs>
      <w:spacing w:before="142"/>
      <w:ind w:left="459"/>
      <w:jc w:val="both"/>
    </w:pPr>
    <w:rPr>
      <w:sz w:val="18"/>
      <w:lang w:eastAsia="en-US"/>
    </w:rPr>
  </w:style>
  <w:style w:type="paragraph" w:styleId="ab">
    <w:name w:val="header"/>
    <w:next w:val="a1"/>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numPr>
        <w:numId w:val="20"/>
      </w:numPr>
      <w:ind w:left="709"/>
    </w:pPr>
  </w:style>
  <w:style w:type="paragraph" w:customStyle="1" w:styleId="ListNumbered">
    <w:name w:val="List Numbered"/>
    <w:basedOn w:val="a1"/>
    <w:uiPriority w:val="5"/>
    <w:qFormat/>
    <w:locked/>
    <w:rsid w:val="00717C6F"/>
    <w:pPr>
      <w:numPr>
        <w:numId w:val="22"/>
      </w:numPr>
    </w:pPr>
  </w:style>
  <w:style w:type="paragraph" w:styleId="ac">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d">
    <w:name w:val="footnote reference"/>
    <w:basedOn w:val="a2"/>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8"/>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a9">
    <w:name w:val="フッター (文字)"/>
    <w:basedOn w:val="a2"/>
    <w:link w:val="a8"/>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a5">
    <w:name w:val="本文 (文字)"/>
    <w:basedOn w:val="a2"/>
    <w:link w:val="a1"/>
    <w:rsid w:val="00647F33"/>
    <w:rPr>
      <w:lang w:eastAsia="en-US"/>
    </w:rPr>
  </w:style>
  <w:style w:type="character" w:customStyle="1" w:styleId="AuthornameandaffiliationChar">
    <w:name w:val="Author name and affiliation Char"/>
    <w:basedOn w:val="a5"/>
    <w:link w:val="Authornameandaffiliation"/>
    <w:uiPriority w:val="49"/>
    <w:rsid w:val="00647F33"/>
    <w:rPr>
      <w:lang w:val="en-US" w:eastAsia="en-US"/>
    </w:rPr>
  </w:style>
  <w:style w:type="table" w:styleId="ae">
    <w:name w:val="Table Grid"/>
    <w:basedOn w:val="a3"/>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f">
    <w:name w:val="Balloon Text"/>
    <w:basedOn w:val="a"/>
    <w:link w:val="af0"/>
    <w:uiPriority w:val="49"/>
    <w:locked/>
    <w:rsid w:val="005F00A0"/>
    <w:rPr>
      <w:rFonts w:ascii="Tahoma" w:hAnsi="Tahoma" w:cs="Tahoma"/>
      <w:sz w:val="16"/>
      <w:szCs w:val="16"/>
    </w:rPr>
  </w:style>
  <w:style w:type="character" w:customStyle="1" w:styleId="af0">
    <w:name w:val="吹き出し (文字)"/>
    <w:basedOn w:val="a2"/>
    <w:link w:val="af"/>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a5"/>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a5"/>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a5"/>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a5"/>
    <w:link w:val="Tabletext"/>
    <w:uiPriority w:val="49"/>
    <w:rsid w:val="00883848"/>
    <w:rPr>
      <w:lang w:eastAsia="en-US"/>
    </w:rPr>
  </w:style>
  <w:style w:type="paragraph" w:styleId="Web">
    <w:name w:val="Normal (Web)"/>
    <w:basedOn w:val="a"/>
    <w:uiPriority w:val="49"/>
    <w:semiHidden/>
    <w:unhideWhenUsed/>
    <w:locked/>
    <w:rsid w:val="002C29DB"/>
    <w:rPr>
      <w:sz w:val="24"/>
      <w:szCs w:val="24"/>
    </w:rPr>
  </w:style>
  <w:style w:type="paragraph" w:customStyle="1" w:styleId="FIG-LONG">
    <w:name w:val="FIG-LONG"/>
    <w:basedOn w:val="a"/>
    <w:next w:val="a"/>
    <w:link w:val="FIG-LONGChar"/>
    <w:autoRedefine/>
    <w:qFormat/>
    <w:rsid w:val="002C29DB"/>
    <w:pPr>
      <w:tabs>
        <w:tab w:val="left" w:pos="709"/>
      </w:tabs>
      <w:overflowPunct/>
      <w:autoSpaceDE/>
      <w:autoSpaceDN/>
      <w:adjustRightInd/>
      <w:spacing w:after="120"/>
      <w:ind w:left="709" w:hanging="709"/>
      <w:textAlignment w:val="auto"/>
    </w:pPr>
    <w:rPr>
      <w:i/>
      <w:iCs/>
      <w:sz w:val="18"/>
      <w:szCs w:val="18"/>
    </w:rPr>
  </w:style>
  <w:style w:type="character" w:customStyle="1" w:styleId="FIG-LONGChar">
    <w:name w:val="FIG-LONG Char"/>
    <w:basedOn w:val="a2"/>
    <w:link w:val="FIG-LONG"/>
    <w:rsid w:val="002C29DB"/>
    <w:rPr>
      <w:rFonts w:eastAsiaTheme="minorEastAsia"/>
      <w:i/>
      <w:iCs/>
      <w:sz w:val="18"/>
      <w:szCs w:val="18"/>
      <w:lang w:eastAsia="en-US"/>
    </w:rPr>
  </w:style>
  <w:style w:type="table" w:customStyle="1" w:styleId="TableGrid1">
    <w:name w:val="Table Grid1"/>
    <w:basedOn w:val="a3"/>
    <w:next w:val="ae"/>
    <w:uiPriority w:val="59"/>
    <w:rsid w:val="002C29DB"/>
    <w:rPr>
      <w:rFonts w:asciiTheme="minorHAnsi" w:hAnsiTheme="minorHAnsi" w:cstheme="minorBidi"/>
      <w:sz w:val="24"/>
      <w:szCs w:val="24"/>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2"/>
    <w:uiPriority w:val="49"/>
    <w:semiHidden/>
    <w:unhideWhenUsed/>
    <w:locked/>
    <w:rsid w:val="00A233D1"/>
    <w:rPr>
      <w:sz w:val="16"/>
      <w:szCs w:val="16"/>
    </w:rPr>
  </w:style>
  <w:style w:type="paragraph" w:styleId="af2">
    <w:name w:val="annotation text"/>
    <w:basedOn w:val="a"/>
    <w:link w:val="af3"/>
    <w:uiPriority w:val="49"/>
    <w:semiHidden/>
    <w:unhideWhenUsed/>
    <w:locked/>
    <w:rsid w:val="00A233D1"/>
    <w:rPr>
      <w:sz w:val="20"/>
    </w:rPr>
  </w:style>
  <w:style w:type="character" w:customStyle="1" w:styleId="af3">
    <w:name w:val="コメント文字列 (文字)"/>
    <w:basedOn w:val="a2"/>
    <w:link w:val="af2"/>
    <w:uiPriority w:val="49"/>
    <w:semiHidden/>
    <w:rsid w:val="00A233D1"/>
    <w:rPr>
      <w:lang w:eastAsia="en-US"/>
    </w:rPr>
  </w:style>
  <w:style w:type="paragraph" w:styleId="af4">
    <w:name w:val="annotation subject"/>
    <w:basedOn w:val="af2"/>
    <w:next w:val="af2"/>
    <w:link w:val="af5"/>
    <w:uiPriority w:val="49"/>
    <w:semiHidden/>
    <w:unhideWhenUsed/>
    <w:locked/>
    <w:rsid w:val="00A233D1"/>
    <w:rPr>
      <w:b/>
      <w:bCs/>
    </w:rPr>
  </w:style>
  <w:style w:type="character" w:customStyle="1" w:styleId="af5">
    <w:name w:val="コメント内容 (文字)"/>
    <w:basedOn w:val="af3"/>
    <w:link w:val="af4"/>
    <w:uiPriority w:val="49"/>
    <w:semiHidden/>
    <w:rsid w:val="00A233D1"/>
    <w:rPr>
      <w:b/>
      <w:bCs/>
      <w:lang w:eastAsia="en-US"/>
    </w:rPr>
  </w:style>
  <w:style w:type="character" w:customStyle="1" w:styleId="30">
    <w:name w:val="見出し 3 (文字)"/>
    <w:aliases w:val="2nd level paper heading (文字)"/>
    <w:basedOn w:val="a2"/>
    <w:link w:val="3"/>
    <w:uiPriority w:val="4"/>
    <w:rsid w:val="00ED05F0"/>
    <w:rPr>
      <w:b/>
      <w:lang w:eastAsia="en-US"/>
    </w:rPr>
  </w:style>
  <w:style w:type="paragraph" w:styleId="31">
    <w:name w:val="Body Text 3"/>
    <w:basedOn w:val="a"/>
    <w:link w:val="32"/>
    <w:uiPriority w:val="49"/>
    <w:semiHidden/>
    <w:unhideWhenUsed/>
    <w:locked/>
    <w:rsid w:val="00D2026B"/>
    <w:rPr>
      <w:sz w:val="16"/>
      <w:szCs w:val="16"/>
    </w:rPr>
  </w:style>
  <w:style w:type="character" w:customStyle="1" w:styleId="32">
    <w:name w:val="本文 3 (文字)"/>
    <w:basedOn w:val="a2"/>
    <w:link w:val="31"/>
    <w:uiPriority w:val="49"/>
    <w:semiHidden/>
    <w:rsid w:val="00D2026B"/>
    <w:rPr>
      <w:sz w:val="16"/>
      <w:szCs w:val="16"/>
      <w:lang w:eastAsia="en-US"/>
    </w:rPr>
  </w:style>
  <w:style w:type="paragraph" w:customStyle="1" w:styleId="33">
    <w:name w:val="標準3"/>
    <w:basedOn w:val="a"/>
    <w:link w:val="34"/>
    <w:rsid w:val="00D2026B"/>
    <w:pPr>
      <w:widowControl w:val="0"/>
      <w:overflowPunct/>
      <w:autoSpaceDE/>
      <w:autoSpaceDN/>
      <w:adjustRightInd/>
      <w:spacing w:line="360" w:lineRule="atLeast"/>
      <w:ind w:leftChars="300" w:left="300" w:firstLineChars="100" w:firstLine="100"/>
      <w:jc w:val="both"/>
      <w:textAlignment w:val="auto"/>
    </w:pPr>
    <w:rPr>
      <w:rFonts w:ascii="ＭＳ 明朝" w:eastAsia="ＭＳ 明朝" w:hAnsi="Century"/>
      <w:kern w:val="2"/>
      <w:sz w:val="21"/>
      <w:szCs w:val="21"/>
      <w:lang w:val="en-US" w:eastAsia="ja-JP"/>
    </w:rPr>
  </w:style>
  <w:style w:type="character" w:customStyle="1" w:styleId="34">
    <w:name w:val="標準3 (文字)"/>
    <w:basedOn w:val="a2"/>
    <w:link w:val="33"/>
    <w:rsid w:val="00D2026B"/>
    <w:rPr>
      <w:rFonts w:ascii="ＭＳ 明朝" w:eastAsia="ＭＳ 明朝" w:hAnsi="Century"/>
      <w:kern w:val="2"/>
      <w:sz w:val="21"/>
      <w:szCs w:val="21"/>
      <w:lang w:val="en-US" w:eastAsia="ja-JP"/>
    </w:rPr>
  </w:style>
  <w:style w:type="paragraph" w:styleId="af6">
    <w:name w:val="Revision"/>
    <w:hidden/>
    <w:uiPriority w:val="99"/>
    <w:semiHidden/>
    <w:rsid w:val="00E77D0E"/>
    <w:rPr>
      <w:sz w:val="22"/>
      <w:lang w:eastAsia="en-US"/>
    </w:rPr>
  </w:style>
  <w:style w:type="paragraph" w:styleId="af7">
    <w:name w:val="List Paragraph"/>
    <w:basedOn w:val="a"/>
    <w:uiPriority w:val="34"/>
    <w:qFormat/>
    <w:locked/>
    <w:rsid w:val="00A31816"/>
    <w:pPr>
      <w:overflowPunct/>
      <w:autoSpaceDE/>
      <w:autoSpaceDN/>
      <w:adjustRightInd/>
      <w:ind w:leftChars="400" w:left="840"/>
      <w:textAlignment w:val="auto"/>
    </w:pPr>
    <w:rPr>
      <w:rFonts w:eastAsia="ＭＳ 明朝"/>
      <w:kern w:val="2"/>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4.xml><?xml version="1.0" encoding="utf-8"?>
<ct:contentTypeSchema xmlns:ct="http://schemas.microsoft.com/office/2006/metadata/contentType" xmlns:ma="http://schemas.microsoft.com/office/2006/metadata/properties/metaAttributes" ct:_="" ma:_="" ma:contentTypeName="Document" ma:contentTypeID="0x0101008838DD521E3D1649B00AC0EC7F7B3842" ma:contentTypeVersion="10" ma:contentTypeDescription="Create a new document." ma:contentTypeScope="" ma:versionID="94b0f74c38da0e5bbc807271e51129ee">
  <xsd:schema xmlns:xsd="http://www.w3.org/2001/XMLSchema" xmlns:xs="http://www.w3.org/2001/XMLSchema" xmlns:p="http://schemas.microsoft.com/office/2006/metadata/properties" xmlns:ns3="62d4e713-4844-4419-ae48-2c18eef7e846" targetNamespace="http://schemas.microsoft.com/office/2006/metadata/properties" ma:root="true" ma:fieldsID="c1153f7212141daa7c6b5de910ecfe95" ns3:_="">
    <xsd:import namespace="62d4e713-4844-4419-ae48-2c18eef7e8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4e713-4844-4419-ae48-2c18eef7e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A37EDD-2E1A-4759-89A8-5D2D8E84B9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806F98-CEA2-40D9-9554-BA9D4018F9BD}">
  <ds:schemaRefs>
    <ds:schemaRef ds:uri="http://schemas.microsoft.com/sharepoint/v3/contenttype/forms"/>
  </ds:schemaRefs>
</ds:datastoreItem>
</file>

<file path=customXml/itemProps3.xml><?xml version="1.0" encoding="utf-8"?>
<ds:datastoreItem xmlns:ds="http://schemas.openxmlformats.org/officeDocument/2006/customXml" ds:itemID="{11E64B2D-78D2-47F8-A07C-F91F99467D9D}">
  <ds:schemaRefs>
    <ds:schemaRef ds:uri="http://schemas.openxmlformats.org/officeDocument/2006/bibliography"/>
  </ds:schemaRefs>
</ds:datastoreItem>
</file>

<file path=customXml/itemProps4.xml><?xml version="1.0" encoding="utf-8"?>
<ds:datastoreItem xmlns:ds="http://schemas.openxmlformats.org/officeDocument/2006/customXml" ds:itemID="{376EC95F-5C71-4726-AD32-B59CE1A97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4e713-4844-4419-ae48-2c18eef7e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1753</Words>
  <Characters>9998</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Gemma Anna Ruffino</dc:creator>
  <cp:keywords/>
  <dc:description/>
  <cp:lastModifiedBy>dod</cp:lastModifiedBy>
  <cp:revision>9</cp:revision>
  <cp:lastPrinted>2022-05-31T09:47:00Z</cp:lastPrinted>
  <dcterms:created xsi:type="dcterms:W3CDTF">2022-09-16T00:15:00Z</dcterms:created>
  <dcterms:modified xsi:type="dcterms:W3CDTF">2022-09-20T04:49:00Z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0x0101008838DD521E3D1649B00AC0EC7F7B3842</vt:lpwstr>
  </property>
  <property fmtid="{D5CDD505-2E9C-101B-9397-08002B2CF9AE}" pid="12" name="_dlc_DocIdItemGuid">
    <vt:lpwstr>624d8e63-e3f6-4681-83c2-57c583c02431</vt:lpwstr>
  </property>
</Properties>
</file>