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E03C" w14:textId="5D85C360" w:rsidR="00E20E70" w:rsidRPr="00EE29B9" w:rsidRDefault="00041145" w:rsidP="00537496">
      <w:pPr>
        <w:pStyle w:val="Heading1"/>
      </w:pPr>
      <w:bookmarkStart w:id="0" w:name="_Hlk69130178"/>
      <w:r w:rsidRPr="00041145">
        <w:t xml:space="preserve">Validation Study of Sodium Pool Fire </w:t>
      </w:r>
      <w:r w:rsidR="00775D33">
        <w:br/>
      </w:r>
      <w:r w:rsidRPr="00041145">
        <w:t xml:space="preserve">Modeling Efforts in MELCOR and </w:t>
      </w:r>
      <w:r w:rsidR="00775D33">
        <w:br/>
      </w:r>
      <w:r w:rsidRPr="00041145">
        <w:t>SPHINCS Codes</w:t>
      </w:r>
    </w:p>
    <w:p w14:paraId="433FE03F" w14:textId="77777777" w:rsidR="00802381" w:rsidRDefault="00802381" w:rsidP="00537496">
      <w:pPr>
        <w:pStyle w:val="Authornameandaffiliation"/>
      </w:pPr>
    </w:p>
    <w:p w14:paraId="433FE048" w14:textId="365C598A" w:rsidR="00FF386F" w:rsidRDefault="00FF386F" w:rsidP="00041145">
      <w:pPr>
        <w:pStyle w:val="Authornameandaffiliation"/>
        <w:ind w:left="0"/>
      </w:pPr>
    </w:p>
    <w:p w14:paraId="2AAFE484" w14:textId="6F0724AE" w:rsidR="00003206" w:rsidRDefault="00041145" w:rsidP="00537496">
      <w:pPr>
        <w:pStyle w:val="Authornameandaffiliation"/>
      </w:pPr>
      <w:r w:rsidRPr="00041145">
        <w:t>David L.Y. Louie</w:t>
      </w:r>
      <w:r w:rsidRPr="00041145">
        <w:rPr>
          <w:vertAlign w:val="superscript"/>
        </w:rPr>
        <w:t>1</w:t>
      </w:r>
      <w:r w:rsidRPr="00041145">
        <w:t>, Mitsuhiro Aoyagi</w:t>
      </w:r>
      <w:r w:rsidRPr="00041145">
        <w:rPr>
          <w:vertAlign w:val="superscript"/>
        </w:rPr>
        <w:t>2</w:t>
      </w:r>
      <w:r w:rsidRPr="00041145">
        <w:t>, Akihiro Uchibori</w:t>
      </w:r>
      <w:r w:rsidRPr="00041145">
        <w:rPr>
          <w:vertAlign w:val="superscript"/>
        </w:rPr>
        <w:t>2</w:t>
      </w:r>
      <w:r w:rsidRPr="00041145">
        <w:t>, Takashi Takata</w:t>
      </w:r>
      <w:r w:rsidRPr="00041145">
        <w:rPr>
          <w:vertAlign w:val="superscript"/>
        </w:rPr>
        <w:t>2</w:t>
      </w:r>
      <w:r w:rsidRPr="00041145">
        <w:t xml:space="preserve"> and David L. Luxat</w:t>
      </w:r>
      <w:r w:rsidRPr="00041145">
        <w:rPr>
          <w:vertAlign w:val="superscript"/>
        </w:rPr>
        <w:t>1</w:t>
      </w:r>
    </w:p>
    <w:p w14:paraId="03D5DDE3" w14:textId="77777777" w:rsidR="00041145" w:rsidRDefault="00041145" w:rsidP="00537496">
      <w:pPr>
        <w:pStyle w:val="Authornameandaffiliation"/>
      </w:pPr>
    </w:p>
    <w:p w14:paraId="2EFA8EC7" w14:textId="45D2F9C8" w:rsidR="00003206" w:rsidRPr="00FF386F" w:rsidRDefault="00003206" w:rsidP="00003206">
      <w:pPr>
        <w:pStyle w:val="Authornameandaffiliation"/>
      </w:pPr>
      <w:r>
        <w:rPr>
          <w:vertAlign w:val="superscript"/>
        </w:rPr>
        <w:t>1</w:t>
      </w:r>
      <w:r w:rsidR="00041145">
        <w:t>Sandia National Laboratories, Albuquerque, New Mexico, U.S.A.</w:t>
      </w:r>
    </w:p>
    <w:p w14:paraId="70312E99" w14:textId="2B0ED83E" w:rsidR="008A7B22" w:rsidRPr="00FF386F" w:rsidRDefault="00003206" w:rsidP="00003206">
      <w:pPr>
        <w:pStyle w:val="Authornameandaffiliation"/>
      </w:pPr>
      <w:r>
        <w:rPr>
          <w:vertAlign w:val="superscript"/>
        </w:rPr>
        <w:t>2</w:t>
      </w:r>
      <w:r w:rsidR="00041145">
        <w:t xml:space="preserve">Japan Atomic Energy Agency, </w:t>
      </w:r>
      <w:proofErr w:type="spellStart"/>
      <w:r w:rsidR="00041145">
        <w:t>Oarai</w:t>
      </w:r>
      <w:proofErr w:type="spellEnd"/>
      <w:r w:rsidR="00041145">
        <w:t>, Japan</w:t>
      </w:r>
    </w:p>
    <w:p w14:paraId="3F7D6C77" w14:textId="77777777" w:rsidR="00003206" w:rsidRDefault="00003206" w:rsidP="00003206">
      <w:pPr>
        <w:pStyle w:val="Authornameandaffiliation"/>
      </w:pPr>
    </w:p>
    <w:p w14:paraId="2EA71BD6" w14:textId="3DC7C76A" w:rsidR="00003206" w:rsidRDefault="00003206" w:rsidP="00003206">
      <w:pPr>
        <w:pStyle w:val="Authornameandaffiliation"/>
      </w:pPr>
      <w:r>
        <w:t>Email</w:t>
      </w:r>
      <w:r w:rsidRPr="00003206">
        <w:t xml:space="preserve"> contact of </w:t>
      </w:r>
      <w:r>
        <w:t>corresponding</w:t>
      </w:r>
      <w:r w:rsidRPr="00003206">
        <w:t xml:space="preserve"> author</w:t>
      </w:r>
      <w:r>
        <w:t xml:space="preserve">: </w:t>
      </w:r>
      <w:r w:rsidR="00041145">
        <w:t>dllouie@sandia.gov</w:t>
      </w:r>
    </w:p>
    <w:p w14:paraId="47497415" w14:textId="4BB667F6" w:rsidR="00003206" w:rsidRDefault="00003206" w:rsidP="00537496">
      <w:pPr>
        <w:pStyle w:val="Authornameandaffiliation"/>
      </w:pPr>
    </w:p>
    <w:p w14:paraId="2FBF1CE3" w14:textId="77777777" w:rsidR="00F62776" w:rsidRDefault="00F62776" w:rsidP="00537496">
      <w:pPr>
        <w:pStyle w:val="Authornameandaffiliation"/>
      </w:pPr>
    </w:p>
    <w:p w14:paraId="107A145D" w14:textId="6CAFC16A" w:rsidR="00003206" w:rsidRPr="008744B3" w:rsidRDefault="00570841" w:rsidP="00537496">
      <w:pPr>
        <w:pStyle w:val="Authornameandaffiliation"/>
        <w:rPr>
          <w:b/>
          <w:bCs/>
        </w:rPr>
      </w:pPr>
      <w:r w:rsidRPr="008744B3">
        <w:rPr>
          <w:b/>
          <w:bCs/>
        </w:rPr>
        <w:t>Abstract</w:t>
      </w:r>
    </w:p>
    <w:p w14:paraId="2D9BDDEB" w14:textId="77777777" w:rsidR="00570841" w:rsidRDefault="00570841" w:rsidP="00537496">
      <w:pPr>
        <w:pStyle w:val="Authornameandaffiliation"/>
      </w:pPr>
    </w:p>
    <w:p w14:paraId="1E1D79B2" w14:textId="775433FE" w:rsidR="00570841" w:rsidRPr="00C17BC8" w:rsidRDefault="00570841" w:rsidP="00570841">
      <w:pPr>
        <w:pStyle w:val="Abstracttext"/>
        <w:jc w:val="both"/>
        <w:rPr>
          <w:sz w:val="20"/>
        </w:rPr>
      </w:pPr>
      <w:r w:rsidRPr="00C17BC8">
        <w:rPr>
          <w:sz w:val="20"/>
        </w:rPr>
        <w:t>Discharge of sodium coolant into containment from a sodium</w:t>
      </w:r>
      <w:r w:rsidR="00FE5E98">
        <w:rPr>
          <w:sz w:val="20"/>
        </w:rPr>
        <w:t>-</w:t>
      </w:r>
      <w:r w:rsidR="00232ADF">
        <w:rPr>
          <w:sz w:val="20"/>
        </w:rPr>
        <w:t xml:space="preserve">cooled </w:t>
      </w:r>
      <w:r w:rsidRPr="00C17BC8">
        <w:rPr>
          <w:sz w:val="20"/>
        </w:rPr>
        <w:t xml:space="preserve">fast reactor (SFR) vessel can occur in the event of a pipe leak or break. In this situation, some of the liquid sodium droplets discharged from the reactor vessel will react with oxygen in the air before reaching the containment. This phase of the event is normally termed the sodium spray fire phase. Unreacted sodium droplets pool on the containment floor where continued reaction with containment </w:t>
      </w:r>
      <w:r w:rsidR="00FE5E98" w:rsidRPr="00C17BC8">
        <w:rPr>
          <w:sz w:val="20"/>
        </w:rPr>
        <w:t>atmospher</w:t>
      </w:r>
      <w:r w:rsidR="00FE5E98">
        <w:rPr>
          <w:sz w:val="20"/>
        </w:rPr>
        <w:t>ic</w:t>
      </w:r>
      <w:r w:rsidR="00FE5E98" w:rsidRPr="00C17BC8">
        <w:rPr>
          <w:sz w:val="20"/>
        </w:rPr>
        <w:t xml:space="preserve"> </w:t>
      </w:r>
      <w:r w:rsidRPr="00C17BC8">
        <w:rPr>
          <w:sz w:val="20"/>
        </w:rPr>
        <w:t xml:space="preserve">oxygen occurs. </w:t>
      </w:r>
      <w:r w:rsidRPr="00FE5E98">
        <w:rPr>
          <w:sz w:val="20"/>
        </w:rPr>
        <w:t xml:space="preserve">This phase of the event is normally termed the sodium pool fire phase. Both phases of these sodium-oxygen reactions (or fires) are important to model because </w:t>
      </w:r>
      <w:r w:rsidR="0076573A" w:rsidRPr="00FE5E98">
        <w:rPr>
          <w:sz w:val="20"/>
        </w:rPr>
        <w:t xml:space="preserve">of </w:t>
      </w:r>
      <w:r w:rsidRPr="00FE5E98">
        <w:rPr>
          <w:sz w:val="20"/>
        </w:rPr>
        <w:t>the heat addition and aerosol generation that occur. Any fission products trapped in the sodium coolant may also be released during this progression of events, which if released from containment could pose a health risk to workers and</w:t>
      </w:r>
      <w:r w:rsidR="00FE5E98">
        <w:rPr>
          <w:sz w:val="20"/>
        </w:rPr>
        <w:t xml:space="preserve"> the</w:t>
      </w:r>
      <w:r w:rsidRPr="00FE5E98">
        <w:rPr>
          <w:sz w:val="20"/>
        </w:rPr>
        <w:t xml:space="preserve"> public. </w:t>
      </w:r>
      <w:r w:rsidR="00775D33">
        <w:rPr>
          <w:sz w:val="20"/>
        </w:rPr>
        <w:t>The</w:t>
      </w:r>
      <w:r w:rsidR="00775D33" w:rsidRPr="00FE5E98">
        <w:rPr>
          <w:sz w:val="20"/>
        </w:rPr>
        <w:t xml:space="preserve"> </w:t>
      </w:r>
      <w:r w:rsidRPr="00FE5E98">
        <w:rPr>
          <w:sz w:val="20"/>
        </w:rPr>
        <w:t>paper describes progress of an international collaborative</w:t>
      </w:r>
      <w:r w:rsidRPr="00C17BC8">
        <w:rPr>
          <w:sz w:val="20"/>
        </w:rPr>
        <w:t xml:space="preserve"> research in the area of SFR sodium fire modeling between the United States and Japan under the framework of the Civil Nuclear Energy Research and Development Working Group (CNWG). In this collaboration between Sandia National Laboratories (SNL) and Japan Atomic Energy Agency (JAEA), the validation basis for and modeling capabilities of sodium spray and pool fires in MELCOR of SNL and SPHINCS of JAEA are being enhanced. </w:t>
      </w:r>
    </w:p>
    <w:p w14:paraId="2751CD4D" w14:textId="77B821AF" w:rsidR="00570841" w:rsidRDefault="00775D33" w:rsidP="006C7276">
      <w:pPr>
        <w:pStyle w:val="Abstracttext"/>
        <w:jc w:val="both"/>
      </w:pPr>
      <w:r>
        <w:rPr>
          <w:sz w:val="20"/>
        </w:rPr>
        <w:t>This study documents</w:t>
      </w:r>
      <w:r w:rsidR="00570841" w:rsidRPr="00C17BC8">
        <w:rPr>
          <w:sz w:val="20"/>
        </w:rPr>
        <w:t xml:space="preserve"> MELCOR and SPHINCS sodium pool fire model validation exercises against the JAEA’s sodium pool fire experiments, F7-1 and F7-2. </w:t>
      </w:r>
      <w:r w:rsidR="00DE5401">
        <w:rPr>
          <w:sz w:val="20"/>
        </w:rPr>
        <w:t>The</w:t>
      </w:r>
      <w:r w:rsidR="00570841" w:rsidRPr="00C17BC8">
        <w:rPr>
          <w:sz w:val="20"/>
        </w:rPr>
        <w:t xml:space="preserve"> proposed enhancement of the sodium pool fire models</w:t>
      </w:r>
      <w:r w:rsidR="00570841">
        <w:rPr>
          <w:sz w:val="20"/>
        </w:rPr>
        <w:t xml:space="preserve"> in MELCOR</w:t>
      </w:r>
      <w:r w:rsidR="00570841" w:rsidRPr="00C17BC8">
        <w:rPr>
          <w:sz w:val="20"/>
        </w:rPr>
        <w:t xml:space="preserve"> through addition of thermal hydraulic and sodium spreading models that enable a better representation of experimental results</w:t>
      </w:r>
      <w:r w:rsidR="00DE5401">
        <w:rPr>
          <w:sz w:val="20"/>
        </w:rPr>
        <w:t xml:space="preserve"> is also described</w:t>
      </w:r>
      <w:r w:rsidR="00570841" w:rsidRPr="00C17BC8">
        <w:rPr>
          <w:sz w:val="20"/>
        </w:rPr>
        <w:t>.</w:t>
      </w:r>
    </w:p>
    <w:bookmarkEnd w:id="0"/>
    <w:p w14:paraId="35C9FDA0" w14:textId="44930A06" w:rsidR="0002734B" w:rsidRPr="0002734B" w:rsidRDefault="00C175E7" w:rsidP="008744B3">
      <w:pPr>
        <w:pStyle w:val="Heading2"/>
        <w:numPr>
          <w:ilvl w:val="1"/>
          <w:numId w:val="14"/>
        </w:numPr>
        <w:ind w:left="0"/>
      </w:pPr>
      <w:r>
        <w:t>INTRODUCTION</w:t>
      </w:r>
    </w:p>
    <w:p w14:paraId="571B3DF0" w14:textId="77E61A09" w:rsidR="00570841" w:rsidRDefault="00041145" w:rsidP="00C17BC8">
      <w:pPr>
        <w:pStyle w:val="Abstracttext"/>
        <w:jc w:val="both"/>
        <w:rPr>
          <w:sz w:val="20"/>
        </w:rPr>
      </w:pPr>
      <w:r w:rsidRPr="00C17BC8">
        <w:rPr>
          <w:sz w:val="20"/>
        </w:rPr>
        <w:t>Discharge of sodium coolant into containment from a sodium</w:t>
      </w:r>
      <w:r w:rsidR="00FE5E98">
        <w:rPr>
          <w:sz w:val="20"/>
        </w:rPr>
        <w:t>-</w:t>
      </w:r>
      <w:r w:rsidR="00AE1AAC">
        <w:rPr>
          <w:sz w:val="20"/>
        </w:rPr>
        <w:t xml:space="preserve">cooled </w:t>
      </w:r>
      <w:r w:rsidRPr="00C17BC8">
        <w:rPr>
          <w:sz w:val="20"/>
        </w:rPr>
        <w:t xml:space="preserve">fast reactor (SFR) vessel can occur in the event of a pipe leak or break. In this situation, some of the liquid sodium droplets discharged from the reactor vessel will react with oxygen in the air before reaching the containment. This phase of the event is normally termed the sodium spray fire phase. Unreacted sodium droplets pool on the containment floor where continued reaction with containment </w:t>
      </w:r>
      <w:r w:rsidR="00FE5E98" w:rsidRPr="00C17BC8">
        <w:rPr>
          <w:sz w:val="20"/>
        </w:rPr>
        <w:t>atmospher</w:t>
      </w:r>
      <w:r w:rsidR="00FE5E98">
        <w:rPr>
          <w:sz w:val="20"/>
        </w:rPr>
        <w:t>ic</w:t>
      </w:r>
      <w:r w:rsidR="00FE5E98" w:rsidRPr="00C17BC8">
        <w:rPr>
          <w:sz w:val="20"/>
        </w:rPr>
        <w:t xml:space="preserve"> </w:t>
      </w:r>
      <w:r w:rsidRPr="00C17BC8">
        <w:rPr>
          <w:sz w:val="20"/>
        </w:rPr>
        <w:t xml:space="preserve">oxygen occurs. This phase of the event is normally termed the sodium pool fire phase. Both phases of these sodium-oxygen reactions (or fires) are important to model because </w:t>
      </w:r>
      <w:r w:rsidR="00654E3F">
        <w:rPr>
          <w:sz w:val="20"/>
        </w:rPr>
        <w:t xml:space="preserve">of </w:t>
      </w:r>
      <w:r w:rsidRPr="00C17BC8">
        <w:rPr>
          <w:sz w:val="20"/>
        </w:rPr>
        <w:t xml:space="preserve">the heat addition </w:t>
      </w:r>
      <w:r w:rsidR="00570841">
        <w:rPr>
          <w:sz w:val="20"/>
        </w:rPr>
        <w:t xml:space="preserve">by the reactions </w:t>
      </w:r>
      <w:r w:rsidRPr="00C17BC8">
        <w:rPr>
          <w:sz w:val="20"/>
        </w:rPr>
        <w:t xml:space="preserve">and aerosol generation that occur. Any fission products trapped </w:t>
      </w:r>
      <w:r w:rsidR="00570841">
        <w:rPr>
          <w:sz w:val="20"/>
        </w:rPr>
        <w:t xml:space="preserve">initially </w:t>
      </w:r>
      <w:r w:rsidRPr="00C17BC8">
        <w:rPr>
          <w:sz w:val="20"/>
        </w:rPr>
        <w:t xml:space="preserve">in the sodium coolant may also be released during this progression of events, which if released from containment could pose a health risk to workers and </w:t>
      </w:r>
      <w:r w:rsidR="00654E3F">
        <w:rPr>
          <w:sz w:val="20"/>
        </w:rPr>
        <w:t xml:space="preserve">the </w:t>
      </w:r>
      <w:r w:rsidRPr="00C17BC8">
        <w:rPr>
          <w:sz w:val="20"/>
        </w:rPr>
        <w:t xml:space="preserve">public. </w:t>
      </w:r>
    </w:p>
    <w:p w14:paraId="4AF4D3D9" w14:textId="5BF01654" w:rsidR="00041145" w:rsidRPr="00C17BC8" w:rsidRDefault="00570841" w:rsidP="00C17BC8">
      <w:pPr>
        <w:pStyle w:val="Abstracttext"/>
        <w:jc w:val="both"/>
        <w:rPr>
          <w:sz w:val="20"/>
        </w:rPr>
      </w:pPr>
      <w:r>
        <w:rPr>
          <w:sz w:val="20"/>
        </w:rPr>
        <w:t>The advancement in the nuclear accident computer codes, such as MELCOR and SPHINCS</w:t>
      </w:r>
      <w:r w:rsidR="002C2725">
        <w:rPr>
          <w:sz w:val="20"/>
        </w:rPr>
        <w:t xml:space="preserve"> led to </w:t>
      </w:r>
      <w:r>
        <w:rPr>
          <w:sz w:val="20"/>
        </w:rPr>
        <w:t>model</w:t>
      </w:r>
      <w:r w:rsidR="002C2725">
        <w:rPr>
          <w:sz w:val="20"/>
        </w:rPr>
        <w:t>s</w:t>
      </w:r>
      <w:r>
        <w:rPr>
          <w:sz w:val="20"/>
        </w:rPr>
        <w:t xml:space="preserve"> </w:t>
      </w:r>
      <w:r w:rsidR="002C2725">
        <w:rPr>
          <w:sz w:val="20"/>
        </w:rPr>
        <w:t xml:space="preserve">for </w:t>
      </w:r>
      <w:r>
        <w:rPr>
          <w:sz w:val="20"/>
        </w:rPr>
        <w:t xml:space="preserve">these sodium fire phenomena. </w:t>
      </w:r>
      <w:r w:rsidRPr="00570841">
        <w:rPr>
          <w:sz w:val="20"/>
        </w:rPr>
        <w:t>MELCOR is a severe accident code developed by Sandia National Laboratories (SNL) for the U.S. Nuclear Regulatory Commission (NRC). SPHINCS is a sodium fire accident code developed by Japan Atomic Energy Agency (JAEA).</w:t>
      </w:r>
      <w:r>
        <w:rPr>
          <w:sz w:val="20"/>
        </w:rPr>
        <w:t xml:space="preserve"> </w:t>
      </w:r>
      <w:r w:rsidR="00660358">
        <w:rPr>
          <w:sz w:val="20"/>
        </w:rPr>
        <w:t>International collaborative research</w:t>
      </w:r>
      <w:r w:rsidR="00041145" w:rsidRPr="00C17BC8">
        <w:rPr>
          <w:sz w:val="20"/>
        </w:rPr>
        <w:t xml:space="preserve"> in the area of SFR sodium fire modeling </w:t>
      </w:r>
      <w:r>
        <w:rPr>
          <w:sz w:val="20"/>
        </w:rPr>
        <w:t xml:space="preserve">using these codes </w:t>
      </w:r>
      <w:r w:rsidR="00660358">
        <w:rPr>
          <w:sz w:val="20"/>
        </w:rPr>
        <w:t xml:space="preserve">has been established </w:t>
      </w:r>
      <w:r w:rsidR="00041145" w:rsidRPr="00C17BC8">
        <w:rPr>
          <w:sz w:val="20"/>
        </w:rPr>
        <w:t xml:space="preserve">between the United States and Japan under the framework of the Civil Nuclear Energy Research and Development Working Group (CNWG). In this collaboration between SNL and JAEA, the validation basis for and modeling capabilities of sodium spray and pool fires in MELCOR of SNL and SPHINCS of JAEA are being enhanced. </w:t>
      </w:r>
    </w:p>
    <w:p w14:paraId="61826D2D" w14:textId="0762E8BF" w:rsidR="00E94578" w:rsidRDefault="00E94578" w:rsidP="00C17BC8">
      <w:pPr>
        <w:pStyle w:val="Abstracttext"/>
        <w:jc w:val="both"/>
      </w:pPr>
      <w:r w:rsidRPr="00C17BC8">
        <w:rPr>
          <w:sz w:val="20"/>
        </w:rPr>
        <w:t xml:space="preserve">In this </w:t>
      </w:r>
      <w:r w:rsidR="00660358">
        <w:rPr>
          <w:sz w:val="20"/>
        </w:rPr>
        <w:t>paper</w:t>
      </w:r>
      <w:r w:rsidRPr="00C17BC8">
        <w:rPr>
          <w:sz w:val="20"/>
        </w:rPr>
        <w:t xml:space="preserve">, we </w:t>
      </w:r>
      <w:r w:rsidR="00660358">
        <w:rPr>
          <w:sz w:val="20"/>
        </w:rPr>
        <w:t>present the</w:t>
      </w:r>
      <w:r w:rsidR="00660358" w:rsidRPr="00C17BC8">
        <w:rPr>
          <w:sz w:val="20"/>
        </w:rPr>
        <w:t xml:space="preserve"> </w:t>
      </w:r>
      <w:r w:rsidRPr="00C17BC8">
        <w:rPr>
          <w:sz w:val="20"/>
        </w:rPr>
        <w:t>MELCOR and SPHINCS sodium pool fire model validation exercises against the JAEA’s sodium pool fire experiments, F7-1 and F7-2. We also describe our proposed enhancement of the sodium pool fire models</w:t>
      </w:r>
      <w:r w:rsidR="00927E79">
        <w:rPr>
          <w:sz w:val="20"/>
        </w:rPr>
        <w:t xml:space="preserve"> in MELCOR</w:t>
      </w:r>
      <w:r w:rsidRPr="00C17BC8">
        <w:rPr>
          <w:sz w:val="20"/>
        </w:rPr>
        <w:t xml:space="preserve"> through addition of thermal hydraulic and sodium spreading models that enable a better representation of experimental results</w:t>
      </w:r>
      <w:r w:rsidR="003F4368">
        <w:rPr>
          <w:sz w:val="20"/>
        </w:rPr>
        <w:t xml:space="preserve">. </w:t>
      </w:r>
      <w:r w:rsidR="00660358">
        <w:rPr>
          <w:sz w:val="20"/>
        </w:rPr>
        <w:t>For MELCOR, the model enhancement was done in MELCOR code input, rather than the software itself</w:t>
      </w:r>
      <w:r w:rsidR="003F4368">
        <w:rPr>
          <w:sz w:val="20"/>
        </w:rPr>
        <w:t xml:space="preserve">. </w:t>
      </w:r>
      <w:r w:rsidR="00660358" w:rsidRPr="00660358">
        <w:rPr>
          <w:sz w:val="20"/>
        </w:rPr>
        <w:t xml:space="preserve">MELCOR input allows a modeling capability via its powerful </w:t>
      </w:r>
      <w:r w:rsidR="00660358" w:rsidRPr="00660358">
        <w:rPr>
          <w:sz w:val="20"/>
        </w:rPr>
        <w:lastRenderedPageBreak/>
        <w:t>control function package [1].</w:t>
      </w:r>
      <w:r w:rsidR="00660358">
        <w:rPr>
          <w:sz w:val="20"/>
        </w:rPr>
        <w:t xml:space="preserve"> </w:t>
      </w:r>
      <w:r w:rsidR="002C74DF" w:rsidRPr="002C74DF">
        <w:rPr>
          <w:sz w:val="20"/>
        </w:rPr>
        <w:t>A brief discussion of the F7 series experiments is provided</w:t>
      </w:r>
      <w:r w:rsidR="002C74DF">
        <w:rPr>
          <w:sz w:val="20"/>
        </w:rPr>
        <w:t xml:space="preserve"> followed by discussions on the numerical results </w:t>
      </w:r>
      <w:r w:rsidR="00654E3F">
        <w:rPr>
          <w:sz w:val="20"/>
        </w:rPr>
        <w:t xml:space="preserve">of </w:t>
      </w:r>
      <w:r w:rsidR="002C74DF">
        <w:rPr>
          <w:sz w:val="20"/>
        </w:rPr>
        <w:t>stimulating these experiments</w:t>
      </w:r>
      <w:r w:rsidR="003F4368">
        <w:rPr>
          <w:sz w:val="20"/>
        </w:rPr>
        <w:t xml:space="preserve">. </w:t>
      </w:r>
      <w:r w:rsidR="002C74DF">
        <w:rPr>
          <w:sz w:val="20"/>
        </w:rPr>
        <w:t xml:space="preserve">A conclusion </w:t>
      </w:r>
      <w:r w:rsidR="00654E3F">
        <w:rPr>
          <w:sz w:val="20"/>
        </w:rPr>
        <w:t>follows</w:t>
      </w:r>
      <w:r w:rsidR="002C74DF">
        <w:rPr>
          <w:sz w:val="20"/>
        </w:rPr>
        <w:t>.</w:t>
      </w:r>
    </w:p>
    <w:p w14:paraId="5A937DD1" w14:textId="1F65A91F" w:rsidR="0002734B" w:rsidRPr="008872A7" w:rsidRDefault="00187F4E" w:rsidP="008744B3">
      <w:pPr>
        <w:pStyle w:val="Heading2"/>
        <w:numPr>
          <w:ilvl w:val="1"/>
          <w:numId w:val="14"/>
        </w:numPr>
        <w:ind w:left="0"/>
      </w:pPr>
      <w:r>
        <w:t>Validation Experiments</w:t>
      </w:r>
    </w:p>
    <w:p w14:paraId="11121F86" w14:textId="34938BE8" w:rsidR="00CA44FB" w:rsidRDefault="00EE339E" w:rsidP="00C17BC8">
      <w:pPr>
        <w:pStyle w:val="Abstracttext"/>
        <w:jc w:val="both"/>
        <w:rPr>
          <w:sz w:val="20"/>
        </w:rPr>
      </w:pPr>
      <w:r w:rsidRPr="00C17BC8">
        <w:rPr>
          <w:sz w:val="20"/>
        </w:rPr>
        <w:t>To validate the pool fire model in both MELCOR</w:t>
      </w:r>
      <w:r w:rsidR="006A5E28" w:rsidRPr="00C17BC8">
        <w:rPr>
          <w:sz w:val="20"/>
        </w:rPr>
        <w:t xml:space="preserve"> from SNL</w:t>
      </w:r>
      <w:r w:rsidRPr="00C17BC8">
        <w:rPr>
          <w:sz w:val="20"/>
        </w:rPr>
        <w:t xml:space="preserve"> and SPHINCS</w:t>
      </w:r>
      <w:r w:rsidR="006A5E28" w:rsidRPr="00C17BC8">
        <w:rPr>
          <w:sz w:val="20"/>
        </w:rPr>
        <w:t xml:space="preserve"> from JAEA</w:t>
      </w:r>
      <w:r w:rsidRPr="00C17BC8">
        <w:rPr>
          <w:sz w:val="20"/>
        </w:rPr>
        <w:t>, we used the data results from the JAEA’s F7 Series tests (F7-1 and F7-2) [1-2].</w:t>
      </w:r>
      <w:r w:rsidR="00927E79">
        <w:rPr>
          <w:sz w:val="20"/>
        </w:rPr>
        <w:t xml:space="preserve"> </w:t>
      </w:r>
      <w:r w:rsidR="001340B1" w:rsidRPr="00C17BC8">
        <w:rPr>
          <w:sz w:val="20"/>
        </w:rPr>
        <w:t xml:space="preserve">Fig. 1 shows the schematic of the test </w:t>
      </w:r>
      <w:r w:rsidR="00CA44FB" w:rsidRPr="00CA44FB">
        <w:rPr>
          <w:sz w:val="20"/>
          <w:lang w:val="en-GB"/>
        </w:rPr>
        <w:t xml:space="preserve">apparatus </w:t>
      </w:r>
      <w:r w:rsidR="001340B1" w:rsidRPr="00C17BC8">
        <w:rPr>
          <w:sz w:val="20"/>
        </w:rPr>
        <w:t>in the F7 Series test.</w:t>
      </w:r>
      <w:r w:rsidR="00CA44FB" w:rsidRPr="00CA44FB">
        <w:rPr>
          <w:rFonts w:ascii="Garamond" w:eastAsia="Times New Roman" w:hAnsi="Garamond"/>
          <w:sz w:val="24"/>
        </w:rPr>
        <w:t xml:space="preserve"> </w:t>
      </w:r>
      <w:r w:rsidR="00CA44FB" w:rsidRPr="00CA44FB">
        <w:rPr>
          <w:sz w:val="20"/>
          <w:lang w:val="en-GB"/>
        </w:rPr>
        <w:t xml:space="preserve">The test apparatus consists of the stainless-steel vessel, the liquid sodium discharging system, the </w:t>
      </w:r>
      <w:r w:rsidR="00CA44FB" w:rsidRPr="00CA44FB">
        <w:rPr>
          <w:rFonts w:hint="eastAsia"/>
          <w:sz w:val="20"/>
          <w:lang w:val="en-GB"/>
        </w:rPr>
        <w:t>stainless</w:t>
      </w:r>
      <w:r w:rsidR="00CA44FB" w:rsidRPr="00CA44FB">
        <w:rPr>
          <w:sz w:val="20"/>
          <w:lang w:val="en-GB"/>
        </w:rPr>
        <w:t>-steel catch pan, the thermal insulator, the air ventilation (purge) line, and the measurement system. The test vessel is about 2.2 m in height and 1.3 m in diameter. The key difference between the F7-1 and F7-2 tests is the height of the nozzle exits, which are located at 0.1 m and 1.5 m from the catch pan, respectively. The thickness and area of the catch pans are 6 mm and 1 m</w:t>
      </w:r>
      <w:r w:rsidR="00CA44FB" w:rsidRPr="00CA44FB">
        <w:rPr>
          <w:sz w:val="20"/>
          <w:vertAlign w:val="superscript"/>
          <w:lang w:val="en-GB"/>
        </w:rPr>
        <w:t>2</w:t>
      </w:r>
      <w:r w:rsidR="00CA44FB" w:rsidRPr="00CA44FB">
        <w:rPr>
          <w:sz w:val="20"/>
          <w:lang w:val="en-GB"/>
        </w:rPr>
        <w:t>, respectively. The catch pan is attached to two 50 mm layers of thermal insulation. The liquid sodium is discharged with the average leak rate of 3.3 g/s for 1,500 seconds. The liquid sodium falls with a column shape and forms a pool on the catch pan. The final areas of the sodium pool are 0.28 m</w:t>
      </w:r>
      <w:r w:rsidR="00CA44FB" w:rsidRPr="00CA44FB">
        <w:rPr>
          <w:sz w:val="20"/>
          <w:vertAlign w:val="superscript"/>
          <w:lang w:val="en-GB"/>
        </w:rPr>
        <w:t>2</w:t>
      </w:r>
      <w:r w:rsidR="00CA44FB" w:rsidRPr="00CA44FB">
        <w:rPr>
          <w:sz w:val="20"/>
          <w:lang w:val="en-GB"/>
        </w:rPr>
        <w:t xml:space="preserve"> for F7-1 and 0.30 m</w:t>
      </w:r>
      <w:r w:rsidR="00CA44FB" w:rsidRPr="00CA44FB">
        <w:rPr>
          <w:sz w:val="20"/>
          <w:vertAlign w:val="superscript"/>
          <w:lang w:val="en-GB"/>
        </w:rPr>
        <w:t>2</w:t>
      </w:r>
      <w:r w:rsidR="00CA44FB" w:rsidRPr="00CA44FB">
        <w:rPr>
          <w:sz w:val="20"/>
          <w:lang w:val="en-GB"/>
        </w:rPr>
        <w:t xml:space="preserve"> for F7-2, respectively. The air in the vessel is ventilated with a steady flow of approximately 3.0 m</w:t>
      </w:r>
      <w:r w:rsidR="00CA44FB" w:rsidRPr="00CA44FB">
        <w:rPr>
          <w:sz w:val="20"/>
          <w:vertAlign w:val="superscript"/>
          <w:lang w:val="en-GB"/>
        </w:rPr>
        <w:t>3</w:t>
      </w:r>
      <w:r w:rsidR="00CA44FB" w:rsidRPr="00CA44FB">
        <w:rPr>
          <w:sz w:val="20"/>
          <w:lang w:val="en-GB"/>
        </w:rPr>
        <w:t>/min.</w:t>
      </w:r>
    </w:p>
    <w:p w14:paraId="6437D5D6" w14:textId="3B33901A" w:rsidR="000748D9" w:rsidRDefault="000748D9" w:rsidP="00C17BC8">
      <w:pPr>
        <w:pStyle w:val="Abstracttext"/>
        <w:jc w:val="both"/>
        <w:rPr>
          <w:sz w:val="20"/>
        </w:rPr>
      </w:pPr>
    </w:p>
    <w:p w14:paraId="5635B54D" w14:textId="5DD25E93" w:rsidR="00187F4E" w:rsidRDefault="00187F4E" w:rsidP="00C17BC8">
      <w:pPr>
        <w:pStyle w:val="Abstracttext"/>
        <w:jc w:val="both"/>
        <w:rPr>
          <w:sz w:val="20"/>
        </w:rPr>
      </w:pPr>
    </w:p>
    <w:p w14:paraId="6A83158D" w14:textId="05877E7B" w:rsidR="005F6108" w:rsidRDefault="005F6108" w:rsidP="008A4F46">
      <w:pPr>
        <w:pStyle w:val="Abstracttext"/>
        <w:jc w:val="center"/>
        <w:rPr>
          <w:sz w:val="20"/>
        </w:rPr>
      </w:pPr>
      <w:r>
        <w:rPr>
          <w:noProof/>
          <w:sz w:val="20"/>
          <w:lang w:eastAsia="ja-JP"/>
        </w:rPr>
        <w:drawing>
          <wp:inline distT="0" distB="0" distL="0" distR="0" wp14:anchorId="2C6C15CE" wp14:editId="3574B44A">
            <wp:extent cx="2273935" cy="251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935" cy="2517775"/>
                    </a:xfrm>
                    <a:prstGeom prst="rect">
                      <a:avLst/>
                    </a:prstGeom>
                    <a:noFill/>
                  </pic:spPr>
                </pic:pic>
              </a:graphicData>
            </a:graphic>
          </wp:inline>
        </w:drawing>
      </w:r>
    </w:p>
    <w:p w14:paraId="03E3E726" w14:textId="54BCFC20" w:rsidR="005F6108" w:rsidRPr="003F1E87" w:rsidRDefault="00ED67F0" w:rsidP="005F6108">
      <w:pPr>
        <w:pStyle w:val="Abstracttext"/>
        <w:ind w:firstLine="0"/>
        <w:jc w:val="center"/>
        <w:rPr>
          <w:i/>
          <w:iCs/>
        </w:rPr>
      </w:pPr>
      <w:r w:rsidRPr="00ED67F0">
        <w:rPr>
          <w:i/>
          <w:iCs/>
        </w:rPr>
        <w:t xml:space="preserve"> </w:t>
      </w:r>
      <w:r w:rsidRPr="003F1E87">
        <w:rPr>
          <w:i/>
          <w:iCs/>
        </w:rPr>
        <w:t>FIG. 1.</w:t>
      </w:r>
      <w:r w:rsidR="005F6108">
        <w:rPr>
          <w:i/>
          <w:iCs/>
        </w:rPr>
        <w:t xml:space="preserve"> </w:t>
      </w:r>
      <w:r w:rsidR="005F6108" w:rsidRPr="003F1E87">
        <w:rPr>
          <w:i/>
          <w:iCs/>
        </w:rPr>
        <w:t xml:space="preserve">Schematic of </w:t>
      </w:r>
      <w:r>
        <w:rPr>
          <w:i/>
          <w:iCs/>
        </w:rPr>
        <w:t xml:space="preserve">JAEA’s </w:t>
      </w:r>
      <w:r w:rsidR="005F6108" w:rsidRPr="003F1E87">
        <w:rPr>
          <w:i/>
          <w:iCs/>
        </w:rPr>
        <w:t xml:space="preserve">F7 Series test </w:t>
      </w:r>
      <w:r>
        <w:rPr>
          <w:i/>
          <w:iCs/>
        </w:rPr>
        <w:t>apparatus</w:t>
      </w:r>
    </w:p>
    <w:p w14:paraId="3A0BE995" w14:textId="77777777" w:rsidR="005F6108" w:rsidRDefault="005F6108" w:rsidP="006C7276">
      <w:pPr>
        <w:pStyle w:val="Abstracttext"/>
        <w:jc w:val="center"/>
        <w:rPr>
          <w:sz w:val="20"/>
        </w:rPr>
      </w:pPr>
    </w:p>
    <w:p w14:paraId="109FAF90" w14:textId="6F4CB2BF" w:rsidR="0002734B" w:rsidRPr="008872A7" w:rsidRDefault="00187F4E" w:rsidP="008744B3">
      <w:pPr>
        <w:pStyle w:val="Heading2"/>
        <w:numPr>
          <w:ilvl w:val="1"/>
          <w:numId w:val="14"/>
        </w:numPr>
        <w:ind w:left="0"/>
      </w:pPr>
      <w:r>
        <w:t>Numerical Method</w:t>
      </w:r>
    </w:p>
    <w:p w14:paraId="45209B14" w14:textId="4DC4CCB2" w:rsidR="005F6108" w:rsidRDefault="00187F4E" w:rsidP="008872A7">
      <w:pPr>
        <w:pStyle w:val="BodyText"/>
      </w:pPr>
      <w:r w:rsidRPr="00187F4E">
        <w:t xml:space="preserve">The numerical conditions of MELCOR and SPHINCS is </w:t>
      </w:r>
      <w:proofErr w:type="spellStart"/>
      <w:r w:rsidRPr="00187F4E">
        <w:t>modeled</w:t>
      </w:r>
      <w:proofErr w:type="spellEnd"/>
      <w:r w:rsidRPr="00187F4E">
        <w:t xml:space="preserve"> in accordance with the experimental condition</w:t>
      </w:r>
      <w:r w:rsidR="002746FE">
        <w:t xml:space="preserve"> described in the previous section.</w:t>
      </w:r>
      <w:r w:rsidRPr="00187F4E">
        <w:t xml:space="preserve"> </w:t>
      </w:r>
      <w:r w:rsidR="002746FE">
        <w:t xml:space="preserve">A brief description of the numerical methods for these codes is provided and the reader is encouraged to </w:t>
      </w:r>
      <w:r w:rsidR="00AC5656">
        <w:t xml:space="preserve">peruse </w:t>
      </w:r>
      <w:r w:rsidR="002746FE">
        <w:t>t</w:t>
      </w:r>
      <w:r w:rsidRPr="00187F4E">
        <w:t xml:space="preserve">he details in the </w:t>
      </w:r>
      <w:r w:rsidR="00CA54B1">
        <w:t>literature</w:t>
      </w:r>
      <w:r w:rsidRPr="00187F4E">
        <w:t xml:space="preserve"> [1-2]</w:t>
      </w:r>
      <w:r w:rsidR="003F4368">
        <w:t xml:space="preserve">. </w:t>
      </w:r>
    </w:p>
    <w:p w14:paraId="59858650" w14:textId="16A8BDE6" w:rsidR="00F62776" w:rsidRPr="00EE0041" w:rsidRDefault="00F62776" w:rsidP="00F62776">
      <w:pPr>
        <w:pStyle w:val="Heading3"/>
        <w:numPr>
          <w:ilvl w:val="2"/>
          <w:numId w:val="17"/>
        </w:numPr>
      </w:pPr>
      <w:r>
        <w:t>MELCOR</w:t>
      </w:r>
    </w:p>
    <w:p w14:paraId="3F0AD7ED" w14:textId="6963F0F7" w:rsidR="002746FE" w:rsidRDefault="002746FE" w:rsidP="006C7276">
      <w:pPr>
        <w:pStyle w:val="BodyText"/>
      </w:pPr>
      <w:r>
        <w:t>MELCOR is developed by SNL</w:t>
      </w:r>
      <w:r w:rsidR="003F4368">
        <w:t xml:space="preserve">. </w:t>
      </w:r>
      <w:r>
        <w:t>Several improvements have been implemented into MELCOR to address accidents for advanced reactor designs, including SFRs</w:t>
      </w:r>
      <w:r w:rsidR="003F4368">
        <w:t xml:space="preserve">. </w:t>
      </w:r>
      <w:r>
        <w:t>In this paper, we describe the current sodium pool fire model and the proposed enhancement via the input model here.</w:t>
      </w:r>
    </w:p>
    <w:p w14:paraId="0682930C" w14:textId="2C66BBFD" w:rsidR="00F62776" w:rsidRDefault="00F62776" w:rsidP="00F62776">
      <w:pPr>
        <w:pStyle w:val="Heading4"/>
        <w:numPr>
          <w:ilvl w:val="3"/>
          <w:numId w:val="17"/>
        </w:numPr>
        <w:ind w:left="0"/>
      </w:pPr>
      <w:r>
        <w:t xml:space="preserve">Current </w:t>
      </w:r>
      <w:r w:rsidR="00FA0A2F">
        <w:t>p</w:t>
      </w:r>
      <w:r>
        <w:t xml:space="preserve">ool </w:t>
      </w:r>
      <w:r w:rsidR="00FA0A2F">
        <w:t>f</w:t>
      </w:r>
      <w:r>
        <w:t xml:space="preserve">ire </w:t>
      </w:r>
      <w:r w:rsidR="00FA0A2F">
        <w:t>m</w:t>
      </w:r>
      <w:r>
        <w:t>odel</w:t>
      </w:r>
    </w:p>
    <w:p w14:paraId="7418E897" w14:textId="24957028" w:rsidR="008A4F46" w:rsidRDefault="002746FE" w:rsidP="008A4F46">
      <w:pPr>
        <w:pStyle w:val="BodyText"/>
        <w:rPr>
          <w:lang w:val="en-US"/>
        </w:rPr>
      </w:pPr>
      <w:r>
        <w:rPr>
          <w:lang w:val="en-US"/>
        </w:rPr>
        <w:t xml:space="preserve">The current sodium pool fire model in MELCOR was </w:t>
      </w:r>
      <w:r w:rsidR="00A16D21">
        <w:rPr>
          <w:lang w:val="en-US"/>
        </w:rPr>
        <w:t>implemented from CONTAIN-LMR, a legacy reactor containment code, which was also developed at SNL</w:t>
      </w:r>
      <w:r w:rsidR="003F4368">
        <w:rPr>
          <w:lang w:val="en-US"/>
        </w:rPr>
        <w:t xml:space="preserve">. </w:t>
      </w:r>
      <w:r w:rsidR="00A16D21">
        <w:rPr>
          <w:lang w:val="en-US"/>
        </w:rPr>
        <w:t>This fire model was originally based on the SOFIRE II code [</w:t>
      </w:r>
      <w:r w:rsidR="00096047">
        <w:rPr>
          <w:rFonts w:hint="eastAsia"/>
          <w:lang w:val="en-US" w:eastAsia="ja-JP"/>
        </w:rPr>
        <w:t>3</w:t>
      </w:r>
      <w:r w:rsidR="00A16D21">
        <w:rPr>
          <w:lang w:val="en-US"/>
        </w:rPr>
        <w:t>]</w:t>
      </w:r>
      <w:r w:rsidR="003F4368">
        <w:rPr>
          <w:lang w:val="en-US"/>
        </w:rPr>
        <w:t xml:space="preserve">. </w:t>
      </w:r>
      <w:r w:rsidR="00B17E87">
        <w:rPr>
          <w:lang w:val="en-US"/>
        </w:rPr>
        <w:t xml:space="preserve">The details of this fire model, including parametric model inputs can be found in </w:t>
      </w:r>
      <w:r w:rsidR="00CA54B1">
        <w:rPr>
          <w:lang w:val="en-US"/>
        </w:rPr>
        <w:t>the literature</w:t>
      </w:r>
      <w:r w:rsidR="00B17E87">
        <w:rPr>
          <w:lang w:val="en-US"/>
        </w:rPr>
        <w:t xml:space="preserve"> [1]</w:t>
      </w:r>
      <w:r w:rsidR="003F4368">
        <w:rPr>
          <w:lang w:val="en-US"/>
        </w:rPr>
        <w:t xml:space="preserve">. </w:t>
      </w:r>
      <w:r w:rsidR="00B17E87">
        <w:rPr>
          <w:lang w:val="en-US"/>
        </w:rPr>
        <w:t>The brief model description of the input parameters for MELCOR is provided here</w:t>
      </w:r>
      <w:r w:rsidR="003F4368">
        <w:rPr>
          <w:lang w:val="en-US"/>
        </w:rPr>
        <w:t xml:space="preserve">. </w:t>
      </w:r>
      <w:r w:rsidR="00AC5656">
        <w:rPr>
          <w:lang w:val="en-US"/>
        </w:rPr>
        <w:t xml:space="preserve">Because </w:t>
      </w:r>
      <w:r w:rsidR="00BD1903">
        <w:rPr>
          <w:lang w:val="en-US"/>
        </w:rPr>
        <w:t xml:space="preserve">this model was </w:t>
      </w:r>
      <w:r w:rsidR="00BD1903">
        <w:rPr>
          <w:lang w:val="en-US"/>
        </w:rPr>
        <w:lastRenderedPageBreak/>
        <w:t xml:space="preserve">developed as a parametric model, </w:t>
      </w:r>
      <w:r w:rsidR="00E155E7">
        <w:rPr>
          <w:lang w:val="en-US"/>
        </w:rPr>
        <w:t xml:space="preserve">the </w:t>
      </w:r>
      <w:r w:rsidR="00BD1903">
        <w:rPr>
          <w:lang w:val="en-US"/>
        </w:rPr>
        <w:t>enhancement of this model can be done through inputs via user-specified control functions</w:t>
      </w:r>
      <w:r w:rsidR="003F4368">
        <w:rPr>
          <w:lang w:val="en-US"/>
        </w:rPr>
        <w:t xml:space="preserve">. </w:t>
      </w:r>
      <w:r w:rsidR="00E155E7">
        <w:rPr>
          <w:lang w:val="en-US"/>
        </w:rPr>
        <w:t>The user-specified control function</w:t>
      </w:r>
      <w:r w:rsidR="00BD1903">
        <w:rPr>
          <w:lang w:val="en-US"/>
        </w:rPr>
        <w:t xml:space="preserve"> provides </w:t>
      </w:r>
      <w:r w:rsidR="00BD1903" w:rsidRPr="00BD1903">
        <w:rPr>
          <w:lang w:val="en-US"/>
        </w:rPr>
        <w:t>flexibility in the testing of uncertain inputs of the current pool fire model</w:t>
      </w:r>
      <w:r w:rsidR="00BD1903">
        <w:rPr>
          <w:lang w:val="en-US"/>
        </w:rPr>
        <w:t xml:space="preserve"> without altering the source code</w:t>
      </w:r>
      <w:r w:rsidR="003F4368">
        <w:rPr>
          <w:lang w:val="en-US"/>
        </w:rPr>
        <w:t xml:space="preserve">. </w:t>
      </w:r>
      <w:r w:rsidR="00E155E7" w:rsidRPr="00FA0A2F">
        <w:rPr>
          <w:lang w:val="en-US"/>
        </w:rPr>
        <w:t>Table 1</w:t>
      </w:r>
      <w:r w:rsidR="00E155E7">
        <w:rPr>
          <w:lang w:val="en-US"/>
        </w:rPr>
        <w:t xml:space="preserve"> lists the important input parameters </w:t>
      </w:r>
      <w:r w:rsidR="00FB1041">
        <w:rPr>
          <w:lang w:val="en-US"/>
        </w:rPr>
        <w:t>that are entered as constant for the current sodium fire pool model in MELCOR</w:t>
      </w:r>
      <w:r w:rsidR="003F4368">
        <w:rPr>
          <w:lang w:val="en-US"/>
        </w:rPr>
        <w:t xml:space="preserve">. </w:t>
      </w:r>
      <w:r w:rsidR="00FB1041">
        <w:rPr>
          <w:lang w:val="en-US"/>
        </w:rPr>
        <w:t>For this study, a control function capability was added to each of these input parameters</w:t>
      </w:r>
      <w:r w:rsidR="003F4368">
        <w:rPr>
          <w:lang w:val="en-US"/>
        </w:rPr>
        <w:t xml:space="preserve">. </w:t>
      </w:r>
      <w:r w:rsidR="00FB1041">
        <w:rPr>
          <w:lang w:val="en-US"/>
        </w:rPr>
        <w:t>This capability</w:t>
      </w:r>
      <w:r w:rsidR="00307C13">
        <w:rPr>
          <w:lang w:val="en-US"/>
        </w:rPr>
        <w:t>,</w:t>
      </w:r>
      <w:r w:rsidR="00FB1041">
        <w:rPr>
          <w:lang w:val="en-US"/>
        </w:rPr>
        <w:t xml:space="preserve"> as indicated before</w:t>
      </w:r>
      <w:r w:rsidR="00307C13">
        <w:rPr>
          <w:lang w:val="en-US"/>
        </w:rPr>
        <w:t>,</w:t>
      </w:r>
      <w:r w:rsidR="00FB1041">
        <w:rPr>
          <w:lang w:val="en-US"/>
        </w:rPr>
        <w:t xml:space="preserve"> allows the implement</w:t>
      </w:r>
      <w:r w:rsidR="00C32C30">
        <w:rPr>
          <w:lang w:val="en-US"/>
        </w:rPr>
        <w:t>ation of</w:t>
      </w:r>
      <w:r w:rsidR="00FB1041">
        <w:rPr>
          <w:lang w:val="en-US"/>
        </w:rPr>
        <w:t xml:space="preserve"> a complicate</w:t>
      </w:r>
      <w:r w:rsidR="00C32C30">
        <w:rPr>
          <w:lang w:val="en-US"/>
        </w:rPr>
        <w:t>d</w:t>
      </w:r>
      <w:r w:rsidR="00FB1041">
        <w:rPr>
          <w:lang w:val="en-US"/>
        </w:rPr>
        <w:t xml:space="preserve"> model function that varies with physical parameters </w:t>
      </w:r>
      <w:r w:rsidR="00C32C30">
        <w:rPr>
          <w:lang w:val="en-US"/>
        </w:rPr>
        <w:t>to better represent the phenomena physically</w:t>
      </w:r>
      <w:r w:rsidR="003F4368">
        <w:rPr>
          <w:lang w:val="en-US"/>
        </w:rPr>
        <w:t xml:space="preserve">. </w:t>
      </w:r>
      <w:r w:rsidR="00C32C30">
        <w:rPr>
          <w:lang w:val="en-US"/>
        </w:rPr>
        <w:t xml:space="preserve"> </w:t>
      </w:r>
    </w:p>
    <w:p w14:paraId="0AFBF25E" w14:textId="7E8DB7D1" w:rsidR="00E155E7" w:rsidRDefault="00E155E7" w:rsidP="008A4F46">
      <w:pPr>
        <w:pStyle w:val="BodyText"/>
        <w:rPr>
          <w:lang w:val="en-US"/>
        </w:rPr>
      </w:pPr>
    </w:p>
    <w:p w14:paraId="1DD1CB8F" w14:textId="0F7BBB68" w:rsidR="00E155E7" w:rsidRPr="006C7276" w:rsidRDefault="00E155E7" w:rsidP="006C7276">
      <w:pPr>
        <w:pStyle w:val="BodyText"/>
        <w:jc w:val="center"/>
        <w:rPr>
          <w:caps/>
          <w:lang w:val="en-US"/>
        </w:rPr>
      </w:pPr>
      <w:r>
        <w:rPr>
          <w:lang w:val="en-US"/>
        </w:rPr>
        <w:t xml:space="preserve">TABLE 1. </w:t>
      </w:r>
      <w:r w:rsidR="00FB1041" w:rsidRPr="006C7276">
        <w:rPr>
          <w:caps/>
          <w:lang w:val="en-US"/>
        </w:rPr>
        <w:t>Important Input Parameter for MELCOR Pool Fire Model</w:t>
      </w:r>
    </w:p>
    <w:p w14:paraId="68AD20F7" w14:textId="54D6874F" w:rsidR="00E155E7" w:rsidRDefault="00E155E7" w:rsidP="008A4F46">
      <w:pPr>
        <w:pStyle w:val="BodyText"/>
        <w:rPr>
          <w:lang w:val="en-US"/>
        </w:rPr>
      </w:pPr>
    </w:p>
    <w:tbl>
      <w:tblPr>
        <w:tblStyle w:val="TableGrid"/>
        <w:tblW w:w="0" w:type="auto"/>
        <w:tblInd w:w="2083" w:type="dxa"/>
        <w:tblLook w:val="04A0" w:firstRow="1" w:lastRow="0" w:firstColumn="1" w:lastColumn="0" w:noHBand="0" w:noVBand="1"/>
      </w:tblPr>
      <w:tblGrid>
        <w:gridCol w:w="1620"/>
        <w:gridCol w:w="3240"/>
      </w:tblGrid>
      <w:tr w:rsidR="00E155E7" w14:paraId="6F9EEA55" w14:textId="77777777" w:rsidTr="006B4F04">
        <w:tc>
          <w:tcPr>
            <w:tcW w:w="1620" w:type="dxa"/>
          </w:tcPr>
          <w:p w14:paraId="16919485" w14:textId="77777777" w:rsidR="00E155E7" w:rsidRPr="006C7276" w:rsidRDefault="00E155E7" w:rsidP="008744B3">
            <w:pPr>
              <w:pStyle w:val="BodyText"/>
              <w:ind w:firstLine="0"/>
              <w:jc w:val="center"/>
              <w:rPr>
                <w:b/>
                <w:bCs/>
                <w:sz w:val="18"/>
                <w:szCs w:val="18"/>
                <w:lang w:val="en-US"/>
              </w:rPr>
            </w:pPr>
            <w:r w:rsidRPr="006C7276">
              <w:rPr>
                <w:b/>
                <w:bCs/>
                <w:sz w:val="18"/>
                <w:szCs w:val="18"/>
                <w:lang w:val="en-US"/>
              </w:rPr>
              <w:t>Input Parameter</w:t>
            </w:r>
          </w:p>
        </w:tc>
        <w:tc>
          <w:tcPr>
            <w:tcW w:w="3240" w:type="dxa"/>
          </w:tcPr>
          <w:p w14:paraId="69FB7AB2" w14:textId="77777777" w:rsidR="00E155E7" w:rsidRPr="006C7276" w:rsidRDefault="00E155E7" w:rsidP="008744B3">
            <w:pPr>
              <w:pStyle w:val="BodyText"/>
              <w:ind w:firstLine="0"/>
              <w:jc w:val="center"/>
              <w:rPr>
                <w:b/>
                <w:bCs/>
                <w:sz w:val="18"/>
                <w:szCs w:val="18"/>
                <w:lang w:val="en-US"/>
              </w:rPr>
            </w:pPr>
            <w:r w:rsidRPr="006C7276">
              <w:rPr>
                <w:b/>
                <w:bCs/>
                <w:sz w:val="18"/>
                <w:szCs w:val="18"/>
                <w:lang w:val="en-US"/>
              </w:rPr>
              <w:t>Definition</w:t>
            </w:r>
          </w:p>
        </w:tc>
      </w:tr>
      <w:tr w:rsidR="00E155E7" w14:paraId="2CB1CE61" w14:textId="77777777" w:rsidTr="006B4F04">
        <w:tc>
          <w:tcPr>
            <w:tcW w:w="1620" w:type="dxa"/>
          </w:tcPr>
          <w:p w14:paraId="3E90BFC2" w14:textId="77777777" w:rsidR="00E155E7" w:rsidRPr="006C7276" w:rsidRDefault="00E155E7" w:rsidP="006C7276">
            <w:pPr>
              <w:pStyle w:val="BodyText"/>
              <w:spacing w:line="0" w:lineRule="atLeast"/>
              <w:ind w:firstLine="0"/>
              <w:rPr>
                <w:sz w:val="18"/>
                <w:szCs w:val="18"/>
                <w:lang w:val="en-US"/>
              </w:rPr>
            </w:pPr>
            <w:r w:rsidRPr="006C7276">
              <w:rPr>
                <w:sz w:val="18"/>
                <w:szCs w:val="18"/>
                <w:lang w:val="en-US"/>
              </w:rPr>
              <w:t>DAB</w:t>
            </w:r>
          </w:p>
        </w:tc>
        <w:tc>
          <w:tcPr>
            <w:tcW w:w="3240" w:type="dxa"/>
          </w:tcPr>
          <w:p w14:paraId="52193923" w14:textId="77777777" w:rsidR="00E155E7" w:rsidRPr="006C7276" w:rsidRDefault="00E155E7" w:rsidP="008744B3">
            <w:pPr>
              <w:pStyle w:val="BodyText"/>
              <w:spacing w:line="0" w:lineRule="atLeast"/>
              <w:ind w:firstLine="0"/>
              <w:jc w:val="center"/>
              <w:rPr>
                <w:sz w:val="18"/>
                <w:szCs w:val="18"/>
                <w:lang w:val="en-US"/>
              </w:rPr>
            </w:pPr>
            <w:r w:rsidRPr="006C7276">
              <w:rPr>
                <w:sz w:val="18"/>
                <w:szCs w:val="18"/>
                <w:lang w:val="en-US"/>
              </w:rPr>
              <w:t>Oxygen diffusion coefficient that determines the reaction rate between oxygen and liquid sodium</w:t>
            </w:r>
          </w:p>
        </w:tc>
      </w:tr>
      <w:tr w:rsidR="00E155E7" w14:paraId="568EA19A" w14:textId="77777777" w:rsidTr="006B4F04">
        <w:tc>
          <w:tcPr>
            <w:tcW w:w="1620" w:type="dxa"/>
          </w:tcPr>
          <w:p w14:paraId="3C4730D6" w14:textId="77777777" w:rsidR="00E155E7" w:rsidRPr="006C7276" w:rsidRDefault="00E155E7" w:rsidP="006C7276">
            <w:pPr>
              <w:pStyle w:val="BodyText"/>
              <w:spacing w:line="0" w:lineRule="atLeast"/>
              <w:ind w:firstLine="0"/>
              <w:rPr>
                <w:sz w:val="18"/>
                <w:szCs w:val="18"/>
                <w:lang w:val="en-US"/>
              </w:rPr>
            </w:pPr>
            <w:r w:rsidRPr="006C7276">
              <w:rPr>
                <w:sz w:val="18"/>
                <w:szCs w:val="18"/>
                <w:lang w:val="en-US"/>
              </w:rPr>
              <w:t>FNA2O</w:t>
            </w:r>
          </w:p>
        </w:tc>
        <w:tc>
          <w:tcPr>
            <w:tcW w:w="3240" w:type="dxa"/>
          </w:tcPr>
          <w:p w14:paraId="1229542B" w14:textId="77777777" w:rsidR="00E155E7" w:rsidRPr="006C7276" w:rsidRDefault="00E155E7" w:rsidP="008744B3">
            <w:pPr>
              <w:pStyle w:val="BodyText"/>
              <w:spacing w:line="0" w:lineRule="atLeast"/>
              <w:ind w:firstLine="0"/>
              <w:jc w:val="center"/>
              <w:rPr>
                <w:sz w:val="18"/>
                <w:szCs w:val="18"/>
                <w:lang w:val="en-US"/>
              </w:rPr>
            </w:pPr>
            <w:r w:rsidRPr="006C7276">
              <w:rPr>
                <w:sz w:val="18"/>
                <w:szCs w:val="18"/>
                <w:lang w:val="en-US"/>
              </w:rPr>
              <w:t>Fraction of the Na</w:t>
            </w:r>
            <w:r w:rsidRPr="001865D0">
              <w:rPr>
                <w:sz w:val="18"/>
                <w:szCs w:val="18"/>
                <w:vertAlign w:val="subscript"/>
                <w:lang w:val="en-US"/>
              </w:rPr>
              <w:t>2</w:t>
            </w:r>
            <w:r w:rsidRPr="006C7276">
              <w:rPr>
                <w:sz w:val="18"/>
                <w:szCs w:val="18"/>
                <w:lang w:val="en-US"/>
              </w:rPr>
              <w:t>O remaining in the pool during a fire.</w:t>
            </w:r>
          </w:p>
        </w:tc>
      </w:tr>
      <w:tr w:rsidR="00E155E7" w14:paraId="3CDDBCD0" w14:textId="77777777" w:rsidTr="006B4F04">
        <w:tc>
          <w:tcPr>
            <w:tcW w:w="1620" w:type="dxa"/>
          </w:tcPr>
          <w:p w14:paraId="38DA82B0" w14:textId="77777777" w:rsidR="00E155E7" w:rsidRPr="006C7276" w:rsidRDefault="00E155E7" w:rsidP="006C7276">
            <w:pPr>
              <w:pStyle w:val="BodyText"/>
              <w:spacing w:line="0" w:lineRule="atLeast"/>
              <w:ind w:firstLine="0"/>
              <w:rPr>
                <w:sz w:val="18"/>
                <w:szCs w:val="18"/>
                <w:lang w:val="en-US"/>
              </w:rPr>
            </w:pPr>
            <w:r w:rsidRPr="006C7276">
              <w:rPr>
                <w:sz w:val="18"/>
                <w:szCs w:val="18"/>
                <w:lang w:val="en-US"/>
              </w:rPr>
              <w:t>FNA2O2</w:t>
            </w:r>
          </w:p>
        </w:tc>
        <w:tc>
          <w:tcPr>
            <w:tcW w:w="3240" w:type="dxa"/>
          </w:tcPr>
          <w:p w14:paraId="31D46970" w14:textId="77777777" w:rsidR="00E155E7" w:rsidRPr="006C7276" w:rsidRDefault="00E155E7" w:rsidP="008744B3">
            <w:pPr>
              <w:pStyle w:val="BodyText"/>
              <w:spacing w:line="0" w:lineRule="atLeast"/>
              <w:ind w:firstLine="0"/>
              <w:jc w:val="center"/>
              <w:rPr>
                <w:sz w:val="18"/>
                <w:szCs w:val="18"/>
                <w:lang w:val="en-US"/>
              </w:rPr>
            </w:pPr>
            <w:r w:rsidRPr="006C7276">
              <w:rPr>
                <w:sz w:val="18"/>
                <w:szCs w:val="18"/>
                <w:lang w:val="en-US"/>
              </w:rPr>
              <w:t>Fraction of the Na</w:t>
            </w:r>
            <w:r w:rsidRPr="001865D0">
              <w:rPr>
                <w:sz w:val="18"/>
                <w:szCs w:val="18"/>
                <w:vertAlign w:val="subscript"/>
                <w:lang w:val="en-US"/>
              </w:rPr>
              <w:t>2</w:t>
            </w:r>
            <w:r w:rsidRPr="006C7276">
              <w:rPr>
                <w:sz w:val="18"/>
                <w:szCs w:val="18"/>
                <w:lang w:val="en-US"/>
              </w:rPr>
              <w:t>O</w:t>
            </w:r>
            <w:r w:rsidRPr="001865D0">
              <w:rPr>
                <w:sz w:val="18"/>
                <w:szCs w:val="18"/>
                <w:vertAlign w:val="subscript"/>
                <w:lang w:val="en-US"/>
              </w:rPr>
              <w:t>2</w:t>
            </w:r>
            <w:r w:rsidRPr="006C7276">
              <w:rPr>
                <w:sz w:val="18"/>
                <w:szCs w:val="18"/>
                <w:lang w:val="en-US"/>
              </w:rPr>
              <w:t xml:space="preserve"> remaining in the pool. The balance will be applied to the atmosphere as aerosols</w:t>
            </w:r>
          </w:p>
        </w:tc>
      </w:tr>
      <w:tr w:rsidR="00E155E7" w14:paraId="3B07CC3E" w14:textId="77777777" w:rsidTr="006B4F04">
        <w:tc>
          <w:tcPr>
            <w:tcW w:w="1620" w:type="dxa"/>
          </w:tcPr>
          <w:p w14:paraId="21A14A36" w14:textId="77777777" w:rsidR="00E155E7" w:rsidRPr="006C7276" w:rsidRDefault="00E155E7" w:rsidP="006C7276">
            <w:pPr>
              <w:pStyle w:val="BodyText"/>
              <w:spacing w:line="0" w:lineRule="atLeast"/>
              <w:ind w:firstLine="0"/>
              <w:rPr>
                <w:sz w:val="18"/>
                <w:szCs w:val="18"/>
                <w:lang w:val="en-US"/>
              </w:rPr>
            </w:pPr>
            <w:r w:rsidRPr="006C7276">
              <w:rPr>
                <w:sz w:val="18"/>
                <w:szCs w:val="18"/>
                <w:lang w:val="en-US"/>
              </w:rPr>
              <w:t>FO2</w:t>
            </w:r>
          </w:p>
        </w:tc>
        <w:tc>
          <w:tcPr>
            <w:tcW w:w="3240" w:type="dxa"/>
          </w:tcPr>
          <w:p w14:paraId="43A8BA81" w14:textId="5DE78011" w:rsidR="00E155E7" w:rsidRPr="006C7276" w:rsidRDefault="00FB1041" w:rsidP="008744B3">
            <w:pPr>
              <w:pStyle w:val="BodyText"/>
              <w:spacing w:line="0" w:lineRule="atLeast"/>
              <w:ind w:firstLine="0"/>
              <w:jc w:val="center"/>
              <w:rPr>
                <w:sz w:val="18"/>
                <w:szCs w:val="18"/>
                <w:lang w:val="en-US"/>
              </w:rPr>
            </w:pPr>
            <w:r w:rsidRPr="00FB1041">
              <w:rPr>
                <w:sz w:val="18"/>
                <w:szCs w:val="18"/>
                <w:lang w:val="en-US"/>
              </w:rPr>
              <w:t>Fraction of the oxygen consumed to form monoxide</w:t>
            </w:r>
            <w:r>
              <w:rPr>
                <w:sz w:val="18"/>
                <w:szCs w:val="18"/>
                <w:lang w:val="en-US"/>
              </w:rPr>
              <w:t xml:space="preserve"> in the reaction</w:t>
            </w:r>
          </w:p>
        </w:tc>
      </w:tr>
      <w:tr w:rsidR="00E155E7" w14:paraId="4C24DE57" w14:textId="77777777" w:rsidTr="006C7276">
        <w:tc>
          <w:tcPr>
            <w:tcW w:w="1620" w:type="dxa"/>
            <w:tcBorders>
              <w:bottom w:val="single" w:sz="4" w:space="0" w:color="auto"/>
            </w:tcBorders>
          </w:tcPr>
          <w:p w14:paraId="35333726" w14:textId="218E2D0D" w:rsidR="00E155E7" w:rsidRPr="006C7276" w:rsidRDefault="00FB1041" w:rsidP="006C7276">
            <w:pPr>
              <w:pStyle w:val="BodyText"/>
              <w:spacing w:line="0" w:lineRule="atLeast"/>
              <w:ind w:firstLine="0"/>
              <w:rPr>
                <w:sz w:val="18"/>
                <w:szCs w:val="18"/>
                <w:lang w:val="en-US"/>
              </w:rPr>
            </w:pPr>
            <w:r>
              <w:rPr>
                <w:sz w:val="18"/>
                <w:szCs w:val="18"/>
                <w:lang w:val="en-US"/>
              </w:rPr>
              <w:t>FHEAT</w:t>
            </w:r>
          </w:p>
        </w:tc>
        <w:tc>
          <w:tcPr>
            <w:tcW w:w="3240" w:type="dxa"/>
            <w:tcBorders>
              <w:bottom w:val="single" w:sz="4" w:space="0" w:color="auto"/>
            </w:tcBorders>
          </w:tcPr>
          <w:p w14:paraId="08D7715E" w14:textId="76B86529" w:rsidR="00E155E7" w:rsidRPr="006C7276" w:rsidRDefault="00FB1041" w:rsidP="008744B3">
            <w:pPr>
              <w:pStyle w:val="BodyText"/>
              <w:spacing w:line="0" w:lineRule="atLeast"/>
              <w:ind w:firstLine="0"/>
              <w:jc w:val="center"/>
              <w:rPr>
                <w:sz w:val="18"/>
                <w:szCs w:val="18"/>
                <w:lang w:val="en-US"/>
              </w:rPr>
            </w:pPr>
            <w:r w:rsidRPr="00FB1041">
              <w:rPr>
                <w:sz w:val="18"/>
                <w:szCs w:val="18"/>
                <w:lang w:val="en-US"/>
              </w:rPr>
              <w:t xml:space="preserve">Fraction of the sensible heat from the </w:t>
            </w:r>
            <w:r>
              <w:rPr>
                <w:sz w:val="18"/>
                <w:szCs w:val="18"/>
                <w:lang w:val="en-US"/>
              </w:rPr>
              <w:t>fire</w:t>
            </w:r>
            <w:r w:rsidRPr="00FB1041">
              <w:rPr>
                <w:sz w:val="18"/>
                <w:szCs w:val="18"/>
                <w:lang w:val="en-US"/>
              </w:rPr>
              <w:t xml:space="preserve"> to be added to the pool.</w:t>
            </w:r>
          </w:p>
        </w:tc>
      </w:tr>
      <w:tr w:rsidR="00E155E7" w14:paraId="70E9CB3C" w14:textId="77777777" w:rsidTr="006C7276">
        <w:tc>
          <w:tcPr>
            <w:tcW w:w="4860" w:type="dxa"/>
            <w:gridSpan w:val="2"/>
            <w:tcBorders>
              <w:left w:val="nil"/>
              <w:bottom w:val="nil"/>
              <w:right w:val="nil"/>
            </w:tcBorders>
          </w:tcPr>
          <w:p w14:paraId="3D729C7A" w14:textId="77777777" w:rsidR="00E155E7" w:rsidRPr="006C7276" w:rsidRDefault="00E155E7" w:rsidP="006C7276">
            <w:pPr>
              <w:pStyle w:val="BodyText"/>
              <w:spacing w:line="0" w:lineRule="atLeast"/>
              <w:ind w:firstLine="0"/>
              <w:rPr>
                <w:sz w:val="18"/>
                <w:szCs w:val="18"/>
                <w:lang w:val="en-US"/>
              </w:rPr>
            </w:pPr>
            <w:r w:rsidRPr="006C7276">
              <w:rPr>
                <w:sz w:val="18"/>
                <w:szCs w:val="18"/>
                <w:lang w:val="en-US"/>
              </w:rPr>
              <w:t>*</w:t>
            </w:r>
            <w:r w:rsidRPr="006C7276">
              <w:rPr>
                <w:sz w:val="18"/>
                <w:szCs w:val="18"/>
              </w:rPr>
              <w:t xml:space="preserve"> </w:t>
            </w:r>
            <w:r w:rsidRPr="006C7276">
              <w:rPr>
                <w:sz w:val="18"/>
                <w:szCs w:val="18"/>
                <w:lang w:val="en-US"/>
              </w:rPr>
              <w:t>The balance will be applied to the atmosphere as aerosols</w:t>
            </w:r>
          </w:p>
        </w:tc>
      </w:tr>
    </w:tbl>
    <w:p w14:paraId="4511CAE6" w14:textId="77777777" w:rsidR="00E155E7" w:rsidRDefault="00E155E7" w:rsidP="006C7276">
      <w:pPr>
        <w:pStyle w:val="BodyText"/>
        <w:jc w:val="center"/>
        <w:rPr>
          <w:lang w:val="en-US"/>
        </w:rPr>
      </w:pPr>
    </w:p>
    <w:p w14:paraId="6DFCE9FF" w14:textId="2918A2CC" w:rsidR="00F62776" w:rsidRDefault="00F62776" w:rsidP="00F62776">
      <w:pPr>
        <w:pStyle w:val="Heading4"/>
        <w:numPr>
          <w:ilvl w:val="3"/>
          <w:numId w:val="17"/>
        </w:numPr>
        <w:ind w:left="0"/>
      </w:pPr>
      <w:r>
        <w:t>Model Enhancement</w:t>
      </w:r>
    </w:p>
    <w:p w14:paraId="308DE421" w14:textId="617B10EE" w:rsidR="001A45E2" w:rsidRDefault="00C32C30" w:rsidP="00473487">
      <w:pPr>
        <w:pStyle w:val="BodyText"/>
        <w:rPr>
          <w:lang w:val="en-US"/>
        </w:rPr>
      </w:pPr>
      <w:r>
        <w:rPr>
          <w:lang w:val="en-US"/>
        </w:rPr>
        <w:t>In this paper, we describe the enhancement on the modeling of the oxygen diffusion coefficient (DAB) in the MELCOR sodium pool fire model as described in the previous section</w:t>
      </w:r>
      <w:r w:rsidR="003F4368">
        <w:rPr>
          <w:lang w:val="en-US"/>
        </w:rPr>
        <w:t xml:space="preserve">. </w:t>
      </w:r>
      <w:r w:rsidR="0067667C">
        <w:rPr>
          <w:lang w:val="en-US"/>
        </w:rPr>
        <w:t xml:space="preserve">The detail of this DAB improvement is fully described in </w:t>
      </w:r>
      <w:r w:rsidR="00CA54B1">
        <w:rPr>
          <w:lang w:val="en-US"/>
        </w:rPr>
        <w:t>the literature</w:t>
      </w:r>
      <w:r w:rsidR="0067667C">
        <w:rPr>
          <w:lang w:val="en-US"/>
        </w:rPr>
        <w:t xml:space="preserve"> [1]</w:t>
      </w:r>
      <w:r w:rsidR="003F4368">
        <w:rPr>
          <w:lang w:val="en-US"/>
        </w:rPr>
        <w:t xml:space="preserve">. </w:t>
      </w:r>
      <w:r w:rsidR="0067667C">
        <w:rPr>
          <w:lang w:val="en-US"/>
        </w:rPr>
        <w:t>Equation 1 was implemented as a control function model [1].</w:t>
      </w:r>
    </w:p>
    <w:p w14:paraId="295B4882" w14:textId="2DF95A00" w:rsidR="0067667C" w:rsidRDefault="0067667C" w:rsidP="00473487">
      <w:pPr>
        <w:pStyle w:val="BodyText"/>
        <w:rPr>
          <w:lang w:val="en-US"/>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411"/>
      </w:tblGrid>
      <w:tr w:rsidR="0067667C" w:rsidRPr="004D3167" w14:paraId="62B6A67D" w14:textId="77777777" w:rsidTr="0067667C">
        <w:tc>
          <w:tcPr>
            <w:tcW w:w="7645" w:type="dxa"/>
          </w:tcPr>
          <w:p w14:paraId="2EEB87E3" w14:textId="77777777" w:rsidR="0067667C" w:rsidRPr="004D3167" w:rsidRDefault="00800E6C" w:rsidP="006B4F04">
            <w:pPr>
              <w:ind w:left="1050"/>
              <w:jc w:val="center"/>
              <w:rPr>
                <w:szCs w:val="22"/>
              </w:rPr>
            </w:pPr>
            <m:oMath>
              <m:sSub>
                <m:sSubPr>
                  <m:ctrlPr>
                    <w:rPr>
                      <w:rFonts w:ascii="Cambria Math" w:hAnsi="Cambria Math"/>
                      <w:szCs w:val="22"/>
                    </w:rPr>
                  </m:ctrlPr>
                </m:sSubPr>
                <m:e>
                  <m:r>
                    <m:rPr>
                      <m:nor/>
                    </m:rPr>
                    <w:rPr>
                      <w:szCs w:val="22"/>
                    </w:rPr>
                    <m:t>D</m:t>
                  </m:r>
                </m:e>
                <m:sub>
                  <m:r>
                    <m:rPr>
                      <m:nor/>
                    </m:rPr>
                    <w:rPr>
                      <w:szCs w:val="22"/>
                    </w:rPr>
                    <m:t>diff</m:t>
                  </m:r>
                </m:sub>
              </m:sSub>
              <m:r>
                <m:rPr>
                  <m:nor/>
                </m:rPr>
                <w:rPr>
                  <w:szCs w:val="22"/>
                </w:rPr>
                <m:t xml:space="preserve"> = </m:t>
              </m:r>
              <m:f>
                <m:fPr>
                  <m:ctrlPr>
                    <w:rPr>
                      <w:rFonts w:ascii="Cambria Math" w:hAnsi="Cambria Math"/>
                      <w:i/>
                      <w:szCs w:val="22"/>
                    </w:rPr>
                  </m:ctrlPr>
                </m:fPr>
                <m:num>
                  <m:d>
                    <m:dPr>
                      <m:ctrlPr>
                        <w:rPr>
                          <w:rFonts w:ascii="Cambria Math" w:hAnsi="Cambria Math"/>
                          <w:szCs w:val="22"/>
                        </w:rPr>
                      </m:ctrlPr>
                    </m:dPr>
                    <m:e>
                      <m:f>
                        <m:fPr>
                          <m:ctrlPr>
                            <w:rPr>
                              <w:rFonts w:ascii="Cambria Math" w:hAnsi="Cambria Math"/>
                              <w:szCs w:val="22"/>
                            </w:rPr>
                          </m:ctrlPr>
                        </m:fPr>
                        <m:num>
                          <m:r>
                            <m:rPr>
                              <m:sty m:val="p"/>
                            </m:rPr>
                            <w:rPr>
                              <w:rFonts w:ascii="Cambria Math" w:hAnsi="Cambria Math"/>
                              <w:szCs w:val="22"/>
                            </w:rPr>
                            <m:t>Sh</m:t>
                          </m:r>
                        </m:num>
                        <m:den>
                          <m:r>
                            <m:rPr>
                              <m:sty m:val="p"/>
                            </m:rPr>
                            <w:rPr>
                              <w:rFonts w:ascii="Cambria Math" w:hAnsi="Cambria Math"/>
                              <w:szCs w:val="22"/>
                            </w:rPr>
                            <m:t>L</m:t>
                          </m:r>
                        </m:den>
                      </m:f>
                    </m:e>
                  </m:d>
                  <m:d>
                    <m:dPr>
                      <m:ctrlPr>
                        <w:rPr>
                          <w:rFonts w:ascii="Cambria Math" w:hAnsi="Cambria Math"/>
                          <w:szCs w:val="22"/>
                        </w:rPr>
                      </m:ctrlPr>
                    </m:dPr>
                    <m:e>
                      <m:f>
                        <m:fPr>
                          <m:ctrlPr>
                            <w:rPr>
                              <w:rFonts w:ascii="Cambria Math" w:hAnsi="Cambria Math"/>
                              <w:szCs w:val="22"/>
                            </w:rPr>
                          </m:ctrlPr>
                        </m:fPr>
                        <m:num>
                          <m:r>
                            <m:rPr>
                              <m:sty m:val="p"/>
                            </m:rPr>
                            <w:rPr>
                              <w:rFonts w:ascii="Cambria Math" w:hAnsi="Cambria Math"/>
                              <w:szCs w:val="22"/>
                            </w:rPr>
                            <m:t xml:space="preserve">D </m:t>
                          </m:r>
                        </m:num>
                        <m:den>
                          <m:r>
                            <m:rPr>
                              <m:sty m:val="p"/>
                            </m:rPr>
                            <w:rPr>
                              <w:rFonts w:ascii="Cambria Math" w:hAnsi="Cambria Math"/>
                              <w:szCs w:val="22"/>
                            </w:rPr>
                            <m:t>1+</m:t>
                          </m:r>
                          <m:f>
                            <m:fPr>
                              <m:type m:val="lin"/>
                              <m:ctrlPr>
                                <w:rPr>
                                  <w:rFonts w:ascii="Cambria Math" w:hAnsi="Cambria Math"/>
                                  <w:szCs w:val="22"/>
                                </w:rPr>
                              </m:ctrlPr>
                            </m:fPr>
                            <m:num>
                              <m:r>
                                <m:rPr>
                                  <m:sty m:val="p"/>
                                </m:rPr>
                                <w:rPr>
                                  <w:rFonts w:ascii="Cambria Math" w:hAnsi="Cambria Math"/>
                                  <w:szCs w:val="22"/>
                                </w:rPr>
                                <m:t>δ</m:t>
                              </m:r>
                            </m:num>
                            <m:den>
                              <m:sSub>
                                <m:sSubPr>
                                  <m:ctrlPr>
                                    <w:rPr>
                                      <w:rFonts w:ascii="Cambria Math" w:hAnsi="Cambria Math"/>
                                      <w:szCs w:val="22"/>
                                    </w:rPr>
                                  </m:ctrlPr>
                                </m:sSubPr>
                                <m:e>
                                  <m:r>
                                    <m:rPr>
                                      <m:sty m:val="p"/>
                                    </m:rPr>
                                    <w:rPr>
                                      <w:rFonts w:ascii="Cambria Math" w:hAnsi="Cambria Math"/>
                                      <w:szCs w:val="22"/>
                                    </w:rPr>
                                    <m:t>∆</m:t>
                                  </m:r>
                                </m:e>
                                <m:sub>
                                  <m:r>
                                    <m:rPr>
                                      <m:sty m:val="p"/>
                                    </m:rPr>
                                    <w:rPr>
                                      <w:rFonts w:ascii="Cambria Math" w:hAnsi="Cambria Math"/>
                                      <w:szCs w:val="22"/>
                                    </w:rPr>
                                    <m:t>l</m:t>
                                  </m:r>
                                </m:sub>
                              </m:sSub>
                            </m:den>
                          </m:f>
                        </m:den>
                      </m:f>
                    </m:e>
                  </m:d>
                </m:num>
                <m:den>
                  <m:r>
                    <m:rPr>
                      <m:nor/>
                    </m:rPr>
                    <w:rPr>
                      <w:szCs w:val="22"/>
                    </w:rPr>
                    <m:t>0.14</m:t>
                  </m:r>
                  <m:sSup>
                    <m:sSupPr>
                      <m:ctrlPr>
                        <w:rPr>
                          <w:rFonts w:ascii="Cambria Math" w:hAnsi="Cambria Math"/>
                          <w:i/>
                          <w:szCs w:val="22"/>
                        </w:rPr>
                      </m:ctrlPr>
                    </m:sSupPr>
                    <m:e>
                      <m:d>
                        <m:dPr>
                          <m:ctrlPr>
                            <w:rPr>
                              <w:rFonts w:ascii="Cambria Math" w:hAnsi="Cambria Math"/>
                              <w:i/>
                              <w:szCs w:val="22"/>
                            </w:rPr>
                          </m:ctrlPr>
                        </m:dPr>
                        <m:e>
                          <m:r>
                            <m:rPr>
                              <m:nor/>
                            </m:rPr>
                            <w:rPr>
                              <w:szCs w:val="22"/>
                            </w:rPr>
                            <m:t xml:space="preserve">g </m:t>
                          </m:r>
                          <m:sSub>
                            <m:sSubPr>
                              <m:ctrlPr>
                                <w:rPr>
                                  <w:rFonts w:ascii="Cambria Math" w:hAnsi="Cambria Math"/>
                                  <w:szCs w:val="22"/>
                                </w:rPr>
                              </m:ctrlPr>
                            </m:sSubPr>
                            <m:e>
                              <m:r>
                                <m:rPr>
                                  <m:nor/>
                                </m:rPr>
                                <w:rPr>
                                  <w:szCs w:val="22"/>
                                </w:rPr>
                                <m:t>S</m:t>
                              </m:r>
                            </m:e>
                            <m:sub>
                              <m:r>
                                <m:rPr>
                                  <m:nor/>
                                </m:rPr>
                                <w:rPr>
                                  <w:szCs w:val="22"/>
                                </w:rPr>
                                <m:t>c</m:t>
                              </m:r>
                            </m:sub>
                          </m:sSub>
                          <m:f>
                            <m:fPr>
                              <m:ctrlPr>
                                <w:rPr>
                                  <w:rFonts w:ascii="Cambria Math" w:hAnsi="Cambria Math"/>
                                  <w:szCs w:val="22"/>
                                </w:rPr>
                              </m:ctrlPr>
                            </m:fPr>
                            <m:num>
                              <m:r>
                                <m:rPr>
                                  <m:nor/>
                                </m:rPr>
                                <w:rPr>
                                  <w:szCs w:val="22"/>
                                </w:rPr>
                                <m:t>β</m:t>
                              </m:r>
                              <m:ctrlPr>
                                <w:rPr>
                                  <w:rFonts w:ascii="Cambria Math" w:hAnsi="Cambria Math"/>
                                  <w:i/>
                                  <w:szCs w:val="22"/>
                                </w:rPr>
                              </m:ctrlPr>
                            </m:num>
                            <m:den>
                              <m:sSup>
                                <m:sSupPr>
                                  <m:ctrlPr>
                                    <w:rPr>
                                      <w:rFonts w:ascii="Cambria Math" w:hAnsi="Cambria Math"/>
                                      <w:szCs w:val="22"/>
                                    </w:rPr>
                                  </m:ctrlPr>
                                </m:sSupPr>
                                <m:e>
                                  <m:r>
                                    <m:rPr>
                                      <m:nor/>
                                    </m:rPr>
                                    <w:rPr>
                                      <w:szCs w:val="22"/>
                                    </w:rPr>
                                    <m:t>ν</m:t>
                                  </m:r>
                                </m:e>
                                <m:sup>
                                  <m:r>
                                    <m:rPr>
                                      <m:nor/>
                                    </m:rPr>
                                    <w:rPr>
                                      <w:szCs w:val="22"/>
                                    </w:rPr>
                                    <m:t>2</m:t>
                                  </m:r>
                                </m:sup>
                              </m:sSup>
                            </m:den>
                          </m:f>
                          <m:r>
                            <m:rPr>
                              <m:nor/>
                            </m:rPr>
                            <w:rPr>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m:rPr>
                                      <m:nor/>
                                    </m:rPr>
                                    <w:rPr>
                                      <w:szCs w:val="22"/>
                                    </w:rPr>
                                    <m:t>T</m:t>
                                  </m:r>
                                </m:e>
                                <m:sub>
                                  <m:r>
                                    <m:rPr>
                                      <m:nor/>
                                    </m:rPr>
                                    <w:rPr>
                                      <w:szCs w:val="22"/>
                                    </w:rPr>
                                    <m:t>surf</m:t>
                                  </m:r>
                                </m:sub>
                              </m:sSub>
                              <m:r>
                                <m:rPr>
                                  <m:nor/>
                                </m:rPr>
                                <w:rPr>
                                  <w:szCs w:val="22"/>
                                </w:rPr>
                                <m:t xml:space="preserve"> - </m:t>
                              </m:r>
                              <m:sSub>
                                <m:sSubPr>
                                  <m:ctrlPr>
                                    <w:rPr>
                                      <w:rFonts w:ascii="Cambria Math" w:hAnsi="Cambria Math"/>
                                      <w:i/>
                                      <w:szCs w:val="22"/>
                                    </w:rPr>
                                  </m:ctrlPr>
                                </m:sSubPr>
                                <m:e>
                                  <m:r>
                                    <m:rPr>
                                      <m:nor/>
                                    </m:rPr>
                                    <w:rPr>
                                      <w:szCs w:val="22"/>
                                    </w:rPr>
                                    <m:t>T</m:t>
                                  </m:r>
                                </m:e>
                                <m:sub>
                                  <m:r>
                                    <m:rPr>
                                      <m:nor/>
                                    </m:rPr>
                                    <w:rPr>
                                      <w:szCs w:val="22"/>
                                    </w:rPr>
                                    <m:t>g</m:t>
                                  </m:r>
                                </m:sub>
                              </m:sSub>
                            </m:e>
                          </m:d>
                        </m:e>
                      </m:d>
                    </m:e>
                    <m:sup>
                      <m:f>
                        <m:fPr>
                          <m:ctrlPr>
                            <w:rPr>
                              <w:rFonts w:ascii="Cambria Math" w:hAnsi="Cambria Math"/>
                              <w:i/>
                              <w:szCs w:val="22"/>
                            </w:rPr>
                          </m:ctrlPr>
                        </m:fPr>
                        <m:num>
                          <m:r>
                            <m:rPr>
                              <m:nor/>
                            </m:rPr>
                            <w:rPr>
                              <w:szCs w:val="22"/>
                            </w:rPr>
                            <m:t>1</m:t>
                          </m:r>
                        </m:num>
                        <m:den>
                          <m:r>
                            <m:rPr>
                              <m:nor/>
                            </m:rPr>
                            <w:rPr>
                              <w:szCs w:val="22"/>
                            </w:rPr>
                            <m:t>3</m:t>
                          </m:r>
                        </m:den>
                      </m:f>
                    </m:sup>
                  </m:sSup>
                </m:den>
              </m:f>
            </m:oMath>
            <w:r w:rsidR="0067667C" w:rsidRPr="004D3167">
              <w:rPr>
                <w:szCs w:val="22"/>
              </w:rPr>
              <w:t>,</w:t>
            </w:r>
          </w:p>
        </w:tc>
        <w:tc>
          <w:tcPr>
            <w:tcW w:w="1445" w:type="dxa"/>
            <w:vAlign w:val="center"/>
          </w:tcPr>
          <w:p w14:paraId="1CC8E99B" w14:textId="77777777" w:rsidR="0067667C" w:rsidRPr="004D3167" w:rsidRDefault="0067667C" w:rsidP="006B4F04">
            <w:pPr>
              <w:jc w:val="right"/>
              <w:rPr>
                <w:szCs w:val="22"/>
              </w:rPr>
            </w:pPr>
            <w:r w:rsidRPr="006C7276">
              <w:rPr>
                <w:sz w:val="20"/>
                <w:szCs w:val="22"/>
              </w:rPr>
              <w:t xml:space="preserve">  (1)</w:t>
            </w:r>
          </w:p>
        </w:tc>
      </w:tr>
    </w:tbl>
    <w:p w14:paraId="608456DD" w14:textId="7E132755" w:rsidR="008A4F46" w:rsidRDefault="008A4F46" w:rsidP="008A4F46">
      <w:pPr>
        <w:pStyle w:val="BodyText"/>
        <w:rPr>
          <w:lang w:val="en-US"/>
        </w:rPr>
      </w:pPr>
    </w:p>
    <w:p w14:paraId="3FD8D6B3" w14:textId="407CC8A1" w:rsidR="0067667C" w:rsidRDefault="0067667C" w:rsidP="0094520E">
      <w:pPr>
        <w:pStyle w:val="BodyText"/>
        <w:ind w:firstLine="0"/>
      </w:pPr>
      <w:r w:rsidRPr="006C7276">
        <w:t xml:space="preserve">where </w:t>
      </w:r>
      <w:proofErr w:type="spellStart"/>
      <w:r w:rsidRPr="006C7276">
        <w:t>Sh</w:t>
      </w:r>
      <w:proofErr w:type="spellEnd"/>
      <w:r w:rsidRPr="006C7276">
        <w:t xml:space="preserve"> is the Sherwood number, L is the pool diameter, D is the gas diffusion coefficient, </w:t>
      </w:r>
      <m:oMath>
        <m:r>
          <m:rPr>
            <m:sty m:val="p"/>
          </m:rPr>
          <w:rPr>
            <w:rFonts w:ascii="Cambria Math" w:hAnsi="Cambria Math"/>
          </w:rPr>
          <m:t>δ</m:t>
        </m:r>
      </m:oMath>
      <w:r w:rsidRPr="006C7276">
        <w:t xml:space="preserve"> is the oxide layer thickness, which is normalized by the characteristic length scale (</w:t>
      </w:r>
      <m:oMath>
        <m:sSub>
          <m:sSubPr>
            <m:ctrlPr>
              <w:rPr>
                <w:rFonts w:ascii="Cambria Math" w:hAnsi="Cambria Math"/>
                <w:iCs/>
              </w:rPr>
            </m:ctrlPr>
          </m:sSubPr>
          <m:e>
            <m:r>
              <m:rPr>
                <m:sty m:val="p"/>
              </m:rPr>
              <w:rPr>
                <w:rFonts w:ascii="Cambria Math" w:hAnsi="Cambria Math"/>
              </w:rPr>
              <m:t>∆</m:t>
            </m:r>
          </m:e>
          <m:sub>
            <m:r>
              <m:rPr>
                <m:sty m:val="p"/>
              </m:rPr>
              <w:rPr>
                <w:rFonts w:ascii="Cambria Math" w:hAnsi="Cambria Math"/>
              </w:rPr>
              <m:t>l</m:t>
            </m:r>
          </m:sub>
        </m:sSub>
      </m:oMath>
      <w:r w:rsidRPr="006C7276">
        <w:t xml:space="preserve">), g is the acceleration due to gravity, Sc is the Schmidt number, β is the coefficient of gas expansion, ν is the kinematic viscosity, </w:t>
      </w:r>
      <w:proofErr w:type="spellStart"/>
      <w:r w:rsidRPr="006C7276">
        <w:t>T</w:t>
      </w:r>
      <w:r w:rsidRPr="006C7276">
        <w:rPr>
          <w:vertAlign w:val="subscript"/>
        </w:rPr>
        <w:t>surf</w:t>
      </w:r>
      <w:proofErr w:type="spellEnd"/>
      <w:r w:rsidRPr="006C7276">
        <w:t xml:space="preserve"> is the sodium pool surface temperature, and </w:t>
      </w:r>
      <w:proofErr w:type="spellStart"/>
      <w:r w:rsidRPr="006C7276">
        <w:t>T</w:t>
      </w:r>
      <w:r w:rsidRPr="006C7276">
        <w:rPr>
          <w:vertAlign w:val="subscript"/>
        </w:rPr>
        <w:t>g</w:t>
      </w:r>
      <w:proofErr w:type="spellEnd"/>
      <w:r w:rsidRPr="006C7276">
        <w:t xml:space="preserve"> is the gas temperature.</w:t>
      </w:r>
    </w:p>
    <w:p w14:paraId="5CB933B8" w14:textId="6974AE41" w:rsidR="00CA54B1" w:rsidRPr="006C7276" w:rsidRDefault="0067667C" w:rsidP="006C7276">
      <w:pPr>
        <w:pStyle w:val="BodyText"/>
        <w:ind w:firstLine="562"/>
      </w:pPr>
      <w:r>
        <w:t xml:space="preserve">Liquid sodium spreading is an </w:t>
      </w:r>
      <w:r w:rsidR="00CA54B1">
        <w:t xml:space="preserve">important phenomenon </w:t>
      </w:r>
      <w:r w:rsidR="00307C13">
        <w:t xml:space="preserve">because </w:t>
      </w:r>
      <w:r w:rsidR="00CA54B1">
        <w:t>it can influence the sodium fire intensity and its reaction rate with oxygen</w:t>
      </w:r>
      <w:r w:rsidR="003F4368">
        <w:t xml:space="preserve">. </w:t>
      </w:r>
      <w:r w:rsidR="00CA54B1" w:rsidRPr="006C7276">
        <w:t xml:space="preserve">A </w:t>
      </w:r>
      <w:r w:rsidR="00CA54B1">
        <w:t>pancake</w:t>
      </w:r>
      <w:r w:rsidR="00CA54B1" w:rsidRPr="006C7276">
        <w:t xml:space="preserve"> radial spreading model is used to describe the liquid sodium </w:t>
      </w:r>
      <w:proofErr w:type="spellStart"/>
      <w:r w:rsidR="00CA54B1" w:rsidRPr="006C7276">
        <w:t>behavior</w:t>
      </w:r>
      <w:proofErr w:type="spellEnd"/>
      <w:r w:rsidR="00CA54B1" w:rsidRPr="006C7276">
        <w:t xml:space="preserve"> as it falls downward onto the </w:t>
      </w:r>
      <w:proofErr w:type="spellStart"/>
      <w:r w:rsidR="00CA54B1" w:rsidRPr="006C7276">
        <w:t>center</w:t>
      </w:r>
      <w:proofErr w:type="spellEnd"/>
      <w:r w:rsidR="00CA54B1" w:rsidRPr="006C7276">
        <w:t xml:space="preserve"> of the pool; it then spreads outward. The </w:t>
      </w:r>
      <w:r w:rsidR="00CA54B1">
        <w:t xml:space="preserve">radial </w:t>
      </w:r>
      <w:r w:rsidR="00CA54B1" w:rsidRPr="006C7276">
        <w:t xml:space="preserve">spreading is influenced by both viscous and gravitational forces. The final radial spreading distance as implemented is shown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4"/>
        <w:gridCol w:w="1213"/>
      </w:tblGrid>
      <w:tr w:rsidR="00CA54B1" w:rsidRPr="0094520E" w14:paraId="11DFE365" w14:textId="77777777" w:rsidTr="0036397C">
        <w:tc>
          <w:tcPr>
            <w:tcW w:w="7814" w:type="dxa"/>
          </w:tcPr>
          <w:p w14:paraId="109A7378" w14:textId="77777777" w:rsidR="00CA54B1" w:rsidRPr="006C7276" w:rsidRDefault="00CA54B1">
            <w:pPr>
              <w:ind w:left="1051"/>
              <w:jc w:val="center"/>
              <w:rPr>
                <w:sz w:val="20"/>
              </w:rPr>
            </w:pPr>
            <m:oMathPara>
              <m:oMath>
                <m:r>
                  <m:rPr>
                    <m:sty m:val="p"/>
                  </m:rPr>
                  <w:rPr>
                    <w:rFonts w:ascii="Cambria Math" w:hAnsi="Cambria Math"/>
                    <w:sz w:val="20"/>
                  </w:rPr>
                  <m:t>R(t+Δt)=</m:t>
                </m:r>
                <m:rad>
                  <m:radPr>
                    <m:ctrlPr>
                      <w:rPr>
                        <w:rFonts w:ascii="Cambria Math" w:hAnsi="Cambria Math"/>
                        <w:sz w:val="20"/>
                      </w:rPr>
                    </m:ctrlPr>
                  </m:radPr>
                  <m:deg>
                    <m:r>
                      <m:rPr>
                        <m:sty m:val="p"/>
                      </m:rPr>
                      <w:rPr>
                        <w:rFonts w:ascii="Cambria Math" w:hAnsi="Cambria Math"/>
                        <w:sz w:val="20"/>
                      </w:rPr>
                      <m:t>8</m:t>
                    </m:r>
                  </m:deg>
                  <m:e>
                    <m:sSup>
                      <m:sSupPr>
                        <m:ctrlPr>
                          <w:rPr>
                            <w:rFonts w:ascii="Cambria Math" w:hAnsi="Cambria Math"/>
                            <w:iCs/>
                            <w:sz w:val="20"/>
                          </w:rPr>
                        </m:ctrlPr>
                      </m:sSupPr>
                      <m:e>
                        <m:r>
                          <m:rPr>
                            <m:sty m:val="p"/>
                          </m:rPr>
                          <w:rPr>
                            <w:rFonts w:ascii="Cambria Math" w:hAnsi="Cambria Math"/>
                            <w:sz w:val="20"/>
                          </w:rPr>
                          <m:t>R(t)</m:t>
                        </m:r>
                      </m:e>
                      <m:sup>
                        <m:r>
                          <m:rPr>
                            <m:sty m:val="p"/>
                          </m:rPr>
                          <w:rPr>
                            <w:rFonts w:ascii="Cambria Math" w:hAnsi="Cambria Math"/>
                            <w:sz w:val="20"/>
                          </w:rPr>
                          <m:t>8</m:t>
                        </m:r>
                      </m:sup>
                    </m:sSup>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C</m:t>
                        </m:r>
                      </m:e>
                      <m:sub>
                        <m:r>
                          <w:rPr>
                            <w:rFonts w:ascii="Cambria Math" w:hAnsi="Cambria Math"/>
                            <w:sz w:val="20"/>
                          </w:rPr>
                          <m:t>1</m:t>
                        </m:r>
                      </m:sub>
                    </m:sSub>
                    <m:r>
                      <m:rPr>
                        <m:sty m:val="p"/>
                      </m:rPr>
                      <w:rPr>
                        <w:rFonts w:ascii="Cambria Math" w:hAnsi="Cambria Math"/>
                        <w:sz w:val="20"/>
                      </w:rPr>
                      <m:t xml:space="preserve">∙ </m:t>
                    </m:r>
                    <m:f>
                      <m:fPr>
                        <m:ctrlPr>
                          <w:rPr>
                            <w:rFonts w:ascii="Cambria Math" w:hAnsi="Cambria Math"/>
                            <w:iCs/>
                            <w:sz w:val="20"/>
                          </w:rPr>
                        </m:ctrlPr>
                      </m:fPr>
                      <m:num>
                        <m:r>
                          <m:rPr>
                            <m:sty m:val="p"/>
                          </m:rPr>
                          <w:rPr>
                            <w:rFonts w:ascii="Cambria Math" w:hAnsi="Cambria Math"/>
                            <w:sz w:val="20"/>
                          </w:rPr>
                          <m:t>g</m:t>
                        </m:r>
                      </m:num>
                      <m:den>
                        <m:r>
                          <m:rPr>
                            <m:sty m:val="p"/>
                          </m:rPr>
                          <w:rPr>
                            <w:rFonts w:ascii="Cambria Math" w:hAnsi="Cambria Math"/>
                            <w:sz w:val="20"/>
                          </w:rPr>
                          <m:t xml:space="preserve">μ </m:t>
                        </m:r>
                        <m:sSup>
                          <m:sSupPr>
                            <m:ctrlPr>
                              <w:rPr>
                                <w:rFonts w:ascii="Cambria Math" w:hAnsi="Cambria Math"/>
                                <w:iCs/>
                                <w:sz w:val="20"/>
                              </w:rPr>
                            </m:ctrlPr>
                          </m:sSupPr>
                          <m:e>
                            <m:r>
                              <m:rPr>
                                <m:sty m:val="p"/>
                              </m:rPr>
                              <w:rPr>
                                <w:rFonts w:ascii="Cambria Math" w:hAnsi="Cambria Math"/>
                                <w:sz w:val="20"/>
                              </w:rPr>
                              <m:t>π</m:t>
                            </m:r>
                          </m:e>
                          <m:sup>
                            <m:r>
                              <m:rPr>
                                <m:sty m:val="p"/>
                              </m:rPr>
                              <w:rPr>
                                <w:rFonts w:ascii="Cambria Math" w:hAnsi="Cambria Math"/>
                                <w:sz w:val="20"/>
                              </w:rPr>
                              <m:t>3</m:t>
                            </m:r>
                          </m:sup>
                        </m:sSup>
                        <m:sSup>
                          <m:sSupPr>
                            <m:ctrlPr>
                              <w:rPr>
                                <w:rFonts w:ascii="Cambria Math" w:hAnsi="Cambria Math"/>
                                <w:iCs/>
                                <w:sz w:val="20"/>
                              </w:rPr>
                            </m:ctrlPr>
                          </m:sSupPr>
                          <m:e>
                            <m:r>
                              <m:rPr>
                                <m:sty m:val="p"/>
                              </m:rPr>
                              <w:rPr>
                                <w:rFonts w:ascii="Cambria Math" w:hAnsi="Cambria Math"/>
                                <w:sz w:val="20"/>
                              </w:rPr>
                              <m:t>ρ</m:t>
                            </m:r>
                          </m:e>
                          <m:sup>
                            <m:r>
                              <m:rPr>
                                <m:sty m:val="p"/>
                              </m:rPr>
                              <w:rPr>
                                <w:rFonts w:ascii="Cambria Math" w:hAnsi="Cambria Math"/>
                                <w:sz w:val="20"/>
                              </w:rPr>
                              <m:t>2</m:t>
                            </m:r>
                          </m:sup>
                        </m:sSup>
                      </m:den>
                    </m:f>
                    <m:sSup>
                      <m:sSupPr>
                        <m:ctrlPr>
                          <w:rPr>
                            <w:rFonts w:ascii="Cambria Math" w:hAnsi="Cambria Math"/>
                            <w:iCs/>
                            <w:sz w:val="20"/>
                          </w:rPr>
                        </m:ctrlPr>
                      </m:sSupPr>
                      <m:e>
                        <m:r>
                          <m:rPr>
                            <m:sty m:val="p"/>
                          </m:rPr>
                          <w:rPr>
                            <w:rFonts w:ascii="Cambria Math" w:hAnsi="Cambria Math"/>
                            <w:sz w:val="20"/>
                          </w:rPr>
                          <m:t>m</m:t>
                        </m:r>
                      </m:e>
                      <m:sup>
                        <m:r>
                          <m:rPr>
                            <m:sty m:val="p"/>
                          </m:rPr>
                          <w:rPr>
                            <w:rFonts w:ascii="Cambria Math" w:hAnsi="Cambria Math"/>
                            <w:sz w:val="20"/>
                          </w:rPr>
                          <m:t>3</m:t>
                        </m:r>
                      </m:sup>
                    </m:sSup>
                    <m:r>
                      <m:rPr>
                        <m:sty m:val="p"/>
                      </m:rPr>
                      <w:rPr>
                        <w:rFonts w:ascii="Cambria Math" w:hAnsi="Cambria Math"/>
                        <w:sz w:val="20"/>
                      </w:rPr>
                      <m:t>Δt</m:t>
                    </m:r>
                  </m:e>
                </m:rad>
              </m:oMath>
            </m:oMathPara>
          </w:p>
        </w:tc>
        <w:tc>
          <w:tcPr>
            <w:tcW w:w="1213" w:type="dxa"/>
            <w:vAlign w:val="center"/>
          </w:tcPr>
          <w:p w14:paraId="62C74646" w14:textId="4C0E4A07" w:rsidR="00CA54B1" w:rsidRPr="00096047" w:rsidRDefault="00CA54B1" w:rsidP="006C7276">
            <w:pPr>
              <w:pStyle w:val="Caption"/>
              <w:jc w:val="right"/>
            </w:pPr>
            <w:r w:rsidRPr="006C7276">
              <w:rPr>
                <w:sz w:val="20"/>
              </w:rPr>
              <w:t>(</w:t>
            </w:r>
            <w:r>
              <w:rPr>
                <w:sz w:val="20"/>
              </w:rPr>
              <w:t>2</w:t>
            </w:r>
            <w:r w:rsidRPr="006C7276">
              <w:rPr>
                <w:sz w:val="20"/>
              </w:rPr>
              <w:t>)</w:t>
            </w:r>
          </w:p>
        </w:tc>
      </w:tr>
    </w:tbl>
    <w:p w14:paraId="552345C0" w14:textId="77777777" w:rsidR="00CA54B1" w:rsidRPr="006C7276" w:rsidRDefault="00CA54B1" w:rsidP="00CA54B1">
      <w:pPr>
        <w:pStyle w:val="BodyText3"/>
        <w:rPr>
          <w:sz w:val="20"/>
          <w:szCs w:val="20"/>
        </w:rPr>
      </w:pPr>
    </w:p>
    <w:p w14:paraId="4537A919" w14:textId="77777777" w:rsidR="00CA54B1" w:rsidRPr="006C7276" w:rsidRDefault="00CA54B1" w:rsidP="00CA54B1">
      <w:pPr>
        <w:pStyle w:val="BodyText3"/>
        <w:rPr>
          <w:sz w:val="20"/>
          <w:szCs w:val="20"/>
        </w:rPr>
      </w:pPr>
      <w:r w:rsidRPr="006C7276">
        <w:rPr>
          <w:sz w:val="20"/>
          <w:szCs w:val="20"/>
        </w:rPr>
        <w:t xml:space="preserve">where </w:t>
      </w:r>
      <m:oMath>
        <m:r>
          <m:rPr>
            <m:sty m:val="p"/>
          </m:rPr>
          <w:rPr>
            <w:rFonts w:ascii="Cambria Math" w:hAnsi="Cambria Math"/>
            <w:sz w:val="20"/>
            <w:szCs w:val="20"/>
          </w:rPr>
          <m:t>μ, ρ</m:t>
        </m:r>
      </m:oMath>
      <w:r w:rsidRPr="006C7276">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C</m:t>
            </m:r>
          </m:e>
          <m:sub>
            <m:r>
              <w:rPr>
                <w:rFonts w:ascii="Cambria Math" w:hAnsi="Cambria Math"/>
                <w:sz w:val="20"/>
                <w:szCs w:val="20"/>
              </w:rPr>
              <m:t>1</m:t>
            </m:r>
          </m:sub>
        </m:sSub>
      </m:oMath>
      <w:r w:rsidRPr="006C7276">
        <w:rPr>
          <w:sz w:val="20"/>
          <w:szCs w:val="20"/>
        </w:rPr>
        <w:t xml:space="preserve"> are the sodium viscosity, density, and empirical constant, respectively. Including the effect of solids in the liquid sodium, the enhanced sodium viscosity </w:t>
      </w:r>
      <m:oMath>
        <m:r>
          <m:rPr>
            <m:sty m:val="p"/>
          </m:rPr>
          <w:rPr>
            <w:rFonts w:ascii="Cambria Math" w:hAnsi="Cambria Math"/>
            <w:sz w:val="20"/>
            <w:szCs w:val="20"/>
          </w:rPr>
          <m:t>μ</m:t>
        </m:r>
      </m:oMath>
      <w:r w:rsidRPr="006C7276">
        <w:rPr>
          <w:sz w:val="20"/>
          <w:szCs w:val="20"/>
        </w:rPr>
        <w:t xml:space="preserve"> is given as the function of the fraction of the sodium oxides (</w:t>
      </w:r>
      <m:oMath>
        <m:r>
          <m:rPr>
            <m:sty m:val="p"/>
          </m:rPr>
          <w:rPr>
            <w:rFonts w:ascii="Cambria Math" w:eastAsiaTheme="minorHAnsi" w:hAnsi="Cambria Math"/>
            <w:sz w:val="20"/>
            <w:szCs w:val="20"/>
          </w:rPr>
          <m:t>ε</m:t>
        </m:r>
      </m:oMath>
      <w:r w:rsidRPr="006C7276">
        <w:rPr>
          <w:sz w:val="20"/>
          <w:szCs w:val="20"/>
        </w:rPr>
        <w:t xml:space="preserve">) by: </w:t>
      </w:r>
    </w:p>
    <w:tbl>
      <w:tblPr>
        <w:tblW w:w="9090" w:type="dxa"/>
        <w:tblLayout w:type="fixed"/>
        <w:tblCellMar>
          <w:left w:w="0" w:type="dxa"/>
          <w:right w:w="0" w:type="dxa"/>
        </w:tblCellMar>
        <w:tblLook w:val="0000" w:firstRow="0" w:lastRow="0" w:firstColumn="0" w:lastColumn="0" w:noHBand="0" w:noVBand="0"/>
      </w:tblPr>
      <w:tblGrid>
        <w:gridCol w:w="7920"/>
        <w:gridCol w:w="1170"/>
      </w:tblGrid>
      <w:tr w:rsidR="00CA54B1" w:rsidRPr="0094520E" w14:paraId="7A641A13" w14:textId="77777777" w:rsidTr="00577403">
        <w:tc>
          <w:tcPr>
            <w:tcW w:w="7920" w:type="dxa"/>
            <w:shd w:val="clear" w:color="auto" w:fill="auto"/>
            <w:vAlign w:val="center"/>
          </w:tcPr>
          <w:p w14:paraId="6C15515D" w14:textId="77777777" w:rsidR="00CA54B1" w:rsidRPr="006C7276" w:rsidRDefault="00CA54B1" w:rsidP="006C7276">
            <w:pPr>
              <w:ind w:left="1051"/>
              <w:jc w:val="center"/>
              <w:rPr>
                <w:sz w:val="20"/>
              </w:rPr>
            </w:pPr>
            <m:oMathPara>
              <m:oMathParaPr>
                <m:jc m:val="center"/>
              </m:oMathParaPr>
              <m:oMath>
                <m:r>
                  <m:rPr>
                    <m:sty m:val="p"/>
                  </m:rPr>
                  <w:rPr>
                    <w:rFonts w:ascii="Cambria Math" w:hAnsi="Cambria Math"/>
                    <w:sz w:val="20"/>
                  </w:rPr>
                  <m:t>μ</m:t>
                </m:r>
                <m:sSub>
                  <m:sSubPr>
                    <m:ctrlPr>
                      <w:rPr>
                        <w:rFonts w:ascii="Cambria Math" w:eastAsiaTheme="minorHAnsi" w:hAnsi="Cambria Math"/>
                        <w:sz w:val="20"/>
                      </w:rPr>
                    </m:ctrlPr>
                  </m:sSubPr>
                  <m:e>
                    <m:r>
                      <m:rPr>
                        <m:sty m:val="p"/>
                      </m:rPr>
                      <w:rPr>
                        <w:rFonts w:ascii="Cambria Math" w:eastAsiaTheme="minorHAnsi" w:hAnsi="Cambria Math"/>
                        <w:sz w:val="20"/>
                      </w:rPr>
                      <m:t>=μ</m:t>
                    </m:r>
                  </m:e>
                  <m:sub>
                    <m:r>
                      <m:rPr>
                        <m:sty m:val="p"/>
                      </m:rPr>
                      <w:rPr>
                        <w:rFonts w:ascii="Cambria Math" w:eastAsiaTheme="minorHAnsi" w:hAnsi="Cambria Math"/>
                        <w:sz w:val="20"/>
                      </w:rPr>
                      <m:t>0</m:t>
                    </m:r>
                  </m:sub>
                </m:sSub>
                <m:r>
                  <m:rPr>
                    <m:sty m:val="p"/>
                  </m:rPr>
                  <w:rPr>
                    <w:rFonts w:ascii="Cambria Math" w:eastAsiaTheme="minorHAnsi" w:hAnsi="Cambria Math"/>
                    <w:sz w:val="20"/>
                  </w:rPr>
                  <m:t xml:space="preserve">∙exp⁡(2.5 </m:t>
                </m:r>
                <m:sSub>
                  <m:sSubPr>
                    <m:ctrlPr>
                      <w:rPr>
                        <w:rFonts w:ascii="Cambria Math" w:hAnsi="Cambria Math"/>
                        <w:sz w:val="20"/>
                      </w:rPr>
                    </m:ctrlPr>
                  </m:sSubPr>
                  <m:e>
                    <m:r>
                      <m:rPr>
                        <m:sty m:val="p"/>
                      </m:rPr>
                      <w:rPr>
                        <w:rFonts w:ascii="Cambria Math" w:hAnsi="Cambria Math"/>
                        <w:sz w:val="20"/>
                      </w:rPr>
                      <m:t>C</m:t>
                    </m:r>
                  </m:e>
                  <m:sub>
                    <m:r>
                      <w:rPr>
                        <w:rFonts w:ascii="Cambria Math" w:hAnsi="Cambria Math"/>
                        <w:sz w:val="20"/>
                      </w:rPr>
                      <m:t>2</m:t>
                    </m:r>
                  </m:sub>
                </m:sSub>
                <m:r>
                  <m:rPr>
                    <m:sty m:val="p"/>
                  </m:rPr>
                  <w:rPr>
                    <w:rFonts w:ascii="Cambria Math" w:eastAsiaTheme="minorHAnsi" w:hAnsi="Cambria Math"/>
                    <w:sz w:val="20"/>
                  </w:rPr>
                  <m:t>∙ε)</m:t>
                </m:r>
              </m:oMath>
            </m:oMathPara>
          </w:p>
        </w:tc>
        <w:tc>
          <w:tcPr>
            <w:tcW w:w="1170" w:type="dxa"/>
            <w:shd w:val="clear" w:color="auto" w:fill="auto"/>
            <w:vAlign w:val="center"/>
          </w:tcPr>
          <w:p w14:paraId="08DF5247" w14:textId="7EBA774D" w:rsidR="00CA54B1" w:rsidRPr="006C7276" w:rsidRDefault="00577403" w:rsidP="00577403">
            <w:pPr>
              <w:pStyle w:val="Caption"/>
              <w:jc w:val="center"/>
              <w:rPr>
                <w:sz w:val="20"/>
              </w:rPr>
            </w:pPr>
            <w:r>
              <w:rPr>
                <w:sz w:val="20"/>
              </w:rPr>
              <w:t xml:space="preserve">            </w:t>
            </w:r>
            <w:r w:rsidR="00CA54B1" w:rsidRPr="006C7276">
              <w:rPr>
                <w:sz w:val="20"/>
              </w:rPr>
              <w:t>(</w:t>
            </w:r>
            <w:r w:rsidR="00CA54B1">
              <w:rPr>
                <w:sz w:val="20"/>
              </w:rPr>
              <w:t>3</w:t>
            </w:r>
            <w:r w:rsidR="00CA54B1" w:rsidRPr="006C7276">
              <w:rPr>
                <w:sz w:val="20"/>
              </w:rPr>
              <w:t>)</w:t>
            </w:r>
          </w:p>
        </w:tc>
      </w:tr>
    </w:tbl>
    <w:p w14:paraId="763E98C1" w14:textId="2C064B1D" w:rsidR="00CA54B1" w:rsidRDefault="00CA54B1" w:rsidP="0094520E">
      <w:pPr>
        <w:pStyle w:val="BodyText"/>
        <w:ind w:firstLine="562"/>
        <w:rPr>
          <w:lang w:val="en-US"/>
        </w:rPr>
      </w:pPr>
    </w:p>
    <w:p w14:paraId="087C5282" w14:textId="3BB3B3A6" w:rsidR="00CA54B1" w:rsidRPr="006C7276" w:rsidRDefault="00800E6C" w:rsidP="006C7276">
      <w:pPr>
        <w:pStyle w:val="BodyText"/>
        <w:ind w:firstLine="0"/>
        <w:rPr>
          <w:rFonts w:eastAsia="Calibri"/>
        </w:rPr>
      </w:pPr>
      <m:oMath>
        <m:sSub>
          <m:sSubPr>
            <m:ctrlPr>
              <w:rPr>
                <w:rFonts w:ascii="Cambria Math" w:hAnsi="Cambria Math"/>
              </w:rPr>
            </m:ctrlPr>
          </m:sSubPr>
          <m:e>
            <m:r>
              <m:rPr>
                <m:sty m:val="p"/>
              </m:rPr>
              <w:rPr>
                <w:rFonts w:ascii="Cambria Math" w:hAnsi="Cambria Math"/>
              </w:rPr>
              <m:t>C</m:t>
            </m:r>
          </m:e>
          <m:sub>
            <m:r>
              <w:rPr>
                <w:rFonts w:ascii="Cambria Math" w:hAnsi="Cambria Math"/>
              </w:rPr>
              <m:t>2</m:t>
            </m:r>
          </m:sub>
        </m:sSub>
      </m:oMath>
      <w:r w:rsidR="00CA54B1" w:rsidRPr="006C7276">
        <w:rPr>
          <w:rFonts w:eastAsia="Calibri"/>
        </w:rPr>
        <w:t xml:space="preserve"> in Equation (3) is an empirical constant. The Ramacciotti correlation has been used extensively for modeling corium experiments, which has allowed determination of an appropriate </w:t>
      </w:r>
      <m:oMath>
        <m:sSub>
          <m:sSubPr>
            <m:ctrlPr>
              <w:rPr>
                <w:rFonts w:ascii="Cambria Math" w:eastAsiaTheme="minorHAnsi" w:hAnsi="Cambria Math"/>
              </w:rPr>
            </m:ctrlPr>
          </m:sSubPr>
          <m:e>
            <m:r>
              <m:rPr>
                <m:sty m:val="p"/>
              </m:rPr>
              <w:rPr>
                <w:rFonts w:ascii="Cambria Math" w:eastAsiaTheme="minorHAnsi" w:hAnsi="Cambria Math"/>
              </w:rPr>
              <m:t>C</m:t>
            </m:r>
          </m:e>
          <m:sub>
            <m:r>
              <w:rPr>
                <w:rFonts w:ascii="Cambria Math" w:eastAsiaTheme="minorHAnsi" w:hAnsi="Cambria Math"/>
              </w:rPr>
              <m:t>2</m:t>
            </m:r>
          </m:sub>
        </m:sSub>
      </m:oMath>
      <w:r w:rsidR="00CA54B1" w:rsidRPr="006C7276">
        <w:rPr>
          <w:rFonts w:eastAsia="Calibri"/>
        </w:rPr>
        <w:t xml:space="preserve">. </w:t>
      </w:r>
      <m:oMath>
        <m:sSub>
          <m:sSubPr>
            <m:ctrlPr>
              <w:rPr>
                <w:rFonts w:ascii="Cambria Math" w:eastAsiaTheme="minorHAnsi" w:hAnsi="Cambria Math"/>
              </w:rPr>
            </m:ctrlPr>
          </m:sSubPr>
          <m:e>
            <m:r>
              <m:rPr>
                <m:sty m:val="p"/>
              </m:rPr>
              <w:rPr>
                <w:rFonts w:ascii="Cambria Math" w:eastAsiaTheme="minorHAnsi" w:hAnsi="Cambria Math"/>
              </w:rPr>
              <m:t>μ</m:t>
            </m:r>
          </m:e>
          <m:sub>
            <m:r>
              <m:rPr>
                <m:sty m:val="p"/>
              </m:rPr>
              <w:rPr>
                <w:rFonts w:ascii="Cambria Math" w:eastAsiaTheme="minorHAnsi" w:hAnsi="Cambria Math"/>
              </w:rPr>
              <m:t>0</m:t>
            </m:r>
          </m:sub>
        </m:sSub>
      </m:oMath>
      <w:r w:rsidR="00CA54B1" w:rsidRPr="006C7276">
        <w:rPr>
          <w:rFonts w:eastAsia="Calibri"/>
        </w:rPr>
        <w:t xml:space="preserve"> is</w:t>
      </w:r>
      <w:r w:rsidR="00CA54B1">
        <w:rPr>
          <w:rFonts w:eastAsia="Calibri"/>
        </w:rPr>
        <w:t xml:space="preserve"> the liquid sodium viscosity.</w:t>
      </w:r>
    </w:p>
    <w:p w14:paraId="3E2915C1" w14:textId="155E8CCD" w:rsidR="00CA54B1" w:rsidRPr="006C7276" w:rsidRDefault="0094520E" w:rsidP="0094520E">
      <w:pPr>
        <w:pStyle w:val="BodyText"/>
        <w:ind w:firstLine="562"/>
        <w:rPr>
          <w:rFonts w:eastAsia="Calibri"/>
          <w:sz w:val="21"/>
          <w:szCs w:val="22"/>
        </w:rPr>
      </w:pPr>
      <w:r w:rsidRPr="006C7276">
        <w:rPr>
          <w:rFonts w:eastAsia="Calibri"/>
          <w:szCs w:val="22"/>
        </w:rPr>
        <w:lastRenderedPageBreak/>
        <w:t xml:space="preserve">The MELCOR model results as shown in the result section in this paper were based on </w:t>
      </w:r>
      <w:r w:rsidR="00307C13">
        <w:rPr>
          <w:rFonts w:eastAsia="Calibri"/>
          <w:szCs w:val="22"/>
        </w:rPr>
        <w:t>i</w:t>
      </w:r>
      <w:r w:rsidRPr="006C7276">
        <w:rPr>
          <w:rFonts w:eastAsia="Calibri"/>
          <w:szCs w:val="22"/>
        </w:rPr>
        <w:t>mplementing these equations into control function models</w:t>
      </w:r>
      <w:r w:rsidR="003F4368">
        <w:rPr>
          <w:rFonts w:eastAsia="Calibri"/>
          <w:szCs w:val="22"/>
        </w:rPr>
        <w:t xml:space="preserve">. </w:t>
      </w:r>
      <w:r w:rsidRPr="006C7276">
        <w:rPr>
          <w:rFonts w:eastAsia="Calibri"/>
          <w:szCs w:val="22"/>
        </w:rPr>
        <w:t>The descriptions of these control function models are given in the literature [1].</w:t>
      </w:r>
    </w:p>
    <w:p w14:paraId="1B494EC8" w14:textId="7CDAFFFD" w:rsidR="00F62776" w:rsidRPr="00EE0041" w:rsidRDefault="00F62776" w:rsidP="00F62776">
      <w:pPr>
        <w:pStyle w:val="Heading3"/>
        <w:numPr>
          <w:ilvl w:val="2"/>
          <w:numId w:val="17"/>
        </w:numPr>
      </w:pPr>
      <w:r>
        <w:t>SPHINCS</w:t>
      </w:r>
    </w:p>
    <w:p w14:paraId="414B0338" w14:textId="72E1B081" w:rsidR="00FF7ACB" w:rsidRDefault="005F6108" w:rsidP="005F6108">
      <w:pPr>
        <w:pStyle w:val="BodyText"/>
      </w:pPr>
      <w:r>
        <w:t>SPHINCS</w:t>
      </w:r>
      <w:r w:rsidR="00A9361C">
        <w:t xml:space="preserve"> [</w:t>
      </w:r>
      <w:r w:rsidR="00A9361C">
        <w:rPr>
          <w:rFonts w:hint="eastAsia"/>
          <w:lang w:eastAsia="ja-JP"/>
        </w:rPr>
        <w:t>4</w:t>
      </w:r>
      <w:r w:rsidR="00A9361C">
        <w:t>]</w:t>
      </w:r>
      <w:r>
        <w:t xml:space="preserve"> is developed by JAEA as a sodium fire analysis code with a lumped mass model and a 1-D flow network model</w:t>
      </w:r>
      <w:r w:rsidR="00682137">
        <w:t xml:space="preserve"> for thermal-hydraulics in control volumes</w:t>
      </w:r>
      <w:r w:rsidR="00537C8F">
        <w:t xml:space="preserve">, which is </w:t>
      </w:r>
      <w:proofErr w:type="gramStart"/>
      <w:r w:rsidR="00537C8F">
        <w:t>similar to</w:t>
      </w:r>
      <w:proofErr w:type="gramEnd"/>
      <w:r w:rsidR="00537C8F">
        <w:t xml:space="preserve"> </w:t>
      </w:r>
      <w:r>
        <w:t xml:space="preserve">MELCOR. The flame sheet model is </w:t>
      </w:r>
      <w:r w:rsidR="00682137">
        <w:t>employed considering</w:t>
      </w:r>
      <w:r>
        <w:t xml:space="preserve"> the pool combustion</w:t>
      </w:r>
      <w:r w:rsidR="00682137">
        <w:t xml:space="preserve"> occurs in the </w:t>
      </w:r>
      <w:r w:rsidR="00A06793">
        <w:t>flame sheet layer with zero thickness on the sodium pool</w:t>
      </w:r>
      <w:r>
        <w:t>. This model</w:t>
      </w:r>
      <w:r w:rsidR="00A06793">
        <w:t xml:space="preserve"> consists of</w:t>
      </w:r>
      <w:r>
        <w:t xml:space="preserve"> conservation equations in terms of mass and energy transfer on the flame sheet layer: molar flux of sodium vapor and oxygen, heat transfer between the pool and the flame sheet, and between the atmosphere and the flame sheet. By solving these equations, source terms of mass and energy transportation due to pool fire are obtained.</w:t>
      </w:r>
      <w:r w:rsidR="00FF7ACB">
        <w:t xml:space="preserve"> </w:t>
      </w:r>
      <w:r>
        <w:t xml:space="preserve">SPHINCS also </w:t>
      </w:r>
      <w:r w:rsidR="00FF7ACB">
        <w:t>can simulate</w:t>
      </w:r>
      <w:r>
        <w:t xml:space="preserve"> the effect of the oxide layer on the pool combustion</w:t>
      </w:r>
      <w:r w:rsidR="00FF7ACB">
        <w:t>.</w:t>
      </w:r>
      <w:r>
        <w:t xml:space="preserve"> The pool combustion rate is multiplied by the liquid sodium fraction over the total pool mass that includes the mass of the oxide. </w:t>
      </w:r>
    </w:p>
    <w:p w14:paraId="0AA0173D" w14:textId="3DFC8ED1" w:rsidR="00FF7ACB" w:rsidRDefault="005F6108" w:rsidP="005F6108">
      <w:pPr>
        <w:pStyle w:val="BodyText"/>
      </w:pPr>
      <w:r>
        <w:t xml:space="preserve">The sodium pool spreading in SPHINCS is </w:t>
      </w:r>
      <w:r w:rsidRPr="006C7276">
        <w:rPr>
          <w:lang w:val="en-US"/>
        </w:rPr>
        <w:t>model</w:t>
      </w:r>
      <w:r>
        <w:t xml:space="preserve">ed </w:t>
      </w:r>
      <w:r w:rsidR="00FF7ACB">
        <w:t>based on the balance of</w:t>
      </w:r>
      <w:r>
        <w:t xml:space="preserve"> the surface tension and the gravitational force. Once the pool area reaches the maximum value</w:t>
      </w:r>
      <w:r w:rsidR="00BA7F13">
        <w:t>,</w:t>
      </w:r>
      <w:r w:rsidR="00FF7ACB">
        <w:t xml:space="preserve"> which can be specified in the input deck</w:t>
      </w:r>
      <w:r>
        <w:t xml:space="preserve">, the expansion of the pool </w:t>
      </w:r>
      <w:r w:rsidR="00E155E7">
        <w:t>stops,</w:t>
      </w:r>
      <w:r>
        <w:t xml:space="preserve"> and the pool height starts increasing.</w:t>
      </w:r>
    </w:p>
    <w:p w14:paraId="33FD0D01" w14:textId="735FF33B" w:rsidR="005F6108" w:rsidRDefault="005F6108" w:rsidP="008872A7">
      <w:pPr>
        <w:pStyle w:val="BodyText"/>
      </w:pPr>
      <w:r>
        <w:t>Heat transfer between the pool and the floor is calculated in the 2-D system</w:t>
      </w:r>
      <w:r w:rsidR="00FF7ACB">
        <w:t xml:space="preserve"> in SPHINCS</w:t>
      </w:r>
      <w:r w:rsidR="00592F9B">
        <w:t xml:space="preserve"> to simulate heat transfer</w:t>
      </w:r>
      <w:r w:rsidR="00592F9B" w:rsidRPr="00592F9B">
        <w:t xml:space="preserve"> </w:t>
      </w:r>
      <w:r w:rsidR="00592F9B">
        <w:t>accurately between the pool and the floor where temperature becomes higher under the pool</w:t>
      </w:r>
      <w:r>
        <w:t xml:space="preserve">. </w:t>
      </w:r>
      <w:r w:rsidR="00592F9B">
        <w:t>T</w:t>
      </w:r>
      <w:r>
        <w:t xml:space="preserve">he computational mesh is divided into </w:t>
      </w:r>
      <w:r w:rsidR="00592F9B">
        <w:t xml:space="preserve">the </w:t>
      </w:r>
      <w:r>
        <w:t>ring-shaped coordinate system</w:t>
      </w:r>
      <w:r w:rsidR="00592F9B">
        <w:t xml:space="preserve"> in the radial and depth directions.</w:t>
      </w:r>
    </w:p>
    <w:p w14:paraId="07D8FF44" w14:textId="0031801E" w:rsidR="00F62776" w:rsidRPr="008872A7" w:rsidRDefault="00067B28" w:rsidP="00534A5C">
      <w:pPr>
        <w:pStyle w:val="Heading2"/>
        <w:numPr>
          <w:ilvl w:val="1"/>
          <w:numId w:val="14"/>
        </w:numPr>
        <w:ind w:left="0"/>
      </w:pPr>
      <w:r>
        <w:rPr>
          <w:rFonts w:hint="eastAsia"/>
          <w:lang w:eastAsia="ja-JP"/>
        </w:rPr>
        <w:t xml:space="preserve">NUMERICAL </w:t>
      </w:r>
      <w:r>
        <w:rPr>
          <w:lang w:eastAsia="ja-JP"/>
        </w:rPr>
        <w:t>RESULT</w:t>
      </w:r>
    </w:p>
    <w:p w14:paraId="473CC87E" w14:textId="13AE187E" w:rsidR="00ED3FB9" w:rsidRDefault="003175DE" w:rsidP="00C17BC8">
      <w:pPr>
        <w:pStyle w:val="Abstracttext"/>
        <w:jc w:val="both"/>
        <w:rPr>
          <w:sz w:val="20"/>
        </w:rPr>
      </w:pPr>
      <w:r>
        <w:rPr>
          <w:sz w:val="20"/>
        </w:rPr>
        <w:t>Using</w:t>
      </w:r>
      <w:r w:rsidR="00067B28" w:rsidRPr="00C17BC8">
        <w:rPr>
          <w:sz w:val="20"/>
        </w:rPr>
        <w:t xml:space="preserve"> F7 Series test data, we were able to enhance our sodium pool fire model</w:t>
      </w:r>
      <w:r w:rsidR="00067B28">
        <w:rPr>
          <w:sz w:val="20"/>
        </w:rPr>
        <w:t xml:space="preserve"> in MELCOR</w:t>
      </w:r>
      <w:r w:rsidR="00067B28" w:rsidRPr="00C17BC8">
        <w:rPr>
          <w:sz w:val="20"/>
        </w:rPr>
        <w:t xml:space="preserve"> based on the phenomena observed from the test data and other similar pool fire tests [1].</w:t>
      </w:r>
      <w:r w:rsidR="00067B28">
        <w:rPr>
          <w:sz w:val="20"/>
        </w:rPr>
        <w:t xml:space="preserve"> </w:t>
      </w:r>
      <w:r w:rsidR="00534A5C">
        <w:rPr>
          <w:sz w:val="20"/>
        </w:rPr>
        <w:t xml:space="preserve">The representation of the F7 Series test chamber for both MELCOR and SPHINCS is given in Fig. 1. </w:t>
      </w:r>
      <w:r w:rsidR="00067B28" w:rsidRPr="00C17BC8">
        <w:rPr>
          <w:sz w:val="20"/>
        </w:rPr>
        <w:t xml:space="preserve">The results of sodium pool fire combustion rate and pool temperature results are shown in Fig. </w:t>
      </w:r>
      <w:r w:rsidR="00E155E7">
        <w:rPr>
          <w:sz w:val="20"/>
        </w:rPr>
        <w:t>3</w:t>
      </w:r>
      <w:r w:rsidR="00067B28" w:rsidRPr="00C17BC8">
        <w:rPr>
          <w:sz w:val="20"/>
        </w:rPr>
        <w:t xml:space="preserve"> and Fig. </w:t>
      </w:r>
      <w:r w:rsidR="00E155E7">
        <w:rPr>
          <w:sz w:val="20"/>
        </w:rPr>
        <w:t>4</w:t>
      </w:r>
      <w:r w:rsidR="00067B28" w:rsidRPr="00C17BC8">
        <w:rPr>
          <w:sz w:val="20"/>
        </w:rPr>
        <w:t>, respectively.</w:t>
      </w:r>
      <w:r w:rsidR="00067B28">
        <w:rPr>
          <w:sz w:val="20"/>
        </w:rPr>
        <w:t xml:space="preserve"> </w:t>
      </w:r>
      <w:r w:rsidR="00067B28" w:rsidRPr="00C17BC8">
        <w:rPr>
          <w:sz w:val="20"/>
        </w:rPr>
        <w:t xml:space="preserve">As shown in these </w:t>
      </w:r>
      <w:r w:rsidR="004F73EA">
        <w:rPr>
          <w:sz w:val="20"/>
        </w:rPr>
        <w:t>two</w:t>
      </w:r>
      <w:r w:rsidR="004F73EA" w:rsidRPr="00C17BC8">
        <w:rPr>
          <w:sz w:val="20"/>
        </w:rPr>
        <w:t xml:space="preserve"> </w:t>
      </w:r>
      <w:r w:rsidR="00067B28" w:rsidRPr="00C17BC8">
        <w:rPr>
          <w:sz w:val="20"/>
        </w:rPr>
        <w:t>figures, both codes predicted similar results before the sodium discharge was completed in comparison to the experimental data.</w:t>
      </w:r>
      <w:r w:rsidR="00067B28">
        <w:rPr>
          <w:sz w:val="20"/>
        </w:rPr>
        <w:t xml:space="preserve"> In the recent enhancement of MELCOR, the catch pan temperature was divided into two regions </w:t>
      </w:r>
      <w:r w:rsidR="00F57752">
        <w:rPr>
          <w:sz w:val="20"/>
        </w:rPr>
        <w:t xml:space="preserve">corresponding to </w:t>
      </w:r>
      <w:r w:rsidR="00067B28">
        <w:rPr>
          <w:sz w:val="20"/>
        </w:rPr>
        <w:t xml:space="preserve">under the pool and </w:t>
      </w:r>
      <w:r w:rsidR="00534A5C">
        <w:rPr>
          <w:sz w:val="20"/>
        </w:rPr>
        <w:t>outside the pool</w:t>
      </w:r>
      <w:r w:rsidR="003D01F9">
        <w:rPr>
          <w:sz w:val="20"/>
        </w:rPr>
        <w:t xml:space="preserve">. </w:t>
      </w:r>
      <w:r w:rsidR="00067B28">
        <w:rPr>
          <w:sz w:val="20"/>
        </w:rPr>
        <w:t xml:space="preserve"> As the result of this model improvement, the pool combustion rate and temperature correspond reasonably with the results of SPHINCS</w:t>
      </w:r>
      <w:r w:rsidR="004F73EA">
        <w:rPr>
          <w:sz w:val="20"/>
        </w:rPr>
        <w:t>,</w:t>
      </w:r>
      <w:r w:rsidR="00067B28">
        <w:rPr>
          <w:sz w:val="20"/>
        </w:rPr>
        <w:t xml:space="preserve"> which has </w:t>
      </w:r>
      <w:r w:rsidR="00F57752">
        <w:rPr>
          <w:sz w:val="20"/>
        </w:rPr>
        <w:t>a</w:t>
      </w:r>
      <w:r w:rsidR="00067B28">
        <w:rPr>
          <w:sz w:val="20"/>
        </w:rPr>
        <w:t xml:space="preserve"> 2D heat transfer model for the radial and depth directions. </w:t>
      </w:r>
    </w:p>
    <w:p w14:paraId="4E29C41C" w14:textId="1A9C735C" w:rsidR="00E155E7" w:rsidRPr="00C17BC8" w:rsidRDefault="00E155E7" w:rsidP="006C7276">
      <w:pPr>
        <w:pStyle w:val="Abstracttext"/>
        <w:jc w:val="center"/>
        <w:rPr>
          <w:sz w:val="20"/>
        </w:rPr>
      </w:pPr>
      <w:r>
        <w:rPr>
          <w:noProof/>
          <w:sz w:val="20"/>
          <w:lang w:eastAsia="ja-JP"/>
        </w:rPr>
        <w:drawing>
          <wp:inline distT="0" distB="0" distL="0" distR="0" wp14:anchorId="68C4C1EA" wp14:editId="651D9D14">
            <wp:extent cx="2470217" cy="2731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13" cy="2736531"/>
                    </a:xfrm>
                    <a:prstGeom prst="rect">
                      <a:avLst/>
                    </a:prstGeom>
                    <a:noFill/>
                  </pic:spPr>
                </pic:pic>
              </a:graphicData>
            </a:graphic>
          </wp:inline>
        </w:drawing>
      </w:r>
    </w:p>
    <w:p w14:paraId="3F843193" w14:textId="0196218C" w:rsidR="00E94578" w:rsidRPr="003F1E87" w:rsidRDefault="003F1E87" w:rsidP="003F1E87">
      <w:pPr>
        <w:pStyle w:val="Abstracttext"/>
        <w:jc w:val="center"/>
        <w:rPr>
          <w:i/>
          <w:iCs/>
        </w:rPr>
      </w:pPr>
      <w:r w:rsidRPr="003F1E87">
        <w:rPr>
          <w:i/>
          <w:iCs/>
        </w:rPr>
        <w:t xml:space="preserve">FIG. </w:t>
      </w:r>
      <w:r w:rsidR="00E155E7">
        <w:rPr>
          <w:i/>
          <w:iCs/>
        </w:rPr>
        <w:t>2</w:t>
      </w:r>
      <w:r w:rsidRPr="003F1E87">
        <w:rPr>
          <w:i/>
          <w:iCs/>
        </w:rPr>
        <w:t>.</w:t>
      </w:r>
      <w:r w:rsidR="00E155E7" w:rsidRPr="00E155E7">
        <w:t xml:space="preserve"> </w:t>
      </w:r>
      <w:r w:rsidR="00E155E7" w:rsidRPr="00E155E7">
        <w:rPr>
          <w:i/>
          <w:iCs/>
        </w:rPr>
        <w:t>MELCOR and SPHINCS representation of test chamber</w:t>
      </w:r>
      <w:r w:rsidR="00E155E7">
        <w:rPr>
          <w:i/>
          <w:iCs/>
        </w:rPr>
        <w:t xml:space="preserve"> in the </w:t>
      </w:r>
      <w:r w:rsidR="00E155E7" w:rsidRPr="003F1E87">
        <w:rPr>
          <w:i/>
          <w:iCs/>
        </w:rPr>
        <w:t>JAEA’s</w:t>
      </w:r>
      <w:r w:rsidRPr="003F1E87">
        <w:rPr>
          <w:i/>
          <w:iCs/>
        </w:rPr>
        <w:t xml:space="preserve"> F7 Series 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22B66" w14:paraId="691D7AEB" w14:textId="77777777" w:rsidTr="006A5E28">
        <w:tc>
          <w:tcPr>
            <w:tcW w:w="4508" w:type="dxa"/>
          </w:tcPr>
          <w:p w14:paraId="18869845" w14:textId="2C0762D7" w:rsidR="0024724D" w:rsidRDefault="00022B66" w:rsidP="0024724D">
            <w:pPr>
              <w:pStyle w:val="Abstracttext"/>
              <w:ind w:firstLine="0"/>
              <w:jc w:val="center"/>
            </w:pPr>
            <w:r w:rsidRPr="00022B66">
              <w:rPr>
                <w:noProof/>
                <w:lang w:eastAsia="ja-JP"/>
              </w:rPr>
              <w:lastRenderedPageBreak/>
              <w:drawing>
                <wp:inline distT="0" distB="0" distL="0" distR="0" wp14:anchorId="2649826B" wp14:editId="0BC39927">
                  <wp:extent cx="2700000" cy="1795238"/>
                  <wp:effectExtent l="0" t="0" r="571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00" cy="1795238"/>
                          </a:xfrm>
                          <a:prstGeom prst="rect">
                            <a:avLst/>
                          </a:prstGeom>
                          <a:noFill/>
                          <a:ln>
                            <a:noFill/>
                          </a:ln>
                        </pic:spPr>
                      </pic:pic>
                    </a:graphicData>
                  </a:graphic>
                </wp:inline>
              </w:drawing>
            </w:r>
          </w:p>
        </w:tc>
        <w:tc>
          <w:tcPr>
            <w:tcW w:w="4509" w:type="dxa"/>
          </w:tcPr>
          <w:p w14:paraId="7E8C581E" w14:textId="73D9BE80" w:rsidR="0024724D" w:rsidRDefault="000748D9" w:rsidP="0024724D">
            <w:pPr>
              <w:pStyle w:val="Abstracttext"/>
              <w:ind w:firstLine="0"/>
              <w:jc w:val="center"/>
            </w:pPr>
            <w:r w:rsidRPr="00C175E7">
              <w:rPr>
                <w:noProof/>
                <w:lang w:eastAsia="ja-JP"/>
              </w:rPr>
              <w:drawing>
                <wp:inline distT="0" distB="0" distL="0" distR="0" wp14:anchorId="24EED31E" wp14:editId="33A7043F">
                  <wp:extent cx="2700000" cy="1795236"/>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000" cy="1795236"/>
                          </a:xfrm>
                          <a:prstGeom prst="rect">
                            <a:avLst/>
                          </a:prstGeom>
                          <a:noFill/>
                          <a:ln>
                            <a:noFill/>
                          </a:ln>
                        </pic:spPr>
                      </pic:pic>
                    </a:graphicData>
                  </a:graphic>
                </wp:inline>
              </w:drawing>
            </w:r>
          </w:p>
        </w:tc>
      </w:tr>
      <w:tr w:rsidR="00022B66" w14:paraId="4FFBAD3B" w14:textId="77777777" w:rsidTr="006A5E28">
        <w:tc>
          <w:tcPr>
            <w:tcW w:w="4508" w:type="dxa"/>
          </w:tcPr>
          <w:p w14:paraId="2B018BAC" w14:textId="6E51C9AC" w:rsidR="0024724D" w:rsidRPr="006A5E28" w:rsidRDefault="003F1E87" w:rsidP="0024724D">
            <w:pPr>
              <w:pStyle w:val="Abstracttext"/>
              <w:ind w:firstLine="0"/>
              <w:jc w:val="center"/>
              <w:rPr>
                <w:i/>
                <w:iCs/>
              </w:rPr>
            </w:pPr>
            <w:r w:rsidRPr="006A5E28">
              <w:rPr>
                <w:i/>
                <w:iCs/>
              </w:rPr>
              <w:t xml:space="preserve">(a) F7-1 </w:t>
            </w:r>
          </w:p>
        </w:tc>
        <w:tc>
          <w:tcPr>
            <w:tcW w:w="4509" w:type="dxa"/>
          </w:tcPr>
          <w:p w14:paraId="75581A73" w14:textId="5F859B44" w:rsidR="0024724D" w:rsidRPr="006A5E28" w:rsidRDefault="003F1E87" w:rsidP="00477FDB">
            <w:pPr>
              <w:pStyle w:val="Abstracttext"/>
              <w:ind w:firstLine="0"/>
              <w:jc w:val="center"/>
              <w:rPr>
                <w:i/>
                <w:iCs/>
              </w:rPr>
            </w:pPr>
            <w:r w:rsidRPr="006A5E28">
              <w:rPr>
                <w:i/>
                <w:iCs/>
              </w:rPr>
              <w:t>(b) F7-</w:t>
            </w:r>
            <w:r w:rsidR="00477FDB">
              <w:rPr>
                <w:i/>
                <w:iCs/>
              </w:rPr>
              <w:t>2</w:t>
            </w:r>
          </w:p>
        </w:tc>
      </w:tr>
    </w:tbl>
    <w:p w14:paraId="409A9304" w14:textId="7791984D" w:rsidR="0024724D" w:rsidRPr="006A5E28" w:rsidRDefault="003F1E87" w:rsidP="003F1E87">
      <w:pPr>
        <w:pStyle w:val="Abstracttext"/>
        <w:ind w:firstLine="0"/>
        <w:jc w:val="center"/>
        <w:rPr>
          <w:i/>
          <w:iCs/>
        </w:rPr>
      </w:pPr>
      <w:r w:rsidRPr="006A5E28">
        <w:rPr>
          <w:i/>
          <w:iCs/>
        </w:rPr>
        <w:t xml:space="preserve">FIG. </w:t>
      </w:r>
      <w:r w:rsidR="00E155E7">
        <w:rPr>
          <w:i/>
          <w:iCs/>
        </w:rPr>
        <w:t>3</w:t>
      </w:r>
      <w:r w:rsidRPr="006A5E28">
        <w:rPr>
          <w:i/>
          <w:iCs/>
        </w:rPr>
        <w:t>. Pool combustion rate results</w:t>
      </w:r>
    </w:p>
    <w:p w14:paraId="3A345D1E" w14:textId="77777777" w:rsidR="003F1E87" w:rsidRDefault="003F1E87" w:rsidP="0024724D">
      <w:pPr>
        <w:pStyle w:val="Abstracttext"/>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24724D" w14:paraId="22B43F82" w14:textId="77777777" w:rsidTr="006A5E28">
        <w:tc>
          <w:tcPr>
            <w:tcW w:w="4508" w:type="dxa"/>
          </w:tcPr>
          <w:p w14:paraId="45B202D0" w14:textId="362C73DD" w:rsidR="0024724D" w:rsidRDefault="000748D9" w:rsidP="0024724D">
            <w:pPr>
              <w:pStyle w:val="Abstracttext"/>
              <w:ind w:firstLine="0"/>
              <w:jc w:val="center"/>
            </w:pPr>
            <w:r w:rsidRPr="00022B66">
              <w:rPr>
                <w:noProof/>
                <w:lang w:eastAsia="ja-JP"/>
              </w:rPr>
              <w:drawing>
                <wp:inline distT="0" distB="0" distL="0" distR="0" wp14:anchorId="6265C019" wp14:editId="17CED8C9">
                  <wp:extent cx="2700000" cy="1795237"/>
                  <wp:effectExtent l="0" t="0" r="571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1795237"/>
                          </a:xfrm>
                          <a:prstGeom prst="rect">
                            <a:avLst/>
                          </a:prstGeom>
                          <a:noFill/>
                          <a:ln>
                            <a:noFill/>
                          </a:ln>
                        </pic:spPr>
                      </pic:pic>
                    </a:graphicData>
                  </a:graphic>
                </wp:inline>
              </w:drawing>
            </w:r>
          </w:p>
        </w:tc>
        <w:tc>
          <w:tcPr>
            <w:tcW w:w="4509" w:type="dxa"/>
          </w:tcPr>
          <w:p w14:paraId="5922AF84" w14:textId="429E9E2C" w:rsidR="0024724D" w:rsidRDefault="00C175E7" w:rsidP="0024724D">
            <w:pPr>
              <w:pStyle w:val="Abstracttext"/>
              <w:ind w:firstLine="0"/>
              <w:jc w:val="center"/>
            </w:pPr>
            <w:r w:rsidRPr="00C175E7">
              <w:rPr>
                <w:noProof/>
                <w:lang w:eastAsia="ja-JP"/>
              </w:rPr>
              <w:drawing>
                <wp:inline distT="0" distB="0" distL="0" distR="0" wp14:anchorId="1F281851" wp14:editId="60177134">
                  <wp:extent cx="2700000" cy="1795238"/>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1795238"/>
                          </a:xfrm>
                          <a:prstGeom prst="rect">
                            <a:avLst/>
                          </a:prstGeom>
                          <a:noFill/>
                          <a:ln>
                            <a:noFill/>
                          </a:ln>
                        </pic:spPr>
                      </pic:pic>
                    </a:graphicData>
                  </a:graphic>
                </wp:inline>
              </w:drawing>
            </w:r>
          </w:p>
        </w:tc>
      </w:tr>
      <w:tr w:rsidR="0024724D" w14:paraId="2BE2A890" w14:textId="77777777" w:rsidTr="006A5E28">
        <w:tc>
          <w:tcPr>
            <w:tcW w:w="4508" w:type="dxa"/>
          </w:tcPr>
          <w:p w14:paraId="77F52EEC" w14:textId="7B2A4511" w:rsidR="0024724D" w:rsidRPr="006A5E28" w:rsidRDefault="003F1E87" w:rsidP="0024724D">
            <w:pPr>
              <w:pStyle w:val="Abstracttext"/>
              <w:ind w:firstLine="0"/>
              <w:jc w:val="center"/>
              <w:rPr>
                <w:i/>
                <w:iCs/>
              </w:rPr>
            </w:pPr>
            <w:r w:rsidRPr="006A5E28">
              <w:rPr>
                <w:i/>
                <w:iCs/>
              </w:rPr>
              <w:t>(a) F7-1</w:t>
            </w:r>
          </w:p>
        </w:tc>
        <w:tc>
          <w:tcPr>
            <w:tcW w:w="4509" w:type="dxa"/>
          </w:tcPr>
          <w:p w14:paraId="141605A1" w14:textId="65A1C65B" w:rsidR="0024724D" w:rsidRPr="006A5E28" w:rsidRDefault="003F1E87" w:rsidP="0024724D">
            <w:pPr>
              <w:pStyle w:val="Abstracttext"/>
              <w:ind w:firstLine="0"/>
              <w:jc w:val="center"/>
              <w:rPr>
                <w:i/>
                <w:iCs/>
              </w:rPr>
            </w:pPr>
            <w:r w:rsidRPr="006A5E28">
              <w:rPr>
                <w:i/>
                <w:iCs/>
              </w:rPr>
              <w:t>(b) F7-2</w:t>
            </w:r>
          </w:p>
        </w:tc>
      </w:tr>
    </w:tbl>
    <w:p w14:paraId="61B47D13" w14:textId="5F14DA87" w:rsidR="0024724D" w:rsidRPr="006A5E28" w:rsidRDefault="003F1E87" w:rsidP="003F1E87">
      <w:pPr>
        <w:pStyle w:val="Abstracttext"/>
        <w:ind w:firstLine="0"/>
        <w:jc w:val="center"/>
        <w:rPr>
          <w:i/>
          <w:iCs/>
        </w:rPr>
      </w:pPr>
      <w:r w:rsidRPr="006A5E28">
        <w:rPr>
          <w:i/>
          <w:iCs/>
        </w:rPr>
        <w:t xml:space="preserve">FIG. </w:t>
      </w:r>
      <w:r w:rsidR="00E155E7">
        <w:rPr>
          <w:i/>
          <w:iCs/>
        </w:rPr>
        <w:t>4</w:t>
      </w:r>
      <w:r w:rsidRPr="006A5E28">
        <w:rPr>
          <w:i/>
          <w:iCs/>
        </w:rPr>
        <w:t>. Pool temperature result</w:t>
      </w:r>
      <w:r w:rsidR="0079028E">
        <w:rPr>
          <w:i/>
          <w:iCs/>
        </w:rPr>
        <w:t xml:space="preserve"> (</w:t>
      </w:r>
      <w:r w:rsidR="00F762D0">
        <w:rPr>
          <w:i/>
          <w:iCs/>
        </w:rPr>
        <w:t>r in the legend is the radial distance measured from the pool center</w:t>
      </w:r>
      <w:r w:rsidR="0079028E">
        <w:rPr>
          <w:i/>
          <w:iCs/>
        </w:rPr>
        <w:t>)</w:t>
      </w:r>
    </w:p>
    <w:p w14:paraId="6F60E127" w14:textId="77777777" w:rsidR="00901B61" w:rsidRDefault="00901B61" w:rsidP="00901B61">
      <w:pPr>
        <w:pStyle w:val="Abstracttext"/>
      </w:pPr>
    </w:p>
    <w:p w14:paraId="337667B0" w14:textId="70C3A4C5" w:rsidR="00901B61" w:rsidRPr="00901B61" w:rsidRDefault="00901B61" w:rsidP="00901B61">
      <w:pPr>
        <w:pStyle w:val="Abstracttext"/>
      </w:pPr>
      <w:r w:rsidRPr="00901B61">
        <w:t>The difference in the peak of the combustion rate is mainly caused by the different pool spreading models in the two codes. Once the pool area reaches the maximum value specified in the input deck in SPHINCS</w:t>
      </w:r>
      <w:r w:rsidRPr="00901B61">
        <w:rPr>
          <w:rFonts w:hint="eastAsia"/>
        </w:rPr>
        <w:t>,</w:t>
      </w:r>
      <w:r w:rsidRPr="00901B61">
        <w:t xml:space="preserve"> the pool spreading stops suddenly. Therefore, the pool combustion rate in SPHINCS has a sharp peak. Because the pool spreading in MELCOR becomes slower in proportion to the amount of the oxide on the pool as shown in Equations (2) and (3), the pool combustion rate in MELCOR changes gradually.</w:t>
      </w:r>
    </w:p>
    <w:p w14:paraId="60749FE8" w14:textId="27559A3B" w:rsidR="00901B61" w:rsidRPr="00901B61" w:rsidRDefault="00901B61" w:rsidP="00901B61">
      <w:pPr>
        <w:pStyle w:val="Abstracttext"/>
      </w:pPr>
      <w:r w:rsidRPr="00901B61">
        <w:rPr>
          <w:rFonts w:hint="eastAsia"/>
        </w:rPr>
        <w:t>T</w:t>
      </w:r>
      <w:r w:rsidRPr="00901B61">
        <w:t xml:space="preserve">he pool combustion rate decreases rapidly after the </w:t>
      </w:r>
      <w:r w:rsidR="00F57752">
        <w:t xml:space="preserve">end of the sodium </w:t>
      </w:r>
      <w:r w:rsidRPr="00901B61">
        <w:t xml:space="preserve">discharge </w:t>
      </w:r>
      <w:r w:rsidR="00F57752">
        <w:t xml:space="preserve">phase </w:t>
      </w:r>
      <w:r w:rsidRPr="00901B61">
        <w:t xml:space="preserve">in the tests. This is caused by oxide layer build-up on the pool surface. Although both codes have the model for the pool combustion suppression due to the oxide, its modeling is still being refined. Consequently, additional modeling improvements after the discharge may be needed. </w:t>
      </w:r>
    </w:p>
    <w:p w14:paraId="7527605E" w14:textId="60A9B17F" w:rsidR="00901B61" w:rsidRDefault="00901B61" w:rsidP="00901B61">
      <w:pPr>
        <w:pStyle w:val="Abstracttext"/>
      </w:pPr>
      <w:r w:rsidRPr="00901B61">
        <w:t xml:space="preserve">The aerosol concentration results are depicted in Fig. 5. Additional enhancement </w:t>
      </w:r>
      <w:r w:rsidR="00F57752">
        <w:t>of</w:t>
      </w:r>
      <w:r w:rsidR="00F57752" w:rsidRPr="00901B61">
        <w:t xml:space="preserve"> </w:t>
      </w:r>
      <w:r w:rsidRPr="00901B61">
        <w:t xml:space="preserve">the aerosol prediction based on the combustion and oxide build-up may be needed. During sodium discharge, the calculated aerosol concentration is smaller than the test data. One effective improvement would be </w:t>
      </w:r>
      <w:r w:rsidR="00577403">
        <w:t xml:space="preserve">adding </w:t>
      </w:r>
      <w:r w:rsidR="00B40E21">
        <w:t xml:space="preserve">a realistic </w:t>
      </w:r>
      <w:r w:rsidR="00577403">
        <w:t xml:space="preserve">oxide buildup </w:t>
      </w:r>
      <w:r w:rsidR="00B40E21">
        <w:t xml:space="preserve">model </w:t>
      </w:r>
      <w:r w:rsidR="00577403">
        <w:t xml:space="preserve">that could influence the oxygen diffusion to the pool to react with </w:t>
      </w:r>
      <w:r w:rsidR="00B40E21">
        <w:t xml:space="preserve">the liquid </w:t>
      </w:r>
      <w:r w:rsidR="00577403">
        <w:t xml:space="preserve">sodium.  Currently, the oxide buildup as fraction of sodium aerosol remained in the pool is </w:t>
      </w:r>
      <w:r w:rsidR="00F21CBC">
        <w:t>given,</w:t>
      </w:r>
      <w:r w:rsidRPr="00901B61">
        <w:t xml:space="preserve"> as the constant parameter in both codes. The overestimation </w:t>
      </w:r>
      <w:r w:rsidR="00C63FC7">
        <w:t xml:space="preserve">of the airborne aerosol concentration </w:t>
      </w:r>
      <w:r w:rsidRPr="00901B61">
        <w:t xml:space="preserve">after the </w:t>
      </w:r>
      <w:r w:rsidR="00C63FC7">
        <w:t xml:space="preserve">end of the sodium </w:t>
      </w:r>
      <w:r w:rsidRPr="00901B61">
        <w:t xml:space="preserve">discharge </w:t>
      </w:r>
      <w:r w:rsidR="00C63FC7">
        <w:t xml:space="preserve">may </w:t>
      </w:r>
      <w:r w:rsidRPr="00901B61">
        <w:t xml:space="preserve">be resolved </w:t>
      </w:r>
      <w:r w:rsidR="00C63FC7">
        <w:t xml:space="preserve">through improvements in the oxide layer modeling and its effect on the pool combustion rate.  </w:t>
      </w:r>
      <w:r w:rsidR="00B40E21">
        <w:t>At the beginning of the pool combustion, very little sodium aerosol remains in the pool which leads to more suspended aerosol.  As more accumulation of sodium aerosol in the pool that forms an oxide layer could reduce the oxygen to diffuse the layer to react the sodium underneath.  Thus, t</w:t>
      </w:r>
      <w:r w:rsidR="00C63FC7">
        <w:t>he aerosol generation rate is directly impacted to combustion rate, which was also too high during this phase</w:t>
      </w:r>
      <w:r w:rsidRPr="00901B61">
        <w:t>.</w:t>
      </w:r>
      <w:r w:rsidR="00B40E21">
        <w:t xml:space="preserve">  </w:t>
      </w:r>
    </w:p>
    <w:p w14:paraId="12B30BF9" w14:textId="79DF03AE" w:rsidR="00901B61" w:rsidRDefault="00901B61">
      <w:pPr>
        <w:overflowPunct/>
        <w:autoSpaceDE/>
        <w:autoSpaceDN/>
        <w:adjustRightInd/>
        <w:textAlignment w:val="auto"/>
        <w:rPr>
          <w:sz w:val="18"/>
          <w:lang w:val="en-US"/>
        </w:rPr>
      </w:pPr>
      <w:r>
        <w:br w:type="page"/>
      </w:r>
    </w:p>
    <w:p w14:paraId="7B9D1B33" w14:textId="77777777" w:rsidR="00901B61" w:rsidRPr="00901B61" w:rsidRDefault="00901B61" w:rsidP="00901B61">
      <w:pPr>
        <w:pStyle w:val="Abstract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748D9" w14:paraId="121AB454" w14:textId="77777777" w:rsidTr="006A5E28">
        <w:tc>
          <w:tcPr>
            <w:tcW w:w="4508" w:type="dxa"/>
          </w:tcPr>
          <w:p w14:paraId="7B524D34" w14:textId="2A1A4F4D" w:rsidR="000748D9" w:rsidRDefault="000748D9" w:rsidP="006839E1">
            <w:pPr>
              <w:pStyle w:val="Abstracttext"/>
              <w:ind w:firstLine="0"/>
              <w:jc w:val="center"/>
            </w:pPr>
            <w:r w:rsidRPr="000748D9">
              <w:rPr>
                <w:noProof/>
                <w:lang w:eastAsia="ja-JP"/>
              </w:rPr>
              <w:drawing>
                <wp:inline distT="0" distB="0" distL="0" distR="0" wp14:anchorId="5E0EBA33" wp14:editId="0D05369E">
                  <wp:extent cx="2700000" cy="1785638"/>
                  <wp:effectExtent l="0" t="0" r="5715"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00" cy="1785638"/>
                          </a:xfrm>
                          <a:prstGeom prst="rect">
                            <a:avLst/>
                          </a:prstGeom>
                          <a:noFill/>
                          <a:ln>
                            <a:noFill/>
                          </a:ln>
                        </pic:spPr>
                      </pic:pic>
                    </a:graphicData>
                  </a:graphic>
                </wp:inline>
              </w:drawing>
            </w:r>
          </w:p>
        </w:tc>
        <w:tc>
          <w:tcPr>
            <w:tcW w:w="4509" w:type="dxa"/>
          </w:tcPr>
          <w:p w14:paraId="1F68CA04" w14:textId="50051D7E" w:rsidR="000748D9" w:rsidRDefault="000748D9" w:rsidP="006839E1">
            <w:pPr>
              <w:pStyle w:val="Abstracttext"/>
              <w:ind w:firstLine="0"/>
              <w:jc w:val="center"/>
            </w:pPr>
            <w:r w:rsidRPr="000748D9">
              <w:rPr>
                <w:noProof/>
                <w:lang w:eastAsia="ja-JP"/>
              </w:rPr>
              <w:drawing>
                <wp:inline distT="0" distB="0" distL="0" distR="0" wp14:anchorId="081608E2" wp14:editId="1788F361">
                  <wp:extent cx="2700000" cy="1785638"/>
                  <wp:effectExtent l="0" t="0" r="5715"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1785638"/>
                          </a:xfrm>
                          <a:prstGeom prst="rect">
                            <a:avLst/>
                          </a:prstGeom>
                          <a:noFill/>
                          <a:ln>
                            <a:noFill/>
                          </a:ln>
                        </pic:spPr>
                      </pic:pic>
                    </a:graphicData>
                  </a:graphic>
                </wp:inline>
              </w:drawing>
            </w:r>
          </w:p>
        </w:tc>
      </w:tr>
      <w:tr w:rsidR="000748D9" w:rsidRPr="006A5E28" w14:paraId="4CFD24D9" w14:textId="77777777" w:rsidTr="006A5E28">
        <w:tc>
          <w:tcPr>
            <w:tcW w:w="4508" w:type="dxa"/>
          </w:tcPr>
          <w:p w14:paraId="2584A8D3" w14:textId="66C67040" w:rsidR="000748D9" w:rsidRPr="006A5E28" w:rsidRDefault="003F1E87" w:rsidP="006839E1">
            <w:pPr>
              <w:pStyle w:val="Abstracttext"/>
              <w:ind w:firstLine="0"/>
              <w:jc w:val="center"/>
              <w:rPr>
                <w:i/>
                <w:iCs/>
              </w:rPr>
            </w:pPr>
            <w:r w:rsidRPr="006A5E28">
              <w:rPr>
                <w:i/>
                <w:iCs/>
              </w:rPr>
              <w:t>(a) F7-1</w:t>
            </w:r>
          </w:p>
        </w:tc>
        <w:tc>
          <w:tcPr>
            <w:tcW w:w="4509" w:type="dxa"/>
          </w:tcPr>
          <w:p w14:paraId="6D4D63DE" w14:textId="64FD986B" w:rsidR="000748D9" w:rsidRPr="006A5E28" w:rsidRDefault="003F1E87" w:rsidP="006839E1">
            <w:pPr>
              <w:pStyle w:val="Abstracttext"/>
              <w:ind w:firstLine="0"/>
              <w:jc w:val="center"/>
              <w:rPr>
                <w:i/>
                <w:iCs/>
              </w:rPr>
            </w:pPr>
            <w:r w:rsidRPr="006A5E28">
              <w:rPr>
                <w:i/>
                <w:iCs/>
              </w:rPr>
              <w:t>(b) F7-2</w:t>
            </w:r>
          </w:p>
        </w:tc>
      </w:tr>
    </w:tbl>
    <w:p w14:paraId="680DDF90" w14:textId="5BFF8CB5" w:rsidR="006309AA" w:rsidRPr="006A5E28" w:rsidRDefault="003F1E87" w:rsidP="003F1E87">
      <w:pPr>
        <w:pStyle w:val="Abstracttext"/>
        <w:ind w:firstLine="0"/>
        <w:jc w:val="center"/>
        <w:rPr>
          <w:i/>
          <w:iCs/>
        </w:rPr>
      </w:pPr>
      <w:r w:rsidRPr="006A5E28">
        <w:rPr>
          <w:i/>
          <w:iCs/>
        </w:rPr>
        <w:t xml:space="preserve">FIG. </w:t>
      </w:r>
      <w:r w:rsidR="00E155E7">
        <w:rPr>
          <w:i/>
          <w:iCs/>
        </w:rPr>
        <w:t>5</w:t>
      </w:r>
      <w:r w:rsidRPr="006A5E28">
        <w:rPr>
          <w:i/>
          <w:iCs/>
        </w:rPr>
        <w:t>. Aerosol concentration results</w:t>
      </w:r>
    </w:p>
    <w:p w14:paraId="2FF81792" w14:textId="77777777" w:rsidR="00C175E7" w:rsidRDefault="00C175E7" w:rsidP="00C175E7">
      <w:pPr>
        <w:pStyle w:val="Abstracttext"/>
      </w:pPr>
    </w:p>
    <w:p w14:paraId="4A72BC1B" w14:textId="0CF7BED7" w:rsidR="00F62776" w:rsidRPr="008872A7" w:rsidRDefault="00C175E7" w:rsidP="00534A5C">
      <w:pPr>
        <w:pStyle w:val="Heading2"/>
        <w:numPr>
          <w:ilvl w:val="1"/>
          <w:numId w:val="14"/>
        </w:numPr>
        <w:ind w:left="0"/>
      </w:pPr>
      <w:r>
        <w:rPr>
          <w:lang w:eastAsia="ja-JP"/>
        </w:rPr>
        <w:t>CONCLUSION</w:t>
      </w:r>
    </w:p>
    <w:p w14:paraId="5083E5E6" w14:textId="31FF25F3" w:rsidR="00E94578" w:rsidRDefault="00490974" w:rsidP="006A5E28">
      <w:pPr>
        <w:pStyle w:val="Abstracttext"/>
        <w:jc w:val="both"/>
      </w:pPr>
      <w:r w:rsidRPr="00C17BC8">
        <w:rPr>
          <w:sz w:val="20"/>
        </w:rPr>
        <w:t>This study enabled us to develop the</w:t>
      </w:r>
      <w:r w:rsidR="00E94578" w:rsidRPr="00C17BC8">
        <w:rPr>
          <w:sz w:val="20"/>
        </w:rPr>
        <w:t xml:space="preserve"> enhancements</w:t>
      </w:r>
      <w:r w:rsidR="001843F1">
        <w:rPr>
          <w:sz w:val="20"/>
        </w:rPr>
        <w:t>,</w:t>
      </w:r>
      <w:r w:rsidR="00E94578" w:rsidRPr="00C17BC8">
        <w:rPr>
          <w:sz w:val="20"/>
        </w:rPr>
        <w:t xml:space="preserve"> </w:t>
      </w:r>
      <w:r w:rsidRPr="00C17BC8">
        <w:rPr>
          <w:sz w:val="20"/>
        </w:rPr>
        <w:t xml:space="preserve">which </w:t>
      </w:r>
      <w:r w:rsidR="00E94578" w:rsidRPr="00C17BC8">
        <w:rPr>
          <w:sz w:val="20"/>
        </w:rPr>
        <w:t xml:space="preserve">establish a refined means to characterize key phenomena observed in the sodium pool fire experiments. With these enhancements, both MELCOR and SPHINCS </w:t>
      </w:r>
      <w:r w:rsidR="00A81419">
        <w:rPr>
          <w:sz w:val="20"/>
        </w:rPr>
        <w:t>can</w:t>
      </w:r>
      <w:r w:rsidR="00E94578" w:rsidRPr="00C17BC8">
        <w:rPr>
          <w:sz w:val="20"/>
        </w:rPr>
        <w:t xml:space="preserve"> capture the F7-1 and F7-2 experimental data well</w:t>
      </w:r>
      <w:r w:rsidRPr="00C17BC8">
        <w:rPr>
          <w:sz w:val="20"/>
        </w:rPr>
        <w:t xml:space="preserve"> in the area of thermal hydraulics</w:t>
      </w:r>
      <w:r w:rsidR="00E94578" w:rsidRPr="00C17BC8">
        <w:rPr>
          <w:sz w:val="20"/>
        </w:rPr>
        <w:t xml:space="preserve">. In addition, to the assessment of the sodium pool fire dynamics, additional analysis </w:t>
      </w:r>
      <w:r w:rsidR="001843F1">
        <w:rPr>
          <w:sz w:val="20"/>
        </w:rPr>
        <w:t xml:space="preserve">of the </w:t>
      </w:r>
      <w:r w:rsidR="00E94578" w:rsidRPr="00C17BC8">
        <w:rPr>
          <w:sz w:val="20"/>
        </w:rPr>
        <w:t>sodium fire aerosol generation is reported in this validation study. Despite limited experimental data being available, the relevant sodium aerosol generation trends are characterized to develop insights of relevance to the design of future experimental campaigns.</w:t>
      </w:r>
    </w:p>
    <w:p w14:paraId="433FE095" w14:textId="77777777" w:rsidR="00285755" w:rsidRDefault="00285755" w:rsidP="00537496">
      <w:pPr>
        <w:pStyle w:val="Otherunnumberedheadings"/>
      </w:pPr>
      <w:r w:rsidRPr="00285755">
        <w:t>ACKNOWLEDGEMENTS</w:t>
      </w:r>
    </w:p>
    <w:p w14:paraId="433FE096" w14:textId="320E2B1F" w:rsidR="00D26ADA" w:rsidRPr="006A5E28" w:rsidRDefault="00490974" w:rsidP="00537496">
      <w:pPr>
        <w:pStyle w:val="BodyText"/>
      </w:pPr>
      <w:r>
        <w:t xml:space="preserve">This study </w:t>
      </w:r>
      <w:r w:rsidR="00A81419">
        <w:t>would not be</w:t>
      </w:r>
      <w:r>
        <w:t xml:space="preserve"> possible without the CNWG framework between the U.S. and Japan </w:t>
      </w:r>
      <w:r w:rsidR="00A81419">
        <w:t xml:space="preserve">that </w:t>
      </w:r>
      <w:r>
        <w:t>allows SNL and JAEA to collaborate this sodium fire research.</w:t>
      </w:r>
      <w:r w:rsidR="00927E79">
        <w:t xml:space="preserve"> </w:t>
      </w:r>
      <w:r w:rsidR="006A5E28" w:rsidRPr="006A5E28">
        <w:t>SNL is managed and operated by National Technology and Engineering Solutions of Sandia, LLC for U.S. DOE/NNSA under contract DE-NA0003525. This work is supported by DOE Work Package: AT-</w:t>
      </w:r>
      <w:r w:rsidR="001865D0" w:rsidRPr="001865D0">
        <w:t xml:space="preserve"> 22SN040304</w:t>
      </w:r>
      <w:r w:rsidR="006A5E28" w:rsidRPr="006A5E28">
        <w:t>.</w:t>
      </w:r>
      <w:r w:rsidR="00927E79">
        <w:t xml:space="preserve"> </w:t>
      </w:r>
    </w:p>
    <w:p w14:paraId="433FE097" w14:textId="404D9ADF" w:rsidR="00D26ADA" w:rsidRDefault="00D26ADA" w:rsidP="00537496">
      <w:pPr>
        <w:pStyle w:val="Otherunnumberedheadings"/>
      </w:pPr>
      <w:r>
        <w:t>References</w:t>
      </w:r>
    </w:p>
    <w:p w14:paraId="0575093A" w14:textId="1153F06F" w:rsidR="007F4AD4" w:rsidRPr="007F4AD4" w:rsidRDefault="007F4AD4">
      <w:pPr>
        <w:overflowPunct/>
        <w:autoSpaceDE/>
        <w:autoSpaceDN/>
        <w:adjustRightInd/>
        <w:spacing w:line="260" w:lineRule="atLeast"/>
        <w:ind w:left="720" w:hanging="360"/>
        <w:contextualSpacing/>
        <w:jc w:val="both"/>
        <w:textAlignment w:val="auto"/>
        <w:rPr>
          <w:sz w:val="18"/>
          <w:szCs w:val="18"/>
        </w:rPr>
      </w:pPr>
      <w:r>
        <w:rPr>
          <w:sz w:val="18"/>
          <w:szCs w:val="18"/>
        </w:rPr>
        <w:t xml:space="preserve">[1] </w:t>
      </w:r>
      <w:r w:rsidRPr="007F4AD4">
        <w:rPr>
          <w:sz w:val="18"/>
          <w:szCs w:val="18"/>
        </w:rPr>
        <w:t>Louie, D.L.Y., and Aoyagi, M., Sodium Fire Collaborative Study Progress–CNWG Fiscal Year 2020, SAND2021-0136, Sandia National Laboratories, Albuquerque, NM January 2021.</w:t>
      </w:r>
    </w:p>
    <w:p w14:paraId="75EFA63F" w14:textId="2CBDAAD2" w:rsidR="007F4AD4" w:rsidRPr="007F4AD4" w:rsidRDefault="007F4AD4" w:rsidP="007F4AD4">
      <w:pPr>
        <w:overflowPunct/>
        <w:autoSpaceDE/>
        <w:autoSpaceDN/>
        <w:adjustRightInd/>
        <w:spacing w:line="260" w:lineRule="atLeast"/>
        <w:ind w:left="720" w:hanging="360"/>
        <w:contextualSpacing/>
        <w:jc w:val="both"/>
        <w:textAlignment w:val="auto"/>
        <w:rPr>
          <w:sz w:val="18"/>
          <w:szCs w:val="18"/>
        </w:rPr>
      </w:pPr>
      <w:r>
        <w:rPr>
          <w:sz w:val="18"/>
          <w:szCs w:val="18"/>
        </w:rPr>
        <w:t xml:space="preserve">[2] </w:t>
      </w:r>
      <w:proofErr w:type="spellStart"/>
      <w:r w:rsidRPr="007F4AD4">
        <w:rPr>
          <w:sz w:val="18"/>
          <w:szCs w:val="18"/>
        </w:rPr>
        <w:t>Futagami</w:t>
      </w:r>
      <w:proofErr w:type="spellEnd"/>
      <w:r w:rsidRPr="007F4AD4">
        <w:rPr>
          <w:sz w:val="18"/>
          <w:szCs w:val="18"/>
        </w:rPr>
        <w:t xml:space="preserve">, S., et al., Sodium Pool Combustion Test Run-F7 (Interim Report), PNC TN9410 98-074, Power Reactor and Nuclear Fuel Development Corporation, </w:t>
      </w:r>
      <w:proofErr w:type="spellStart"/>
      <w:r w:rsidRPr="007F4AD4">
        <w:rPr>
          <w:sz w:val="18"/>
          <w:szCs w:val="18"/>
        </w:rPr>
        <w:t>Oarai</w:t>
      </w:r>
      <w:proofErr w:type="spellEnd"/>
      <w:r w:rsidRPr="007F4AD4">
        <w:rPr>
          <w:sz w:val="18"/>
          <w:szCs w:val="18"/>
        </w:rPr>
        <w:t>, Japan, August 1998.</w:t>
      </w:r>
    </w:p>
    <w:p w14:paraId="2686D4C2" w14:textId="1E1E6B1C" w:rsidR="007F4AD4" w:rsidRPr="007F4AD4" w:rsidRDefault="007F4AD4" w:rsidP="007F4AD4">
      <w:pPr>
        <w:overflowPunct/>
        <w:autoSpaceDE/>
        <w:autoSpaceDN/>
        <w:adjustRightInd/>
        <w:spacing w:line="260" w:lineRule="atLeast"/>
        <w:ind w:left="720" w:hanging="360"/>
        <w:contextualSpacing/>
        <w:jc w:val="both"/>
        <w:textAlignment w:val="auto"/>
        <w:rPr>
          <w:sz w:val="18"/>
          <w:szCs w:val="18"/>
        </w:rPr>
      </w:pPr>
      <w:r>
        <w:rPr>
          <w:sz w:val="18"/>
          <w:szCs w:val="18"/>
        </w:rPr>
        <w:t>[</w:t>
      </w:r>
      <w:r w:rsidR="00096047">
        <w:rPr>
          <w:rFonts w:hint="eastAsia"/>
          <w:sz w:val="18"/>
          <w:szCs w:val="18"/>
          <w:lang w:eastAsia="ja-JP"/>
        </w:rPr>
        <w:t>3</w:t>
      </w:r>
      <w:r>
        <w:rPr>
          <w:sz w:val="18"/>
          <w:szCs w:val="18"/>
        </w:rPr>
        <w:t xml:space="preserve">] </w:t>
      </w:r>
      <w:proofErr w:type="spellStart"/>
      <w:r w:rsidRPr="007F4AD4">
        <w:rPr>
          <w:sz w:val="18"/>
          <w:szCs w:val="18"/>
        </w:rPr>
        <w:t>Beiriger</w:t>
      </w:r>
      <w:proofErr w:type="spellEnd"/>
      <w:r w:rsidRPr="007F4AD4">
        <w:rPr>
          <w:sz w:val="18"/>
          <w:szCs w:val="18"/>
        </w:rPr>
        <w:t>, P., et al., “SOFIRE II User Report,” AI-AEC-13055, Atomics International, Canoga Park, CA 1973.</w:t>
      </w:r>
    </w:p>
    <w:p w14:paraId="1F5EDE23" w14:textId="1FF5559B" w:rsidR="00096047" w:rsidRPr="002C2725" w:rsidRDefault="00096047" w:rsidP="00096047">
      <w:pPr>
        <w:overflowPunct/>
        <w:autoSpaceDE/>
        <w:autoSpaceDN/>
        <w:adjustRightInd/>
        <w:spacing w:line="260" w:lineRule="atLeast"/>
        <w:ind w:left="720" w:hanging="360"/>
        <w:contextualSpacing/>
        <w:jc w:val="both"/>
        <w:textAlignment w:val="auto"/>
        <w:rPr>
          <w:i/>
          <w:iCs/>
          <w:sz w:val="14"/>
          <w:szCs w:val="14"/>
        </w:rPr>
      </w:pPr>
      <w:r>
        <w:rPr>
          <w:sz w:val="18"/>
          <w:szCs w:val="18"/>
        </w:rPr>
        <w:t>[</w:t>
      </w:r>
      <w:r>
        <w:rPr>
          <w:rFonts w:hint="eastAsia"/>
          <w:sz w:val="18"/>
          <w:szCs w:val="18"/>
          <w:lang w:eastAsia="ja-JP"/>
        </w:rPr>
        <w:t>4</w:t>
      </w:r>
      <w:r>
        <w:rPr>
          <w:sz w:val="18"/>
          <w:szCs w:val="18"/>
        </w:rPr>
        <w:t xml:space="preserve">] </w:t>
      </w:r>
      <w:r w:rsidRPr="002C2725">
        <w:rPr>
          <w:rStyle w:val="Heading4Char"/>
          <w:i w:val="0"/>
          <w:iCs/>
          <w:sz w:val="18"/>
          <w:szCs w:val="16"/>
        </w:rPr>
        <w:t xml:space="preserve">Yamaguchi, A., et al., Numerical Methodology to Evaluate Fast Reactor Sodium Combustion” </w:t>
      </w:r>
      <w:proofErr w:type="spellStart"/>
      <w:r w:rsidRPr="002C2725">
        <w:rPr>
          <w:rStyle w:val="Heading4Char"/>
          <w:i w:val="0"/>
          <w:iCs/>
          <w:sz w:val="18"/>
          <w:szCs w:val="16"/>
        </w:rPr>
        <w:t>Nucl</w:t>
      </w:r>
      <w:proofErr w:type="spellEnd"/>
      <w:r w:rsidRPr="002C2725">
        <w:rPr>
          <w:rStyle w:val="Heading4Char"/>
          <w:i w:val="0"/>
          <w:iCs/>
          <w:sz w:val="18"/>
          <w:szCs w:val="16"/>
        </w:rPr>
        <w:t>. Technol. 136</w:t>
      </w:r>
      <w:r w:rsidR="002C2725">
        <w:rPr>
          <w:rStyle w:val="Heading4Char"/>
          <w:i w:val="0"/>
          <w:iCs/>
          <w:sz w:val="18"/>
          <w:szCs w:val="16"/>
        </w:rPr>
        <w:t>,</w:t>
      </w:r>
      <w:r w:rsidRPr="002C2725">
        <w:rPr>
          <w:rStyle w:val="Heading4Char"/>
          <w:i w:val="0"/>
          <w:iCs/>
          <w:sz w:val="18"/>
          <w:szCs w:val="16"/>
        </w:rPr>
        <w:t xml:space="preserve"> pp.315–330</w:t>
      </w:r>
      <w:r w:rsidRPr="002C2725">
        <w:rPr>
          <w:rStyle w:val="Heading4Char"/>
          <w:rFonts w:hint="eastAsia"/>
          <w:i w:val="0"/>
          <w:iCs/>
          <w:sz w:val="18"/>
          <w:szCs w:val="16"/>
        </w:rPr>
        <w:t>,</w:t>
      </w:r>
      <w:r w:rsidRPr="002C2725">
        <w:rPr>
          <w:rStyle w:val="Heading4Char"/>
          <w:i w:val="0"/>
          <w:iCs/>
          <w:sz w:val="18"/>
          <w:szCs w:val="16"/>
        </w:rPr>
        <w:t xml:space="preserve"> 2001.</w:t>
      </w:r>
    </w:p>
    <w:p w14:paraId="655A1E29" w14:textId="78F4D7C5" w:rsidR="00A16D21" w:rsidRPr="009E0D5B" w:rsidRDefault="00A16D21" w:rsidP="006C7276">
      <w:pPr>
        <w:pStyle w:val="BodyText"/>
      </w:pPr>
    </w:p>
    <w:sectPr w:rsidR="00A16D21" w:rsidRPr="009E0D5B" w:rsidSect="0026525A">
      <w:headerReference w:type="defaul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5800" w14:textId="77777777" w:rsidR="00800E6C" w:rsidRDefault="00800E6C">
      <w:r>
        <w:separator/>
      </w:r>
    </w:p>
  </w:endnote>
  <w:endnote w:type="continuationSeparator" w:id="0">
    <w:p w14:paraId="78A00A7D" w14:textId="77777777" w:rsidR="00800E6C" w:rsidRDefault="0080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EB5B" w14:textId="77777777" w:rsidR="00800E6C" w:rsidRDefault="00800E6C">
      <w:r>
        <w:t>___________________________________________________________________________</w:t>
      </w:r>
    </w:p>
  </w:footnote>
  <w:footnote w:type="continuationSeparator" w:id="0">
    <w:p w14:paraId="5E37F523" w14:textId="77777777" w:rsidR="00800E6C" w:rsidRDefault="00800E6C">
      <w:r>
        <w:t>___________________________________________________________________________</w:t>
      </w:r>
    </w:p>
  </w:footnote>
  <w:footnote w:type="continuationNotice" w:id="1">
    <w:p w14:paraId="3870A797" w14:textId="77777777" w:rsidR="00800E6C" w:rsidRDefault="0080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757C" w14:textId="77777777" w:rsidR="006B4F04" w:rsidRPr="004B35B7" w:rsidRDefault="006B4F04" w:rsidP="004B35B7">
    <w:pPr>
      <w:pStyle w:val="BodyText"/>
      <w:ind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09000F"/>
    <w:lvl w:ilvl="0">
      <w:start w:val="1"/>
      <w:numFmt w:val="decimal"/>
      <w:pStyle w:val="BodyTextMultiline"/>
      <w:lvlText w:val="%1."/>
      <w:lvlJc w:val="left"/>
      <w:pPr>
        <w:ind w:left="360" w:hanging="360"/>
      </w:pPr>
    </w:lvl>
  </w:abstractNum>
  <w:abstractNum w:abstractNumId="1" w15:restartNumberingAfterBreak="0">
    <w:nsid w:val="0A267FD3"/>
    <w:multiLevelType w:val="hybridMultilevel"/>
    <w:tmpl w:val="445607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24264"/>
    <w:multiLevelType w:val="multilevel"/>
    <w:tmpl w:val="F1EC865C"/>
    <w:lvl w:ilvl="0">
      <w:start w:val="1"/>
      <w:numFmt w:val="decimal"/>
      <w:lvlText w:val="%1."/>
      <w:lvlJc w:val="left"/>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CE299B"/>
    <w:multiLevelType w:val="hybridMultilevel"/>
    <w:tmpl w:val="CCA0B28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9296735"/>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suff w:val="space"/>
      <w:lvlText w:val="%1%2.%3."/>
      <w:lvlJc w:val="left"/>
      <w:pPr>
        <w:ind w:left="0" w:firstLine="0"/>
      </w:pPr>
      <w:rPr>
        <w:rFonts w:hint="default"/>
      </w:rPr>
    </w:lvl>
    <w:lvl w:ilvl="3">
      <w:start w:val="1"/>
      <w:numFmt w:val="decimal"/>
      <w:lvlRestart w:val="0"/>
      <w:pStyle w:val="Heading4"/>
      <w:lvlText w:val="%2.%3.%4"/>
      <w:lvlJc w:val="left"/>
      <w:pPr>
        <w:tabs>
          <w:tab w:val="num" w:pos="2058"/>
        </w:tabs>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15:restartNumberingAfterBreak="0">
    <w:nsid w:val="7C0813B8"/>
    <w:multiLevelType w:val="hybridMultilevel"/>
    <w:tmpl w:val="4524FF02"/>
    <w:lvl w:ilvl="0" w:tplc="C69AADDE">
      <w:start w:val="1"/>
      <w:numFmt w:val="decimal"/>
      <w:pStyle w:val="BodyTextSummary"/>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6"/>
  </w:num>
  <w:num w:numId="4">
    <w:abstractNumId w:val="14"/>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18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206"/>
    <w:rsid w:val="000229AB"/>
    <w:rsid w:val="00022B66"/>
    <w:rsid w:val="0002569A"/>
    <w:rsid w:val="0002734B"/>
    <w:rsid w:val="00037321"/>
    <w:rsid w:val="00041145"/>
    <w:rsid w:val="00055FA4"/>
    <w:rsid w:val="00067B28"/>
    <w:rsid w:val="000748D9"/>
    <w:rsid w:val="00093A64"/>
    <w:rsid w:val="00096047"/>
    <w:rsid w:val="000A0299"/>
    <w:rsid w:val="000A28BD"/>
    <w:rsid w:val="000A2990"/>
    <w:rsid w:val="000A496F"/>
    <w:rsid w:val="000C4332"/>
    <w:rsid w:val="000D1551"/>
    <w:rsid w:val="000F7E94"/>
    <w:rsid w:val="00104DAC"/>
    <w:rsid w:val="00105F40"/>
    <w:rsid w:val="001119D6"/>
    <w:rsid w:val="001308F2"/>
    <w:rsid w:val="001313E8"/>
    <w:rsid w:val="001340B1"/>
    <w:rsid w:val="0013733C"/>
    <w:rsid w:val="00143DA0"/>
    <w:rsid w:val="00181B7E"/>
    <w:rsid w:val="00183BC4"/>
    <w:rsid w:val="001843F1"/>
    <w:rsid w:val="00184D9B"/>
    <w:rsid w:val="001865D0"/>
    <w:rsid w:val="00187719"/>
    <w:rsid w:val="00187F4E"/>
    <w:rsid w:val="001915AC"/>
    <w:rsid w:val="001A1B42"/>
    <w:rsid w:val="001A3886"/>
    <w:rsid w:val="001A45E2"/>
    <w:rsid w:val="001C58F5"/>
    <w:rsid w:val="001D5CEE"/>
    <w:rsid w:val="002019F6"/>
    <w:rsid w:val="00204D4C"/>
    <w:rsid w:val="002071D9"/>
    <w:rsid w:val="00210F0D"/>
    <w:rsid w:val="00224F25"/>
    <w:rsid w:val="00232ADF"/>
    <w:rsid w:val="0023450F"/>
    <w:rsid w:val="0024724D"/>
    <w:rsid w:val="00256822"/>
    <w:rsid w:val="00257647"/>
    <w:rsid w:val="0026525A"/>
    <w:rsid w:val="002673FA"/>
    <w:rsid w:val="002746FE"/>
    <w:rsid w:val="00274790"/>
    <w:rsid w:val="00285755"/>
    <w:rsid w:val="002A1F9C"/>
    <w:rsid w:val="002B29C2"/>
    <w:rsid w:val="002B79A2"/>
    <w:rsid w:val="002C2725"/>
    <w:rsid w:val="002C29DB"/>
    <w:rsid w:val="002C2DE7"/>
    <w:rsid w:val="002C4208"/>
    <w:rsid w:val="002C74DF"/>
    <w:rsid w:val="00307C13"/>
    <w:rsid w:val="003175DE"/>
    <w:rsid w:val="00322660"/>
    <w:rsid w:val="0032541A"/>
    <w:rsid w:val="00352DE1"/>
    <w:rsid w:val="0036397C"/>
    <w:rsid w:val="00370A13"/>
    <w:rsid w:val="003728E6"/>
    <w:rsid w:val="00375796"/>
    <w:rsid w:val="003B39F2"/>
    <w:rsid w:val="003B5E0E"/>
    <w:rsid w:val="003C18BF"/>
    <w:rsid w:val="003C1E13"/>
    <w:rsid w:val="003D01F9"/>
    <w:rsid w:val="003D255A"/>
    <w:rsid w:val="003F1E87"/>
    <w:rsid w:val="003F4368"/>
    <w:rsid w:val="004064E9"/>
    <w:rsid w:val="00416949"/>
    <w:rsid w:val="0042661A"/>
    <w:rsid w:val="00430088"/>
    <w:rsid w:val="004370D8"/>
    <w:rsid w:val="00441139"/>
    <w:rsid w:val="00455BE1"/>
    <w:rsid w:val="0046207A"/>
    <w:rsid w:val="00472C43"/>
    <w:rsid w:val="00473487"/>
    <w:rsid w:val="00477FDB"/>
    <w:rsid w:val="00490974"/>
    <w:rsid w:val="004B35B7"/>
    <w:rsid w:val="004D3E22"/>
    <w:rsid w:val="004E57CA"/>
    <w:rsid w:val="004F73EA"/>
    <w:rsid w:val="00505363"/>
    <w:rsid w:val="00513F3D"/>
    <w:rsid w:val="005169E6"/>
    <w:rsid w:val="00534A5C"/>
    <w:rsid w:val="00536B51"/>
    <w:rsid w:val="00537496"/>
    <w:rsid w:val="00537C8F"/>
    <w:rsid w:val="00544ED3"/>
    <w:rsid w:val="00570841"/>
    <w:rsid w:val="00572FBF"/>
    <w:rsid w:val="00577403"/>
    <w:rsid w:val="00581CB8"/>
    <w:rsid w:val="0058477B"/>
    <w:rsid w:val="0058654F"/>
    <w:rsid w:val="00590746"/>
    <w:rsid w:val="00592F9B"/>
    <w:rsid w:val="00596ACA"/>
    <w:rsid w:val="005E39BC"/>
    <w:rsid w:val="005E61DD"/>
    <w:rsid w:val="005F00A0"/>
    <w:rsid w:val="005F4CEE"/>
    <w:rsid w:val="005F6108"/>
    <w:rsid w:val="00602DCC"/>
    <w:rsid w:val="00623E92"/>
    <w:rsid w:val="006309AA"/>
    <w:rsid w:val="00635F3D"/>
    <w:rsid w:val="006433E4"/>
    <w:rsid w:val="00647F33"/>
    <w:rsid w:val="00654E3F"/>
    <w:rsid w:val="00660358"/>
    <w:rsid w:val="00662532"/>
    <w:rsid w:val="006662B8"/>
    <w:rsid w:val="0067667C"/>
    <w:rsid w:val="00682137"/>
    <w:rsid w:val="006822EA"/>
    <w:rsid w:val="006839E1"/>
    <w:rsid w:val="006A5E28"/>
    <w:rsid w:val="006A6342"/>
    <w:rsid w:val="006B2274"/>
    <w:rsid w:val="006B4F04"/>
    <w:rsid w:val="006B779B"/>
    <w:rsid w:val="006C7276"/>
    <w:rsid w:val="006E6129"/>
    <w:rsid w:val="006F29A4"/>
    <w:rsid w:val="006F72E9"/>
    <w:rsid w:val="00706E99"/>
    <w:rsid w:val="00717C6F"/>
    <w:rsid w:val="00723D8F"/>
    <w:rsid w:val="007445DA"/>
    <w:rsid w:val="007474CE"/>
    <w:rsid w:val="007517AF"/>
    <w:rsid w:val="0076573A"/>
    <w:rsid w:val="00775D33"/>
    <w:rsid w:val="0079028E"/>
    <w:rsid w:val="007B4FD1"/>
    <w:rsid w:val="007D6BC5"/>
    <w:rsid w:val="007F4AD4"/>
    <w:rsid w:val="00800E6C"/>
    <w:rsid w:val="00802381"/>
    <w:rsid w:val="00821E9A"/>
    <w:rsid w:val="008226BD"/>
    <w:rsid w:val="0083096A"/>
    <w:rsid w:val="0086759F"/>
    <w:rsid w:val="00871F40"/>
    <w:rsid w:val="008744B3"/>
    <w:rsid w:val="00883848"/>
    <w:rsid w:val="008872A7"/>
    <w:rsid w:val="00897ED5"/>
    <w:rsid w:val="008A4F46"/>
    <w:rsid w:val="008A7B22"/>
    <w:rsid w:val="008B6BB9"/>
    <w:rsid w:val="008B784F"/>
    <w:rsid w:val="00901B61"/>
    <w:rsid w:val="0091136F"/>
    <w:rsid w:val="00911543"/>
    <w:rsid w:val="009149A1"/>
    <w:rsid w:val="00916597"/>
    <w:rsid w:val="00923BBE"/>
    <w:rsid w:val="00927E79"/>
    <w:rsid w:val="0094520E"/>
    <w:rsid w:val="009519C9"/>
    <w:rsid w:val="00977EDD"/>
    <w:rsid w:val="009D0B86"/>
    <w:rsid w:val="009E0D5B"/>
    <w:rsid w:val="009E1558"/>
    <w:rsid w:val="009E6D8B"/>
    <w:rsid w:val="00A05839"/>
    <w:rsid w:val="00A06793"/>
    <w:rsid w:val="00A10EF4"/>
    <w:rsid w:val="00A16D21"/>
    <w:rsid w:val="00A233D1"/>
    <w:rsid w:val="00A42898"/>
    <w:rsid w:val="00A57919"/>
    <w:rsid w:val="00A81419"/>
    <w:rsid w:val="00A9361C"/>
    <w:rsid w:val="00A944AC"/>
    <w:rsid w:val="00AA229A"/>
    <w:rsid w:val="00AB40C0"/>
    <w:rsid w:val="00AB6ACE"/>
    <w:rsid w:val="00AC5656"/>
    <w:rsid w:val="00AC5A3A"/>
    <w:rsid w:val="00AE1AAC"/>
    <w:rsid w:val="00B17E87"/>
    <w:rsid w:val="00B40E21"/>
    <w:rsid w:val="00B604BE"/>
    <w:rsid w:val="00B82FA5"/>
    <w:rsid w:val="00B83105"/>
    <w:rsid w:val="00BA4D66"/>
    <w:rsid w:val="00BA7F13"/>
    <w:rsid w:val="00BD1400"/>
    <w:rsid w:val="00BD1903"/>
    <w:rsid w:val="00BD296E"/>
    <w:rsid w:val="00BD605C"/>
    <w:rsid w:val="00BE2A76"/>
    <w:rsid w:val="00BF1901"/>
    <w:rsid w:val="00C175E7"/>
    <w:rsid w:val="00C17BC8"/>
    <w:rsid w:val="00C32C30"/>
    <w:rsid w:val="00C63FC7"/>
    <w:rsid w:val="00C65E60"/>
    <w:rsid w:val="00C67D29"/>
    <w:rsid w:val="00C91685"/>
    <w:rsid w:val="00C92AAB"/>
    <w:rsid w:val="00C968E4"/>
    <w:rsid w:val="00C97E49"/>
    <w:rsid w:val="00CA0102"/>
    <w:rsid w:val="00CA44FB"/>
    <w:rsid w:val="00CA54B1"/>
    <w:rsid w:val="00CE1F3D"/>
    <w:rsid w:val="00CE5A52"/>
    <w:rsid w:val="00CF7AF3"/>
    <w:rsid w:val="00D04D49"/>
    <w:rsid w:val="00D26ADA"/>
    <w:rsid w:val="00D35A78"/>
    <w:rsid w:val="00D555A1"/>
    <w:rsid w:val="00D64842"/>
    <w:rsid w:val="00D64DC2"/>
    <w:rsid w:val="00DA46CA"/>
    <w:rsid w:val="00DE5401"/>
    <w:rsid w:val="00DF21EB"/>
    <w:rsid w:val="00DF6FB7"/>
    <w:rsid w:val="00E13B94"/>
    <w:rsid w:val="00E155E7"/>
    <w:rsid w:val="00E20E70"/>
    <w:rsid w:val="00E2210D"/>
    <w:rsid w:val="00E22CEA"/>
    <w:rsid w:val="00E25B68"/>
    <w:rsid w:val="00E55D28"/>
    <w:rsid w:val="00E72DF4"/>
    <w:rsid w:val="00E84003"/>
    <w:rsid w:val="00E94578"/>
    <w:rsid w:val="00EB4668"/>
    <w:rsid w:val="00EC10FC"/>
    <w:rsid w:val="00ED0A99"/>
    <w:rsid w:val="00ED21BF"/>
    <w:rsid w:val="00ED3FB9"/>
    <w:rsid w:val="00ED67F0"/>
    <w:rsid w:val="00EE0041"/>
    <w:rsid w:val="00EE29B9"/>
    <w:rsid w:val="00EE339E"/>
    <w:rsid w:val="00EE5C08"/>
    <w:rsid w:val="00F004EE"/>
    <w:rsid w:val="00F21CBC"/>
    <w:rsid w:val="00F25C5B"/>
    <w:rsid w:val="00F34318"/>
    <w:rsid w:val="00F36ED2"/>
    <w:rsid w:val="00F40F45"/>
    <w:rsid w:val="00F42E23"/>
    <w:rsid w:val="00F45EEE"/>
    <w:rsid w:val="00F51E9C"/>
    <w:rsid w:val="00F523CA"/>
    <w:rsid w:val="00F57752"/>
    <w:rsid w:val="00F62776"/>
    <w:rsid w:val="00F73892"/>
    <w:rsid w:val="00F74A9D"/>
    <w:rsid w:val="00F762D0"/>
    <w:rsid w:val="00F916E3"/>
    <w:rsid w:val="00FA0A2F"/>
    <w:rsid w:val="00FB1041"/>
    <w:rsid w:val="00FB26DE"/>
    <w:rsid w:val="00FE5E98"/>
    <w:rsid w:val="00FF386F"/>
    <w:rsid w:val="00FF7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F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uiPriority="0"/>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0748D9"/>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5"/>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5"/>
      </w:numPr>
      <w:spacing w:before="240" w:after="240" w:line="240" w:lineRule="exact"/>
      <w:outlineLvl w:val="2"/>
    </w:pPr>
    <w:rPr>
      <w:b/>
      <w:lang w:eastAsia="en-US"/>
    </w:rPr>
  </w:style>
  <w:style w:type="paragraph" w:styleId="Heading4">
    <w:name w:val="heading 4"/>
    <w:aliases w:val="3rd level paper heading"/>
    <w:basedOn w:val="Normal"/>
    <w:next w:val="BodyText"/>
    <w:link w:val="Heading4Char"/>
    <w:uiPriority w:val="4"/>
    <w:qFormat/>
    <w:rsid w:val="00897ED5"/>
    <w:pPr>
      <w:widowControl w:val="0"/>
      <w:numPr>
        <w:ilvl w:val="3"/>
        <w:numId w:val="5"/>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spacing w:after="170" w:line="280" w:lineRule="atLeast"/>
      <w:ind w:left="572" w:hanging="459"/>
      <w:jc w:val="both"/>
    </w:pPr>
    <w:rPr>
      <w:sz w:val="22"/>
      <w:szCs w:val="22"/>
      <w:lang w:eastAsia="en-US"/>
    </w:rPr>
  </w:style>
  <w:style w:type="paragraph" w:styleId="Caption">
    <w:name w:val="caption"/>
    <w:next w:val="Normal"/>
    <w:uiPriority w:val="35"/>
    <w:qFormat/>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tabs>
        <w:tab w:val="left" w:pos="919"/>
      </w:tabs>
      <w:ind w:right="1134"/>
      <w:jc w:val="both"/>
    </w:pPr>
    <w:rPr>
      <w:sz w:val="22"/>
      <w:lang w:eastAsia="en-US"/>
    </w:rPr>
  </w:style>
  <w:style w:type="paragraph" w:customStyle="1" w:styleId="ListEmdash">
    <w:name w:val="List Emdash"/>
    <w:basedOn w:val="BodyText"/>
    <w:uiPriority w:val="6"/>
    <w:qFormat/>
    <w:rsid w:val="00717C6F"/>
    <w:pPr>
      <w:tabs>
        <w:tab w:val="num" w:pos="720"/>
      </w:tabs>
      <w:ind w:left="709" w:hanging="720"/>
    </w:pPr>
  </w:style>
  <w:style w:type="paragraph" w:customStyle="1" w:styleId="ListNumbered">
    <w:name w:val="List Numbered"/>
    <w:basedOn w:val="BodyText"/>
    <w:uiPriority w:val="5"/>
    <w:qFormat/>
    <w:locked/>
    <w:rsid w:val="00717C6F"/>
    <w:pPr>
      <w:tabs>
        <w:tab w:val="num" w:pos="720"/>
      </w:tabs>
      <w:ind w:left="720" w:hanging="720"/>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tabs>
        <w:tab w:val="num" w:pos="720"/>
        <w:tab w:val="left" w:pos="919"/>
      </w:tabs>
      <w:spacing w:after="240" w:line="240" w:lineRule="exact"/>
      <w:ind w:left="918" w:hanging="720"/>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tabs>
        <w:tab w:val="num" w:pos="720"/>
      </w:tabs>
      <w:ind w:left="720" w:hanging="720"/>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49"/>
    <w:semiHidden/>
    <w:unhideWhenUsed/>
    <w:locked/>
    <w:rsid w:val="002C29DB"/>
    <w:rPr>
      <w:sz w:val="24"/>
      <w:szCs w:val="24"/>
    </w:rPr>
  </w:style>
  <w:style w:type="paragraph" w:customStyle="1" w:styleId="FIG-LONG">
    <w:name w:val="FIG-LONG"/>
    <w:basedOn w:val="Normal"/>
    <w:next w:val="Normal"/>
    <w:link w:val="FIG-LONGChar"/>
    <w:autoRedefine/>
    <w:qFormat/>
    <w:rsid w:val="002C29DB"/>
    <w:pPr>
      <w:tabs>
        <w:tab w:val="left" w:pos="709"/>
      </w:tabs>
      <w:overflowPunct/>
      <w:autoSpaceDE/>
      <w:autoSpaceDN/>
      <w:adjustRightInd/>
      <w:spacing w:after="120"/>
      <w:ind w:left="709" w:hanging="709"/>
      <w:textAlignment w:val="auto"/>
    </w:pPr>
    <w:rPr>
      <w:i/>
      <w:iCs/>
      <w:sz w:val="18"/>
      <w:szCs w:val="18"/>
    </w:rPr>
  </w:style>
  <w:style w:type="character" w:customStyle="1" w:styleId="FIG-LONGChar">
    <w:name w:val="FIG-LONG Char"/>
    <w:basedOn w:val="DefaultParagraphFont"/>
    <w:link w:val="FIG-LONG"/>
    <w:rsid w:val="002C29DB"/>
    <w:rPr>
      <w:rFonts w:eastAsiaTheme="minorEastAsia"/>
      <w:i/>
      <w:iCs/>
      <w:sz w:val="18"/>
      <w:szCs w:val="18"/>
      <w:lang w:eastAsia="en-US"/>
    </w:rPr>
  </w:style>
  <w:style w:type="table" w:customStyle="1" w:styleId="TableGrid1">
    <w:name w:val="Table Grid1"/>
    <w:basedOn w:val="TableNormal"/>
    <w:next w:val="TableGrid"/>
    <w:uiPriority w:val="59"/>
    <w:rsid w:val="002C29DB"/>
    <w:rPr>
      <w:rFonts w:asciiTheme="minorHAnsi" w:hAnsiTheme="minorHAnsi" w:cstheme="minorBidi"/>
      <w:sz w:val="24"/>
      <w:szCs w:val="24"/>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49"/>
    <w:semiHidden/>
    <w:unhideWhenUsed/>
    <w:locked/>
    <w:rsid w:val="00A233D1"/>
    <w:rPr>
      <w:sz w:val="16"/>
      <w:szCs w:val="16"/>
    </w:rPr>
  </w:style>
  <w:style w:type="paragraph" w:styleId="CommentText">
    <w:name w:val="annotation text"/>
    <w:basedOn w:val="Normal"/>
    <w:link w:val="CommentTextChar"/>
    <w:uiPriority w:val="49"/>
    <w:semiHidden/>
    <w:unhideWhenUsed/>
    <w:locked/>
    <w:rsid w:val="00A233D1"/>
    <w:rPr>
      <w:sz w:val="20"/>
    </w:rPr>
  </w:style>
  <w:style w:type="character" w:customStyle="1" w:styleId="CommentTextChar">
    <w:name w:val="Comment Text Char"/>
    <w:basedOn w:val="DefaultParagraphFont"/>
    <w:link w:val="CommentText"/>
    <w:uiPriority w:val="49"/>
    <w:semiHidden/>
    <w:rsid w:val="00A233D1"/>
    <w:rPr>
      <w:lang w:eastAsia="en-US"/>
    </w:rPr>
  </w:style>
  <w:style w:type="paragraph" w:styleId="CommentSubject">
    <w:name w:val="annotation subject"/>
    <w:basedOn w:val="CommentText"/>
    <w:next w:val="CommentText"/>
    <w:link w:val="CommentSubjectChar"/>
    <w:uiPriority w:val="49"/>
    <w:semiHidden/>
    <w:unhideWhenUsed/>
    <w:locked/>
    <w:rsid w:val="00A233D1"/>
    <w:rPr>
      <w:b/>
      <w:bCs/>
    </w:rPr>
  </w:style>
  <w:style w:type="character" w:customStyle="1" w:styleId="CommentSubjectChar">
    <w:name w:val="Comment Subject Char"/>
    <w:basedOn w:val="CommentTextChar"/>
    <w:link w:val="CommentSubject"/>
    <w:uiPriority w:val="49"/>
    <w:semiHidden/>
    <w:rsid w:val="00A233D1"/>
    <w:rPr>
      <w:b/>
      <w:bCs/>
      <w:lang w:eastAsia="en-US"/>
    </w:rPr>
  </w:style>
  <w:style w:type="character" w:customStyle="1" w:styleId="Heading2Char">
    <w:name w:val="Heading 2 Char"/>
    <w:aliases w:val="1st level paper heading Char"/>
    <w:basedOn w:val="DefaultParagraphFont"/>
    <w:link w:val="Heading2"/>
    <w:uiPriority w:val="4"/>
    <w:rsid w:val="009E6D8B"/>
    <w:rPr>
      <w:caps/>
      <w:lang w:eastAsia="en-US"/>
    </w:rPr>
  </w:style>
  <w:style w:type="table" w:customStyle="1" w:styleId="TableGrid3">
    <w:name w:val="Table Grid3"/>
    <w:basedOn w:val="TableNormal"/>
    <w:next w:val="TableGrid"/>
    <w:uiPriority w:val="39"/>
    <w:rsid w:val="0067667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49"/>
    <w:semiHidden/>
    <w:unhideWhenUsed/>
    <w:locked/>
    <w:rsid w:val="00CA54B1"/>
    <w:pPr>
      <w:spacing w:after="120"/>
    </w:pPr>
    <w:rPr>
      <w:sz w:val="16"/>
      <w:szCs w:val="16"/>
    </w:rPr>
  </w:style>
  <w:style w:type="character" w:customStyle="1" w:styleId="BodyText3Char">
    <w:name w:val="Body Text 3 Char"/>
    <w:basedOn w:val="DefaultParagraphFont"/>
    <w:link w:val="BodyText3"/>
    <w:uiPriority w:val="49"/>
    <w:semiHidden/>
    <w:rsid w:val="00CA54B1"/>
    <w:rPr>
      <w:sz w:val="16"/>
      <w:szCs w:val="16"/>
      <w:lang w:eastAsia="en-US"/>
    </w:rPr>
  </w:style>
  <w:style w:type="paragraph" w:styleId="ListNumber">
    <w:name w:val="List Number"/>
    <w:basedOn w:val="Normal"/>
    <w:locked/>
    <w:rsid w:val="00CA54B1"/>
    <w:pPr>
      <w:widowControl w:val="0"/>
    </w:pPr>
    <w:rPr>
      <w:snapToGrid w:val="0"/>
      <w:sz w:val="24"/>
      <w:lang w:val="en-US"/>
    </w:rPr>
  </w:style>
  <w:style w:type="character" w:customStyle="1" w:styleId="Heading4Char">
    <w:name w:val="Heading 4 Char"/>
    <w:aliases w:val="3rd level paper heading Char"/>
    <w:basedOn w:val="DefaultParagraphFont"/>
    <w:link w:val="Heading4"/>
    <w:uiPriority w:val="4"/>
    <w:rsid w:val="00F62776"/>
    <w:rPr>
      <w:i/>
      <w:lang w:val="en-US" w:eastAsia="en-US"/>
    </w:rPr>
  </w:style>
  <w:style w:type="character" w:customStyle="1" w:styleId="Heading3Char">
    <w:name w:val="Heading 3 Char"/>
    <w:aliases w:val="2nd level paper heading Char"/>
    <w:basedOn w:val="DefaultParagraphFont"/>
    <w:link w:val="Heading3"/>
    <w:uiPriority w:val="4"/>
    <w:rsid w:val="00F6277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2663</Words>
  <Characters>13903</Characters>
  <Application>Microsoft Office Word</Application>
  <DocSecurity>0</DocSecurity>
  <Lines>239</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2022-09-16T16:05:00Z</dcterms:created>
  <dcterms:modified xsi:type="dcterms:W3CDTF">2022-09-16T16:05:00Z</dcterms:modified>
  <cp:category/>
</cp:coreProperties>
</file>