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CD2" w:rsidRPr="0033701C" w:rsidRDefault="00882CD2" w:rsidP="00882CD2">
      <w:pPr>
        <w:ind w:left="360"/>
        <w:rPr>
          <w:b/>
          <w:sz w:val="20"/>
        </w:rPr>
      </w:pPr>
      <w:bookmarkStart w:id="0" w:name="_Hlk69130178"/>
      <w:r w:rsidRPr="0033701C">
        <w:rPr>
          <w:b/>
          <w:sz w:val="20"/>
        </w:rPr>
        <w:t>STANDARD CFD TECHNIQUE FOR SODIUM TO SODIUM HEAT EXCHANGERs</w:t>
      </w:r>
    </w:p>
    <w:p w:rsidR="00802381" w:rsidRPr="0033701C" w:rsidRDefault="00802381" w:rsidP="00537496">
      <w:pPr>
        <w:pStyle w:val="Authornameandaffiliation"/>
      </w:pPr>
    </w:p>
    <w:p w:rsidR="00003206" w:rsidRPr="0033701C" w:rsidRDefault="00882CD2" w:rsidP="00003206">
      <w:pPr>
        <w:pStyle w:val="Authornameandaffiliation"/>
      </w:pPr>
      <w:r w:rsidRPr="0033701C">
        <w:t>V. SUDHARSHAN</w:t>
      </w:r>
      <w:r w:rsidRPr="0033701C">
        <w:rPr>
          <w:vertAlign w:val="superscript"/>
        </w:rPr>
        <w:t>1</w:t>
      </w:r>
      <w:r w:rsidRPr="0033701C">
        <w:t>, AMZAD PASH</w:t>
      </w:r>
      <w:r w:rsidRPr="0033701C">
        <w:rPr>
          <w:vertAlign w:val="superscript"/>
        </w:rPr>
        <w:t>1</w:t>
      </w:r>
      <w:r w:rsidRPr="0033701C">
        <w:t>, U. PARTHA SARATHY</w:t>
      </w:r>
      <w:r w:rsidRPr="0033701C">
        <w:rPr>
          <w:vertAlign w:val="superscript"/>
        </w:rPr>
        <w:t>1</w:t>
      </w:r>
      <w:r w:rsidRPr="0033701C">
        <w:t>, S. RAGHUPATHY</w:t>
      </w:r>
      <w:r w:rsidRPr="0033701C">
        <w:rPr>
          <w:vertAlign w:val="superscript"/>
        </w:rPr>
        <w:t>1</w:t>
      </w:r>
    </w:p>
    <w:p w:rsidR="00003206" w:rsidRPr="0033701C" w:rsidRDefault="00003206" w:rsidP="00537496">
      <w:pPr>
        <w:pStyle w:val="Authornameandaffiliation"/>
      </w:pPr>
    </w:p>
    <w:p w:rsidR="00003206" w:rsidRPr="0033701C" w:rsidRDefault="00003206" w:rsidP="00003206">
      <w:pPr>
        <w:pStyle w:val="Authornameandaffiliation"/>
      </w:pPr>
      <w:r w:rsidRPr="0033701C">
        <w:rPr>
          <w:vertAlign w:val="superscript"/>
        </w:rPr>
        <w:t>1</w:t>
      </w:r>
      <w:r w:rsidR="00882CD2" w:rsidRPr="0033701C">
        <w:t>Indira Gandhi Centre for Atomic Research, Department of Atomic Energy</w:t>
      </w:r>
      <w:r w:rsidRPr="0033701C">
        <w:t xml:space="preserve">, </w:t>
      </w:r>
      <w:proofErr w:type="spellStart"/>
      <w:r w:rsidR="00882CD2" w:rsidRPr="0033701C">
        <w:t>Kalpakkam</w:t>
      </w:r>
      <w:proofErr w:type="spellEnd"/>
      <w:r w:rsidRPr="0033701C">
        <w:t xml:space="preserve">, </w:t>
      </w:r>
      <w:r w:rsidR="00882CD2" w:rsidRPr="0033701C">
        <w:t>India.</w:t>
      </w:r>
    </w:p>
    <w:p w:rsidR="00003206" w:rsidRPr="0033701C" w:rsidRDefault="00003206" w:rsidP="00003206">
      <w:pPr>
        <w:pStyle w:val="Authornameandaffiliation"/>
      </w:pPr>
    </w:p>
    <w:p w:rsidR="00003206" w:rsidRPr="0033701C" w:rsidRDefault="00003206" w:rsidP="00003206">
      <w:pPr>
        <w:pStyle w:val="Authornameandaffiliation"/>
      </w:pPr>
      <w:r w:rsidRPr="0033701C">
        <w:t xml:space="preserve">Email contact of corresponding author: </w:t>
      </w:r>
      <w:r w:rsidR="00882CD2" w:rsidRPr="0033701C">
        <w:t>sudharshan</w:t>
      </w:r>
      <w:r w:rsidRPr="0033701C">
        <w:t>@</w:t>
      </w:r>
      <w:r w:rsidR="00882CD2" w:rsidRPr="0033701C">
        <w:t>igcar.gov.in</w:t>
      </w:r>
    </w:p>
    <w:p w:rsidR="00003206" w:rsidRPr="0033701C" w:rsidRDefault="00003206" w:rsidP="00537496">
      <w:pPr>
        <w:pStyle w:val="Authornameandaffiliation"/>
      </w:pPr>
    </w:p>
    <w:p w:rsidR="00003206" w:rsidRPr="0033701C" w:rsidRDefault="00003206" w:rsidP="00537496">
      <w:pPr>
        <w:pStyle w:val="Authornameandaffiliation"/>
      </w:pPr>
    </w:p>
    <w:p w:rsidR="00647F33" w:rsidRPr="0033701C" w:rsidRDefault="00647F33" w:rsidP="00537496">
      <w:pPr>
        <w:pStyle w:val="Authornameandaffiliation"/>
        <w:rPr>
          <w:b/>
        </w:rPr>
      </w:pPr>
      <w:r w:rsidRPr="0033701C">
        <w:rPr>
          <w:b/>
        </w:rPr>
        <w:t>Abstract</w:t>
      </w:r>
    </w:p>
    <w:bookmarkEnd w:id="0"/>
    <w:p w:rsidR="00647F33" w:rsidRPr="0033701C" w:rsidRDefault="00647F33" w:rsidP="00537496">
      <w:pPr>
        <w:pStyle w:val="Authornameandaffiliation"/>
      </w:pPr>
    </w:p>
    <w:p w:rsidR="00647F33" w:rsidRPr="0033701C" w:rsidRDefault="00BE5C8D" w:rsidP="007514E4">
      <w:pPr>
        <w:pStyle w:val="Abstracttext"/>
        <w:jc w:val="both"/>
        <w:rPr>
          <w:sz w:val="20"/>
        </w:rPr>
      </w:pPr>
      <w:r w:rsidRPr="0033701C">
        <w:rPr>
          <w:sz w:val="20"/>
        </w:rPr>
        <w:t>Effectiveness of standard CFD methodology</w:t>
      </w:r>
      <w:r w:rsidR="00C23533" w:rsidRPr="0033701C">
        <w:rPr>
          <w:sz w:val="20"/>
        </w:rPr>
        <w:t xml:space="preserve"> in</w:t>
      </w:r>
      <w:r w:rsidRPr="0033701C">
        <w:rPr>
          <w:sz w:val="20"/>
        </w:rPr>
        <w:t xml:space="preserve"> simulating the </w:t>
      </w:r>
      <w:r w:rsidR="0045283D" w:rsidRPr="0033701C">
        <w:rPr>
          <w:sz w:val="20"/>
        </w:rPr>
        <w:t>heat transfer behavior</w:t>
      </w:r>
      <w:r w:rsidRPr="0033701C">
        <w:rPr>
          <w:sz w:val="20"/>
        </w:rPr>
        <w:t xml:space="preserve"> of </w:t>
      </w:r>
      <w:r w:rsidR="0045283D" w:rsidRPr="0033701C">
        <w:rPr>
          <w:sz w:val="20"/>
        </w:rPr>
        <w:t xml:space="preserve">sodium to Sodium Heat </w:t>
      </w:r>
      <w:r w:rsidR="00504BA6" w:rsidRPr="0033701C">
        <w:rPr>
          <w:sz w:val="20"/>
        </w:rPr>
        <w:t>Exchangers is</w:t>
      </w:r>
      <w:r w:rsidR="0045283D" w:rsidRPr="0033701C">
        <w:rPr>
          <w:sz w:val="20"/>
        </w:rPr>
        <w:t xml:space="preserve"> studied using </w:t>
      </w:r>
      <w:r w:rsidRPr="0033701C">
        <w:rPr>
          <w:sz w:val="20"/>
        </w:rPr>
        <w:t>test data from literature</w:t>
      </w:r>
      <w:r w:rsidR="0045283D" w:rsidRPr="0033701C">
        <w:rPr>
          <w:sz w:val="20"/>
        </w:rPr>
        <w:t>.</w:t>
      </w:r>
      <w:r w:rsidRPr="0033701C">
        <w:rPr>
          <w:sz w:val="20"/>
        </w:rPr>
        <w:t xml:space="preserve"> </w:t>
      </w:r>
      <w:r w:rsidR="0000529A" w:rsidRPr="0033701C">
        <w:rPr>
          <w:sz w:val="20"/>
        </w:rPr>
        <w:t>There is a fair agreeme</w:t>
      </w:r>
      <w:r w:rsidR="007514E4">
        <w:rPr>
          <w:sz w:val="20"/>
        </w:rPr>
        <w:t>nt between test and CFD results (</w:t>
      </w:r>
      <w:r w:rsidR="0000529A" w:rsidRPr="0033701C">
        <w:rPr>
          <w:sz w:val="20"/>
        </w:rPr>
        <w:t>maximum error</w:t>
      </w:r>
      <w:r w:rsidR="00072BFD">
        <w:rPr>
          <w:sz w:val="20"/>
        </w:rPr>
        <w:t xml:space="preserve"> </w:t>
      </w:r>
      <w:r w:rsidR="007514E4">
        <w:rPr>
          <w:sz w:val="20"/>
        </w:rPr>
        <w:t xml:space="preserve">is 3.8%). </w:t>
      </w:r>
      <w:r w:rsidR="00072BFD">
        <w:rPr>
          <w:sz w:val="20"/>
        </w:rPr>
        <w:t>Hence, t</w:t>
      </w:r>
      <w:r w:rsidR="007514E4">
        <w:rPr>
          <w:sz w:val="20"/>
        </w:rPr>
        <w:t xml:space="preserve">he CFD methodology is validated for </w:t>
      </w:r>
      <w:r w:rsidR="00072BFD">
        <w:rPr>
          <w:sz w:val="20"/>
        </w:rPr>
        <w:t xml:space="preserve">steady state assessment of the </w:t>
      </w:r>
      <w:r w:rsidR="0000529A" w:rsidRPr="0033701C">
        <w:rPr>
          <w:sz w:val="20"/>
        </w:rPr>
        <w:t>HEs.</w:t>
      </w:r>
      <w:r w:rsidR="00C23533" w:rsidRPr="0033701C">
        <w:rPr>
          <w:sz w:val="20"/>
        </w:rPr>
        <w:t xml:space="preserve"> </w:t>
      </w:r>
    </w:p>
    <w:p w:rsidR="00647F33" w:rsidRPr="0033701C" w:rsidRDefault="00F523CA" w:rsidP="00537496">
      <w:pPr>
        <w:pStyle w:val="Heading2"/>
        <w:numPr>
          <w:ilvl w:val="1"/>
          <w:numId w:val="10"/>
        </w:numPr>
      </w:pPr>
      <w:r w:rsidRPr="0033701C">
        <w:t>INTRODUCTION</w:t>
      </w:r>
    </w:p>
    <w:p w:rsidR="004C37E4" w:rsidRPr="004C420E" w:rsidRDefault="004C37E4" w:rsidP="004C420E">
      <w:pPr>
        <w:pStyle w:val="Abstracttext"/>
        <w:jc w:val="both"/>
        <w:rPr>
          <w:sz w:val="20"/>
        </w:rPr>
      </w:pPr>
      <w:r w:rsidRPr="004C420E">
        <w:rPr>
          <w:sz w:val="20"/>
        </w:rPr>
        <w:t xml:space="preserve">Sodium cooled fast reactors use secondary sodium systems to detach contact of the primary system with final heat sink to minimize the chances of sodium </w:t>
      </w:r>
      <w:r w:rsidR="00D016E2" w:rsidRPr="004C420E">
        <w:rPr>
          <w:sz w:val="20"/>
        </w:rPr>
        <w:t>- water/ air chemical reactions</w:t>
      </w:r>
      <w:r w:rsidR="00504BA6" w:rsidRPr="004C420E">
        <w:rPr>
          <w:sz w:val="20"/>
        </w:rPr>
        <w:t xml:space="preserve"> reaching the reactor vessel</w:t>
      </w:r>
      <w:r w:rsidRPr="004C420E">
        <w:rPr>
          <w:sz w:val="20"/>
        </w:rPr>
        <w:t xml:space="preserve">. </w:t>
      </w:r>
      <w:r w:rsidR="00504BA6" w:rsidRPr="004C420E">
        <w:rPr>
          <w:sz w:val="20"/>
        </w:rPr>
        <w:t>Sodium to sodium Heat Exchangers (</w:t>
      </w:r>
      <w:r w:rsidRPr="004C420E">
        <w:rPr>
          <w:sz w:val="20"/>
        </w:rPr>
        <w:t>HEs</w:t>
      </w:r>
      <w:r w:rsidR="00504BA6" w:rsidRPr="004C420E">
        <w:rPr>
          <w:sz w:val="20"/>
        </w:rPr>
        <w:t>)</w:t>
      </w:r>
      <w:r w:rsidRPr="004C420E">
        <w:rPr>
          <w:sz w:val="20"/>
        </w:rPr>
        <w:t xml:space="preserve"> are used for exchanging heat with primary system. </w:t>
      </w:r>
      <w:r w:rsidR="00504BA6" w:rsidRPr="004C420E">
        <w:rPr>
          <w:sz w:val="20"/>
        </w:rPr>
        <w:t>T</w:t>
      </w:r>
      <w:r w:rsidRPr="004C420E">
        <w:rPr>
          <w:sz w:val="20"/>
        </w:rPr>
        <w:t xml:space="preserve">he HEs are </w:t>
      </w:r>
      <w:r w:rsidR="00AF6D3A" w:rsidRPr="004C420E">
        <w:rPr>
          <w:sz w:val="20"/>
        </w:rPr>
        <w:t xml:space="preserve">designed </w:t>
      </w:r>
      <w:r w:rsidRPr="004C420E">
        <w:rPr>
          <w:sz w:val="20"/>
        </w:rPr>
        <w:t xml:space="preserve">for the </w:t>
      </w:r>
      <w:r w:rsidR="00AF6D3A" w:rsidRPr="004C420E">
        <w:rPr>
          <w:sz w:val="20"/>
        </w:rPr>
        <w:t xml:space="preserve">nominal </w:t>
      </w:r>
      <w:r w:rsidR="00504BA6" w:rsidRPr="004C420E">
        <w:rPr>
          <w:sz w:val="20"/>
        </w:rPr>
        <w:t xml:space="preserve">conditions using the correlations available for the heat transfer and pressure drop estimations. Detailed assessments of the HEs </w:t>
      </w:r>
      <w:r w:rsidR="00F50644" w:rsidRPr="004C420E">
        <w:rPr>
          <w:sz w:val="20"/>
        </w:rPr>
        <w:t xml:space="preserve">are required to confirm the design as there are </w:t>
      </w:r>
      <w:r w:rsidR="00504BA6" w:rsidRPr="004C420E">
        <w:rPr>
          <w:sz w:val="20"/>
        </w:rPr>
        <w:t>uncertainties in the correlations, assumptions in the design</w:t>
      </w:r>
      <w:r w:rsidR="00F50644" w:rsidRPr="004C420E">
        <w:rPr>
          <w:sz w:val="20"/>
        </w:rPr>
        <w:t xml:space="preserve"> and</w:t>
      </w:r>
      <w:r w:rsidR="00504BA6" w:rsidRPr="004C420E">
        <w:rPr>
          <w:sz w:val="20"/>
        </w:rPr>
        <w:t xml:space="preserve"> deviations in the geometries vis-à-vis the correlations</w:t>
      </w:r>
      <w:r w:rsidR="00F50644" w:rsidRPr="004C420E">
        <w:rPr>
          <w:sz w:val="20"/>
        </w:rPr>
        <w:t xml:space="preserve"> etc. In addition to the </w:t>
      </w:r>
      <w:r w:rsidR="00AF6D3A" w:rsidRPr="004C420E">
        <w:rPr>
          <w:sz w:val="20"/>
        </w:rPr>
        <w:t xml:space="preserve">nominal </w:t>
      </w:r>
      <w:r w:rsidR="00F50644" w:rsidRPr="004C420E">
        <w:rPr>
          <w:sz w:val="20"/>
        </w:rPr>
        <w:t xml:space="preserve">conditions, the HEs are required </w:t>
      </w:r>
      <w:r w:rsidR="00AF6D3A" w:rsidRPr="004C420E">
        <w:rPr>
          <w:sz w:val="20"/>
        </w:rPr>
        <w:t xml:space="preserve">to </w:t>
      </w:r>
      <w:r w:rsidR="00F50644" w:rsidRPr="004C420E">
        <w:rPr>
          <w:sz w:val="20"/>
        </w:rPr>
        <w:t xml:space="preserve">transport heat during various operating conditions of the reactor. </w:t>
      </w:r>
      <w:r w:rsidRPr="004C420E">
        <w:rPr>
          <w:sz w:val="20"/>
        </w:rPr>
        <w:t>A mathematical model would help in checking the a</w:t>
      </w:r>
      <w:r w:rsidR="00F50644" w:rsidRPr="004C420E">
        <w:rPr>
          <w:sz w:val="20"/>
        </w:rPr>
        <w:t>bility</w:t>
      </w:r>
      <w:r w:rsidRPr="004C420E">
        <w:rPr>
          <w:sz w:val="20"/>
        </w:rPr>
        <w:t xml:space="preserve"> of HEs </w:t>
      </w:r>
      <w:r w:rsidR="00F50644" w:rsidRPr="004C420E">
        <w:rPr>
          <w:sz w:val="20"/>
        </w:rPr>
        <w:t>to perform during</w:t>
      </w:r>
      <w:r w:rsidRPr="004C420E">
        <w:rPr>
          <w:sz w:val="20"/>
        </w:rPr>
        <w:t xml:space="preserve"> their intended service conditions. Computational Fluid Dynamics (CFD) is an effective technique for the above mentioned purpose. However, the </w:t>
      </w:r>
      <w:r w:rsidR="00F50644" w:rsidRPr="004C420E">
        <w:rPr>
          <w:sz w:val="20"/>
        </w:rPr>
        <w:t>HEs</w:t>
      </w:r>
      <w:r w:rsidRPr="004C420E">
        <w:rPr>
          <w:sz w:val="20"/>
        </w:rPr>
        <w:t xml:space="preserve"> are generally large </w:t>
      </w:r>
      <w:r w:rsidR="00AF6D3A" w:rsidRPr="004C420E">
        <w:rPr>
          <w:sz w:val="20"/>
        </w:rPr>
        <w:t xml:space="preserve">in size </w:t>
      </w:r>
      <w:r w:rsidRPr="004C420E">
        <w:rPr>
          <w:sz w:val="20"/>
        </w:rPr>
        <w:t xml:space="preserve">and doing a detailed study with CFD necessitates higher </w:t>
      </w:r>
      <w:r w:rsidR="00C930B3" w:rsidRPr="004C420E">
        <w:rPr>
          <w:sz w:val="20"/>
        </w:rPr>
        <w:t xml:space="preserve">computational </w:t>
      </w:r>
      <w:r w:rsidRPr="004C420E">
        <w:rPr>
          <w:sz w:val="20"/>
        </w:rPr>
        <w:t xml:space="preserve">resources. To check the applicability of </w:t>
      </w:r>
      <w:r w:rsidR="00F50644" w:rsidRPr="004C420E">
        <w:rPr>
          <w:sz w:val="20"/>
        </w:rPr>
        <w:t xml:space="preserve">a </w:t>
      </w:r>
      <w:r w:rsidRPr="004C420E">
        <w:rPr>
          <w:sz w:val="20"/>
        </w:rPr>
        <w:t xml:space="preserve">standard </w:t>
      </w:r>
      <w:r w:rsidR="00F50644" w:rsidRPr="004C420E">
        <w:rPr>
          <w:sz w:val="20"/>
        </w:rPr>
        <w:t xml:space="preserve">CFD method, </w:t>
      </w:r>
      <w:r w:rsidRPr="004C420E">
        <w:rPr>
          <w:sz w:val="20"/>
        </w:rPr>
        <w:t>HE from reported literature [</w:t>
      </w:r>
      <w:r w:rsidR="00D016E2" w:rsidRPr="004C420E">
        <w:rPr>
          <w:sz w:val="20"/>
        </w:rPr>
        <w:t>1</w:t>
      </w:r>
      <w:r w:rsidRPr="004C420E">
        <w:rPr>
          <w:sz w:val="20"/>
        </w:rPr>
        <w:t>] is taken and the test conditions are simulated</w:t>
      </w:r>
      <w:r w:rsidR="00F50644" w:rsidRPr="004C420E">
        <w:rPr>
          <w:sz w:val="20"/>
        </w:rPr>
        <w:t xml:space="preserve"> for validation</w:t>
      </w:r>
      <w:r w:rsidRPr="004C420E">
        <w:rPr>
          <w:sz w:val="20"/>
        </w:rPr>
        <w:t xml:space="preserve">. </w:t>
      </w:r>
    </w:p>
    <w:p w:rsidR="00E25B68" w:rsidRPr="0033701C" w:rsidRDefault="00E2718B" w:rsidP="0026525A">
      <w:pPr>
        <w:pStyle w:val="Heading2"/>
        <w:numPr>
          <w:ilvl w:val="1"/>
          <w:numId w:val="10"/>
        </w:numPr>
      </w:pPr>
      <w:r w:rsidRPr="0033701C">
        <w:t>Description of the heat Exchanger &amp; test conditions from the literature</w:t>
      </w:r>
    </w:p>
    <w:p w:rsidR="00E2718B" w:rsidRPr="004C420E" w:rsidRDefault="00E2718B" w:rsidP="004C420E">
      <w:pPr>
        <w:pStyle w:val="Abstracttext"/>
        <w:jc w:val="both"/>
        <w:rPr>
          <w:sz w:val="20"/>
        </w:rPr>
      </w:pPr>
      <w:r w:rsidRPr="004C420E">
        <w:rPr>
          <w:sz w:val="20"/>
        </w:rPr>
        <w:t>The HE is a vertical counter-current unit with a</w:t>
      </w:r>
      <w:r w:rsidR="00E41138" w:rsidRPr="004C420E">
        <w:rPr>
          <w:sz w:val="20"/>
        </w:rPr>
        <w:t xml:space="preserve"> removable tube bundle (Fig. 1), </w:t>
      </w:r>
      <w:r w:rsidRPr="004C420E">
        <w:rPr>
          <w:sz w:val="20"/>
        </w:rPr>
        <w:t xml:space="preserve">installed in the loop such that </w:t>
      </w:r>
      <w:r w:rsidR="009F2FCE" w:rsidRPr="004C420E">
        <w:rPr>
          <w:sz w:val="20"/>
        </w:rPr>
        <w:t xml:space="preserve">the </w:t>
      </w:r>
      <w:r w:rsidRPr="004C420E">
        <w:rPr>
          <w:sz w:val="20"/>
        </w:rPr>
        <w:t>sodium flows in hot and cold conditions through the shell side and the tube side</w:t>
      </w:r>
      <w:r w:rsidR="00A60B64" w:rsidRPr="004C420E">
        <w:rPr>
          <w:sz w:val="20"/>
        </w:rPr>
        <w:t>s</w:t>
      </w:r>
      <w:r w:rsidRPr="004C420E">
        <w:rPr>
          <w:sz w:val="20"/>
        </w:rPr>
        <w:t xml:space="preserve"> respectively. At rated 3 MW (</w:t>
      </w:r>
      <w:proofErr w:type="spellStart"/>
      <w:r w:rsidRPr="004C420E">
        <w:rPr>
          <w:sz w:val="20"/>
        </w:rPr>
        <w:t>th</w:t>
      </w:r>
      <w:proofErr w:type="spellEnd"/>
      <w:r w:rsidRPr="004C420E">
        <w:rPr>
          <w:sz w:val="20"/>
        </w:rPr>
        <w:t>) capacity, 14.31 kg/s sodium at 811 K flows into the shell side of the HE</w:t>
      </w:r>
      <w:r w:rsidR="00FF562C" w:rsidRPr="004C420E">
        <w:rPr>
          <w:sz w:val="20"/>
        </w:rPr>
        <w:t xml:space="preserve"> through the </w:t>
      </w:r>
      <w:r w:rsidR="007F66C4">
        <w:rPr>
          <w:sz w:val="20"/>
        </w:rPr>
        <w:t xml:space="preserve">8 No. of 102 mm wide x 64 mm height </w:t>
      </w:r>
      <w:proofErr w:type="spellStart"/>
      <w:r w:rsidR="007F66C4">
        <w:rPr>
          <w:sz w:val="20"/>
        </w:rPr>
        <w:t>equi</w:t>
      </w:r>
      <w:proofErr w:type="spellEnd"/>
      <w:r w:rsidR="00D368CF">
        <w:rPr>
          <w:sz w:val="20"/>
        </w:rPr>
        <w:t>-</w:t>
      </w:r>
      <w:r w:rsidR="007F66C4">
        <w:rPr>
          <w:sz w:val="20"/>
        </w:rPr>
        <w:t xml:space="preserve">spaced </w:t>
      </w:r>
      <w:r w:rsidR="007F66C4" w:rsidRPr="004C420E">
        <w:rPr>
          <w:sz w:val="20"/>
        </w:rPr>
        <w:t>inlet ports</w:t>
      </w:r>
      <w:r w:rsidRPr="004C420E">
        <w:rPr>
          <w:sz w:val="20"/>
        </w:rPr>
        <w:t>, gets cooled to 644 K by cold sodium flowing inside the tubes</w:t>
      </w:r>
      <w:r w:rsidR="00FF562C" w:rsidRPr="004C420E">
        <w:rPr>
          <w:sz w:val="20"/>
        </w:rPr>
        <w:t xml:space="preserve"> and exits the HE through the </w:t>
      </w:r>
      <w:r w:rsidR="007F66C4">
        <w:rPr>
          <w:sz w:val="20"/>
        </w:rPr>
        <w:t xml:space="preserve">12 No. of 64 mm wide x 60 mm height </w:t>
      </w:r>
      <w:proofErr w:type="spellStart"/>
      <w:r w:rsidR="007F66C4">
        <w:rPr>
          <w:sz w:val="20"/>
        </w:rPr>
        <w:t>equi</w:t>
      </w:r>
      <w:proofErr w:type="spellEnd"/>
      <w:r w:rsidR="007F66C4">
        <w:rPr>
          <w:sz w:val="20"/>
        </w:rPr>
        <w:t xml:space="preserve">-spaced </w:t>
      </w:r>
      <w:r w:rsidR="00FF562C" w:rsidRPr="004C420E">
        <w:rPr>
          <w:sz w:val="20"/>
        </w:rPr>
        <w:t>outlet ports</w:t>
      </w:r>
      <w:r w:rsidR="00275A19">
        <w:rPr>
          <w:sz w:val="20"/>
        </w:rPr>
        <w:t xml:space="preserve"> (Fig. 1)</w:t>
      </w:r>
      <w:r w:rsidRPr="004C420E">
        <w:rPr>
          <w:sz w:val="20"/>
        </w:rPr>
        <w:t xml:space="preserve">. Cold sodium at 616 K enters the tubes </w:t>
      </w:r>
      <w:r w:rsidR="00FF562C" w:rsidRPr="004C420E">
        <w:rPr>
          <w:sz w:val="20"/>
        </w:rPr>
        <w:t xml:space="preserve">from the bottom tube sheet, </w:t>
      </w:r>
      <w:r w:rsidRPr="004C420E">
        <w:rPr>
          <w:sz w:val="20"/>
        </w:rPr>
        <w:t xml:space="preserve">flows upwards </w:t>
      </w:r>
      <w:r w:rsidR="009F2FCE" w:rsidRPr="004C420E">
        <w:rPr>
          <w:sz w:val="20"/>
        </w:rPr>
        <w:t xml:space="preserve">gets </w:t>
      </w:r>
      <w:r w:rsidRPr="004C420E">
        <w:rPr>
          <w:sz w:val="20"/>
        </w:rPr>
        <w:t>heated to 783 K</w:t>
      </w:r>
      <w:r w:rsidR="00FF562C" w:rsidRPr="004C420E">
        <w:rPr>
          <w:sz w:val="20"/>
        </w:rPr>
        <w:t xml:space="preserve"> and leaves the HE through the top tube sheet</w:t>
      </w:r>
      <w:r w:rsidRPr="004C420E">
        <w:rPr>
          <w:sz w:val="20"/>
        </w:rPr>
        <w:t xml:space="preserve">. The sodium </w:t>
      </w:r>
      <w:r w:rsidR="00A60B64" w:rsidRPr="004C420E">
        <w:rPr>
          <w:sz w:val="20"/>
        </w:rPr>
        <w:t>is</w:t>
      </w:r>
      <w:r w:rsidRPr="004C420E">
        <w:rPr>
          <w:sz w:val="20"/>
        </w:rPr>
        <w:t xml:space="preserve"> electrically heated in the heater vessel</w:t>
      </w:r>
      <w:r w:rsidR="00FF562C" w:rsidRPr="004C420E">
        <w:rPr>
          <w:sz w:val="20"/>
        </w:rPr>
        <w:t xml:space="preserve"> [</w:t>
      </w:r>
      <w:r w:rsidR="00D016E2" w:rsidRPr="004C420E">
        <w:rPr>
          <w:sz w:val="20"/>
        </w:rPr>
        <w:t>1</w:t>
      </w:r>
      <w:r w:rsidR="00FF562C" w:rsidRPr="004C420E">
        <w:rPr>
          <w:sz w:val="20"/>
        </w:rPr>
        <w:t>]</w:t>
      </w:r>
      <w:r w:rsidRPr="004C420E">
        <w:rPr>
          <w:sz w:val="20"/>
        </w:rPr>
        <w:t xml:space="preserve"> before sending it to the shell side and it </w:t>
      </w:r>
      <w:r w:rsidR="00A60B64" w:rsidRPr="004C420E">
        <w:rPr>
          <w:sz w:val="20"/>
        </w:rPr>
        <w:t>is</w:t>
      </w:r>
      <w:r w:rsidRPr="004C420E">
        <w:rPr>
          <w:sz w:val="20"/>
        </w:rPr>
        <w:t xml:space="preserve"> cooled in the sodium-air cooler in order to maintain steady state temperature conditions in the test loop. </w:t>
      </w:r>
      <w:r w:rsidR="009F2FCE" w:rsidRPr="004C420E">
        <w:rPr>
          <w:sz w:val="20"/>
        </w:rPr>
        <w:t xml:space="preserve">The impurities in sodium are maintained below 10 ppm using cold traps. </w:t>
      </w:r>
      <w:r w:rsidRPr="004C420E">
        <w:rPr>
          <w:sz w:val="20"/>
        </w:rPr>
        <w:t xml:space="preserve">The sodium flow rate through the loop </w:t>
      </w:r>
      <w:r w:rsidR="00A60B64" w:rsidRPr="004C420E">
        <w:rPr>
          <w:sz w:val="20"/>
        </w:rPr>
        <w:t>is</w:t>
      </w:r>
      <w:r w:rsidRPr="004C420E">
        <w:rPr>
          <w:sz w:val="20"/>
        </w:rPr>
        <w:t xml:space="preserve"> measured by an electromagnetic flow meter</w:t>
      </w:r>
      <w:r w:rsidR="00874E73" w:rsidRPr="004C420E">
        <w:rPr>
          <w:sz w:val="20"/>
        </w:rPr>
        <w:t>.</w:t>
      </w:r>
      <w:r w:rsidRPr="004C420E">
        <w:rPr>
          <w:sz w:val="20"/>
        </w:rPr>
        <w:t xml:space="preserve"> Thermocouples fixed in thermo wells at the inlets and outlets of the HE measure temperatures. </w:t>
      </w:r>
      <w:r w:rsidR="00FF562C" w:rsidRPr="004C420E">
        <w:rPr>
          <w:sz w:val="20"/>
        </w:rPr>
        <w:t xml:space="preserve">Temperatures are maintained constant at the inlets to shell side and tube side and the flow rate is changed for increasing the heat transfer rate. The outlet temperatures are measured for </w:t>
      </w:r>
      <w:r w:rsidR="00B12F47" w:rsidRPr="004C420E">
        <w:rPr>
          <w:sz w:val="20"/>
        </w:rPr>
        <w:t xml:space="preserve">estimating the capacity </w:t>
      </w:r>
      <w:r w:rsidR="002F41F2" w:rsidRPr="004C420E">
        <w:rPr>
          <w:sz w:val="20"/>
        </w:rPr>
        <w:t>of the HE</w:t>
      </w:r>
      <w:r w:rsidR="00FF562C" w:rsidRPr="004C420E">
        <w:rPr>
          <w:sz w:val="20"/>
        </w:rPr>
        <w:t>. Experiments are carried up</w:t>
      </w:r>
      <w:r w:rsidR="00B12F47" w:rsidRPr="004C420E">
        <w:rPr>
          <w:sz w:val="20"/>
        </w:rPr>
        <w:t xml:space="preserve"> </w:t>
      </w:r>
      <w:r w:rsidR="00FF562C" w:rsidRPr="004C420E">
        <w:rPr>
          <w:sz w:val="20"/>
        </w:rPr>
        <w:t>to a</w:t>
      </w:r>
      <w:r w:rsidR="00B12F47" w:rsidRPr="004C420E">
        <w:rPr>
          <w:sz w:val="20"/>
        </w:rPr>
        <w:t xml:space="preserve"> maximum</w:t>
      </w:r>
      <w:r w:rsidR="00FF562C" w:rsidRPr="004C420E">
        <w:rPr>
          <w:sz w:val="20"/>
        </w:rPr>
        <w:t xml:space="preserve"> flow rate of 10.86 kg/s due to </w:t>
      </w:r>
      <w:r w:rsidR="00B12F47" w:rsidRPr="004C420E">
        <w:rPr>
          <w:sz w:val="20"/>
        </w:rPr>
        <w:t xml:space="preserve">the limitation in </w:t>
      </w:r>
      <w:r w:rsidR="00FF562C" w:rsidRPr="004C420E">
        <w:rPr>
          <w:sz w:val="20"/>
        </w:rPr>
        <w:t xml:space="preserve">heat rejection capacity </w:t>
      </w:r>
      <w:r w:rsidR="00B12F47" w:rsidRPr="004C420E">
        <w:rPr>
          <w:sz w:val="20"/>
        </w:rPr>
        <w:t>of</w:t>
      </w:r>
      <w:r w:rsidR="00FF562C" w:rsidRPr="004C420E">
        <w:rPr>
          <w:sz w:val="20"/>
        </w:rPr>
        <w:t xml:space="preserve"> the loop.</w:t>
      </w:r>
    </w:p>
    <w:p w:rsidR="00EE0041" w:rsidRPr="0033701C" w:rsidRDefault="00160C4E" w:rsidP="00A60B64">
      <w:pPr>
        <w:pStyle w:val="Heading2"/>
        <w:numPr>
          <w:ilvl w:val="1"/>
          <w:numId w:val="10"/>
        </w:numPr>
      </w:pPr>
      <w:r w:rsidRPr="0033701C">
        <w:t xml:space="preserve">geometry </w:t>
      </w:r>
      <w:r w:rsidR="00A60B64" w:rsidRPr="0033701C">
        <w:t xml:space="preserve">MODELLING </w:t>
      </w:r>
      <w:r w:rsidR="00F74A9D" w:rsidRPr="0033701C">
        <w:t xml:space="preserve">AND </w:t>
      </w:r>
      <w:r w:rsidR="00A60B64" w:rsidRPr="0033701C">
        <w:t>boundary conditions</w:t>
      </w:r>
    </w:p>
    <w:p w:rsidR="00E41138" w:rsidRPr="0033701C" w:rsidRDefault="00FF562C" w:rsidP="0016241E">
      <w:pPr>
        <w:pStyle w:val="BodyText"/>
      </w:pPr>
      <w:r w:rsidRPr="0033701C">
        <w:t xml:space="preserve">A 90° sector </w:t>
      </w:r>
      <w:r w:rsidR="002F41F2" w:rsidRPr="0033701C">
        <w:t>model of the HE</w:t>
      </w:r>
      <w:r w:rsidRPr="0033701C">
        <w:t xml:space="preserve"> </w:t>
      </w:r>
      <w:r w:rsidR="002F41F2" w:rsidRPr="0033701C">
        <w:t xml:space="preserve">between the top and bottom tube sheets is </w:t>
      </w:r>
      <w:r w:rsidRPr="0033701C">
        <w:t xml:space="preserve">used for </w:t>
      </w:r>
      <w:r w:rsidR="00160C4E">
        <w:t>the study</w:t>
      </w:r>
      <w:r w:rsidRPr="0033701C">
        <w:t>. The discretize</w:t>
      </w:r>
      <w:r w:rsidR="002F41F2" w:rsidRPr="0033701C">
        <w:t xml:space="preserve">d model </w:t>
      </w:r>
      <w:r w:rsidR="00160C4E" w:rsidRPr="0033701C">
        <w:t xml:space="preserve">along with the boundary conditions </w:t>
      </w:r>
      <w:r w:rsidR="002F41F2" w:rsidRPr="0033701C">
        <w:t xml:space="preserve">used for the study is shown in </w:t>
      </w:r>
      <w:r w:rsidRPr="0033701C">
        <w:t>Fig</w:t>
      </w:r>
      <w:r w:rsidR="002F41F2" w:rsidRPr="0033701C">
        <w:t>.</w:t>
      </w:r>
      <w:r w:rsidRPr="0033701C">
        <w:t xml:space="preserve"> </w:t>
      </w:r>
      <w:r w:rsidR="00761D35">
        <w:t>1</w:t>
      </w:r>
      <w:r w:rsidRPr="0033701C">
        <w:t>. Both shell side and tube side fluids are considered for the study.</w:t>
      </w:r>
      <w:r w:rsidR="001E0A0F" w:rsidRPr="0033701C">
        <w:t xml:space="preserve"> The</w:t>
      </w:r>
      <w:r w:rsidR="00AC5523">
        <w:t xml:space="preserve"> pressure drop offered by tube bundle </w:t>
      </w:r>
      <w:r w:rsidR="001E0A0F" w:rsidRPr="0033701C">
        <w:t>supports</w:t>
      </w:r>
      <w:r w:rsidR="00AC5523">
        <w:t xml:space="preserve"> at three locations is modelled using porous jump model with a specified pressure drop coefficient.</w:t>
      </w:r>
      <w:r w:rsidR="001E0A0F" w:rsidRPr="0033701C">
        <w:t xml:space="preserve"> </w:t>
      </w:r>
      <w:r w:rsidR="0016241E" w:rsidRPr="001665DF">
        <w:t>Totally 48 tube surfaces are modelled with 6 semi tubes in consistency with symmetry of the arrangement.</w:t>
      </w:r>
      <w:r w:rsidR="0016241E" w:rsidRPr="0033701C">
        <w:t xml:space="preserve"> </w:t>
      </w:r>
      <w:r w:rsidR="00D368CF">
        <w:t>Shell side</w:t>
      </w:r>
      <w:r w:rsidR="0016241E" w:rsidRPr="0033701C">
        <w:t xml:space="preserve"> sodium </w:t>
      </w:r>
      <w:r w:rsidR="00F24672">
        <w:lastRenderedPageBreak/>
        <w:t xml:space="preserve">region is discretized such that there are </w:t>
      </w:r>
      <w:r w:rsidR="00366BE8">
        <w:t>3</w:t>
      </w:r>
      <w:r w:rsidR="00366BE8" w:rsidRPr="0033701C">
        <w:t xml:space="preserve"> </w:t>
      </w:r>
      <w:r w:rsidR="0016241E" w:rsidRPr="0033701C">
        <w:t>cells between the</w:t>
      </w:r>
      <w:r w:rsidR="00E41138" w:rsidRPr="0033701C">
        <w:t xml:space="preserve"> </w:t>
      </w:r>
      <w:proofErr w:type="gramStart"/>
      <w:r w:rsidR="00E41138" w:rsidRPr="0033701C">
        <w:t>tube</w:t>
      </w:r>
      <w:proofErr w:type="gramEnd"/>
      <w:r w:rsidR="00E41138" w:rsidRPr="0033701C">
        <w:t xml:space="preserve"> surfaces, tubes are modelled as 16 node polygons with zero thickness.</w:t>
      </w:r>
      <w:r w:rsidR="00BE6458">
        <w:t xml:space="preserve"> The number of cells used in the model are </w:t>
      </w:r>
      <w:r w:rsidR="00366BE8">
        <w:t>6.6</w:t>
      </w:r>
      <w:r w:rsidR="00BE6458">
        <w:t xml:space="preserve"> lakhs.</w:t>
      </w:r>
    </w:p>
    <w:p w:rsidR="00E72E39" w:rsidRDefault="000B3B3C" w:rsidP="00B25CDB">
      <w:pPr>
        <w:pStyle w:val="BodyText"/>
        <w:ind w:firstLine="0"/>
        <w:jc w:val="center"/>
        <w:rPr>
          <w:i/>
          <w:noProof/>
          <w:lang w:val="en-US"/>
        </w:rPr>
      </w:pPr>
      <w:r>
        <w:rPr>
          <w:i/>
          <w:noProof/>
          <w:lang w:val="en-US"/>
        </w:rPr>
        <w:drawing>
          <wp:inline distT="0" distB="0" distL="0" distR="0" wp14:anchorId="514005F1" wp14:editId="2030E1B8">
            <wp:extent cx="5083175" cy="3501736"/>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175" cy="3501736"/>
                    </a:xfrm>
                    <a:prstGeom prst="rect">
                      <a:avLst/>
                    </a:prstGeom>
                    <a:noFill/>
                  </pic:spPr>
                </pic:pic>
              </a:graphicData>
            </a:graphic>
          </wp:inline>
        </w:drawing>
      </w:r>
    </w:p>
    <w:p w:rsidR="00243753" w:rsidRPr="0033701C" w:rsidRDefault="00243753" w:rsidP="00761D35">
      <w:pPr>
        <w:pStyle w:val="BodyText"/>
        <w:jc w:val="center"/>
        <w:rPr>
          <w:i/>
        </w:rPr>
      </w:pPr>
      <w:r w:rsidRPr="0033701C">
        <w:rPr>
          <w:i/>
        </w:rPr>
        <w:t>F</w:t>
      </w:r>
      <w:r w:rsidR="002605CB">
        <w:rPr>
          <w:i/>
        </w:rPr>
        <w:t>IG</w:t>
      </w:r>
      <w:r w:rsidRPr="0033701C">
        <w:rPr>
          <w:i/>
        </w:rPr>
        <w:t xml:space="preserve">. 1   </w:t>
      </w:r>
      <w:r w:rsidR="00761D35">
        <w:rPr>
          <w:i/>
        </w:rPr>
        <w:t xml:space="preserve">Dimensions, </w:t>
      </w:r>
      <w:r w:rsidR="00576A6E" w:rsidRPr="0033701C">
        <w:rPr>
          <w:i/>
        </w:rPr>
        <w:t>modelling and</w:t>
      </w:r>
      <w:r w:rsidRPr="0033701C">
        <w:rPr>
          <w:i/>
        </w:rPr>
        <w:t xml:space="preserve"> Boundary conditions</w:t>
      </w:r>
      <w:r w:rsidR="00576A6E" w:rsidRPr="0033701C">
        <w:rPr>
          <w:i/>
        </w:rPr>
        <w:t xml:space="preserve"> of the heat exchanger</w:t>
      </w:r>
    </w:p>
    <w:p w:rsidR="0016241E" w:rsidRPr="0033701C" w:rsidRDefault="0016241E" w:rsidP="00243753">
      <w:pPr>
        <w:pStyle w:val="BodyText"/>
        <w:jc w:val="center"/>
        <w:rPr>
          <w:i/>
        </w:rPr>
      </w:pPr>
    </w:p>
    <w:p w:rsidR="0032787E" w:rsidRPr="0033701C" w:rsidRDefault="0016241E" w:rsidP="00D368CF">
      <w:pPr>
        <w:overflowPunct/>
        <w:autoSpaceDE/>
        <w:autoSpaceDN/>
        <w:adjustRightInd/>
        <w:ind w:firstLine="567"/>
        <w:jc w:val="both"/>
        <w:textAlignment w:val="auto"/>
        <w:rPr>
          <w:sz w:val="20"/>
        </w:rPr>
      </w:pPr>
      <w:r w:rsidRPr="0033701C">
        <w:rPr>
          <w:sz w:val="20"/>
        </w:rPr>
        <w:t xml:space="preserve">3 – D conservation equations for mass, momentum and energy </w:t>
      </w:r>
      <w:r w:rsidR="009071DB">
        <w:rPr>
          <w:sz w:val="20"/>
        </w:rPr>
        <w:t>are solved</w:t>
      </w:r>
      <w:r w:rsidR="00F56BED">
        <w:rPr>
          <w:sz w:val="20"/>
        </w:rPr>
        <w:t xml:space="preserve"> </w:t>
      </w:r>
      <w:r w:rsidRPr="0033701C">
        <w:rPr>
          <w:sz w:val="20"/>
        </w:rPr>
        <w:t xml:space="preserve">using finite volume </w:t>
      </w:r>
      <w:r w:rsidR="00F56BED">
        <w:rPr>
          <w:sz w:val="20"/>
        </w:rPr>
        <w:t xml:space="preserve">method </w:t>
      </w:r>
      <w:r w:rsidR="009071DB">
        <w:rPr>
          <w:sz w:val="20"/>
        </w:rPr>
        <w:t>to carry out</w:t>
      </w:r>
      <w:r w:rsidRPr="0033701C">
        <w:rPr>
          <w:sz w:val="20"/>
        </w:rPr>
        <w:t xml:space="preserve"> steady conjugate heat transfer analysis </w:t>
      </w:r>
      <w:r w:rsidR="009071DB">
        <w:rPr>
          <w:sz w:val="20"/>
        </w:rPr>
        <w:t>of the HE in the tube bundle region</w:t>
      </w:r>
      <w:r w:rsidRPr="0033701C">
        <w:rPr>
          <w:sz w:val="20"/>
        </w:rPr>
        <w:t xml:space="preserve">. </w:t>
      </w:r>
      <w:proofErr w:type="spellStart"/>
      <w:r w:rsidRPr="0033701C">
        <w:rPr>
          <w:sz w:val="20"/>
        </w:rPr>
        <w:t>Boussinesq</w:t>
      </w:r>
      <w:proofErr w:type="spellEnd"/>
      <w:r w:rsidRPr="0033701C">
        <w:rPr>
          <w:sz w:val="20"/>
        </w:rPr>
        <w:t xml:space="preserve"> approximation [</w:t>
      </w:r>
      <w:r w:rsidR="00D016E2">
        <w:rPr>
          <w:sz w:val="20"/>
        </w:rPr>
        <w:t>2</w:t>
      </w:r>
      <w:r w:rsidRPr="0033701C">
        <w:rPr>
          <w:sz w:val="20"/>
        </w:rPr>
        <w:t xml:space="preserve">] </w:t>
      </w:r>
      <w:r w:rsidR="00F56BED">
        <w:rPr>
          <w:sz w:val="20"/>
        </w:rPr>
        <w:t xml:space="preserve">is </w:t>
      </w:r>
      <w:r w:rsidR="00637B07">
        <w:rPr>
          <w:sz w:val="20"/>
        </w:rPr>
        <w:t xml:space="preserve">used </w:t>
      </w:r>
      <w:r w:rsidR="00F56BED">
        <w:rPr>
          <w:sz w:val="20"/>
        </w:rPr>
        <w:t>for considering density changes.</w:t>
      </w:r>
      <w:r w:rsidRPr="0033701C">
        <w:rPr>
          <w:sz w:val="20"/>
        </w:rPr>
        <w:t xml:space="preserve"> The SIMPLE algorithm [</w:t>
      </w:r>
      <w:r w:rsidR="00D016E2">
        <w:rPr>
          <w:sz w:val="20"/>
        </w:rPr>
        <w:t>3</w:t>
      </w:r>
      <w:r w:rsidRPr="0033701C">
        <w:rPr>
          <w:sz w:val="20"/>
        </w:rPr>
        <w:t xml:space="preserve">] is used for Pressure – velocity coupling. First order up winding scheme is used for convective and diffusive fluxes at the interfaces. </w:t>
      </w:r>
      <w:r w:rsidR="00C661F9">
        <w:rPr>
          <w:sz w:val="20"/>
        </w:rPr>
        <w:t xml:space="preserve">The </w:t>
      </w:r>
      <w:r w:rsidRPr="0033701C">
        <w:rPr>
          <w:sz w:val="20"/>
        </w:rPr>
        <w:t xml:space="preserve">k – ɛ </w:t>
      </w:r>
      <w:r w:rsidR="00C661F9">
        <w:rPr>
          <w:sz w:val="20"/>
        </w:rPr>
        <w:t>r</w:t>
      </w:r>
      <w:r w:rsidRPr="0033701C">
        <w:rPr>
          <w:sz w:val="20"/>
        </w:rPr>
        <w:t>ealizable model is used for accounting turbulence</w:t>
      </w:r>
      <w:r w:rsidR="00B377D7">
        <w:rPr>
          <w:sz w:val="20"/>
        </w:rPr>
        <w:t xml:space="preserve"> with enhanced wall function. The y</w:t>
      </w:r>
      <w:r w:rsidR="00B377D7">
        <w:rPr>
          <w:sz w:val="20"/>
          <w:vertAlign w:val="superscript"/>
        </w:rPr>
        <w:t>+</w:t>
      </w:r>
      <w:r w:rsidR="00B377D7">
        <w:rPr>
          <w:sz w:val="20"/>
        </w:rPr>
        <w:t xml:space="preserve"> values are in the range of 2 to 394</w:t>
      </w:r>
      <w:r w:rsidRPr="0033701C">
        <w:rPr>
          <w:sz w:val="20"/>
        </w:rPr>
        <w:t>. The convergence criteria is set at 10</w:t>
      </w:r>
      <w:r w:rsidRPr="0033701C">
        <w:rPr>
          <w:sz w:val="20"/>
          <w:vertAlign w:val="superscript"/>
        </w:rPr>
        <w:t>-6</w:t>
      </w:r>
      <w:r w:rsidRPr="0033701C">
        <w:rPr>
          <w:sz w:val="20"/>
        </w:rPr>
        <w:t xml:space="preserve"> for the residue terms. </w:t>
      </w:r>
      <w:r w:rsidR="00366BE8">
        <w:rPr>
          <w:sz w:val="20"/>
        </w:rPr>
        <w:t>Uniform m</w:t>
      </w:r>
      <w:r w:rsidR="00366BE8" w:rsidRPr="0033701C">
        <w:rPr>
          <w:sz w:val="20"/>
        </w:rPr>
        <w:t xml:space="preserve">ass </w:t>
      </w:r>
      <w:r w:rsidR="0032787E" w:rsidRPr="0033701C">
        <w:rPr>
          <w:sz w:val="20"/>
        </w:rPr>
        <w:t>flux</w:t>
      </w:r>
      <w:r w:rsidR="00366BE8">
        <w:rPr>
          <w:sz w:val="20"/>
        </w:rPr>
        <w:t xml:space="preserve"> normal to the boundary</w:t>
      </w:r>
      <w:r w:rsidR="0032787E" w:rsidRPr="0033701C">
        <w:rPr>
          <w:sz w:val="20"/>
        </w:rPr>
        <w:t xml:space="preserve"> </w:t>
      </w:r>
      <w:r w:rsidR="00C661F9">
        <w:rPr>
          <w:sz w:val="20"/>
        </w:rPr>
        <w:t>along with the</w:t>
      </w:r>
      <w:r w:rsidR="00C661F9" w:rsidRPr="0033701C">
        <w:rPr>
          <w:sz w:val="20"/>
        </w:rPr>
        <w:t xml:space="preserve"> </w:t>
      </w:r>
      <w:r w:rsidR="0032787E" w:rsidRPr="0033701C">
        <w:rPr>
          <w:sz w:val="20"/>
        </w:rPr>
        <w:t xml:space="preserve">temperature are given as inlet conditions </w:t>
      </w:r>
      <w:r w:rsidR="00E41138" w:rsidRPr="0033701C">
        <w:rPr>
          <w:sz w:val="20"/>
        </w:rPr>
        <w:t xml:space="preserve">(Fig. </w:t>
      </w:r>
      <w:r w:rsidR="00F56BED">
        <w:rPr>
          <w:sz w:val="20"/>
        </w:rPr>
        <w:t>1</w:t>
      </w:r>
      <w:r w:rsidR="00E41138" w:rsidRPr="0033701C">
        <w:rPr>
          <w:sz w:val="20"/>
        </w:rPr>
        <w:t>)</w:t>
      </w:r>
      <w:r w:rsidR="0033701C" w:rsidRPr="0033701C">
        <w:rPr>
          <w:sz w:val="20"/>
        </w:rPr>
        <w:t xml:space="preserve"> </w:t>
      </w:r>
      <w:r w:rsidR="00E41138" w:rsidRPr="0033701C">
        <w:rPr>
          <w:sz w:val="20"/>
        </w:rPr>
        <w:t>and p</w:t>
      </w:r>
      <w:r w:rsidR="0032787E" w:rsidRPr="0033701C">
        <w:rPr>
          <w:sz w:val="20"/>
        </w:rPr>
        <w:t xml:space="preserve">ressure outlet boundary condition is </w:t>
      </w:r>
      <w:r w:rsidR="00B51C8C">
        <w:rPr>
          <w:sz w:val="20"/>
        </w:rPr>
        <w:t>specified</w:t>
      </w:r>
      <w:r w:rsidR="00B51C8C" w:rsidRPr="0033701C">
        <w:rPr>
          <w:sz w:val="20"/>
        </w:rPr>
        <w:t xml:space="preserve"> </w:t>
      </w:r>
      <w:r w:rsidR="0032787E" w:rsidRPr="0033701C">
        <w:rPr>
          <w:sz w:val="20"/>
        </w:rPr>
        <w:t>at the outlets</w:t>
      </w:r>
      <w:r w:rsidR="007A0AF1">
        <w:rPr>
          <w:sz w:val="20"/>
        </w:rPr>
        <w:t xml:space="preserve"> for both shell side and tube side fluids</w:t>
      </w:r>
      <w:r w:rsidR="0032787E" w:rsidRPr="0033701C">
        <w:rPr>
          <w:sz w:val="20"/>
        </w:rPr>
        <w:t xml:space="preserve">. </w:t>
      </w:r>
      <w:r w:rsidR="00E41138" w:rsidRPr="0033701C">
        <w:rPr>
          <w:sz w:val="20"/>
        </w:rPr>
        <w:t>T</w:t>
      </w:r>
      <w:r w:rsidR="0032787E" w:rsidRPr="0033701C">
        <w:rPr>
          <w:sz w:val="20"/>
        </w:rPr>
        <w:t xml:space="preserve">ubes are defined as coupled walls with 0.91 mm thickness on the inner side. Inner-shell, outer-shell, top of bottom tube sheet, bottom of top tube sheet are defined as </w:t>
      </w:r>
      <w:r w:rsidR="00E41138" w:rsidRPr="0033701C">
        <w:rPr>
          <w:sz w:val="20"/>
        </w:rPr>
        <w:t xml:space="preserve">adiabatic walls since </w:t>
      </w:r>
      <w:r w:rsidR="0032787E" w:rsidRPr="0033701C">
        <w:rPr>
          <w:sz w:val="20"/>
        </w:rPr>
        <w:t xml:space="preserve">the heat transfer from these surfaces are negligible in comparison to the actual heat transfer </w:t>
      </w:r>
      <w:r w:rsidR="00882F5A">
        <w:rPr>
          <w:sz w:val="20"/>
        </w:rPr>
        <w:t>from shell side to tube side fluids</w:t>
      </w:r>
      <w:r w:rsidR="0032787E" w:rsidRPr="0033701C">
        <w:rPr>
          <w:sz w:val="20"/>
        </w:rPr>
        <w:t>.</w:t>
      </w:r>
      <w:r w:rsidR="00882F5A">
        <w:rPr>
          <w:sz w:val="20"/>
        </w:rPr>
        <w:t xml:space="preserve"> </w:t>
      </w:r>
      <w:r w:rsidR="00115E3E">
        <w:rPr>
          <w:sz w:val="20"/>
        </w:rPr>
        <w:t xml:space="preserve">The HE geometry and shell side inlet flow distribution are nearly symmetric. </w:t>
      </w:r>
      <w:r w:rsidR="00882F5A">
        <w:rPr>
          <w:sz w:val="20"/>
        </w:rPr>
        <w:t xml:space="preserve">The inlet port height is 64 mm which </w:t>
      </w:r>
      <w:r w:rsidR="00017E5F">
        <w:rPr>
          <w:sz w:val="20"/>
        </w:rPr>
        <w:t xml:space="preserve">is </w:t>
      </w:r>
      <w:r w:rsidR="00882F5A">
        <w:rPr>
          <w:sz w:val="20"/>
        </w:rPr>
        <w:t>considerably small in comparison to HE height of 4.65 m</w:t>
      </w:r>
      <w:r w:rsidR="00366BE8">
        <w:rPr>
          <w:sz w:val="20"/>
        </w:rPr>
        <w:t>.</w:t>
      </w:r>
      <w:r w:rsidR="00882F5A">
        <w:rPr>
          <w:sz w:val="20"/>
        </w:rPr>
        <w:t xml:space="preserve"> Hence, the inlet flow distribution is not expected to affect the heat transfer capacity significantly.</w:t>
      </w:r>
      <w:r w:rsidR="00115E3E">
        <w:rPr>
          <w:sz w:val="20"/>
        </w:rPr>
        <w:t xml:space="preserve"> The tube side inlet flow distribution is expected to be nearly uniform. </w:t>
      </w:r>
      <w:r w:rsidR="00843FF9">
        <w:rPr>
          <w:sz w:val="20"/>
        </w:rPr>
        <w:t>By extending the inlet domains, the estimations can be further improved which are planned for future studies.</w:t>
      </w:r>
    </w:p>
    <w:p w:rsidR="0032787E" w:rsidRPr="0033701C" w:rsidRDefault="0032787E" w:rsidP="0032787E">
      <w:pPr>
        <w:pStyle w:val="Heading2"/>
        <w:numPr>
          <w:ilvl w:val="1"/>
          <w:numId w:val="10"/>
        </w:numPr>
      </w:pPr>
      <w:r w:rsidRPr="0033701C">
        <w:t>Results and discussion</w:t>
      </w:r>
    </w:p>
    <w:p w:rsidR="0032787E" w:rsidRDefault="00170902" w:rsidP="009345F7">
      <w:pPr>
        <w:overflowPunct/>
        <w:autoSpaceDE/>
        <w:autoSpaceDN/>
        <w:adjustRightInd/>
        <w:ind w:firstLine="540"/>
        <w:jc w:val="both"/>
        <w:textAlignment w:val="auto"/>
        <w:rPr>
          <w:sz w:val="20"/>
        </w:rPr>
      </w:pPr>
      <w:r>
        <w:rPr>
          <w:sz w:val="20"/>
        </w:rPr>
        <w:t>The shell side sodium enters through the inlet port and travels predominantly in the radial direction because of its momentum. A</w:t>
      </w:r>
      <w:r w:rsidR="00D9004D">
        <w:rPr>
          <w:sz w:val="20"/>
        </w:rPr>
        <w:t xml:space="preserve">fter reaching the inner shell, </w:t>
      </w:r>
      <w:r>
        <w:rPr>
          <w:sz w:val="20"/>
        </w:rPr>
        <w:t xml:space="preserve">the sodium changes its direction and moves axially. </w:t>
      </w:r>
      <w:r w:rsidR="00D9004D">
        <w:rPr>
          <w:sz w:val="20"/>
        </w:rPr>
        <w:t>As the sodium flows in the axial dir</w:t>
      </w:r>
      <w:r w:rsidR="00455982">
        <w:rPr>
          <w:sz w:val="20"/>
        </w:rPr>
        <w:t>e</w:t>
      </w:r>
      <w:r w:rsidR="00D9004D">
        <w:rPr>
          <w:sz w:val="20"/>
        </w:rPr>
        <w:t>ction, t</w:t>
      </w:r>
      <w:r>
        <w:rPr>
          <w:sz w:val="20"/>
        </w:rPr>
        <w:t xml:space="preserve">he flow </w:t>
      </w:r>
      <w:r w:rsidR="00D9004D">
        <w:rPr>
          <w:sz w:val="20"/>
        </w:rPr>
        <w:t xml:space="preserve">gets developed </w:t>
      </w:r>
      <w:r>
        <w:rPr>
          <w:sz w:val="20"/>
        </w:rPr>
        <w:t>and becomes nearly uniform by the time it reaches the middle region. As a result of this, in the top region the axial velo</w:t>
      </w:r>
      <w:r w:rsidR="00D9004D">
        <w:rPr>
          <w:sz w:val="20"/>
        </w:rPr>
        <w:t xml:space="preserve">cities are higher near the inner shell region </w:t>
      </w:r>
      <w:r>
        <w:rPr>
          <w:sz w:val="20"/>
        </w:rPr>
        <w:t>as compared to the peripheral region</w:t>
      </w:r>
      <w:r w:rsidR="00017E5F">
        <w:rPr>
          <w:sz w:val="20"/>
        </w:rPr>
        <w:t xml:space="preserve"> (Fig. </w:t>
      </w:r>
      <w:proofErr w:type="spellStart"/>
      <w:r w:rsidR="00017E5F">
        <w:rPr>
          <w:sz w:val="20"/>
        </w:rPr>
        <w:t>2a</w:t>
      </w:r>
      <w:proofErr w:type="spellEnd"/>
      <w:r w:rsidR="00017E5F">
        <w:rPr>
          <w:sz w:val="20"/>
        </w:rPr>
        <w:t>)</w:t>
      </w:r>
      <w:r>
        <w:rPr>
          <w:sz w:val="20"/>
        </w:rPr>
        <w:t xml:space="preserve">. </w:t>
      </w:r>
      <w:r w:rsidR="00455982">
        <w:rPr>
          <w:sz w:val="20"/>
        </w:rPr>
        <w:t>Because of the radial flow in the top region, the radial temperature drop is small</w:t>
      </w:r>
      <w:r w:rsidR="00017E5F">
        <w:rPr>
          <w:sz w:val="20"/>
        </w:rPr>
        <w:t xml:space="preserve"> (Fig. </w:t>
      </w:r>
      <w:proofErr w:type="spellStart"/>
      <w:r w:rsidR="00017E5F">
        <w:rPr>
          <w:sz w:val="20"/>
        </w:rPr>
        <w:t>2</w:t>
      </w:r>
      <w:r w:rsidR="00BC1170">
        <w:rPr>
          <w:sz w:val="20"/>
        </w:rPr>
        <w:t>a</w:t>
      </w:r>
      <w:proofErr w:type="spellEnd"/>
      <w:r w:rsidR="00017E5F">
        <w:rPr>
          <w:sz w:val="20"/>
        </w:rPr>
        <w:t>)</w:t>
      </w:r>
      <w:r w:rsidR="00455982">
        <w:rPr>
          <w:sz w:val="20"/>
        </w:rPr>
        <w:t>. While travelling in the axial direction, in the top region</w:t>
      </w:r>
      <w:r w:rsidR="00770F29">
        <w:rPr>
          <w:sz w:val="20"/>
        </w:rPr>
        <w:t>,</w:t>
      </w:r>
      <w:r w:rsidR="00455982">
        <w:rPr>
          <w:sz w:val="20"/>
        </w:rPr>
        <w:t xml:space="preserve"> the axial velocities are higher in the inner region, resulting </w:t>
      </w:r>
      <w:r w:rsidR="00770F29">
        <w:rPr>
          <w:sz w:val="20"/>
        </w:rPr>
        <w:t xml:space="preserve">in </w:t>
      </w:r>
      <w:r w:rsidR="00455982">
        <w:rPr>
          <w:sz w:val="20"/>
        </w:rPr>
        <w:t xml:space="preserve">smaller axial temperature gradients compared to the peripheral region. Hence, the inner region is hotter in the top region. As the flow develops, </w:t>
      </w:r>
      <w:r w:rsidR="008D2914">
        <w:rPr>
          <w:sz w:val="20"/>
        </w:rPr>
        <w:t xml:space="preserve">axial temperature gradients become uniform. This is clear from the Fig. </w:t>
      </w:r>
      <w:proofErr w:type="spellStart"/>
      <w:r w:rsidR="008D2914">
        <w:rPr>
          <w:sz w:val="20"/>
        </w:rPr>
        <w:t>2</w:t>
      </w:r>
      <w:r w:rsidR="00BC1170">
        <w:rPr>
          <w:sz w:val="20"/>
        </w:rPr>
        <w:t>a</w:t>
      </w:r>
      <w:proofErr w:type="spellEnd"/>
      <w:r w:rsidR="008D2914">
        <w:rPr>
          <w:sz w:val="20"/>
        </w:rPr>
        <w:t xml:space="preserve"> and </w:t>
      </w:r>
      <w:proofErr w:type="spellStart"/>
      <w:r w:rsidR="008D2914">
        <w:rPr>
          <w:sz w:val="20"/>
        </w:rPr>
        <w:t>2</w:t>
      </w:r>
      <w:r w:rsidR="00BC1170">
        <w:rPr>
          <w:sz w:val="20"/>
        </w:rPr>
        <w:t>b</w:t>
      </w:r>
      <w:proofErr w:type="spellEnd"/>
      <w:r w:rsidR="008D2914">
        <w:rPr>
          <w:sz w:val="20"/>
        </w:rPr>
        <w:t xml:space="preserve"> where the inner region temperatures are higher in the top and axial temperature profiles are parallel in the middle region. As the flow approaches the exit, the axial flow turns to radially outwards</w:t>
      </w:r>
      <w:r w:rsidR="00017E5F">
        <w:rPr>
          <w:sz w:val="20"/>
        </w:rPr>
        <w:t xml:space="preserve"> (Fig. </w:t>
      </w:r>
      <w:proofErr w:type="spellStart"/>
      <w:r w:rsidR="00A62365">
        <w:rPr>
          <w:sz w:val="20"/>
        </w:rPr>
        <w:t>3a</w:t>
      </w:r>
      <w:proofErr w:type="spellEnd"/>
      <w:r w:rsidR="00017E5F">
        <w:rPr>
          <w:sz w:val="20"/>
        </w:rPr>
        <w:t>)</w:t>
      </w:r>
      <w:r w:rsidR="008D2914">
        <w:rPr>
          <w:sz w:val="20"/>
        </w:rPr>
        <w:t xml:space="preserve">. This results in </w:t>
      </w:r>
      <w:r w:rsidR="00770F29">
        <w:rPr>
          <w:sz w:val="20"/>
        </w:rPr>
        <w:t xml:space="preserve">low sodium velocities near the inner region </w:t>
      </w:r>
      <w:r w:rsidR="00D368CF">
        <w:rPr>
          <w:sz w:val="20"/>
        </w:rPr>
        <w:t>near</w:t>
      </w:r>
      <w:r w:rsidR="00770F29">
        <w:rPr>
          <w:sz w:val="20"/>
        </w:rPr>
        <w:t xml:space="preserve"> the bottom tube sheet and the sodium temperature drop is more as compared to peripheral region.</w:t>
      </w:r>
      <w:r w:rsidR="009148ED" w:rsidRPr="009148ED">
        <w:rPr>
          <w:sz w:val="20"/>
        </w:rPr>
        <w:t xml:space="preserve"> </w:t>
      </w:r>
      <w:r w:rsidR="009148ED">
        <w:rPr>
          <w:sz w:val="20"/>
        </w:rPr>
        <w:t>T</w:t>
      </w:r>
      <w:r w:rsidR="009148ED" w:rsidRPr="0033701C">
        <w:rPr>
          <w:sz w:val="20"/>
        </w:rPr>
        <w:t>emperature profile of shell side sodium</w:t>
      </w:r>
      <w:r w:rsidR="009148ED">
        <w:rPr>
          <w:sz w:val="20"/>
        </w:rPr>
        <w:t xml:space="preserve"> at the outlet ports is show in Fig. </w:t>
      </w:r>
      <w:proofErr w:type="spellStart"/>
      <w:r w:rsidR="009148ED">
        <w:rPr>
          <w:sz w:val="20"/>
        </w:rPr>
        <w:t>3a</w:t>
      </w:r>
      <w:proofErr w:type="spellEnd"/>
      <w:r w:rsidR="009148ED" w:rsidRPr="0033701C">
        <w:rPr>
          <w:sz w:val="20"/>
        </w:rPr>
        <w:t>. It can be observed that there is</w:t>
      </w:r>
      <w:r w:rsidR="009148ED">
        <w:rPr>
          <w:sz w:val="20"/>
        </w:rPr>
        <w:t xml:space="preserve"> a maximum of </w:t>
      </w:r>
      <w:r w:rsidR="009148ED" w:rsidRPr="0033701C">
        <w:rPr>
          <w:sz w:val="20"/>
        </w:rPr>
        <w:t xml:space="preserve">~ 13 K </w:t>
      </w:r>
      <w:r w:rsidR="009148ED" w:rsidRPr="0033701C">
        <w:rPr>
          <w:sz w:val="20"/>
        </w:rPr>
        <w:lastRenderedPageBreak/>
        <w:t xml:space="preserve">temperature </w:t>
      </w:r>
      <w:r w:rsidR="00D368CF">
        <w:rPr>
          <w:sz w:val="20"/>
        </w:rPr>
        <w:t>difference</w:t>
      </w:r>
      <w:r w:rsidR="009148ED" w:rsidRPr="0033701C">
        <w:rPr>
          <w:sz w:val="20"/>
        </w:rPr>
        <w:t xml:space="preserve"> </w:t>
      </w:r>
      <w:r w:rsidR="009148ED">
        <w:rPr>
          <w:sz w:val="20"/>
        </w:rPr>
        <w:t xml:space="preserve">in </w:t>
      </w:r>
      <w:r w:rsidR="009148ED" w:rsidRPr="0033701C">
        <w:rPr>
          <w:sz w:val="20"/>
        </w:rPr>
        <w:t xml:space="preserve">the outlet </w:t>
      </w:r>
      <w:r w:rsidR="009148ED">
        <w:rPr>
          <w:sz w:val="20"/>
        </w:rPr>
        <w:t xml:space="preserve">ports </w:t>
      </w:r>
      <w:r w:rsidR="009148ED">
        <w:rPr>
          <w:sz w:val="20"/>
        </w:rPr>
        <w:t xml:space="preserve">because </w:t>
      </w:r>
      <w:r w:rsidR="009148ED" w:rsidRPr="0033701C">
        <w:rPr>
          <w:sz w:val="20"/>
        </w:rPr>
        <w:t>s</w:t>
      </w:r>
      <w:r w:rsidR="009148ED">
        <w:rPr>
          <w:sz w:val="20"/>
        </w:rPr>
        <w:t xml:space="preserve">odium at the outer periphery </w:t>
      </w:r>
      <w:r w:rsidR="009148ED" w:rsidRPr="0033701C">
        <w:rPr>
          <w:sz w:val="20"/>
        </w:rPr>
        <w:t>exits immediately</w:t>
      </w:r>
      <w:r w:rsidR="009148ED">
        <w:rPr>
          <w:sz w:val="20"/>
        </w:rPr>
        <w:t xml:space="preserve"> (Fig </w:t>
      </w:r>
      <w:proofErr w:type="spellStart"/>
      <w:r w:rsidR="009148ED">
        <w:rPr>
          <w:sz w:val="20"/>
        </w:rPr>
        <w:t>3a</w:t>
      </w:r>
      <w:proofErr w:type="spellEnd"/>
      <w:r w:rsidR="009148ED">
        <w:rPr>
          <w:sz w:val="20"/>
        </w:rPr>
        <w:t>) from the top of the ports while the sodium from inner region cools down and exits from the bottom of the ports</w:t>
      </w:r>
      <w:r w:rsidR="009148ED" w:rsidRPr="0033701C">
        <w:rPr>
          <w:sz w:val="20"/>
        </w:rPr>
        <w:t xml:space="preserve">. The temperature distribution of </w:t>
      </w:r>
      <w:r w:rsidR="009148ED">
        <w:rPr>
          <w:sz w:val="20"/>
        </w:rPr>
        <w:t>tube side</w:t>
      </w:r>
      <w:r w:rsidR="009148ED" w:rsidRPr="0033701C">
        <w:rPr>
          <w:sz w:val="20"/>
        </w:rPr>
        <w:t xml:space="preserve"> sodium </w:t>
      </w:r>
      <w:r w:rsidR="009148ED">
        <w:rPr>
          <w:sz w:val="20"/>
        </w:rPr>
        <w:t xml:space="preserve">at its </w:t>
      </w:r>
      <w:r w:rsidR="009148ED" w:rsidRPr="0033701C">
        <w:rPr>
          <w:sz w:val="20"/>
        </w:rPr>
        <w:t xml:space="preserve">outlet is shown in Fig. </w:t>
      </w:r>
      <w:r w:rsidR="009148ED">
        <w:rPr>
          <w:sz w:val="20"/>
        </w:rPr>
        <w:t>3b</w:t>
      </w:r>
      <w:r w:rsidR="009148ED" w:rsidRPr="0033701C">
        <w:rPr>
          <w:sz w:val="20"/>
        </w:rPr>
        <w:t xml:space="preserve">. There is a maximum </w:t>
      </w:r>
      <w:r w:rsidR="009148ED">
        <w:rPr>
          <w:sz w:val="20"/>
        </w:rPr>
        <w:t xml:space="preserve">of </w:t>
      </w:r>
      <w:r w:rsidR="009148ED" w:rsidRPr="0033701C">
        <w:rPr>
          <w:sz w:val="20"/>
        </w:rPr>
        <w:t>3.7 K difference in the sodium streams exiting the HE</w:t>
      </w:r>
      <w:r w:rsidR="009148ED">
        <w:rPr>
          <w:sz w:val="20"/>
        </w:rPr>
        <w:t>, mainly</w:t>
      </w:r>
      <w:r w:rsidR="009148ED">
        <w:rPr>
          <w:sz w:val="20"/>
        </w:rPr>
        <w:t xml:space="preserve"> along the circumferential direction of the HE. Since the inlet of sodium to the shell side is through ports (Fig.</w:t>
      </w:r>
      <w:r w:rsidR="009148ED">
        <w:rPr>
          <w:sz w:val="20"/>
        </w:rPr>
        <w:t xml:space="preserve"> </w:t>
      </w:r>
      <w:r w:rsidR="009148ED">
        <w:rPr>
          <w:sz w:val="20"/>
        </w:rPr>
        <w:t>1), the temperatures of the tubes which are in line with the inlet ports have higher temperatures compared to the other tubes.</w:t>
      </w:r>
      <w:r w:rsidR="009148ED">
        <w:rPr>
          <w:sz w:val="20"/>
        </w:rPr>
        <w:t xml:space="preserve"> </w:t>
      </w:r>
      <w:r w:rsidR="00930411" w:rsidRPr="0033701C">
        <w:rPr>
          <w:sz w:val="20"/>
        </w:rPr>
        <w:t xml:space="preserve">The comparison of results from current study </w:t>
      </w:r>
      <w:r w:rsidR="00723097">
        <w:rPr>
          <w:sz w:val="20"/>
        </w:rPr>
        <w:t>and</w:t>
      </w:r>
      <w:r w:rsidR="00723097" w:rsidRPr="0033701C">
        <w:rPr>
          <w:sz w:val="20"/>
        </w:rPr>
        <w:t xml:space="preserve"> </w:t>
      </w:r>
      <w:r w:rsidR="00930411" w:rsidRPr="0033701C">
        <w:rPr>
          <w:sz w:val="20"/>
        </w:rPr>
        <w:t xml:space="preserve">reported results are given in Table 1. </w:t>
      </w:r>
      <w:r w:rsidR="002605CB">
        <w:rPr>
          <w:sz w:val="20"/>
        </w:rPr>
        <w:t xml:space="preserve">There is close match between the </w:t>
      </w:r>
      <w:r w:rsidR="00723097">
        <w:rPr>
          <w:sz w:val="20"/>
        </w:rPr>
        <w:t xml:space="preserve">predictions </w:t>
      </w:r>
      <w:r w:rsidR="002605CB">
        <w:rPr>
          <w:sz w:val="20"/>
        </w:rPr>
        <w:t>and reported values. T</w:t>
      </w:r>
      <w:r w:rsidR="00930411" w:rsidRPr="0033701C">
        <w:rPr>
          <w:sz w:val="20"/>
        </w:rPr>
        <w:t xml:space="preserve">he maximum error </w:t>
      </w:r>
      <w:r w:rsidR="002605CB">
        <w:rPr>
          <w:sz w:val="20"/>
        </w:rPr>
        <w:t xml:space="preserve">in the heat transfer capacity is </w:t>
      </w:r>
      <w:r w:rsidR="00930411" w:rsidRPr="0033701C">
        <w:rPr>
          <w:sz w:val="20"/>
        </w:rPr>
        <w:t>3.8%</w:t>
      </w:r>
      <w:r w:rsidR="004C420E">
        <w:rPr>
          <w:sz w:val="20"/>
        </w:rPr>
        <w:t>,</w:t>
      </w:r>
      <w:r w:rsidR="002605CB">
        <w:rPr>
          <w:sz w:val="20"/>
        </w:rPr>
        <w:t xml:space="preserve"> validating the application of the </w:t>
      </w:r>
      <w:r w:rsidR="00930411" w:rsidRPr="0033701C">
        <w:rPr>
          <w:sz w:val="20"/>
        </w:rPr>
        <w:t>standard CFD for simulating steady state heat transfer of HEs.</w:t>
      </w:r>
      <w:r w:rsidR="009345F7" w:rsidRPr="0033701C">
        <w:rPr>
          <w:sz w:val="20"/>
        </w:rPr>
        <w:t xml:space="preserve"> </w:t>
      </w:r>
    </w:p>
    <w:p w:rsidR="009345F7" w:rsidRPr="0033701C" w:rsidRDefault="00D368CF" w:rsidP="0016241E">
      <w:pPr>
        <w:overflowPunct/>
        <w:autoSpaceDE/>
        <w:autoSpaceDN/>
        <w:adjustRightInd/>
        <w:jc w:val="both"/>
        <w:textAlignment w:val="auto"/>
        <w:rPr>
          <w:sz w:val="20"/>
        </w:rPr>
      </w:pPr>
      <w:r w:rsidRPr="00A62365">
        <w:rPr>
          <w:sz w:val="20"/>
          <w:lang w:val="en-US"/>
        </w:rPr>
        <mc:AlternateContent>
          <mc:Choice Requires="wps">
            <w:drawing>
              <wp:anchor distT="0" distB="0" distL="114300" distR="114300" simplePos="0" relativeHeight="251660288" behindDoc="0" locked="0" layoutInCell="1" allowOverlap="1" wp14:anchorId="6FE8D8CE" wp14:editId="52D23E89">
                <wp:simplePos x="0" y="0"/>
                <wp:positionH relativeFrom="column">
                  <wp:posOffset>-108857</wp:posOffset>
                </wp:positionH>
                <wp:positionV relativeFrom="paragraph">
                  <wp:posOffset>2136321</wp:posOffset>
                </wp:positionV>
                <wp:extent cx="3276600" cy="350520"/>
                <wp:effectExtent l="0" t="0" r="0" b="0"/>
                <wp:wrapNone/>
                <wp:docPr id="3" name="TextBox 2"/>
                <wp:cNvGraphicFramePr/>
                <a:graphic xmlns:a="http://schemas.openxmlformats.org/drawingml/2006/main">
                  <a:graphicData uri="http://schemas.microsoft.com/office/word/2010/wordprocessingShape">
                    <wps:wsp>
                      <wps:cNvSpPr txBox="1"/>
                      <wps:spPr>
                        <a:xfrm>
                          <a:off x="0" y="0"/>
                          <a:ext cx="3276600" cy="350520"/>
                        </a:xfrm>
                        <a:prstGeom prst="rect">
                          <a:avLst/>
                        </a:prstGeom>
                        <a:noFill/>
                      </wps:spPr>
                      <wps:txbx>
                        <w:txbxContent>
                          <w:p w:rsidR="00A62365" w:rsidRPr="00F35334" w:rsidRDefault="00A62365" w:rsidP="00D368CF">
                            <w:pPr>
                              <w:pStyle w:val="NormalWeb"/>
                              <w:ind w:left="630" w:hanging="630"/>
                              <w:rPr>
                                <w:sz w:val="14"/>
                              </w:rPr>
                            </w:pPr>
                            <w:r w:rsidRPr="00F35334">
                              <w:rPr>
                                <w:color w:val="000000" w:themeColor="text1"/>
                                <w:kern w:val="24"/>
                                <w:sz w:val="16"/>
                                <w:szCs w:val="28"/>
                              </w:rPr>
                              <w:t xml:space="preserve">FIG. </w:t>
                            </w:r>
                            <w:proofErr w:type="spellStart"/>
                            <w:r w:rsidRPr="00F35334">
                              <w:rPr>
                                <w:color w:val="000000" w:themeColor="text1"/>
                                <w:kern w:val="24"/>
                                <w:sz w:val="16"/>
                                <w:szCs w:val="28"/>
                              </w:rPr>
                              <w:t>2a</w:t>
                            </w:r>
                            <w:proofErr w:type="spellEnd"/>
                            <w:r w:rsidRPr="00F35334">
                              <w:rPr>
                                <w:color w:val="000000" w:themeColor="text1"/>
                                <w:kern w:val="24"/>
                                <w:sz w:val="16"/>
                                <w:szCs w:val="28"/>
                              </w:rPr>
                              <w:t xml:space="preserve">  </w:t>
                            </w:r>
                            <w:r w:rsidRPr="00F35334">
                              <w:rPr>
                                <w:color w:val="000000" w:themeColor="text1"/>
                                <w:kern w:val="24"/>
                                <w:sz w:val="16"/>
                                <w:szCs w:val="28"/>
                              </w:rPr>
                              <w:t xml:space="preserve"> </w:t>
                            </w:r>
                            <w:r w:rsidRPr="00F35334">
                              <w:rPr>
                                <w:color w:val="000000" w:themeColor="text1"/>
                                <w:kern w:val="24"/>
                                <w:sz w:val="16"/>
                                <w:szCs w:val="28"/>
                              </w:rPr>
                              <w:t xml:space="preserve">Evolution of temperatures </w:t>
                            </w:r>
                            <w:r w:rsidR="00F35334" w:rsidRPr="00F35334">
                              <w:rPr>
                                <w:color w:val="000000" w:themeColor="text1"/>
                                <w:kern w:val="24"/>
                                <w:sz w:val="16"/>
                                <w:szCs w:val="28"/>
                              </w:rPr>
                              <w:t xml:space="preserve">in the </w:t>
                            </w:r>
                            <w:r w:rsidRPr="00F35334">
                              <w:rPr>
                                <w:color w:val="000000" w:themeColor="text1"/>
                                <w:kern w:val="24"/>
                                <w:sz w:val="16"/>
                                <w:szCs w:val="28"/>
                              </w:rPr>
                              <w:t>HE</w:t>
                            </w:r>
                            <w:r w:rsidR="00F35334" w:rsidRPr="00F35334">
                              <w:rPr>
                                <w:color w:val="000000" w:themeColor="text1"/>
                                <w:kern w:val="24"/>
                                <w:sz w:val="16"/>
                                <w:szCs w:val="28"/>
                              </w:rPr>
                              <w:t xml:space="preserve"> and velocity develo</w:t>
                            </w:r>
                            <w:r w:rsidR="00D368CF">
                              <w:rPr>
                                <w:color w:val="000000" w:themeColor="text1"/>
                                <w:kern w:val="24"/>
                                <w:sz w:val="16"/>
                                <w:szCs w:val="28"/>
                              </w:rPr>
                              <w:t xml:space="preserve">pment at </w:t>
                            </w:r>
                            <w:r w:rsidR="00F35334" w:rsidRPr="00F35334">
                              <w:rPr>
                                <w:color w:val="000000" w:themeColor="text1"/>
                                <w:kern w:val="24"/>
                                <w:sz w:val="16"/>
                                <w:szCs w:val="28"/>
                              </w:rPr>
                              <w:t>the inlet ports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FE8D8CE" id="_x0000_t202" coordsize="21600,21600" o:spt="202" path="m,l,21600r21600,l21600,xe">
                <v:stroke joinstyle="miter"/>
                <v:path gradientshapeok="t" o:connecttype="rect"/>
              </v:shapetype>
              <v:shape id="TextBox 2" o:spid="_x0000_s1026" type="#_x0000_t202" style="position:absolute;left:0;text-align:left;margin-left:-8.55pt;margin-top:168.2pt;width:258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" filled="f" stroked="f">
                <v:textbox>
                  <w:txbxContent>
                    <w:p w:rsidR="00A62365" w:rsidRPr="00F35334" w:rsidRDefault="00A62365" w:rsidP="00D368CF">
                      <w:pPr>
                        <w:pStyle w:val="NormalWeb"/>
                        <w:ind w:left="630" w:hanging="630"/>
                        <w:rPr>
                          <w:sz w:val="14"/>
                        </w:rPr>
                      </w:pPr>
                      <w:r w:rsidRPr="00F35334">
                        <w:rPr>
                          <w:color w:val="000000" w:themeColor="text1"/>
                          <w:kern w:val="24"/>
                          <w:sz w:val="16"/>
                          <w:szCs w:val="28"/>
                        </w:rPr>
                        <w:t xml:space="preserve">FIG. </w:t>
                      </w:r>
                      <w:proofErr w:type="spellStart"/>
                      <w:r w:rsidRPr="00F35334">
                        <w:rPr>
                          <w:color w:val="000000" w:themeColor="text1"/>
                          <w:kern w:val="24"/>
                          <w:sz w:val="16"/>
                          <w:szCs w:val="28"/>
                        </w:rPr>
                        <w:t>2a</w:t>
                      </w:r>
                      <w:proofErr w:type="spellEnd"/>
                      <w:r w:rsidRPr="00F35334">
                        <w:rPr>
                          <w:color w:val="000000" w:themeColor="text1"/>
                          <w:kern w:val="24"/>
                          <w:sz w:val="16"/>
                          <w:szCs w:val="28"/>
                        </w:rPr>
                        <w:t xml:space="preserve">  </w:t>
                      </w:r>
                      <w:r w:rsidRPr="00F35334">
                        <w:rPr>
                          <w:color w:val="000000" w:themeColor="text1"/>
                          <w:kern w:val="24"/>
                          <w:sz w:val="16"/>
                          <w:szCs w:val="28"/>
                        </w:rPr>
                        <w:t xml:space="preserve"> </w:t>
                      </w:r>
                      <w:r w:rsidRPr="00F35334">
                        <w:rPr>
                          <w:color w:val="000000" w:themeColor="text1"/>
                          <w:kern w:val="24"/>
                          <w:sz w:val="16"/>
                          <w:szCs w:val="28"/>
                        </w:rPr>
                        <w:t xml:space="preserve">Evolution of temperatures </w:t>
                      </w:r>
                      <w:r w:rsidR="00F35334" w:rsidRPr="00F35334">
                        <w:rPr>
                          <w:color w:val="000000" w:themeColor="text1"/>
                          <w:kern w:val="24"/>
                          <w:sz w:val="16"/>
                          <w:szCs w:val="28"/>
                        </w:rPr>
                        <w:t xml:space="preserve">in the </w:t>
                      </w:r>
                      <w:r w:rsidRPr="00F35334">
                        <w:rPr>
                          <w:color w:val="000000" w:themeColor="text1"/>
                          <w:kern w:val="24"/>
                          <w:sz w:val="16"/>
                          <w:szCs w:val="28"/>
                        </w:rPr>
                        <w:t>HE</w:t>
                      </w:r>
                      <w:r w:rsidR="00F35334" w:rsidRPr="00F35334">
                        <w:rPr>
                          <w:color w:val="000000" w:themeColor="text1"/>
                          <w:kern w:val="24"/>
                          <w:sz w:val="16"/>
                          <w:szCs w:val="28"/>
                        </w:rPr>
                        <w:t xml:space="preserve"> and velocity develo</w:t>
                      </w:r>
                      <w:r w:rsidR="00D368CF">
                        <w:rPr>
                          <w:color w:val="000000" w:themeColor="text1"/>
                          <w:kern w:val="24"/>
                          <w:sz w:val="16"/>
                          <w:szCs w:val="28"/>
                        </w:rPr>
                        <w:t xml:space="preserve">pment at </w:t>
                      </w:r>
                      <w:r w:rsidR="00F35334" w:rsidRPr="00F35334">
                        <w:rPr>
                          <w:color w:val="000000" w:themeColor="text1"/>
                          <w:kern w:val="24"/>
                          <w:sz w:val="16"/>
                          <w:szCs w:val="28"/>
                        </w:rPr>
                        <w:t>the inlet ports</w:t>
                      </w:r>
                    </w:p>
                  </w:txbxContent>
                </v:textbox>
              </v:shape>
            </w:pict>
          </mc:Fallback>
        </mc:AlternateContent>
      </w:r>
      <w:r w:rsidR="00F35334" w:rsidRPr="00A62365">
        <w:rPr>
          <w:sz w:val="20"/>
          <w:lang w:val="en-US"/>
        </w:rPr>
        <mc:AlternateContent>
          <mc:Choice Requires="wps">
            <w:drawing>
              <wp:anchor distT="0" distB="0" distL="114300" distR="114300" simplePos="0" relativeHeight="251663360" behindDoc="0" locked="0" layoutInCell="1" allowOverlap="1" wp14:anchorId="00371891" wp14:editId="5CB621E1">
                <wp:simplePos x="0" y="0"/>
                <wp:positionH relativeFrom="column">
                  <wp:posOffset>3104087</wp:posOffset>
                </wp:positionH>
                <wp:positionV relativeFrom="paragraph">
                  <wp:posOffset>2162175</wp:posOffset>
                </wp:positionV>
                <wp:extent cx="2886740" cy="351064"/>
                <wp:effectExtent l="0" t="0" r="0" b="0"/>
                <wp:wrapNone/>
                <wp:docPr id="11" name="TextBox 2"/>
                <wp:cNvGraphicFramePr/>
                <a:graphic xmlns:a="http://schemas.openxmlformats.org/drawingml/2006/main">
                  <a:graphicData uri="http://schemas.microsoft.com/office/word/2010/wordprocessingShape">
                    <wps:wsp>
                      <wps:cNvSpPr txBox="1"/>
                      <wps:spPr>
                        <a:xfrm>
                          <a:off x="0" y="0"/>
                          <a:ext cx="2886740" cy="351064"/>
                        </a:xfrm>
                        <a:prstGeom prst="rect">
                          <a:avLst/>
                        </a:prstGeom>
                        <a:noFill/>
                      </wps:spPr>
                      <wps:txbx>
                        <w:txbxContent>
                          <w:p w:rsidR="00F35334" w:rsidRPr="00F35334" w:rsidRDefault="00F35334" w:rsidP="00F35334">
                            <w:pPr>
                              <w:pStyle w:val="NormalWeb"/>
                              <w:rPr>
                                <w:sz w:val="14"/>
                              </w:rPr>
                            </w:pPr>
                            <w:r w:rsidRPr="00F35334">
                              <w:rPr>
                                <w:color w:val="000000" w:themeColor="text1"/>
                                <w:kern w:val="24"/>
                                <w:sz w:val="16"/>
                                <w:szCs w:val="28"/>
                              </w:rPr>
                              <w:t xml:space="preserve">FIG. </w:t>
                            </w:r>
                            <w:proofErr w:type="spellStart"/>
                            <w:r w:rsidRPr="00F35334">
                              <w:rPr>
                                <w:color w:val="000000" w:themeColor="text1"/>
                                <w:kern w:val="24"/>
                                <w:sz w:val="16"/>
                                <w:szCs w:val="28"/>
                              </w:rPr>
                              <w:t>2</w:t>
                            </w:r>
                            <w:r>
                              <w:rPr>
                                <w:color w:val="000000" w:themeColor="text1"/>
                                <w:kern w:val="24"/>
                                <w:sz w:val="16"/>
                                <w:szCs w:val="28"/>
                              </w:rPr>
                              <w:t>b</w:t>
                            </w:r>
                            <w:proofErr w:type="spellEnd"/>
                            <w:r w:rsidRPr="00F35334">
                              <w:rPr>
                                <w:color w:val="000000" w:themeColor="text1"/>
                                <w:kern w:val="24"/>
                                <w:sz w:val="16"/>
                                <w:szCs w:val="28"/>
                              </w:rPr>
                              <w:t xml:space="preserve">   </w:t>
                            </w:r>
                            <w:r>
                              <w:rPr>
                                <w:color w:val="000000" w:themeColor="text1"/>
                                <w:kern w:val="24"/>
                                <w:sz w:val="16"/>
                                <w:szCs w:val="28"/>
                              </w:rPr>
                              <w:t>Average Axial Temperatures of the HE components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371891" id="_x0000_s1027" type="#_x0000_t202" style="position:absolute;left:0;text-align:left;margin-left:244.4pt;margin-top:170.25pt;width:227.3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" filled="f" stroked="f">
                <v:textbox>
                  <w:txbxContent>
                    <w:p w:rsidR="00F35334" w:rsidRPr="00F35334" w:rsidRDefault="00F35334" w:rsidP="00F35334">
                      <w:pPr>
                        <w:pStyle w:val="NormalWeb"/>
                        <w:rPr>
                          <w:sz w:val="14"/>
                        </w:rPr>
                      </w:pPr>
                      <w:r w:rsidRPr="00F35334">
                        <w:rPr>
                          <w:color w:val="000000" w:themeColor="text1"/>
                          <w:kern w:val="24"/>
                          <w:sz w:val="16"/>
                          <w:szCs w:val="28"/>
                        </w:rPr>
                        <w:t xml:space="preserve">FIG. </w:t>
                      </w:r>
                      <w:proofErr w:type="spellStart"/>
                      <w:r w:rsidRPr="00F35334">
                        <w:rPr>
                          <w:color w:val="000000" w:themeColor="text1"/>
                          <w:kern w:val="24"/>
                          <w:sz w:val="16"/>
                          <w:szCs w:val="28"/>
                        </w:rPr>
                        <w:t>2</w:t>
                      </w:r>
                      <w:r>
                        <w:rPr>
                          <w:color w:val="000000" w:themeColor="text1"/>
                          <w:kern w:val="24"/>
                          <w:sz w:val="16"/>
                          <w:szCs w:val="28"/>
                        </w:rPr>
                        <w:t>b</w:t>
                      </w:r>
                      <w:proofErr w:type="spellEnd"/>
                      <w:r w:rsidRPr="00F35334">
                        <w:rPr>
                          <w:color w:val="000000" w:themeColor="text1"/>
                          <w:kern w:val="24"/>
                          <w:sz w:val="16"/>
                          <w:szCs w:val="28"/>
                        </w:rPr>
                        <w:t xml:space="preserve">   </w:t>
                      </w:r>
                      <w:r>
                        <w:rPr>
                          <w:color w:val="000000" w:themeColor="text1"/>
                          <w:kern w:val="24"/>
                          <w:sz w:val="16"/>
                          <w:szCs w:val="28"/>
                        </w:rPr>
                        <w:t>Average Axial Temperatures of the HE components</w:t>
                      </w:r>
                    </w:p>
                  </w:txbxContent>
                </v:textbox>
              </v:shape>
            </w:pict>
          </mc:Fallback>
        </mc:AlternateContent>
      </w:r>
      <w:r w:rsidR="00A62365">
        <w:rPr>
          <w:noProof/>
          <w:sz w:val="20"/>
          <w:lang w:val="en-US"/>
        </w:rPr>
        <w:drawing>
          <wp:inline distT="0" distB="0" distL="0" distR="0" wp14:anchorId="16CC6D6B" wp14:editId="3B8E6DD9">
            <wp:extent cx="5790565" cy="219619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759" cy="2229643"/>
                    </a:xfrm>
                    <a:prstGeom prst="rect">
                      <a:avLst/>
                    </a:prstGeom>
                    <a:noFill/>
                  </pic:spPr>
                </pic:pic>
              </a:graphicData>
            </a:graphic>
          </wp:inline>
        </w:drawing>
      </w:r>
    </w:p>
    <w:p w:rsidR="00A62365" w:rsidRDefault="00A62365" w:rsidP="0033701C">
      <w:pPr>
        <w:pStyle w:val="Figurecaption"/>
        <w:rPr>
          <w:sz w:val="20"/>
        </w:rPr>
      </w:pPr>
    </w:p>
    <w:p w:rsidR="00472C43" w:rsidRPr="0033701C" w:rsidRDefault="00A62365" w:rsidP="0033701C">
      <w:pPr>
        <w:pStyle w:val="Figurecaption"/>
        <w:rPr>
          <w:sz w:val="20"/>
        </w:rPr>
      </w:pPr>
      <w:r w:rsidRPr="00A62365">
        <w:rPr>
          <w:sz w:val="20"/>
        </w:rPr>
        <w:t xml:space="preserve"> </w:t>
      </w:r>
      <w:r w:rsidR="0033701C" w:rsidRPr="0033701C">
        <w:rPr>
          <w:sz w:val="20"/>
        </w:rPr>
        <w:t>FIG. 2   Evolution of temperatures in the HE</w:t>
      </w:r>
    </w:p>
    <w:p w:rsidR="009148ED" w:rsidRDefault="009148ED" w:rsidP="009148ED">
      <w:pPr>
        <w:pStyle w:val="BodyText"/>
        <w:ind w:firstLine="0"/>
        <w:jc w:val="center"/>
        <w:rPr>
          <w:i/>
        </w:rPr>
      </w:pPr>
      <w:r>
        <w:rPr>
          <w:b/>
          <w:i/>
          <w:caps/>
          <w:noProof/>
          <w:lang w:val="en-US"/>
        </w:rPr>
        <w:drawing>
          <wp:inline distT="0" distB="0" distL="0" distR="0" wp14:anchorId="33CB9027">
            <wp:extent cx="5656683" cy="183404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8664" cy="1847653"/>
                    </a:xfrm>
                    <a:prstGeom prst="rect">
                      <a:avLst/>
                    </a:prstGeom>
                    <a:noFill/>
                  </pic:spPr>
                </pic:pic>
              </a:graphicData>
            </a:graphic>
          </wp:inline>
        </w:drawing>
      </w:r>
      <w:r w:rsidR="00B55681" w:rsidRPr="00B55681">
        <w:rPr>
          <w:i/>
        </w:rPr>
        <w:t>F</w:t>
      </w:r>
      <w:r w:rsidR="002605CB">
        <w:rPr>
          <w:i/>
        </w:rPr>
        <w:t>IG</w:t>
      </w:r>
      <w:r w:rsidR="00B55681" w:rsidRPr="00B55681">
        <w:rPr>
          <w:i/>
        </w:rPr>
        <w:t xml:space="preserve">. </w:t>
      </w:r>
      <w:r w:rsidR="00A27E59">
        <w:rPr>
          <w:i/>
        </w:rPr>
        <w:t>3</w:t>
      </w:r>
      <w:r w:rsidR="00B55681" w:rsidRPr="00B55681">
        <w:rPr>
          <w:i/>
        </w:rPr>
        <w:t xml:space="preserve">   </w:t>
      </w:r>
      <w:r w:rsidR="00B55681">
        <w:rPr>
          <w:i/>
        </w:rPr>
        <w:t>T</w:t>
      </w:r>
      <w:r w:rsidR="00B55681" w:rsidRPr="00B55681">
        <w:rPr>
          <w:i/>
        </w:rPr>
        <w:t>emperature profiles of sodium at the outlet from the heat exchanger</w:t>
      </w:r>
    </w:p>
    <w:p w:rsidR="009148ED" w:rsidRDefault="009148ED" w:rsidP="009148ED">
      <w:pPr>
        <w:pStyle w:val="BodyText"/>
        <w:ind w:firstLine="0"/>
        <w:jc w:val="center"/>
      </w:pPr>
    </w:p>
    <w:p w:rsidR="009148ED" w:rsidRPr="0033701C" w:rsidRDefault="009148ED" w:rsidP="009148ED">
      <w:pPr>
        <w:pStyle w:val="BodyText"/>
        <w:ind w:firstLine="0"/>
      </w:pPr>
      <w:r w:rsidRPr="0033701C">
        <w:t>TABLE 1.</w:t>
      </w:r>
      <w:r w:rsidRPr="0033701C">
        <w:tab/>
        <w:t>COMPARISON OF RESULTS FROM LITERATURE AND CURRENT CFD STUDY</w:t>
      </w:r>
    </w:p>
    <w:tbl>
      <w:tblPr>
        <w:tblStyle w:val="PlainTable31"/>
        <w:tblpPr w:leftFromText="180" w:rightFromText="180" w:vertAnchor="text" w:horzAnchor="margin" w:tblpXSpec="center" w:tblpY="188"/>
        <w:tblW w:w="7425" w:type="dxa"/>
        <w:tblLook w:val="00A0" w:firstRow="1" w:lastRow="0" w:firstColumn="1" w:lastColumn="0" w:noHBand="0" w:noVBand="0"/>
      </w:tblPr>
      <w:tblGrid>
        <w:gridCol w:w="3045"/>
        <w:gridCol w:w="1485"/>
        <w:gridCol w:w="1351"/>
        <w:gridCol w:w="1544"/>
      </w:tblGrid>
      <w:tr w:rsidR="009148ED" w:rsidRPr="0033701C" w:rsidTr="00FC5BCB">
        <w:trPr>
          <w:cnfStyle w:val="100000000000" w:firstRow="1" w:lastRow="0" w:firstColumn="0" w:lastColumn="0" w:oddVBand="0" w:evenVBand="0" w:oddHBand="0" w:evenHBand="0" w:firstRowFirstColumn="0" w:firstRowLastColumn="0" w:lastRowFirstColumn="0" w:lastRowLastColumn="0"/>
          <w:trHeight w:val="233"/>
        </w:trPr>
        <w:tc>
          <w:tcPr>
            <w:cnfStyle w:val="001000000100" w:firstRow="0" w:lastRow="0" w:firstColumn="1" w:lastColumn="0" w:oddVBand="0" w:evenVBand="0" w:oddHBand="0" w:evenHBand="0" w:firstRowFirstColumn="1" w:firstRowLastColumn="0" w:lastRowFirstColumn="0" w:lastRowLastColumn="0"/>
            <w:tcW w:w="3045" w:type="dxa"/>
            <w:tcBorders>
              <w:top w:val="single" w:sz="4" w:space="0" w:color="auto"/>
              <w:bottom w:val="single" w:sz="4" w:space="0" w:color="auto"/>
              <w:right w:val="none" w:sz="0" w:space="0" w:color="auto"/>
            </w:tcBorders>
          </w:tcPr>
          <w:p w:rsidR="009148ED" w:rsidRPr="0033701C" w:rsidRDefault="009148ED" w:rsidP="00FC5BCB">
            <w:pPr>
              <w:jc w:val="center"/>
              <w:rPr>
                <w:b w:val="0"/>
                <w:bCs w:val="0"/>
                <w:sz w:val="20"/>
              </w:rPr>
            </w:pPr>
            <w:r w:rsidRPr="0033701C">
              <w:rPr>
                <w:b w:val="0"/>
                <w:caps w:val="0"/>
                <w:sz w:val="20"/>
              </w:rPr>
              <w:t>Parameter</w:t>
            </w:r>
          </w:p>
        </w:tc>
        <w:tc>
          <w:tcPr>
            <w:cnfStyle w:val="000010000000" w:firstRow="0" w:lastRow="0" w:firstColumn="0" w:lastColumn="0" w:oddVBand="1" w:evenVBand="0" w:oddHBand="0" w:evenHBand="0" w:firstRowFirstColumn="0" w:firstRowLastColumn="0" w:lastRowFirstColumn="0" w:lastRowLastColumn="0"/>
            <w:tcW w:w="1485" w:type="dxa"/>
            <w:tcBorders>
              <w:top w:val="single" w:sz="4" w:space="0" w:color="auto"/>
              <w:bottom w:val="single" w:sz="4" w:space="0" w:color="auto"/>
            </w:tcBorders>
          </w:tcPr>
          <w:p w:rsidR="009148ED" w:rsidRPr="0033701C" w:rsidRDefault="009148ED" w:rsidP="00FC5BCB">
            <w:pPr>
              <w:jc w:val="center"/>
              <w:rPr>
                <w:b w:val="0"/>
                <w:bCs w:val="0"/>
                <w:sz w:val="20"/>
              </w:rPr>
            </w:pPr>
            <w:r w:rsidRPr="0033701C">
              <w:rPr>
                <w:b w:val="0"/>
                <w:caps w:val="0"/>
                <w:sz w:val="20"/>
              </w:rPr>
              <w:t xml:space="preserve">Literature </w:t>
            </w:r>
          </w:p>
        </w:tc>
        <w:tc>
          <w:tcPr>
            <w:tcW w:w="1351" w:type="dxa"/>
            <w:tcBorders>
              <w:top w:val="single" w:sz="4" w:space="0" w:color="auto"/>
              <w:bottom w:val="single" w:sz="4" w:space="0" w:color="auto"/>
            </w:tcBorders>
          </w:tcPr>
          <w:p w:rsidR="009148ED" w:rsidRPr="0033701C" w:rsidRDefault="009148ED" w:rsidP="00FC5BCB">
            <w:pPr>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33701C">
              <w:rPr>
                <w:b w:val="0"/>
                <w:caps w:val="0"/>
                <w:sz w:val="20"/>
              </w:rPr>
              <w:t xml:space="preserve">CFD </w:t>
            </w:r>
          </w:p>
        </w:tc>
        <w:tc>
          <w:tcPr>
            <w:cnfStyle w:val="000010000000" w:firstRow="0" w:lastRow="0" w:firstColumn="0" w:lastColumn="0" w:oddVBand="1" w:evenVBand="0" w:oddHBand="0" w:evenHBand="0" w:firstRowFirstColumn="0" w:firstRowLastColumn="0" w:lastRowFirstColumn="0" w:lastRowLastColumn="0"/>
            <w:tcW w:w="1544" w:type="dxa"/>
            <w:tcBorders>
              <w:top w:val="single" w:sz="4" w:space="0" w:color="auto"/>
              <w:bottom w:val="single" w:sz="4" w:space="0" w:color="auto"/>
            </w:tcBorders>
          </w:tcPr>
          <w:p w:rsidR="009148ED" w:rsidRPr="0033701C" w:rsidRDefault="009148ED" w:rsidP="00FC5BCB">
            <w:pPr>
              <w:jc w:val="center"/>
              <w:rPr>
                <w:b w:val="0"/>
                <w:bCs w:val="0"/>
                <w:sz w:val="20"/>
              </w:rPr>
            </w:pPr>
            <w:r w:rsidRPr="0033701C">
              <w:rPr>
                <w:b w:val="0"/>
                <w:caps w:val="0"/>
                <w:sz w:val="20"/>
              </w:rPr>
              <w:t>Error%</w:t>
            </w:r>
          </w:p>
        </w:tc>
      </w:tr>
      <w:tr w:rsidR="009148ED" w:rsidRPr="0033701C" w:rsidTr="00FC5B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right w:val="none" w:sz="0" w:space="0" w:color="auto"/>
            </w:tcBorders>
          </w:tcPr>
          <w:p w:rsidR="009148ED" w:rsidRPr="0033701C" w:rsidRDefault="009148ED" w:rsidP="00FC5BCB">
            <w:pPr>
              <w:rPr>
                <w:b w:val="0"/>
                <w:sz w:val="20"/>
              </w:rPr>
            </w:pPr>
            <w:r w:rsidRPr="0033701C">
              <w:rPr>
                <w:b w:val="0"/>
                <w:caps w:val="0"/>
                <w:sz w:val="20"/>
              </w:rPr>
              <w:t>Shell side outlet temperature (K)</w:t>
            </w:r>
          </w:p>
        </w:tc>
        <w:tc>
          <w:tcPr>
            <w:cnfStyle w:val="000010000000" w:firstRow="0" w:lastRow="0" w:firstColumn="0" w:lastColumn="0" w:oddVBand="1" w:evenVBand="0" w:oddHBand="0" w:evenHBand="0" w:firstRowFirstColumn="0" w:firstRowLastColumn="0" w:lastRowFirstColumn="0" w:lastRowLastColumn="0"/>
            <w:tcW w:w="1485" w:type="dxa"/>
            <w:tcBorders>
              <w:top w:val="single" w:sz="4" w:space="0" w:color="auto"/>
            </w:tcBorders>
          </w:tcPr>
          <w:p w:rsidR="009148ED" w:rsidRPr="0033701C" w:rsidRDefault="009148ED" w:rsidP="00FC5BCB">
            <w:pPr>
              <w:ind w:right="432"/>
              <w:jc w:val="right"/>
              <w:rPr>
                <w:sz w:val="20"/>
              </w:rPr>
            </w:pPr>
            <w:r w:rsidRPr="0033701C">
              <w:rPr>
                <w:sz w:val="20"/>
              </w:rPr>
              <w:t>654</w:t>
            </w:r>
          </w:p>
        </w:tc>
        <w:tc>
          <w:tcPr>
            <w:tcW w:w="1351" w:type="dxa"/>
            <w:tcBorders>
              <w:top w:val="single" w:sz="4" w:space="0" w:color="auto"/>
            </w:tcBorders>
          </w:tcPr>
          <w:p w:rsidR="009148ED" w:rsidRPr="0033701C" w:rsidRDefault="009148ED" w:rsidP="00FC5BCB">
            <w:pPr>
              <w:ind w:right="72"/>
              <w:jc w:val="center"/>
              <w:cnfStyle w:val="000000100000" w:firstRow="0" w:lastRow="0" w:firstColumn="0" w:lastColumn="0" w:oddVBand="0" w:evenVBand="0" w:oddHBand="1" w:evenHBand="0" w:firstRowFirstColumn="0" w:firstRowLastColumn="0" w:lastRowFirstColumn="0" w:lastRowLastColumn="0"/>
              <w:rPr>
                <w:sz w:val="20"/>
              </w:rPr>
            </w:pPr>
            <w:r w:rsidRPr="0033701C">
              <w:rPr>
                <w:sz w:val="20"/>
              </w:rPr>
              <w:t>649.2</w:t>
            </w:r>
          </w:p>
        </w:tc>
        <w:tc>
          <w:tcPr>
            <w:cnfStyle w:val="000010000000" w:firstRow="0" w:lastRow="0" w:firstColumn="0" w:lastColumn="0" w:oddVBand="1" w:evenVBand="0" w:oddHBand="0" w:evenHBand="0" w:firstRowFirstColumn="0" w:firstRowLastColumn="0" w:lastRowFirstColumn="0" w:lastRowLastColumn="0"/>
            <w:tcW w:w="1544" w:type="dxa"/>
            <w:tcBorders>
              <w:top w:val="single" w:sz="4" w:space="0" w:color="auto"/>
            </w:tcBorders>
          </w:tcPr>
          <w:p w:rsidR="009148ED" w:rsidRPr="0033701C" w:rsidRDefault="009148ED" w:rsidP="00FC5BCB">
            <w:pPr>
              <w:jc w:val="center"/>
              <w:rPr>
                <w:sz w:val="20"/>
              </w:rPr>
            </w:pPr>
            <w:r w:rsidRPr="0033701C">
              <w:rPr>
                <w:sz w:val="20"/>
              </w:rPr>
              <w:t>- 0.7</w:t>
            </w:r>
          </w:p>
        </w:tc>
      </w:tr>
      <w:tr w:rsidR="009148ED" w:rsidRPr="0033701C" w:rsidTr="00FC5BCB">
        <w:trPr>
          <w:trHeight w:val="188"/>
        </w:trPr>
        <w:tc>
          <w:tcPr>
            <w:cnfStyle w:val="001000000000" w:firstRow="0" w:lastRow="0" w:firstColumn="1" w:lastColumn="0" w:oddVBand="0" w:evenVBand="0" w:oddHBand="0" w:evenHBand="0" w:firstRowFirstColumn="0" w:firstRowLastColumn="0" w:lastRowFirstColumn="0" w:lastRowLastColumn="0"/>
            <w:tcW w:w="3045" w:type="dxa"/>
            <w:tcBorders>
              <w:right w:val="none" w:sz="0" w:space="0" w:color="auto"/>
            </w:tcBorders>
          </w:tcPr>
          <w:p w:rsidR="009148ED" w:rsidRPr="0033701C" w:rsidRDefault="009148ED" w:rsidP="00FC5BCB">
            <w:pPr>
              <w:rPr>
                <w:b w:val="0"/>
                <w:sz w:val="20"/>
              </w:rPr>
            </w:pPr>
            <w:r w:rsidRPr="0033701C">
              <w:rPr>
                <w:b w:val="0"/>
                <w:caps w:val="0"/>
                <w:sz w:val="20"/>
              </w:rPr>
              <w:t>Shell Side heat transfer (kW)</w:t>
            </w:r>
          </w:p>
        </w:tc>
        <w:tc>
          <w:tcPr>
            <w:cnfStyle w:val="000010000000" w:firstRow="0" w:lastRow="0" w:firstColumn="0" w:lastColumn="0" w:oddVBand="1" w:evenVBand="0" w:oddHBand="0" w:evenHBand="0" w:firstRowFirstColumn="0" w:firstRowLastColumn="0" w:lastRowFirstColumn="0" w:lastRowLastColumn="0"/>
            <w:tcW w:w="1485" w:type="dxa"/>
          </w:tcPr>
          <w:p w:rsidR="009148ED" w:rsidRPr="0033701C" w:rsidRDefault="009148ED" w:rsidP="00FC5BCB">
            <w:pPr>
              <w:ind w:right="432"/>
              <w:jc w:val="right"/>
              <w:rPr>
                <w:sz w:val="20"/>
              </w:rPr>
            </w:pPr>
            <w:r w:rsidRPr="0033701C">
              <w:rPr>
                <w:sz w:val="20"/>
              </w:rPr>
              <w:t>2160</w:t>
            </w:r>
          </w:p>
        </w:tc>
        <w:tc>
          <w:tcPr>
            <w:tcW w:w="1351" w:type="dxa"/>
          </w:tcPr>
          <w:p w:rsidR="009148ED" w:rsidRPr="0033701C" w:rsidRDefault="009148ED" w:rsidP="00FC5BCB">
            <w:pPr>
              <w:ind w:right="72"/>
              <w:jc w:val="center"/>
              <w:cnfStyle w:val="000000000000" w:firstRow="0" w:lastRow="0" w:firstColumn="0" w:lastColumn="0" w:oddVBand="0" w:evenVBand="0" w:oddHBand="0" w:evenHBand="0" w:firstRowFirstColumn="0" w:firstRowLastColumn="0" w:lastRowFirstColumn="0" w:lastRowLastColumn="0"/>
              <w:rPr>
                <w:sz w:val="20"/>
              </w:rPr>
            </w:pPr>
            <w:r w:rsidRPr="0033701C">
              <w:rPr>
                <w:sz w:val="20"/>
              </w:rPr>
              <w:t>2240</w:t>
            </w:r>
          </w:p>
        </w:tc>
        <w:tc>
          <w:tcPr>
            <w:cnfStyle w:val="000010000000" w:firstRow="0" w:lastRow="0" w:firstColumn="0" w:lastColumn="0" w:oddVBand="1" w:evenVBand="0" w:oddHBand="0" w:evenHBand="0" w:firstRowFirstColumn="0" w:firstRowLastColumn="0" w:lastRowFirstColumn="0" w:lastRowLastColumn="0"/>
            <w:tcW w:w="1544" w:type="dxa"/>
          </w:tcPr>
          <w:p w:rsidR="009148ED" w:rsidRPr="0033701C" w:rsidRDefault="009148ED" w:rsidP="00FC5BCB">
            <w:pPr>
              <w:jc w:val="center"/>
              <w:rPr>
                <w:sz w:val="20"/>
              </w:rPr>
            </w:pPr>
            <w:r w:rsidRPr="0033701C">
              <w:rPr>
                <w:sz w:val="20"/>
              </w:rPr>
              <w:t>+ 3.7</w:t>
            </w:r>
          </w:p>
        </w:tc>
      </w:tr>
      <w:tr w:rsidR="009148ED" w:rsidRPr="0033701C" w:rsidTr="00FC5BC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045" w:type="dxa"/>
            <w:tcBorders>
              <w:right w:val="none" w:sz="0" w:space="0" w:color="auto"/>
            </w:tcBorders>
          </w:tcPr>
          <w:p w:rsidR="009148ED" w:rsidRPr="0033701C" w:rsidRDefault="009148ED" w:rsidP="00FC5BCB">
            <w:pPr>
              <w:rPr>
                <w:b w:val="0"/>
                <w:sz w:val="20"/>
              </w:rPr>
            </w:pPr>
            <w:r w:rsidRPr="0033701C">
              <w:rPr>
                <w:b w:val="0"/>
                <w:caps w:val="0"/>
                <w:sz w:val="20"/>
              </w:rPr>
              <w:t>Tube Side outlet temperature (K)</w:t>
            </w:r>
          </w:p>
        </w:tc>
        <w:tc>
          <w:tcPr>
            <w:cnfStyle w:val="000010000000" w:firstRow="0" w:lastRow="0" w:firstColumn="0" w:lastColumn="0" w:oddVBand="1" w:evenVBand="0" w:oddHBand="0" w:evenHBand="0" w:firstRowFirstColumn="0" w:firstRowLastColumn="0" w:lastRowFirstColumn="0" w:lastRowLastColumn="0"/>
            <w:tcW w:w="1485" w:type="dxa"/>
            <w:tcBorders>
              <w:left w:val="nil"/>
            </w:tcBorders>
          </w:tcPr>
          <w:p w:rsidR="009148ED" w:rsidRPr="0033701C" w:rsidRDefault="009148ED" w:rsidP="00FC5BCB">
            <w:pPr>
              <w:ind w:right="432"/>
              <w:jc w:val="right"/>
              <w:rPr>
                <w:sz w:val="20"/>
              </w:rPr>
            </w:pPr>
            <w:r w:rsidRPr="0033701C">
              <w:rPr>
                <w:sz w:val="20"/>
              </w:rPr>
              <w:t>795</w:t>
            </w:r>
          </w:p>
        </w:tc>
        <w:tc>
          <w:tcPr>
            <w:tcW w:w="1351" w:type="dxa"/>
          </w:tcPr>
          <w:p w:rsidR="009148ED" w:rsidRPr="0033701C" w:rsidRDefault="009148ED" w:rsidP="00FC5BCB">
            <w:pPr>
              <w:ind w:right="72"/>
              <w:jc w:val="center"/>
              <w:cnfStyle w:val="000000100000" w:firstRow="0" w:lastRow="0" w:firstColumn="0" w:lastColumn="0" w:oddVBand="0" w:evenVBand="0" w:oddHBand="1" w:evenHBand="0" w:firstRowFirstColumn="0" w:firstRowLastColumn="0" w:lastRowFirstColumn="0" w:lastRowLastColumn="0"/>
              <w:rPr>
                <w:sz w:val="20"/>
              </w:rPr>
            </w:pPr>
            <w:r w:rsidRPr="0033701C">
              <w:rPr>
                <w:sz w:val="20"/>
              </w:rPr>
              <w:t>801.7</w:t>
            </w:r>
          </w:p>
        </w:tc>
        <w:tc>
          <w:tcPr>
            <w:cnfStyle w:val="000010000000" w:firstRow="0" w:lastRow="0" w:firstColumn="0" w:lastColumn="0" w:oddVBand="1" w:evenVBand="0" w:oddHBand="0" w:evenHBand="0" w:firstRowFirstColumn="0" w:firstRowLastColumn="0" w:lastRowFirstColumn="0" w:lastRowLastColumn="0"/>
            <w:tcW w:w="1544" w:type="dxa"/>
          </w:tcPr>
          <w:p w:rsidR="009148ED" w:rsidRPr="0033701C" w:rsidRDefault="009148ED" w:rsidP="00FC5BCB">
            <w:pPr>
              <w:jc w:val="center"/>
              <w:rPr>
                <w:sz w:val="20"/>
              </w:rPr>
            </w:pPr>
            <w:r w:rsidRPr="0033701C">
              <w:rPr>
                <w:sz w:val="20"/>
              </w:rPr>
              <w:t>+ 0.8</w:t>
            </w:r>
          </w:p>
        </w:tc>
      </w:tr>
      <w:tr w:rsidR="009148ED" w:rsidRPr="0033701C" w:rsidTr="00FC5BCB">
        <w:trPr>
          <w:trHeight w:val="198"/>
        </w:trPr>
        <w:tc>
          <w:tcPr>
            <w:cnfStyle w:val="001000000000" w:firstRow="0" w:lastRow="0" w:firstColumn="1" w:lastColumn="0" w:oddVBand="0" w:evenVBand="0" w:oddHBand="0" w:evenHBand="0" w:firstRowFirstColumn="0" w:firstRowLastColumn="0" w:lastRowFirstColumn="0" w:lastRowLastColumn="0"/>
            <w:tcW w:w="3045" w:type="dxa"/>
            <w:tcBorders>
              <w:bottom w:val="single" w:sz="4" w:space="0" w:color="auto"/>
              <w:right w:val="none" w:sz="0" w:space="0" w:color="auto"/>
            </w:tcBorders>
          </w:tcPr>
          <w:p w:rsidR="009148ED" w:rsidRPr="0033701C" w:rsidRDefault="009148ED" w:rsidP="00FC5BCB">
            <w:pPr>
              <w:rPr>
                <w:b w:val="0"/>
                <w:sz w:val="20"/>
              </w:rPr>
            </w:pPr>
            <w:r w:rsidRPr="0033701C">
              <w:rPr>
                <w:b w:val="0"/>
                <w:caps w:val="0"/>
                <w:sz w:val="20"/>
              </w:rPr>
              <w:t>Tube side heat transfer (kW)</w:t>
            </w:r>
          </w:p>
        </w:tc>
        <w:tc>
          <w:tcPr>
            <w:cnfStyle w:val="000010000000" w:firstRow="0" w:lastRow="0" w:firstColumn="0" w:lastColumn="0" w:oddVBand="1" w:evenVBand="0" w:oddHBand="0" w:evenHBand="0" w:firstRowFirstColumn="0" w:firstRowLastColumn="0" w:lastRowFirstColumn="0" w:lastRowLastColumn="0"/>
            <w:tcW w:w="1485" w:type="dxa"/>
            <w:tcBorders>
              <w:bottom w:val="single" w:sz="4" w:space="0" w:color="auto"/>
            </w:tcBorders>
          </w:tcPr>
          <w:p w:rsidR="009148ED" w:rsidRPr="0033701C" w:rsidRDefault="009148ED" w:rsidP="00FC5BCB">
            <w:pPr>
              <w:ind w:right="432"/>
              <w:jc w:val="right"/>
              <w:rPr>
                <w:sz w:val="20"/>
              </w:rPr>
            </w:pPr>
            <w:r w:rsidRPr="0033701C">
              <w:rPr>
                <w:sz w:val="20"/>
              </w:rPr>
              <w:t>2158</w:t>
            </w:r>
          </w:p>
        </w:tc>
        <w:tc>
          <w:tcPr>
            <w:tcW w:w="1351" w:type="dxa"/>
            <w:tcBorders>
              <w:bottom w:val="single" w:sz="4" w:space="0" w:color="auto"/>
            </w:tcBorders>
          </w:tcPr>
          <w:p w:rsidR="009148ED" w:rsidRPr="0033701C" w:rsidRDefault="009148ED" w:rsidP="00FC5BCB">
            <w:pPr>
              <w:ind w:right="72"/>
              <w:jc w:val="center"/>
              <w:cnfStyle w:val="000000000000" w:firstRow="0" w:lastRow="0" w:firstColumn="0" w:lastColumn="0" w:oddVBand="0" w:evenVBand="0" w:oddHBand="0" w:evenHBand="0" w:firstRowFirstColumn="0" w:firstRowLastColumn="0" w:lastRowFirstColumn="0" w:lastRowLastColumn="0"/>
              <w:rPr>
                <w:sz w:val="20"/>
              </w:rPr>
            </w:pPr>
            <w:r w:rsidRPr="0033701C">
              <w:rPr>
                <w:sz w:val="20"/>
              </w:rPr>
              <w:t>2239.9</w:t>
            </w:r>
          </w:p>
        </w:tc>
        <w:tc>
          <w:tcPr>
            <w:cnfStyle w:val="000010000000" w:firstRow="0" w:lastRow="0" w:firstColumn="0" w:lastColumn="0" w:oddVBand="1" w:evenVBand="0" w:oddHBand="0" w:evenHBand="0" w:firstRowFirstColumn="0" w:firstRowLastColumn="0" w:lastRowFirstColumn="0" w:lastRowLastColumn="0"/>
            <w:tcW w:w="1544" w:type="dxa"/>
            <w:tcBorders>
              <w:bottom w:val="single" w:sz="4" w:space="0" w:color="auto"/>
            </w:tcBorders>
          </w:tcPr>
          <w:p w:rsidR="009148ED" w:rsidRPr="0033701C" w:rsidRDefault="009148ED" w:rsidP="00FC5BCB">
            <w:pPr>
              <w:jc w:val="center"/>
              <w:rPr>
                <w:sz w:val="20"/>
              </w:rPr>
            </w:pPr>
            <w:r w:rsidRPr="0033701C">
              <w:rPr>
                <w:sz w:val="20"/>
              </w:rPr>
              <w:t>+ 3.8</w:t>
            </w:r>
          </w:p>
        </w:tc>
      </w:tr>
    </w:tbl>
    <w:p w:rsidR="009148ED" w:rsidRDefault="009148ED" w:rsidP="009148ED">
      <w:pPr>
        <w:pStyle w:val="Otherunnumberedheadings"/>
        <w:rPr>
          <w:rFonts w:ascii="Times New Roman" w:hAnsi="Times New Roman"/>
        </w:rPr>
      </w:pPr>
    </w:p>
    <w:p w:rsidR="009148ED" w:rsidRDefault="009148ED" w:rsidP="009148ED">
      <w:pPr>
        <w:pStyle w:val="Otherunnumberedheadings"/>
        <w:rPr>
          <w:rFonts w:ascii="Times New Roman" w:hAnsi="Times New Roman"/>
        </w:rPr>
      </w:pPr>
    </w:p>
    <w:p w:rsidR="00DE418A" w:rsidRDefault="00DE418A" w:rsidP="00B55681">
      <w:pPr>
        <w:pStyle w:val="Otherunnumberedheadings"/>
        <w:rPr>
          <w:rFonts w:ascii="Times New Roman" w:hAnsi="Times New Roman"/>
          <w:b w:val="0"/>
          <w:i/>
          <w:caps w:val="0"/>
        </w:rPr>
      </w:pPr>
    </w:p>
    <w:p w:rsidR="00316D5E" w:rsidRDefault="00316D5E" w:rsidP="00316D5E">
      <w:pPr>
        <w:pStyle w:val="Heading2"/>
        <w:numPr>
          <w:ilvl w:val="1"/>
          <w:numId w:val="10"/>
        </w:numPr>
      </w:pPr>
      <w:r>
        <w:t>Conclusions</w:t>
      </w:r>
    </w:p>
    <w:p w:rsidR="004015FD" w:rsidRDefault="00316D5E" w:rsidP="003E5C5C">
      <w:pPr>
        <w:pStyle w:val="BodyText"/>
      </w:pPr>
      <w:r>
        <w:t xml:space="preserve">Application of standard CFD methodology for </w:t>
      </w:r>
      <w:r w:rsidR="003E5C5C">
        <w:t xml:space="preserve">simulation of </w:t>
      </w:r>
      <w:r>
        <w:t>steady state conditions</w:t>
      </w:r>
      <w:r w:rsidR="003E5C5C">
        <w:t xml:space="preserve"> in</w:t>
      </w:r>
      <w:r>
        <w:t xml:space="preserve"> HEs is validated. </w:t>
      </w:r>
      <w:r w:rsidR="003E5C5C">
        <w:t>The maximum error in predicting the heat transfer capacity is 3.8%. Flow and Temperature distributions can be predicted with the methodology.</w:t>
      </w:r>
    </w:p>
    <w:p w:rsidR="00D368CF" w:rsidRDefault="00D368CF" w:rsidP="003E5C5C">
      <w:pPr>
        <w:pStyle w:val="BodyText"/>
      </w:pPr>
    </w:p>
    <w:p w:rsidR="004015FD" w:rsidRDefault="004015FD" w:rsidP="007F66C4">
      <w:pPr>
        <w:pStyle w:val="BodyText"/>
        <w:ind w:firstLine="0"/>
      </w:pPr>
      <w:r>
        <w:t>6.</w:t>
      </w:r>
      <w:r w:rsidRPr="00D368CF">
        <w:rPr>
          <w:caps/>
        </w:rPr>
        <w:tab/>
        <w:t xml:space="preserve"> Future Scope</w:t>
      </w:r>
      <w:r>
        <w:t xml:space="preserve"> </w:t>
      </w:r>
    </w:p>
    <w:p w:rsidR="00D368CF" w:rsidRDefault="00D368CF" w:rsidP="007F66C4">
      <w:pPr>
        <w:pStyle w:val="BodyText"/>
        <w:ind w:firstLine="0"/>
      </w:pPr>
    </w:p>
    <w:p w:rsidR="00316D5E" w:rsidRPr="00316D5E" w:rsidRDefault="004015FD" w:rsidP="004015FD">
      <w:pPr>
        <w:pStyle w:val="BodyText"/>
      </w:pPr>
      <w:r>
        <w:lastRenderedPageBreak/>
        <w:t>The induced un-certainty due to uniform inlet flow assumption</w:t>
      </w:r>
      <w:r w:rsidR="00535E34">
        <w:t xml:space="preserve"> at the inlet to tube side</w:t>
      </w:r>
      <w:r>
        <w:t xml:space="preserve"> needs to be asse</w:t>
      </w:r>
      <w:r w:rsidR="00535E34">
        <w:t xml:space="preserve">ssed to study the effect on the heat </w:t>
      </w:r>
      <w:r>
        <w:t>transfer capacity</w:t>
      </w:r>
      <w:r w:rsidR="00535E34">
        <w:t xml:space="preserve"> of the HE</w:t>
      </w:r>
      <w:r>
        <w:t xml:space="preserve"> and temperature distribution in the tubes.</w:t>
      </w:r>
    </w:p>
    <w:p w:rsidR="00D26ADA" w:rsidRPr="0033701C" w:rsidRDefault="00D26ADA" w:rsidP="00537496">
      <w:pPr>
        <w:pStyle w:val="Otherunnumberedheadings"/>
        <w:rPr>
          <w:rFonts w:ascii="Times New Roman" w:hAnsi="Times New Roman"/>
        </w:rPr>
      </w:pPr>
      <w:r w:rsidRPr="0033701C">
        <w:rPr>
          <w:rFonts w:ascii="Times New Roman" w:hAnsi="Times New Roman"/>
        </w:rPr>
        <w:t>References</w:t>
      </w:r>
    </w:p>
    <w:p w:rsidR="004C37E4" w:rsidRPr="0033701C" w:rsidRDefault="00E2718B" w:rsidP="00E2718B">
      <w:pPr>
        <w:pStyle w:val="Referencelist"/>
        <w:rPr>
          <w:sz w:val="20"/>
          <w:szCs w:val="20"/>
        </w:rPr>
      </w:pPr>
      <w:r w:rsidRPr="0033701C">
        <w:rPr>
          <w:sz w:val="20"/>
          <w:szCs w:val="20"/>
        </w:rPr>
        <w:t>PRAHLAD, B., KALE, R.D., RAJAN, K.K., Thermal Performance Tests on A Sodium to Sodium Heat Exchanger, Journal of Nuclear Science and Technology, 27 (6), pp. 547 – 553, (June – 1990).</w:t>
      </w:r>
    </w:p>
    <w:p w:rsidR="004E6CF3" w:rsidRPr="0033701C" w:rsidRDefault="004E6CF3" w:rsidP="004E6CF3">
      <w:pPr>
        <w:pStyle w:val="Referencelist"/>
        <w:rPr>
          <w:sz w:val="20"/>
          <w:szCs w:val="20"/>
        </w:rPr>
      </w:pPr>
      <w:r w:rsidRPr="0033701C">
        <w:rPr>
          <w:sz w:val="20"/>
          <w:szCs w:val="20"/>
        </w:rPr>
        <w:t xml:space="preserve">SADIK, K., </w:t>
      </w:r>
      <w:proofErr w:type="spellStart"/>
      <w:r w:rsidRPr="0033701C">
        <w:rPr>
          <w:sz w:val="20"/>
          <w:szCs w:val="20"/>
        </w:rPr>
        <w:t>YAMAN</w:t>
      </w:r>
      <w:proofErr w:type="spellEnd"/>
      <w:r w:rsidRPr="0033701C">
        <w:rPr>
          <w:sz w:val="20"/>
          <w:szCs w:val="20"/>
        </w:rPr>
        <w:t xml:space="preserve">, </w:t>
      </w:r>
      <w:proofErr w:type="spellStart"/>
      <w:r w:rsidRPr="0033701C">
        <w:rPr>
          <w:sz w:val="20"/>
          <w:szCs w:val="20"/>
        </w:rPr>
        <w:t>Y.</w:t>
      </w:r>
      <w:proofErr w:type="gramStart"/>
      <w:r w:rsidRPr="0033701C">
        <w:rPr>
          <w:sz w:val="20"/>
          <w:szCs w:val="20"/>
        </w:rPr>
        <w:t>,Convective</w:t>
      </w:r>
      <w:proofErr w:type="spellEnd"/>
      <w:proofErr w:type="gramEnd"/>
      <w:r w:rsidRPr="0033701C">
        <w:rPr>
          <w:sz w:val="20"/>
          <w:szCs w:val="20"/>
        </w:rPr>
        <w:t xml:space="preserve"> Heat Transfer, second edition, </w:t>
      </w:r>
      <w:proofErr w:type="spellStart"/>
      <w:r w:rsidRPr="0033701C">
        <w:rPr>
          <w:sz w:val="20"/>
          <w:szCs w:val="20"/>
        </w:rPr>
        <w:t>pp</w:t>
      </w:r>
      <w:proofErr w:type="spellEnd"/>
      <w:r w:rsidRPr="0033701C">
        <w:rPr>
          <w:sz w:val="20"/>
          <w:szCs w:val="20"/>
        </w:rPr>
        <w:t xml:space="preserve"> 311, CRC press (1994).</w:t>
      </w:r>
    </w:p>
    <w:p w:rsidR="00BE6458" w:rsidRPr="00BE6458" w:rsidRDefault="004E6CF3" w:rsidP="00BE6458">
      <w:pPr>
        <w:pStyle w:val="Referencelist"/>
        <w:rPr>
          <w:sz w:val="20"/>
          <w:szCs w:val="20"/>
        </w:rPr>
      </w:pPr>
      <w:r w:rsidRPr="0033701C">
        <w:rPr>
          <w:sz w:val="20"/>
          <w:szCs w:val="20"/>
        </w:rPr>
        <w:t>PATANKAR, S.V., Numerical Heat Transfer and Fluid Flow, McGraw</w:t>
      </w:r>
      <w:bookmarkStart w:id="1" w:name="_GoBack"/>
      <w:bookmarkEnd w:id="1"/>
      <w:r w:rsidRPr="0033701C">
        <w:rPr>
          <w:sz w:val="20"/>
          <w:szCs w:val="20"/>
        </w:rPr>
        <w:t xml:space="preserve"> – Hill, New York (1980).</w:t>
      </w:r>
    </w:p>
    <w:sectPr w:rsidR="00BE6458" w:rsidRPr="00BE6458"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9F5" w:rsidRDefault="001239F5">
      <w:r>
        <w:separator/>
      </w:r>
    </w:p>
  </w:endnote>
  <w:endnote w:type="continuationSeparator" w:id="0">
    <w:p w:rsidR="001239F5" w:rsidRDefault="0012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35E34">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E20E70" w:rsidRDefault="00E20E70">
    <w:r>
      <w:rPr>
        <w:sz w:val="16"/>
      </w:rPr>
      <w:fldChar w:fldCharType="begin"/>
    </w:r>
    <w:r>
      <w:rPr>
        <w:sz w:val="16"/>
      </w:rPr>
      <w:instrText xml:space="preserve"> FILENAME \* MERGEFORMAT </w:instrText>
    </w:r>
    <w:r>
      <w:rPr>
        <w:sz w:val="16"/>
      </w:rPr>
      <w:fldChar w:fldCharType="separate"/>
    </w:r>
    <w:r w:rsidR="00A826FF">
      <w:rPr>
        <w:noProof/>
        <w:sz w:val="16"/>
      </w:rPr>
      <w:t>draft-1</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9F5" w:rsidRDefault="001239F5">
      <w:r>
        <w:t>___________________________________________________________________________</w:t>
      </w:r>
    </w:p>
  </w:footnote>
  <w:footnote w:type="continuationSeparator" w:id="0">
    <w:p w:rsidR="001239F5" w:rsidRDefault="001239F5">
      <w:r>
        <w:t>___________________________________________________________________________</w:t>
      </w:r>
    </w:p>
  </w:footnote>
  <w:footnote w:type="continuationNotice" w:id="1">
    <w:p w:rsidR="001239F5" w:rsidRDefault="001239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2"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529A"/>
    <w:rsid w:val="00017E5F"/>
    <w:rsid w:val="000229AB"/>
    <w:rsid w:val="0002569A"/>
    <w:rsid w:val="00037321"/>
    <w:rsid w:val="00072BFD"/>
    <w:rsid w:val="00093A64"/>
    <w:rsid w:val="000A0299"/>
    <w:rsid w:val="000A2990"/>
    <w:rsid w:val="000B3B3C"/>
    <w:rsid w:val="000C4332"/>
    <w:rsid w:val="000F7E94"/>
    <w:rsid w:val="001119D6"/>
    <w:rsid w:val="00115E3E"/>
    <w:rsid w:val="001239F5"/>
    <w:rsid w:val="00126484"/>
    <w:rsid w:val="001308F2"/>
    <w:rsid w:val="001313E8"/>
    <w:rsid w:val="00145171"/>
    <w:rsid w:val="00160C4E"/>
    <w:rsid w:val="0016241E"/>
    <w:rsid w:val="001665DF"/>
    <w:rsid w:val="00170902"/>
    <w:rsid w:val="00183BC4"/>
    <w:rsid w:val="001C58F5"/>
    <w:rsid w:val="001D5CEE"/>
    <w:rsid w:val="001E0A0F"/>
    <w:rsid w:val="002071D9"/>
    <w:rsid w:val="0023450F"/>
    <w:rsid w:val="00243753"/>
    <w:rsid w:val="00256822"/>
    <w:rsid w:val="002605CB"/>
    <w:rsid w:val="0026525A"/>
    <w:rsid w:val="00273E1F"/>
    <w:rsid w:val="00274790"/>
    <w:rsid w:val="00275A19"/>
    <w:rsid w:val="00285755"/>
    <w:rsid w:val="00295095"/>
    <w:rsid w:val="002A1F9C"/>
    <w:rsid w:val="002B218A"/>
    <w:rsid w:val="002B29C2"/>
    <w:rsid w:val="002C29DB"/>
    <w:rsid w:val="002C4208"/>
    <w:rsid w:val="002F41F2"/>
    <w:rsid w:val="00316D5E"/>
    <w:rsid w:val="0032787E"/>
    <w:rsid w:val="0033701C"/>
    <w:rsid w:val="00352DE1"/>
    <w:rsid w:val="00366BE8"/>
    <w:rsid w:val="003728E6"/>
    <w:rsid w:val="003800F5"/>
    <w:rsid w:val="00395091"/>
    <w:rsid w:val="003B5E0E"/>
    <w:rsid w:val="003C4DE5"/>
    <w:rsid w:val="003D255A"/>
    <w:rsid w:val="003E5C5C"/>
    <w:rsid w:val="004015FD"/>
    <w:rsid w:val="004112F0"/>
    <w:rsid w:val="00416949"/>
    <w:rsid w:val="00425EF5"/>
    <w:rsid w:val="0043560C"/>
    <w:rsid w:val="004370D8"/>
    <w:rsid w:val="0045283D"/>
    <w:rsid w:val="00455982"/>
    <w:rsid w:val="00472C43"/>
    <w:rsid w:val="004907FF"/>
    <w:rsid w:val="004A2B7C"/>
    <w:rsid w:val="004B35B7"/>
    <w:rsid w:val="004C37E4"/>
    <w:rsid w:val="004C420E"/>
    <w:rsid w:val="004E2E78"/>
    <w:rsid w:val="004E6CF3"/>
    <w:rsid w:val="00504BA6"/>
    <w:rsid w:val="00535E34"/>
    <w:rsid w:val="00537496"/>
    <w:rsid w:val="00544ED3"/>
    <w:rsid w:val="00576A6E"/>
    <w:rsid w:val="0058477B"/>
    <w:rsid w:val="0058654F"/>
    <w:rsid w:val="00596ACA"/>
    <w:rsid w:val="005C7925"/>
    <w:rsid w:val="005E39BC"/>
    <w:rsid w:val="005F00A0"/>
    <w:rsid w:val="005F1A2E"/>
    <w:rsid w:val="00622005"/>
    <w:rsid w:val="00637B07"/>
    <w:rsid w:val="00647F33"/>
    <w:rsid w:val="00662532"/>
    <w:rsid w:val="006B2274"/>
    <w:rsid w:val="00717C6F"/>
    <w:rsid w:val="00723097"/>
    <w:rsid w:val="00725A85"/>
    <w:rsid w:val="0072631F"/>
    <w:rsid w:val="007334EC"/>
    <w:rsid w:val="007445DA"/>
    <w:rsid w:val="007514E4"/>
    <w:rsid w:val="00754B62"/>
    <w:rsid w:val="0075615B"/>
    <w:rsid w:val="00761D35"/>
    <w:rsid w:val="00770F29"/>
    <w:rsid w:val="007A0AF1"/>
    <w:rsid w:val="007B4FD1"/>
    <w:rsid w:val="007F66C4"/>
    <w:rsid w:val="00802381"/>
    <w:rsid w:val="0083096A"/>
    <w:rsid w:val="00843FF9"/>
    <w:rsid w:val="00846AEC"/>
    <w:rsid w:val="00855A96"/>
    <w:rsid w:val="0086759F"/>
    <w:rsid w:val="00871F40"/>
    <w:rsid w:val="00873D7B"/>
    <w:rsid w:val="00874E73"/>
    <w:rsid w:val="00882CD2"/>
    <w:rsid w:val="00882F5A"/>
    <w:rsid w:val="00883848"/>
    <w:rsid w:val="00897ED5"/>
    <w:rsid w:val="008B6BB9"/>
    <w:rsid w:val="008D2914"/>
    <w:rsid w:val="009071DB"/>
    <w:rsid w:val="00907AA4"/>
    <w:rsid w:val="00911543"/>
    <w:rsid w:val="009148ED"/>
    <w:rsid w:val="00930411"/>
    <w:rsid w:val="009345F7"/>
    <w:rsid w:val="00941AE1"/>
    <w:rsid w:val="0094501F"/>
    <w:rsid w:val="009519C9"/>
    <w:rsid w:val="009A501F"/>
    <w:rsid w:val="009D0B86"/>
    <w:rsid w:val="009E0D5B"/>
    <w:rsid w:val="009E1558"/>
    <w:rsid w:val="009F2FCE"/>
    <w:rsid w:val="00A233D1"/>
    <w:rsid w:val="00A27E59"/>
    <w:rsid w:val="00A42898"/>
    <w:rsid w:val="00A57919"/>
    <w:rsid w:val="00A60B64"/>
    <w:rsid w:val="00A62365"/>
    <w:rsid w:val="00A826FF"/>
    <w:rsid w:val="00A94428"/>
    <w:rsid w:val="00AB6ACE"/>
    <w:rsid w:val="00AC5523"/>
    <w:rsid w:val="00AC5A3A"/>
    <w:rsid w:val="00AE1873"/>
    <w:rsid w:val="00AF6D3A"/>
    <w:rsid w:val="00B12F47"/>
    <w:rsid w:val="00B22D78"/>
    <w:rsid w:val="00B25CDB"/>
    <w:rsid w:val="00B377D7"/>
    <w:rsid w:val="00B50CF9"/>
    <w:rsid w:val="00B51C8C"/>
    <w:rsid w:val="00B55681"/>
    <w:rsid w:val="00B604BE"/>
    <w:rsid w:val="00B82FA5"/>
    <w:rsid w:val="00B962E9"/>
    <w:rsid w:val="00BC1170"/>
    <w:rsid w:val="00BC27C3"/>
    <w:rsid w:val="00BD1400"/>
    <w:rsid w:val="00BD605C"/>
    <w:rsid w:val="00BE2A76"/>
    <w:rsid w:val="00BE5C8D"/>
    <w:rsid w:val="00BE6458"/>
    <w:rsid w:val="00BF1901"/>
    <w:rsid w:val="00C23533"/>
    <w:rsid w:val="00C65E60"/>
    <w:rsid w:val="00C661F9"/>
    <w:rsid w:val="00C67233"/>
    <w:rsid w:val="00C930B3"/>
    <w:rsid w:val="00CA0102"/>
    <w:rsid w:val="00CA06FA"/>
    <w:rsid w:val="00CE5A52"/>
    <w:rsid w:val="00CF1932"/>
    <w:rsid w:val="00CF7AF3"/>
    <w:rsid w:val="00D016E2"/>
    <w:rsid w:val="00D26ADA"/>
    <w:rsid w:val="00D273F0"/>
    <w:rsid w:val="00D35A78"/>
    <w:rsid w:val="00D368CF"/>
    <w:rsid w:val="00D555A1"/>
    <w:rsid w:val="00D64DC2"/>
    <w:rsid w:val="00D9004D"/>
    <w:rsid w:val="00D90D4D"/>
    <w:rsid w:val="00DA46CA"/>
    <w:rsid w:val="00DE418A"/>
    <w:rsid w:val="00DF21EB"/>
    <w:rsid w:val="00E20E70"/>
    <w:rsid w:val="00E22CEA"/>
    <w:rsid w:val="00E25754"/>
    <w:rsid w:val="00E25B68"/>
    <w:rsid w:val="00E2718B"/>
    <w:rsid w:val="00E41138"/>
    <w:rsid w:val="00E72E39"/>
    <w:rsid w:val="00E84003"/>
    <w:rsid w:val="00EB616B"/>
    <w:rsid w:val="00EC10FC"/>
    <w:rsid w:val="00ED0A99"/>
    <w:rsid w:val="00EE0041"/>
    <w:rsid w:val="00EE29B9"/>
    <w:rsid w:val="00F004EE"/>
    <w:rsid w:val="00F006FA"/>
    <w:rsid w:val="00F03ADD"/>
    <w:rsid w:val="00F24672"/>
    <w:rsid w:val="00F32273"/>
    <w:rsid w:val="00F35334"/>
    <w:rsid w:val="00F42E23"/>
    <w:rsid w:val="00F45EEE"/>
    <w:rsid w:val="00F50644"/>
    <w:rsid w:val="00F51E9C"/>
    <w:rsid w:val="00F523CA"/>
    <w:rsid w:val="00F56BED"/>
    <w:rsid w:val="00F73892"/>
    <w:rsid w:val="00F74A9D"/>
    <w:rsid w:val="00FC4D84"/>
    <w:rsid w:val="00FF386F"/>
    <w:rsid w:val="00FF5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B1B1CD-E2D4-4099-B5DC-21252D5C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table" w:customStyle="1" w:styleId="PlainTable31">
    <w:name w:val="Plain Table 31"/>
    <w:basedOn w:val="TableNormal"/>
    <w:uiPriority w:val="43"/>
    <w:rsid w:val="007334E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4C420E"/>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0D2ED-8F39-4012-A5E6-39623813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390</TotalTime>
  <Pages>4</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Sudharshan</cp:lastModifiedBy>
  <cp:revision>4</cp:revision>
  <cp:lastPrinted>2022-05-25T08:17:00Z</cp:lastPrinted>
  <dcterms:created xsi:type="dcterms:W3CDTF">2022-09-16T15:04:00Z</dcterms:created>
  <dcterms:modified xsi:type="dcterms:W3CDTF">2022-09-19T10:40:00Z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