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92207" w14:textId="77777777" w:rsidR="00BA5D1D" w:rsidRDefault="00BA5D1D" w:rsidP="00BA5D1D">
      <w:pPr>
        <w:pStyle w:val="Heading1"/>
      </w:pPr>
      <w:r>
        <w:t xml:space="preserve">VALIDATION OF RANS SIMULATIONS ON A </w:t>
      </w:r>
    </w:p>
    <w:p w14:paraId="06AB68C6" w14:textId="77777777" w:rsidR="00BA5D1D" w:rsidRDefault="00BA5D1D" w:rsidP="00BA5D1D">
      <w:pPr>
        <w:pStyle w:val="Heading1"/>
      </w:pPr>
      <w:r>
        <w:t xml:space="preserve">61-PIN WIRE-WRAPPED FAST-REACTOR FUEL </w:t>
      </w:r>
    </w:p>
    <w:p w14:paraId="78DF1BB7" w14:textId="38D1BEBD" w:rsidR="00BA5D1D" w:rsidRDefault="00BA5D1D" w:rsidP="00BA5D1D">
      <w:pPr>
        <w:pStyle w:val="Heading1"/>
      </w:pPr>
      <w:r>
        <w:t>ASSEMBLY UNDER THE PRESENCE OF LOCALIZED</w:t>
      </w:r>
    </w:p>
    <w:p w14:paraId="433FE039" w14:textId="223726A1" w:rsidR="008103E3" w:rsidRPr="00B336E0" w:rsidRDefault="00BA5D1D" w:rsidP="00BA5D1D">
      <w:pPr>
        <w:pStyle w:val="Heading1"/>
      </w:pPr>
      <w:r>
        <w:t>BLOCKAGES</w:t>
      </w:r>
    </w:p>
    <w:p w14:paraId="433FE03F" w14:textId="77777777" w:rsidR="00802381" w:rsidRPr="00B336E0" w:rsidRDefault="00802381" w:rsidP="008103E3">
      <w:pPr>
        <w:pStyle w:val="Authornameandaffiliation"/>
        <w:ind w:left="0"/>
      </w:pPr>
    </w:p>
    <w:p w14:paraId="433FE040" w14:textId="2D341656" w:rsidR="003B5E0E" w:rsidRPr="00B336E0" w:rsidRDefault="008103E3" w:rsidP="00537496">
      <w:pPr>
        <w:pStyle w:val="Authornameandaffiliation"/>
      </w:pPr>
      <w:r w:rsidRPr="00B336E0">
        <w:t>OCTAVIO BOVATI</w:t>
      </w:r>
    </w:p>
    <w:p w14:paraId="433FE041" w14:textId="4B0F7335" w:rsidR="00FF386F" w:rsidRPr="00B336E0" w:rsidRDefault="008103E3" w:rsidP="00537496">
      <w:pPr>
        <w:pStyle w:val="Authornameandaffiliation"/>
      </w:pPr>
      <w:r w:rsidRPr="00B336E0">
        <w:t>Thermal Hydraulics Research Lab, Texas A&amp;M University</w:t>
      </w:r>
    </w:p>
    <w:p w14:paraId="433FE042" w14:textId="79AB3F9D" w:rsidR="00FF386F" w:rsidRPr="00B336E0" w:rsidRDefault="008103E3" w:rsidP="00537496">
      <w:pPr>
        <w:pStyle w:val="Authornameandaffiliation"/>
      </w:pPr>
      <w:r w:rsidRPr="00B336E0">
        <w:t>College Station, Texas, United States of America</w:t>
      </w:r>
    </w:p>
    <w:p w14:paraId="433FE043" w14:textId="5E3ABE96" w:rsidR="00FF386F" w:rsidRPr="00B336E0" w:rsidRDefault="00FF386F" w:rsidP="00537496">
      <w:pPr>
        <w:pStyle w:val="Authornameandaffiliation"/>
      </w:pPr>
      <w:r w:rsidRPr="00B336E0">
        <w:t xml:space="preserve">Email: </w:t>
      </w:r>
      <w:r w:rsidR="008103E3" w:rsidRPr="00B336E0">
        <w:t>octavio.bovati</w:t>
      </w:r>
      <w:r w:rsidRPr="00B336E0">
        <w:t>@</w:t>
      </w:r>
      <w:r w:rsidR="008103E3" w:rsidRPr="00B336E0">
        <w:t>tamu.edu</w:t>
      </w:r>
    </w:p>
    <w:p w14:paraId="433FE044" w14:textId="4DC1BB21" w:rsidR="00FF386F" w:rsidRDefault="00FF386F" w:rsidP="00537496">
      <w:pPr>
        <w:pStyle w:val="Authornameandaffiliation"/>
      </w:pPr>
    </w:p>
    <w:p w14:paraId="3009B081" w14:textId="77777777" w:rsidR="00BA5D1D" w:rsidRPr="00B336E0" w:rsidRDefault="00BA5D1D" w:rsidP="00BA5D1D">
      <w:pPr>
        <w:pStyle w:val="Authornameandaffiliation"/>
      </w:pPr>
      <w:r w:rsidRPr="00B336E0">
        <w:t>RODOLFO VAGHETTO</w:t>
      </w:r>
    </w:p>
    <w:p w14:paraId="7EC51AE1" w14:textId="77777777" w:rsidR="00BA5D1D" w:rsidRPr="00B336E0" w:rsidRDefault="00BA5D1D" w:rsidP="00BA5D1D">
      <w:pPr>
        <w:pStyle w:val="Authornameandaffiliation"/>
      </w:pPr>
      <w:r w:rsidRPr="00B336E0">
        <w:t>Thermal Hydraulics Research Lab, Texas A&amp;M University</w:t>
      </w:r>
    </w:p>
    <w:p w14:paraId="1C34C8D7" w14:textId="6AA517A8" w:rsidR="00BA5D1D" w:rsidRDefault="00BA5D1D" w:rsidP="00BA5D1D">
      <w:pPr>
        <w:pStyle w:val="Authornameandaffiliation"/>
      </w:pPr>
      <w:r w:rsidRPr="00B336E0">
        <w:t>College Station, Texas, United States of America</w:t>
      </w:r>
    </w:p>
    <w:p w14:paraId="56211223" w14:textId="77777777" w:rsidR="00BA5D1D" w:rsidRDefault="00BA5D1D" w:rsidP="00537496">
      <w:pPr>
        <w:pStyle w:val="Authornameandaffiliation"/>
      </w:pPr>
    </w:p>
    <w:p w14:paraId="433FE045" w14:textId="2457C4AE" w:rsidR="00FF386F" w:rsidRPr="00B336E0" w:rsidRDefault="00BE4E8E" w:rsidP="00537496">
      <w:pPr>
        <w:pStyle w:val="Authornameandaffiliation"/>
      </w:pPr>
      <w:r w:rsidRPr="00B336E0">
        <w:t>YASSIN HASSAN</w:t>
      </w:r>
    </w:p>
    <w:p w14:paraId="1C48B342" w14:textId="77777777" w:rsidR="00BE4E8E" w:rsidRPr="00B336E0" w:rsidRDefault="00BE4E8E" w:rsidP="00BE4E8E">
      <w:pPr>
        <w:pStyle w:val="Authornameandaffiliation"/>
      </w:pPr>
      <w:r w:rsidRPr="00B336E0">
        <w:t>Thermal Hydraulics Research Lab, Texas A&amp;M University</w:t>
      </w:r>
    </w:p>
    <w:p w14:paraId="433FE047" w14:textId="2C11A9EB" w:rsidR="00FF386F" w:rsidRPr="00B336E0" w:rsidRDefault="00BE4E8E" w:rsidP="00BE4E8E">
      <w:pPr>
        <w:pStyle w:val="Authornameandaffiliation"/>
      </w:pPr>
      <w:r w:rsidRPr="00B336E0">
        <w:t>College Station, Texas, United States of America</w:t>
      </w:r>
    </w:p>
    <w:p w14:paraId="05FED316" w14:textId="77777777" w:rsidR="00BE4E8E" w:rsidRPr="00B336E0" w:rsidRDefault="00BE4E8E" w:rsidP="00BE4E8E">
      <w:pPr>
        <w:pStyle w:val="Authornameandaffiliation"/>
      </w:pPr>
    </w:p>
    <w:p w14:paraId="433FE049" w14:textId="77777777" w:rsidR="00647F33" w:rsidRPr="00B336E0" w:rsidRDefault="00647F33" w:rsidP="00537496">
      <w:pPr>
        <w:pStyle w:val="Authornameandaffiliation"/>
        <w:rPr>
          <w:b/>
        </w:rPr>
      </w:pPr>
      <w:r w:rsidRPr="00B336E0">
        <w:rPr>
          <w:b/>
        </w:rPr>
        <w:t>Abstract</w:t>
      </w:r>
    </w:p>
    <w:p w14:paraId="433FE04A" w14:textId="76BFF072" w:rsidR="00647F33" w:rsidRPr="00B336E0" w:rsidRDefault="00647F33" w:rsidP="00537496">
      <w:pPr>
        <w:pStyle w:val="Authornameandaffiliation"/>
      </w:pPr>
    </w:p>
    <w:p w14:paraId="433FE04B" w14:textId="38281E84" w:rsidR="00647F33" w:rsidRPr="00BA5D1D" w:rsidRDefault="00BA5D1D" w:rsidP="00192B81">
      <w:pPr>
        <w:pStyle w:val="Abstracttext"/>
        <w:rPr>
          <w:color w:val="FF0000"/>
        </w:rPr>
      </w:pPr>
      <w:r w:rsidRPr="00026287">
        <w:t>One of the fuel assembly designs considered for liquid metal-cooled fast reactors (LMFR) uses wires helically wrapped around fuel pins as spacers. The understanding of the coolant behavior in LMFR fuels under the influence of a partially blocked flow area is required for a correct safety assessment</w:t>
      </w:r>
      <w:r w:rsidR="00026287">
        <w:t xml:space="preserve"> of the Nuclear Power Plan</w:t>
      </w:r>
      <w:r w:rsidR="004021C8">
        <w:t>t</w:t>
      </w:r>
      <w:r w:rsidRPr="00026287">
        <w:t>. Accumulation of debris or cladding deformation may generate a partial or total flow blockage of coolant channels at different locations.</w:t>
      </w:r>
      <w:r w:rsidR="00026287">
        <w:t xml:space="preserve"> In this paper,</w:t>
      </w:r>
      <w:r w:rsidRPr="00026287">
        <w:t xml:space="preserve"> Unsteady Reynolds-Averaged Navier-Stokes (URANS) is applied using different turbulence models to predict the axial friction factor under the presence of blockages</w:t>
      </w:r>
      <w:r w:rsidR="00026287">
        <w:t>, placed at different position on the bundle cross section</w:t>
      </w:r>
      <w:r w:rsidRPr="00026287">
        <w:t xml:space="preserve">. </w:t>
      </w:r>
      <w:r w:rsidR="00026287">
        <w:t xml:space="preserve">The simulated Reynolds number was 17,000. </w:t>
      </w:r>
      <w:r w:rsidRPr="00026287">
        <w:t>Results are compared with experiment</w:t>
      </w:r>
      <w:r w:rsidR="00026287">
        <w:t>al friction factor data produced at the Texas A&amp;M experimental facility</w:t>
      </w:r>
      <w:r w:rsidRPr="00026287">
        <w:t>.</w:t>
      </w:r>
      <w:r w:rsidR="00026287">
        <w:t xml:space="preserve"> The sensitivity analysis of the RANS turbulence models concluded that the </w:t>
      </w:r>
      <m:oMath>
        <m:r>
          <w:rPr>
            <w:rFonts w:ascii="Cambria Math" w:hAnsi="Cambria Math"/>
          </w:rPr>
          <m:t>k-ϵ</m:t>
        </m:r>
      </m:oMath>
      <w:r w:rsidRPr="00026287">
        <w:t xml:space="preserve"> Rea</w:t>
      </w:r>
      <w:proofErr w:type="spellStart"/>
      <w:r w:rsidRPr="00026287">
        <w:t>lizable</w:t>
      </w:r>
      <w:proofErr w:type="spellEnd"/>
      <w:r w:rsidRPr="00026287">
        <w:t xml:space="preserve"> </w:t>
      </w:r>
      <w:r w:rsidR="00026287">
        <w:t xml:space="preserve">model is </w:t>
      </w:r>
      <w:r w:rsidRPr="00026287">
        <w:t xml:space="preserve">the recommended </w:t>
      </w:r>
      <w:r w:rsidR="00026287">
        <w:t xml:space="preserve">one </w:t>
      </w:r>
      <w:r w:rsidRPr="00026287">
        <w:t>for</w:t>
      </w:r>
      <w:r w:rsidR="00026287">
        <w:t xml:space="preserve"> this Reynolds number because it presented the </w:t>
      </w:r>
      <w:r w:rsidR="004021C8">
        <w:t>minimum</w:t>
      </w:r>
      <w:r w:rsidR="00026287">
        <w:t xml:space="preserve"> relative error with respect to the experimental data that was found below 5%.</w:t>
      </w:r>
    </w:p>
    <w:p w14:paraId="53FA46FE" w14:textId="0B5C398C" w:rsidR="00BA5D1D" w:rsidRPr="0077463D" w:rsidRDefault="00F523CA" w:rsidP="0077463D">
      <w:pPr>
        <w:pStyle w:val="Heading2"/>
        <w:numPr>
          <w:ilvl w:val="1"/>
          <w:numId w:val="10"/>
        </w:numPr>
        <w:rPr>
          <w:lang w:val="en-US"/>
        </w:rPr>
      </w:pPr>
      <w:r w:rsidRPr="00B336E0">
        <w:rPr>
          <w:lang w:val="en-US"/>
        </w:rPr>
        <w:t>INTRODUCTION</w:t>
      </w:r>
    </w:p>
    <w:p w14:paraId="43824FDF" w14:textId="77777777" w:rsidR="00BA5D1D" w:rsidRPr="00BA5D1D" w:rsidRDefault="00BA5D1D" w:rsidP="00BA5D1D">
      <w:pPr>
        <w:pStyle w:val="BodyText"/>
        <w:rPr>
          <w:lang w:val="en-US"/>
        </w:rPr>
      </w:pPr>
      <w:r w:rsidRPr="00BA5D1D">
        <w:rPr>
          <w:lang w:val="en-US"/>
        </w:rPr>
        <w:t>Liquid metal fast breeder reactor (LMFBR) is one of the most promising reactor designs proposed for the next generation of nuclear reactors. Some designs of fuel bundles in LMFBR utilize a tightly packed triangular lattice of fuel pins with a helically wire-wrapped spacer enclosed within a hexagonal duct. Helical wire-wrapped spacers play an important role in separating fuel pins and maintaining adequate spacing between them, increasing the inter-channel flow mixing, and flattening the core temperature distribution.</w:t>
      </w:r>
    </w:p>
    <w:p w14:paraId="793EF06E" w14:textId="68734F24" w:rsidR="00BA5D1D" w:rsidRPr="00BA5D1D" w:rsidRDefault="00BA5D1D" w:rsidP="00BA5D1D">
      <w:pPr>
        <w:pStyle w:val="BodyText"/>
        <w:rPr>
          <w:lang w:val="en-US"/>
        </w:rPr>
      </w:pPr>
      <w:r w:rsidRPr="00BA5D1D">
        <w:rPr>
          <w:lang w:val="en-US"/>
        </w:rPr>
        <w:t xml:space="preserve">Numerous studies of flow through helically wire-wrapped fuel bundles have been conducted both experimentally and computationally. Majority of the early experimental studies focused on the axial pressure drop through rod bundles, such the works of </w:t>
      </w:r>
      <w:proofErr w:type="spellStart"/>
      <w:r w:rsidRPr="00BA5D1D">
        <w:rPr>
          <w:lang w:val="en-US"/>
        </w:rPr>
        <w:t>Rehme</w:t>
      </w:r>
      <w:proofErr w:type="spellEnd"/>
      <w:r w:rsidR="00B407D9">
        <w:rPr>
          <w:lang w:val="en-US"/>
        </w:rPr>
        <w:t xml:space="preserve"> </w:t>
      </w:r>
      <w:r w:rsidR="00B407D9">
        <w:rPr>
          <w:lang w:val="en-US"/>
        </w:rPr>
        <w:fldChar w:fldCharType="begin"/>
      </w:r>
      <w:r w:rsidR="00B407D9">
        <w:rPr>
          <w:lang w:val="en-US"/>
        </w:rPr>
        <w:instrText xml:space="preserve"> REF _Ref104903260 \r \h </w:instrText>
      </w:r>
      <w:r w:rsidR="00B407D9">
        <w:rPr>
          <w:lang w:val="en-US"/>
        </w:rPr>
      </w:r>
      <w:r w:rsidR="00B407D9">
        <w:rPr>
          <w:lang w:val="en-US"/>
        </w:rPr>
        <w:fldChar w:fldCharType="separate"/>
      </w:r>
      <w:r w:rsidR="00190B20">
        <w:rPr>
          <w:lang w:val="en-US"/>
        </w:rPr>
        <w:t>[1]</w:t>
      </w:r>
      <w:r w:rsidR="00B407D9">
        <w:rPr>
          <w:lang w:val="en-US"/>
        </w:rPr>
        <w:fldChar w:fldCharType="end"/>
      </w:r>
      <w:r w:rsidRPr="00BA5D1D">
        <w:rPr>
          <w:lang w:val="en-US"/>
        </w:rPr>
        <w:t>,</w:t>
      </w:r>
      <w:r w:rsidR="00B407D9">
        <w:rPr>
          <w:lang w:val="en-US"/>
        </w:rPr>
        <w:t xml:space="preserve"> </w:t>
      </w:r>
      <w:r w:rsidR="00B407D9">
        <w:rPr>
          <w:lang w:val="en-US"/>
        </w:rPr>
        <w:fldChar w:fldCharType="begin"/>
      </w:r>
      <w:r w:rsidR="00B407D9">
        <w:rPr>
          <w:lang w:val="en-US"/>
        </w:rPr>
        <w:instrText xml:space="preserve"> REF _Ref104903281 \r \h </w:instrText>
      </w:r>
      <w:r w:rsidR="00B407D9">
        <w:rPr>
          <w:lang w:val="en-US"/>
        </w:rPr>
      </w:r>
      <w:r w:rsidR="00B407D9">
        <w:rPr>
          <w:lang w:val="en-US"/>
        </w:rPr>
        <w:fldChar w:fldCharType="separate"/>
      </w:r>
      <w:r w:rsidR="00190B20">
        <w:rPr>
          <w:lang w:val="en-US"/>
        </w:rPr>
        <w:t>[2]</w:t>
      </w:r>
      <w:r w:rsidR="00B407D9">
        <w:rPr>
          <w:lang w:val="en-US"/>
        </w:rPr>
        <w:fldChar w:fldCharType="end"/>
      </w:r>
      <w:r w:rsidR="00B407D9">
        <w:rPr>
          <w:lang w:val="en-US"/>
        </w:rPr>
        <w:t>,</w:t>
      </w:r>
      <w:r w:rsidRPr="00BA5D1D">
        <w:rPr>
          <w:lang w:val="en-US"/>
        </w:rPr>
        <w:t xml:space="preserve"> Cheng and N. E. </w:t>
      </w:r>
      <w:proofErr w:type="spellStart"/>
      <w:r w:rsidRPr="00BA5D1D">
        <w:rPr>
          <w:lang w:val="en-US"/>
        </w:rPr>
        <w:t>Todreas</w:t>
      </w:r>
      <w:proofErr w:type="spellEnd"/>
      <w:r w:rsidR="00B407D9">
        <w:rPr>
          <w:lang w:val="en-US"/>
        </w:rPr>
        <w:t xml:space="preserve"> </w:t>
      </w:r>
      <w:r w:rsidR="00B407D9">
        <w:rPr>
          <w:lang w:val="en-US"/>
        </w:rPr>
        <w:fldChar w:fldCharType="begin"/>
      </w:r>
      <w:r w:rsidR="00B407D9">
        <w:rPr>
          <w:lang w:val="en-US"/>
        </w:rPr>
        <w:instrText xml:space="preserve"> REF _Ref104903306 \r \h </w:instrText>
      </w:r>
      <w:r w:rsidR="00B407D9">
        <w:rPr>
          <w:lang w:val="en-US"/>
        </w:rPr>
      </w:r>
      <w:r w:rsidR="00B407D9">
        <w:rPr>
          <w:lang w:val="en-US"/>
        </w:rPr>
        <w:fldChar w:fldCharType="separate"/>
      </w:r>
      <w:r w:rsidR="00190B20">
        <w:rPr>
          <w:lang w:val="en-US"/>
        </w:rPr>
        <w:t>[3]</w:t>
      </w:r>
      <w:r w:rsidR="00B407D9">
        <w:rPr>
          <w:lang w:val="en-US"/>
        </w:rPr>
        <w:fldChar w:fldCharType="end"/>
      </w:r>
      <w:r w:rsidRPr="00BA5D1D">
        <w:rPr>
          <w:lang w:val="en-US"/>
        </w:rPr>
        <w:t>, and Chen et al.</w:t>
      </w:r>
      <w:r w:rsidR="00B407D9">
        <w:rPr>
          <w:lang w:val="en-US"/>
        </w:rPr>
        <w:t xml:space="preserve"> </w:t>
      </w:r>
      <w:r w:rsidR="00B407D9">
        <w:rPr>
          <w:lang w:val="en-US"/>
        </w:rPr>
        <w:fldChar w:fldCharType="begin"/>
      </w:r>
      <w:r w:rsidR="00B407D9">
        <w:rPr>
          <w:lang w:val="en-US"/>
        </w:rPr>
        <w:instrText xml:space="preserve"> REF _Ref104903317 \r \h </w:instrText>
      </w:r>
      <w:r w:rsidR="00B407D9">
        <w:rPr>
          <w:lang w:val="en-US"/>
        </w:rPr>
      </w:r>
      <w:r w:rsidR="00B407D9">
        <w:rPr>
          <w:lang w:val="en-US"/>
        </w:rPr>
        <w:fldChar w:fldCharType="separate"/>
      </w:r>
      <w:r w:rsidR="00190B20">
        <w:rPr>
          <w:lang w:val="en-US"/>
        </w:rPr>
        <w:t>[4]</w:t>
      </w:r>
      <w:r w:rsidR="00B407D9">
        <w:rPr>
          <w:lang w:val="en-US"/>
        </w:rPr>
        <w:fldChar w:fldCharType="end"/>
      </w:r>
      <w:r w:rsidRPr="00BA5D1D">
        <w:rPr>
          <w:lang w:val="en-US"/>
        </w:rPr>
        <w:t xml:space="preserve">. More recent experimental studies focused on the flow behavior by employing particle image velocimetry (PIV) technique to visualize the flow, such the measurements performed by Nguyen et al. </w:t>
      </w:r>
      <w:r w:rsidR="00B407D9">
        <w:rPr>
          <w:lang w:val="en-US"/>
        </w:rPr>
        <w:fldChar w:fldCharType="begin"/>
      </w:r>
      <w:r w:rsidR="00B407D9">
        <w:rPr>
          <w:lang w:val="en-US"/>
        </w:rPr>
        <w:instrText xml:space="preserve"> REF _Ref104903328 \r \h </w:instrText>
      </w:r>
      <w:r w:rsidR="00B407D9">
        <w:rPr>
          <w:lang w:val="en-US"/>
        </w:rPr>
      </w:r>
      <w:r w:rsidR="00B407D9">
        <w:rPr>
          <w:lang w:val="en-US"/>
        </w:rPr>
        <w:fldChar w:fldCharType="separate"/>
      </w:r>
      <w:r w:rsidR="00190B20">
        <w:rPr>
          <w:lang w:val="en-US"/>
        </w:rPr>
        <w:t>[5]</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_Ref104903332 \r \h </w:instrText>
      </w:r>
      <w:r w:rsidR="00B407D9">
        <w:rPr>
          <w:lang w:val="en-US"/>
        </w:rPr>
      </w:r>
      <w:r w:rsidR="00B407D9">
        <w:rPr>
          <w:lang w:val="en-US"/>
        </w:rPr>
        <w:fldChar w:fldCharType="separate"/>
      </w:r>
      <w:r w:rsidR="00190B20">
        <w:rPr>
          <w:lang w:val="en-US"/>
        </w:rPr>
        <w:t>[6]</w:t>
      </w:r>
      <w:r w:rsidR="00B407D9">
        <w:rPr>
          <w:lang w:val="en-US"/>
        </w:rPr>
        <w:fldChar w:fldCharType="end"/>
      </w:r>
      <w:r w:rsidRPr="00BA5D1D">
        <w:rPr>
          <w:lang w:val="en-US"/>
        </w:rPr>
        <w:t>, and Goth et al.</w:t>
      </w:r>
      <w:r w:rsidR="00B407D9">
        <w:rPr>
          <w:lang w:val="en-US"/>
        </w:rPr>
        <w:t xml:space="preserve"> </w:t>
      </w:r>
      <w:r w:rsidR="00B407D9">
        <w:rPr>
          <w:lang w:val="en-US"/>
        </w:rPr>
        <w:fldChar w:fldCharType="begin"/>
      </w:r>
      <w:r w:rsidR="00B407D9">
        <w:rPr>
          <w:lang w:val="en-US"/>
        </w:rPr>
        <w:instrText xml:space="preserve"> REF _Ref104903345 \r \h </w:instrText>
      </w:r>
      <w:r w:rsidR="00B407D9">
        <w:rPr>
          <w:lang w:val="en-US"/>
        </w:rPr>
      </w:r>
      <w:r w:rsidR="00B407D9">
        <w:rPr>
          <w:lang w:val="en-US"/>
        </w:rPr>
        <w:fldChar w:fldCharType="separate"/>
      </w:r>
      <w:r w:rsidR="00190B20">
        <w:rPr>
          <w:lang w:val="en-US"/>
        </w:rPr>
        <w:t>[7]</w:t>
      </w:r>
      <w:r w:rsidR="00B407D9">
        <w:rPr>
          <w:lang w:val="en-US"/>
        </w:rPr>
        <w:fldChar w:fldCharType="end"/>
      </w:r>
      <w:r w:rsidRPr="00BA5D1D">
        <w:rPr>
          <w:lang w:val="en-US"/>
        </w:rPr>
        <w:t xml:space="preserve">. Numerical studies have been conducted in parallel to experimental studies to understand the flow behavior in wire-wrapped fuel bundles. </w:t>
      </w:r>
      <w:proofErr w:type="spellStart"/>
      <w:r w:rsidRPr="00BA5D1D">
        <w:rPr>
          <w:lang w:val="en-US"/>
        </w:rPr>
        <w:t>Jeong</w:t>
      </w:r>
      <w:proofErr w:type="spellEnd"/>
      <w:r w:rsidRPr="00BA5D1D">
        <w:rPr>
          <w:lang w:val="en-US"/>
        </w:rPr>
        <w:t xml:space="preserve"> et al.</w:t>
      </w:r>
      <w:r w:rsidR="00B407D9">
        <w:rPr>
          <w:lang w:val="en-US"/>
        </w:rPr>
        <w:t xml:space="preserve"> </w:t>
      </w:r>
      <w:r w:rsidR="00B407D9">
        <w:rPr>
          <w:lang w:val="en-US"/>
        </w:rPr>
        <w:fldChar w:fldCharType="begin"/>
      </w:r>
      <w:r w:rsidR="00B407D9">
        <w:rPr>
          <w:lang w:val="en-US"/>
        </w:rPr>
        <w:instrText xml:space="preserve"> REF _Ref104903360 \r \h </w:instrText>
      </w:r>
      <w:r w:rsidR="00B407D9">
        <w:rPr>
          <w:lang w:val="en-US"/>
        </w:rPr>
      </w:r>
      <w:r w:rsidR="00B407D9">
        <w:rPr>
          <w:lang w:val="en-US"/>
        </w:rPr>
        <w:fldChar w:fldCharType="separate"/>
      </w:r>
      <w:r w:rsidR="00190B20">
        <w:rPr>
          <w:lang w:val="en-US"/>
        </w:rPr>
        <w:t>[8]</w:t>
      </w:r>
      <w:r w:rsidR="00B407D9">
        <w:rPr>
          <w:lang w:val="en-US"/>
        </w:rPr>
        <w:fldChar w:fldCharType="end"/>
      </w:r>
      <w:r w:rsidRPr="00BA5D1D">
        <w:rPr>
          <w:lang w:val="en-US"/>
        </w:rPr>
        <w:t xml:space="preserve"> conducted a RANS based numerical study to characterize the thermal-hydraulic behavior of 7, 37, 127, 217 pin fuel assemblies. Brockmeyer et al.</w:t>
      </w:r>
      <w:r w:rsidR="00B407D9">
        <w:rPr>
          <w:lang w:val="en-US"/>
        </w:rPr>
        <w:t xml:space="preserve"> </w:t>
      </w:r>
      <w:r w:rsidR="00B407D9">
        <w:rPr>
          <w:lang w:val="en-US"/>
        </w:rPr>
        <w:fldChar w:fldCharType="begin"/>
      </w:r>
      <w:r w:rsidR="00B407D9">
        <w:rPr>
          <w:lang w:val="en-US"/>
        </w:rPr>
        <w:instrText xml:space="preserve"> REF _Ref67226771 \r \h </w:instrText>
      </w:r>
      <w:r w:rsidR="00B407D9">
        <w:rPr>
          <w:lang w:val="en-US"/>
        </w:rPr>
      </w:r>
      <w:r w:rsidR="00B407D9">
        <w:rPr>
          <w:lang w:val="en-US"/>
        </w:rPr>
        <w:fldChar w:fldCharType="separate"/>
      </w:r>
      <w:r w:rsidR="00190B20">
        <w:rPr>
          <w:lang w:val="en-US"/>
        </w:rPr>
        <w:t>[9]</w:t>
      </w:r>
      <w:r w:rsidR="00B407D9">
        <w:rPr>
          <w:lang w:val="en-US"/>
        </w:rPr>
        <w:fldChar w:fldCharType="end"/>
      </w:r>
      <w:r w:rsidRPr="00BA5D1D">
        <w:rPr>
          <w:lang w:val="en-US"/>
        </w:rPr>
        <w:t xml:space="preserve"> conducted a numerical study with RANS and large eddy simulation (LES) techniques for 19, 37, 61, and 91 pin assemblies for the determination of the minimum representative bundle size in wire-wrapped geometries. It was concluded that the 37-pin bundle is the minimum bundle size for modeling the wire-wrapped fuel bundles. </w:t>
      </w:r>
    </w:p>
    <w:p w14:paraId="7E9AA4AB" w14:textId="3E530E57" w:rsidR="00BA5D1D" w:rsidRPr="00BA5D1D" w:rsidRDefault="00BA5D1D" w:rsidP="00BA5D1D">
      <w:pPr>
        <w:pStyle w:val="BodyText"/>
        <w:rPr>
          <w:lang w:val="en-US"/>
        </w:rPr>
      </w:pPr>
      <w:r w:rsidRPr="00BA5D1D">
        <w:rPr>
          <w:lang w:val="en-US"/>
        </w:rPr>
        <w:t xml:space="preserve">One of the major concerns in wire-wrapped fuel bundles is the potential for blockages of the flow channels which may have consequences on the fuel integrity. According to Han </w:t>
      </w:r>
      <w:r w:rsidR="00B407D9">
        <w:rPr>
          <w:lang w:val="en-US"/>
        </w:rPr>
        <w:fldChar w:fldCharType="begin"/>
      </w:r>
      <w:r w:rsidR="00B407D9">
        <w:rPr>
          <w:lang w:val="en-US"/>
        </w:rPr>
        <w:instrText xml:space="preserve"> REF _Ref104903385 \r \h </w:instrText>
      </w:r>
      <w:r w:rsidR="00B407D9">
        <w:rPr>
          <w:lang w:val="en-US"/>
        </w:rPr>
      </w:r>
      <w:r w:rsidR="00B407D9">
        <w:rPr>
          <w:lang w:val="en-US"/>
        </w:rPr>
        <w:fldChar w:fldCharType="separate"/>
      </w:r>
      <w:r w:rsidR="00190B20">
        <w:rPr>
          <w:lang w:val="en-US"/>
        </w:rPr>
        <w:t>[10]</w:t>
      </w:r>
      <w:r w:rsidR="00B407D9">
        <w:rPr>
          <w:lang w:val="en-US"/>
        </w:rPr>
        <w:fldChar w:fldCharType="end"/>
      </w:r>
      <w:r w:rsidRPr="00BA5D1D">
        <w:rPr>
          <w:lang w:val="en-US"/>
        </w:rPr>
        <w:t xml:space="preserve">, the hypothetical mechanisms that may cause channel blockages in the fuel assemblies are (1) lodging of foreign materials carried into the core by the sodium, (2) bending and swelling of the fuel pins, and (3) lodging of debris from failed fuel pins and broken wires. It is expected that the blockages may increase the subchannel pressure drop, and impact the local thermal-hydraulic behavior. The severity of the consequences of localized blockages on reactor safety depend on several </w:t>
      </w:r>
      <w:r w:rsidRPr="00BA5D1D">
        <w:rPr>
          <w:lang w:val="en-US"/>
        </w:rPr>
        <w:lastRenderedPageBreak/>
        <w:t>factors including the location of the blockage, its shape and size, the local heat flux near the blockage, and the local mean fluid velocity.</w:t>
      </w:r>
    </w:p>
    <w:p w14:paraId="0DAC25F1" w14:textId="0343BBFF" w:rsidR="00BA5D1D" w:rsidRPr="00BA5D1D" w:rsidRDefault="00BA5D1D" w:rsidP="00BA5D1D">
      <w:pPr>
        <w:pStyle w:val="BodyText"/>
        <w:rPr>
          <w:lang w:val="en-US"/>
        </w:rPr>
      </w:pPr>
      <w:r w:rsidRPr="00BA5D1D">
        <w:rPr>
          <w:lang w:val="en-US"/>
        </w:rPr>
        <w:t xml:space="preserve">As it was investigated by Chai et al. </w:t>
      </w:r>
      <w:r w:rsidR="00B407D9">
        <w:rPr>
          <w:lang w:val="en-US"/>
        </w:rPr>
        <w:fldChar w:fldCharType="begin"/>
      </w:r>
      <w:r w:rsidR="00B407D9">
        <w:rPr>
          <w:lang w:val="en-US"/>
        </w:rPr>
        <w:instrText xml:space="preserve"> REF _Ref104903412 \r \h </w:instrText>
      </w:r>
      <w:r w:rsidR="00B407D9">
        <w:rPr>
          <w:lang w:val="en-US"/>
        </w:rPr>
      </w:r>
      <w:r w:rsidR="00B407D9">
        <w:rPr>
          <w:lang w:val="en-US"/>
        </w:rPr>
        <w:fldChar w:fldCharType="separate"/>
      </w:r>
      <w:r w:rsidR="00190B20">
        <w:rPr>
          <w:lang w:val="en-US"/>
        </w:rPr>
        <w:t>[11]</w:t>
      </w:r>
      <w:r w:rsidR="00B407D9">
        <w:rPr>
          <w:lang w:val="en-US"/>
        </w:rPr>
        <w:fldChar w:fldCharType="end"/>
      </w:r>
      <w:r w:rsidRPr="00BA5D1D">
        <w:rPr>
          <w:lang w:val="en-US"/>
        </w:rPr>
        <w:t xml:space="preserve">, if single or several subchannels are partially or totally occupied by debris, flow area will be suddenly reduced, and a recirculation region can be expected downstream the blockage. Coolant temperature in this region can be greatly increased which may threaten the integrity of the fuel assembly. It has been recognized that coolant temperature peaks exist in the recirculation region formed downstream the blockage. A study performed by </w:t>
      </w:r>
      <w:proofErr w:type="spellStart"/>
      <w:r w:rsidRPr="00BA5D1D">
        <w:rPr>
          <w:lang w:val="en-US"/>
        </w:rPr>
        <w:t>Gencay</w:t>
      </w:r>
      <w:proofErr w:type="spellEnd"/>
      <w:r w:rsidRPr="00BA5D1D">
        <w:rPr>
          <w:lang w:val="en-US"/>
        </w:rPr>
        <w:t xml:space="preserve"> et al. </w:t>
      </w:r>
      <w:r w:rsidR="00B407D9">
        <w:rPr>
          <w:lang w:val="en-US"/>
        </w:rPr>
        <w:fldChar w:fldCharType="begin"/>
      </w:r>
      <w:r w:rsidR="00B407D9">
        <w:rPr>
          <w:lang w:val="en-US"/>
        </w:rPr>
        <w:instrText xml:space="preserve"> REF _Ref104903425 \r \h </w:instrText>
      </w:r>
      <w:r w:rsidR="00B407D9">
        <w:rPr>
          <w:lang w:val="en-US"/>
        </w:rPr>
      </w:r>
      <w:r w:rsidR="00B407D9">
        <w:rPr>
          <w:lang w:val="en-US"/>
        </w:rPr>
        <w:fldChar w:fldCharType="separate"/>
      </w:r>
      <w:r w:rsidR="00190B20">
        <w:rPr>
          <w:lang w:val="en-US"/>
        </w:rPr>
        <w:t>[12]</w:t>
      </w:r>
      <w:r w:rsidR="00B407D9">
        <w:rPr>
          <w:lang w:val="en-US"/>
        </w:rPr>
        <w:fldChar w:fldCharType="end"/>
      </w:r>
      <w:r w:rsidRPr="00BA5D1D">
        <w:rPr>
          <w:lang w:val="en-US"/>
        </w:rPr>
        <w:t xml:space="preserve"> confirmed that one of the consequences of a blocked subchannel or a group of subchannels is to divert, depending on the area of the blockage, some or all of the flow into neighboring unblocked ones. </w:t>
      </w:r>
    </w:p>
    <w:p w14:paraId="20383EBB" w14:textId="2F5E778B" w:rsidR="00BA5D1D" w:rsidRPr="00BA5D1D" w:rsidRDefault="00BA5D1D" w:rsidP="00BA5D1D">
      <w:pPr>
        <w:pStyle w:val="BodyText"/>
        <w:rPr>
          <w:lang w:val="en-US"/>
        </w:rPr>
      </w:pPr>
      <w:r w:rsidRPr="00BA5D1D">
        <w:rPr>
          <w:lang w:val="en-US"/>
        </w:rPr>
        <w:t>Investigations for the flow blockages in wire-wrapped fuel assemblies have been motivated by the safety concerns previously mentioned. The effect of local blockages on reactor safety depends on several factors, such as size of blockages, their location, fuel pin power, and coolant velocity. Nguyen et al. investigated the flow behavior in wire-wrapped fuel bundles in presence of localized</w:t>
      </w:r>
      <w:r w:rsidR="0077463D">
        <w:rPr>
          <w:lang w:val="en-US"/>
        </w:rPr>
        <w:t xml:space="preserve"> </w:t>
      </w:r>
      <w:r w:rsidRPr="00BA5D1D">
        <w:rPr>
          <w:lang w:val="en-US"/>
        </w:rPr>
        <w:t>flow blockages by using particle image velocimetry (PIV) techniques for the flow visualization</w:t>
      </w:r>
      <w:r w:rsidR="00B407D9">
        <w:rPr>
          <w:lang w:val="en-US"/>
        </w:rPr>
        <w:t xml:space="preserve"> </w:t>
      </w:r>
      <w:r w:rsidR="00B407D9">
        <w:rPr>
          <w:lang w:val="en-US"/>
        </w:rPr>
        <w:fldChar w:fldCharType="begin"/>
      </w:r>
      <w:r w:rsidR="00B407D9">
        <w:rPr>
          <w:lang w:val="en-US"/>
        </w:rPr>
        <w:instrText xml:space="preserve"> REF _Ref104903440 \r \h </w:instrText>
      </w:r>
      <w:r w:rsidR="00B407D9">
        <w:rPr>
          <w:lang w:val="en-US"/>
        </w:rPr>
      </w:r>
      <w:r w:rsidR="00B407D9">
        <w:rPr>
          <w:lang w:val="en-US"/>
        </w:rPr>
        <w:fldChar w:fldCharType="separate"/>
      </w:r>
      <w:r w:rsidR="00190B20">
        <w:rPr>
          <w:lang w:val="en-US"/>
        </w:rPr>
        <w:t>[13]</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_Ref104903442 \r \h </w:instrText>
      </w:r>
      <w:r w:rsidR="00B407D9">
        <w:rPr>
          <w:lang w:val="en-US"/>
        </w:rPr>
      </w:r>
      <w:r w:rsidR="00B407D9">
        <w:rPr>
          <w:lang w:val="en-US"/>
        </w:rPr>
        <w:fldChar w:fldCharType="separate"/>
      </w:r>
      <w:r w:rsidR="00190B20">
        <w:rPr>
          <w:lang w:val="en-US"/>
        </w:rPr>
        <w:t>[14]</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_Ref104903444 \r \h </w:instrText>
      </w:r>
      <w:r w:rsidR="00B407D9">
        <w:rPr>
          <w:lang w:val="en-US"/>
        </w:rPr>
      </w:r>
      <w:r w:rsidR="00B407D9">
        <w:rPr>
          <w:lang w:val="en-US"/>
        </w:rPr>
        <w:fldChar w:fldCharType="separate"/>
      </w:r>
      <w:r w:rsidR="00190B20">
        <w:rPr>
          <w:lang w:val="en-US"/>
        </w:rPr>
        <w:t>[15]</w:t>
      </w:r>
      <w:r w:rsidR="00B407D9">
        <w:rPr>
          <w:lang w:val="en-US"/>
        </w:rPr>
        <w:fldChar w:fldCharType="end"/>
      </w:r>
      <w:r w:rsidRPr="00BA5D1D">
        <w:rPr>
          <w:lang w:val="en-US"/>
        </w:rPr>
        <w:t xml:space="preserve">. In his studies, he provided detailed information for the mean and root mean square velocity, vorticity, integral length scales, and showed vortex shedding frequencies induced by the flow blockages. More recently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190B20">
        <w:rPr>
          <w:lang w:val="en-US"/>
        </w:rPr>
        <w:t>[16]</w:t>
      </w:r>
      <w:r w:rsidR="00B407D9">
        <w:rPr>
          <w:lang w:val="en-US"/>
        </w:rPr>
        <w:fldChar w:fldCharType="end"/>
      </w:r>
      <w:r w:rsidRPr="00BA5D1D">
        <w:rPr>
          <w:lang w:val="en-US"/>
        </w:rPr>
        <w:t xml:space="preserve"> performed an experimental study to investigate the pressure drop in a blocked 61-pin wire-wrapped fuel assembly. Di Piazza et al. </w:t>
      </w:r>
      <w:r w:rsidR="00B407D9">
        <w:rPr>
          <w:lang w:val="en-US"/>
        </w:rPr>
        <w:fldChar w:fldCharType="begin"/>
      </w:r>
      <w:r w:rsidR="00B407D9">
        <w:rPr>
          <w:lang w:val="en-US"/>
        </w:rPr>
        <w:instrText xml:space="preserve"> REF _Ref104903471 \r \h </w:instrText>
      </w:r>
      <w:r w:rsidR="00B407D9">
        <w:rPr>
          <w:lang w:val="en-US"/>
        </w:rPr>
      </w:r>
      <w:r w:rsidR="00B407D9">
        <w:rPr>
          <w:lang w:val="en-US"/>
        </w:rPr>
        <w:fldChar w:fldCharType="separate"/>
      </w:r>
      <w:r w:rsidR="00190B20">
        <w:rPr>
          <w:lang w:val="en-US"/>
        </w:rPr>
        <w:t>[17]</w:t>
      </w:r>
      <w:r w:rsidR="00B407D9">
        <w:rPr>
          <w:lang w:val="en-US"/>
        </w:rPr>
        <w:fldChar w:fldCharType="end"/>
      </w:r>
      <w:r w:rsidRPr="00BA5D1D">
        <w:rPr>
          <w:lang w:val="en-US"/>
        </w:rPr>
        <w:t xml:space="preserve"> performed a numerical study to investigate the flow blockage phenomena in 127-pin fuel assembly without helically wrapped wires. Chai et al. </w:t>
      </w:r>
      <w:r w:rsidR="00B407D9">
        <w:rPr>
          <w:lang w:val="en-US"/>
        </w:rPr>
        <w:fldChar w:fldCharType="begin"/>
      </w:r>
      <w:r w:rsidR="00B407D9">
        <w:rPr>
          <w:lang w:val="en-US"/>
        </w:rPr>
        <w:instrText xml:space="preserve"> REF _Ref104903481 \r \h </w:instrText>
      </w:r>
      <w:r w:rsidR="00B407D9">
        <w:rPr>
          <w:lang w:val="en-US"/>
        </w:rPr>
      </w:r>
      <w:r w:rsidR="00B407D9">
        <w:rPr>
          <w:lang w:val="en-US"/>
        </w:rPr>
        <w:fldChar w:fldCharType="separate"/>
      </w:r>
      <w:r w:rsidR="00190B20">
        <w:rPr>
          <w:lang w:val="en-US"/>
        </w:rPr>
        <w:t>[18]</w:t>
      </w:r>
      <w:r w:rsidR="00B407D9">
        <w:rPr>
          <w:lang w:val="en-US"/>
        </w:rPr>
        <w:fldChar w:fldCharType="end"/>
      </w:r>
      <w:r w:rsidRPr="00BA5D1D">
        <w:rPr>
          <w:lang w:val="en-US"/>
        </w:rPr>
        <w:t xml:space="preserve"> conducted a numerical simulation to characterize the heat transfer and flow behavior of a blocked 19-pin wire-wrapped rod bundle. </w:t>
      </w:r>
    </w:p>
    <w:p w14:paraId="6AD363E1" w14:textId="1F6FCFCC" w:rsidR="00BA5D1D" w:rsidRDefault="00BA5D1D" w:rsidP="00BA5D1D">
      <w:pPr>
        <w:pStyle w:val="BodyText"/>
        <w:rPr>
          <w:lang w:val="en-US"/>
        </w:rPr>
      </w:pPr>
      <w:r w:rsidRPr="00BA5D1D">
        <w:rPr>
          <w:lang w:val="en-US"/>
        </w:rPr>
        <w:t xml:space="preserve">The studies discussed above showed that the flow characteristics and behavior of the flow in presence of blockages need to be investigated in more detail. In this paper, we proposed a validation analysis of RANS turbulence models and their performance in predicting the pressure drop under different blockage configurations </w:t>
      </w:r>
      <w:r w:rsidR="0077463D">
        <w:rPr>
          <w:lang w:val="en-US"/>
        </w:rPr>
        <w:t>for a turbulent Reynolds number</w:t>
      </w:r>
      <w:r w:rsidRPr="00BA5D1D">
        <w:rPr>
          <w:lang w:val="en-US"/>
        </w:rPr>
        <w:t xml:space="preserve">. Results are compared with the Texas A&amp;M experimental facility results of a 61-pin wire-wrapped fuel bundle replica. It was found that the </w:t>
      </w:r>
      <m:oMath>
        <m:r>
          <w:rPr>
            <w:rFonts w:ascii="Cambria Math" w:hAnsi="Cambria Math"/>
            <w:lang w:val="en-US"/>
          </w:rPr>
          <m:t>k-ϵ</m:t>
        </m:r>
      </m:oMath>
      <w:r w:rsidRPr="00BA5D1D">
        <w:rPr>
          <w:lang w:val="en-US"/>
        </w:rPr>
        <w:t xml:space="preserve"> Realizable model</w:t>
      </w:r>
      <w:r w:rsidR="0077463D">
        <w:rPr>
          <w:lang w:val="en-US"/>
        </w:rPr>
        <w:t xml:space="preserve"> was</w:t>
      </w:r>
      <w:r w:rsidRPr="00BA5D1D">
        <w:rPr>
          <w:lang w:val="en-US"/>
        </w:rPr>
        <w:t xml:space="preserve"> able to reproduce the experimental results with a considerable low error </w:t>
      </w:r>
      <w:r w:rsidR="0077463D">
        <w:rPr>
          <w:lang w:val="en-US"/>
        </w:rPr>
        <w:t>for the Reynolds number analyzed.</w:t>
      </w:r>
    </w:p>
    <w:p w14:paraId="433FE04F" w14:textId="174F3536" w:rsidR="00E25B68" w:rsidRPr="00B336E0" w:rsidRDefault="0095573A" w:rsidP="0026525A">
      <w:pPr>
        <w:pStyle w:val="Heading2"/>
        <w:numPr>
          <w:ilvl w:val="1"/>
          <w:numId w:val="10"/>
        </w:numPr>
        <w:rPr>
          <w:lang w:val="en-US"/>
        </w:rPr>
      </w:pPr>
      <w:r w:rsidRPr="00B336E0">
        <w:rPr>
          <w:lang w:val="en-US"/>
        </w:rPr>
        <w:t>experimental facility</w:t>
      </w:r>
    </w:p>
    <w:p w14:paraId="7BC5C31D" w14:textId="2B16FD9C" w:rsidR="00E56A41" w:rsidRDefault="00E56A41" w:rsidP="00A30C4E">
      <w:pPr>
        <w:pStyle w:val="BodyText"/>
        <w:rPr>
          <w:lang w:val="en-US"/>
        </w:rPr>
      </w:pPr>
      <w:r w:rsidRPr="00E56A41">
        <w:rPr>
          <w:lang w:val="en-US"/>
        </w:rPr>
        <w:t xml:space="preserve">The CFD simulations presented in this study are based on experiments conducted on the 61-pin wire-wrapped test bundle at Texas A&amp;M University </w:t>
      </w:r>
      <w:r w:rsidR="00B407D9">
        <w:rPr>
          <w:lang w:val="en-US"/>
        </w:rPr>
        <w:fldChar w:fldCharType="begin"/>
      </w:r>
      <w:r w:rsidR="00B407D9">
        <w:rPr>
          <w:lang w:val="en-US"/>
        </w:rPr>
        <w:instrText xml:space="preserve"> REF _Ref104903506 \r \h </w:instrText>
      </w:r>
      <w:r w:rsidR="00B407D9">
        <w:rPr>
          <w:lang w:val="en-US"/>
        </w:rPr>
      </w:r>
      <w:r w:rsidR="00B407D9">
        <w:rPr>
          <w:lang w:val="en-US"/>
        </w:rPr>
        <w:fldChar w:fldCharType="separate"/>
      </w:r>
      <w:r w:rsidR="00190B20">
        <w:rPr>
          <w:lang w:val="en-US"/>
        </w:rPr>
        <w:t>[19]</w:t>
      </w:r>
      <w:r w:rsidR="00B407D9">
        <w:rPr>
          <w:lang w:val="en-US"/>
        </w:rPr>
        <w:fldChar w:fldCharType="end"/>
      </w:r>
      <w:r w:rsidRPr="00E56A41">
        <w:rPr>
          <w:lang w:val="en-US"/>
        </w:rPr>
        <w:t>.</w:t>
      </w:r>
    </w:p>
    <w:p w14:paraId="521DD92E" w14:textId="7D166FE4" w:rsidR="00E56A41" w:rsidRPr="00E56A41" w:rsidRDefault="00E56A41" w:rsidP="00E56A41">
      <w:pPr>
        <w:pStyle w:val="BodyText"/>
        <w:rPr>
          <w:lang w:val="en-US"/>
        </w:rPr>
      </w:pPr>
      <w:r w:rsidRPr="00E56A41">
        <w:rPr>
          <w:lang w:val="en-US"/>
        </w:rPr>
        <w:t xml:space="preserve">The test section, shown in </w:t>
      </w:r>
      <w:r>
        <w:rPr>
          <w:lang w:val="en-US"/>
        </w:rPr>
        <w:fldChar w:fldCharType="begin"/>
      </w:r>
      <w:r>
        <w:rPr>
          <w:lang w:val="en-US"/>
        </w:rPr>
        <w:instrText xml:space="preserve"> REF _Ref104820737 \h </w:instrText>
      </w:r>
      <w:r>
        <w:rPr>
          <w:lang w:val="en-US"/>
        </w:rPr>
      </w:r>
      <w:r>
        <w:rPr>
          <w:lang w:val="en-US"/>
        </w:rPr>
        <w:fldChar w:fldCharType="separate"/>
      </w:r>
      <w:r w:rsidR="00190B20">
        <w:t xml:space="preserve">FIG </w:t>
      </w:r>
      <w:r w:rsidR="00190B20">
        <w:rPr>
          <w:noProof/>
        </w:rPr>
        <w:t>1</w:t>
      </w:r>
      <w:r>
        <w:rPr>
          <w:lang w:val="en-US"/>
        </w:rPr>
        <w:fldChar w:fldCharType="end"/>
      </w:r>
      <w:r w:rsidRPr="00E56A41">
        <w:rPr>
          <w:lang w:val="en-US"/>
        </w:rPr>
        <w:t>, is a of a typical LMFR fuel assembly with 61 wire-wrapped pins enclosed within a hexagonal duct. The fuel pins are organized in a triangular lattice set by machined grid plates installed at the bottom and top of the bundle. Flow enters the test section from the inlet plenum, proceeds upward within the test bundle, and leaves the test section the outlet plenum. Inlets and outlets are installed symmetrically from opposite sides of each plenum corresponding to faces B and E (</w:t>
      </w:r>
      <w:r w:rsidR="000F5827">
        <w:rPr>
          <w:lang w:val="en-US"/>
        </w:rPr>
        <w:fldChar w:fldCharType="begin"/>
      </w:r>
      <w:r w:rsidR="000F5827">
        <w:rPr>
          <w:lang w:val="en-US"/>
        </w:rPr>
        <w:instrText xml:space="preserve"> REF _Ref104820961 \h </w:instrText>
      </w:r>
      <w:r w:rsidR="000F5827">
        <w:rPr>
          <w:lang w:val="en-US"/>
        </w:rPr>
      </w:r>
      <w:r w:rsidR="000F5827">
        <w:rPr>
          <w:lang w:val="en-US"/>
        </w:rPr>
        <w:fldChar w:fldCharType="separate"/>
      </w:r>
      <w:r w:rsidR="00190B20">
        <w:t xml:space="preserve">FIG </w:t>
      </w:r>
      <w:r w:rsidR="00190B20">
        <w:rPr>
          <w:noProof/>
        </w:rPr>
        <w:t>2</w:t>
      </w:r>
      <w:r w:rsidR="000F5827">
        <w:rPr>
          <w:lang w:val="en-US"/>
        </w:rPr>
        <w:fldChar w:fldCharType="end"/>
      </w:r>
      <w:r w:rsidRPr="00E56A41">
        <w:rPr>
          <w:lang w:val="en-US"/>
        </w:rPr>
        <w:t>). The entrance and exit lengths were determined to ensure fully development of the flow within the measurement segment of the test section. The wires, pins, and hexagonal duct are manufactured of transparent acrylic to allow for flow visualization techniques in conjunction with the use of specialized fluids [5].</w:t>
      </w:r>
    </w:p>
    <w:p w14:paraId="309F1381" w14:textId="01BE7E89" w:rsidR="00586B8E" w:rsidRDefault="00E56A41" w:rsidP="00586B8E">
      <w:pPr>
        <w:pStyle w:val="BodyText"/>
        <w:rPr>
          <w:lang w:val="en-US"/>
        </w:rPr>
      </w:pPr>
      <w:r w:rsidRPr="00E56A41">
        <w:rPr>
          <w:lang w:val="en-US"/>
        </w:rPr>
        <w:t xml:space="preserve">The horizontal cross section of the experimental bundle and the most relevant geometrical parameters are presented in </w:t>
      </w:r>
      <w:r w:rsidR="000F5827">
        <w:rPr>
          <w:lang w:val="en-US"/>
        </w:rPr>
        <w:fldChar w:fldCharType="begin"/>
      </w:r>
      <w:r w:rsidR="000F5827">
        <w:rPr>
          <w:lang w:val="en-US"/>
        </w:rPr>
        <w:instrText xml:space="preserve"> REF _Ref104820961 \h </w:instrText>
      </w:r>
      <w:r w:rsidR="000F5827">
        <w:rPr>
          <w:lang w:val="en-US"/>
        </w:rPr>
      </w:r>
      <w:r w:rsidR="000F5827">
        <w:rPr>
          <w:lang w:val="en-US"/>
        </w:rPr>
        <w:fldChar w:fldCharType="separate"/>
      </w:r>
      <w:r w:rsidR="00190B20">
        <w:t xml:space="preserve">FIG </w:t>
      </w:r>
      <w:r w:rsidR="00190B20">
        <w:rPr>
          <w:noProof/>
        </w:rPr>
        <w:t>2</w:t>
      </w:r>
      <w:r w:rsidR="000F5827">
        <w:rPr>
          <w:lang w:val="en-US"/>
        </w:rPr>
        <w:fldChar w:fldCharType="end"/>
      </w:r>
      <w:r w:rsidRPr="00E56A41">
        <w:rPr>
          <w:lang w:val="en-US"/>
        </w:rPr>
        <w:t>. Each face of the hexagonal duct is marked a letter (A–F) used to identify the azimuthal location of the pressure taps, wire clock orientation, and blockage locations. The main dimensions of the experimental bundle are listed in</w:t>
      </w:r>
      <w:r w:rsidR="000F5827">
        <w:rPr>
          <w:lang w:val="en-US"/>
        </w:rPr>
        <w:t xml:space="preserve"> </w:t>
      </w:r>
      <w:r w:rsidR="000F5827">
        <w:rPr>
          <w:lang w:val="en-US"/>
        </w:rPr>
        <w:fldChar w:fldCharType="begin"/>
      </w:r>
      <w:r w:rsidR="000F5827">
        <w:rPr>
          <w:lang w:val="en-US"/>
        </w:rPr>
        <w:instrText xml:space="preserve"> REF _Ref67304862 \h </w:instrText>
      </w:r>
      <w:r w:rsidR="000F5827">
        <w:rPr>
          <w:lang w:val="en-US"/>
        </w:rPr>
      </w:r>
      <w:r w:rsidR="000F5827">
        <w:rPr>
          <w:lang w:val="en-US"/>
        </w:rPr>
        <w:fldChar w:fldCharType="separate"/>
      </w:r>
      <w:r w:rsidR="00190B20" w:rsidRPr="00B336E0">
        <w:rPr>
          <w:lang w:val="en-US"/>
        </w:rPr>
        <w:t xml:space="preserve">TABLE </w:t>
      </w:r>
      <w:r w:rsidR="00190B20">
        <w:rPr>
          <w:noProof/>
          <w:lang w:val="en-US"/>
        </w:rPr>
        <w:t>I</w:t>
      </w:r>
      <w:r w:rsidR="000F5827">
        <w:rPr>
          <w:lang w:val="en-US"/>
        </w:rPr>
        <w:fldChar w:fldCharType="end"/>
      </w:r>
      <w:r w:rsidRPr="00E56A41">
        <w:rPr>
          <w:lang w:val="en-US"/>
        </w:rPr>
        <w:t>.</w:t>
      </w:r>
    </w:p>
    <w:p w14:paraId="0A75F3DF" w14:textId="77777777" w:rsidR="00E56A41" w:rsidRDefault="00E56A41" w:rsidP="00E56A41">
      <w:pPr>
        <w:pStyle w:val="BodyText"/>
        <w:keepNext/>
        <w:ind w:firstLine="0"/>
        <w:jc w:val="center"/>
      </w:pPr>
      <w:r>
        <w:rPr>
          <w:noProof/>
        </w:rPr>
        <w:lastRenderedPageBreak/>
        <w:drawing>
          <wp:inline distT="0" distB="0" distL="0" distR="0" wp14:anchorId="00998317" wp14:editId="1C46C155">
            <wp:extent cx="1734694"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61107" b="5425"/>
                    <a:stretch/>
                  </pic:blipFill>
                  <pic:spPr bwMode="auto">
                    <a:xfrm>
                      <a:off x="0" y="0"/>
                      <a:ext cx="1734694"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66580E72" w14:textId="31AEFF72" w:rsidR="00E56A41" w:rsidRDefault="00E56A41" w:rsidP="00680B61">
      <w:pPr>
        <w:pStyle w:val="FIG-LONG"/>
      </w:pPr>
      <w:bookmarkStart w:id="0" w:name="_Ref104820737"/>
      <w:r>
        <w:t xml:space="preserve">FIG </w:t>
      </w:r>
      <w:fldSimple w:instr=" SEQ Fig \* ARABIC ">
        <w:r w:rsidR="00190B20">
          <w:rPr>
            <w:noProof/>
          </w:rPr>
          <w:t>1</w:t>
        </w:r>
      </w:fldSimple>
      <w:bookmarkEnd w:id="0"/>
      <w:r>
        <w:t>.</w:t>
      </w:r>
      <w:r>
        <w:tab/>
      </w:r>
      <w:r w:rsidRPr="00E56A41">
        <w:t>View of the Experimental test Section and inlet and outlet plena. (put in single column).</w:t>
      </w:r>
    </w:p>
    <w:p w14:paraId="0A8A93DD" w14:textId="78DFEECF" w:rsidR="00E56A41" w:rsidRDefault="0044068A" w:rsidP="00E56A41">
      <w:pPr>
        <w:keepNext/>
        <w:jc w:val="center"/>
      </w:pPr>
      <w:r>
        <w:rPr>
          <w:noProof/>
        </w:rPr>
        <w:drawing>
          <wp:inline distT="0" distB="0" distL="0" distR="0" wp14:anchorId="772B28E3" wp14:editId="3FAC848E">
            <wp:extent cx="4926925"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l="5485" t="7110" r="8098" b="9712"/>
                    <a:stretch/>
                  </pic:blipFill>
                  <pic:spPr bwMode="auto">
                    <a:xfrm>
                      <a:off x="0" y="0"/>
                      <a:ext cx="492692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9659DB9" w14:textId="1A05C769" w:rsidR="00E56A41" w:rsidRPr="00E56A41" w:rsidRDefault="00E56A41" w:rsidP="00680B61">
      <w:pPr>
        <w:pStyle w:val="FIG-LONG"/>
      </w:pPr>
      <w:bookmarkStart w:id="1" w:name="_Ref104820961"/>
      <w:r>
        <w:t xml:space="preserve">FIG </w:t>
      </w:r>
      <w:fldSimple w:instr=" SEQ Fig \* ARABIC ">
        <w:r w:rsidR="00190B20">
          <w:rPr>
            <w:noProof/>
          </w:rPr>
          <w:t>2</w:t>
        </w:r>
      </w:fldSimple>
      <w:bookmarkEnd w:id="1"/>
      <w:r>
        <w:t>.</w:t>
      </w:r>
      <w:r>
        <w:tab/>
      </w:r>
      <w:r w:rsidRPr="00E56A41">
        <w:t>View of the cross section (left), and test section dimensions and pressure t positions (right)</w:t>
      </w:r>
      <w:r>
        <w:t>.</w:t>
      </w:r>
    </w:p>
    <w:p w14:paraId="6F0F5836" w14:textId="01F22689" w:rsidR="004B00F0" w:rsidRPr="00192B81" w:rsidRDefault="004B00F0" w:rsidP="00E56A41">
      <w:pPr>
        <w:pStyle w:val="BodyText"/>
        <w:rPr>
          <w:lang w:val="en-US"/>
        </w:rPr>
      </w:pPr>
      <w:bookmarkStart w:id="2" w:name="_Ref67228942"/>
    </w:p>
    <w:p w14:paraId="357D77C4" w14:textId="7AA38198" w:rsidR="009E6914" w:rsidRDefault="009E6914" w:rsidP="009E6914">
      <w:pPr>
        <w:pStyle w:val="BodyText"/>
        <w:ind w:firstLine="0"/>
        <w:rPr>
          <w:lang w:val="en-US"/>
        </w:rPr>
      </w:pPr>
      <w:bookmarkStart w:id="3" w:name="_Ref67304862"/>
      <w:r w:rsidRPr="00B336E0">
        <w:rPr>
          <w:lang w:val="en-US"/>
        </w:rPr>
        <w:lastRenderedPageBreak/>
        <w:t xml:space="preserve">TABLE </w:t>
      </w:r>
      <w:r w:rsidR="001F5CB0">
        <w:rPr>
          <w:lang w:val="en-US"/>
        </w:rPr>
        <w:fldChar w:fldCharType="begin"/>
      </w:r>
      <w:r w:rsidR="001F5CB0">
        <w:rPr>
          <w:lang w:val="en-US"/>
        </w:rPr>
        <w:instrText xml:space="preserve"> SEQ TABLE \* ROMAN </w:instrText>
      </w:r>
      <w:r w:rsidR="001F5CB0">
        <w:rPr>
          <w:lang w:val="en-US"/>
        </w:rPr>
        <w:fldChar w:fldCharType="separate"/>
      </w:r>
      <w:r w:rsidR="00190B20">
        <w:rPr>
          <w:noProof/>
          <w:lang w:val="en-US"/>
        </w:rPr>
        <w:t>I</w:t>
      </w:r>
      <w:r w:rsidR="001F5CB0">
        <w:rPr>
          <w:lang w:val="en-US"/>
        </w:rPr>
        <w:fldChar w:fldCharType="end"/>
      </w:r>
      <w:bookmarkEnd w:id="2"/>
      <w:bookmarkEnd w:id="3"/>
      <w:r w:rsidRPr="00B336E0">
        <w:rPr>
          <w:lang w:val="en-US"/>
        </w:rPr>
        <w:t>.</w:t>
      </w:r>
      <w:r w:rsidR="00FB5BED">
        <w:rPr>
          <w:lang w:val="en-US"/>
        </w:rPr>
        <w:tab/>
      </w:r>
      <w:r w:rsidRPr="00B336E0">
        <w:rPr>
          <w:lang w:val="en-US"/>
        </w:rPr>
        <w:t>GEOMETRY DIMENSIONS</w:t>
      </w:r>
    </w:p>
    <w:p w14:paraId="67067E88" w14:textId="77777777" w:rsidR="000F5827" w:rsidRPr="00B336E0" w:rsidRDefault="000F5827" w:rsidP="009E6914">
      <w:pPr>
        <w:pStyle w:val="BodyText"/>
        <w:ind w:firstLine="0"/>
        <w:rPr>
          <w:lang w:val="en-US"/>
        </w:rPr>
      </w:pPr>
    </w:p>
    <w:tbl>
      <w:tblPr>
        <w:tblStyle w:val="TableGrid"/>
        <w:tblW w:w="0" w:type="auto"/>
        <w:jc w:val="center"/>
        <w:tblLook w:val="04A0" w:firstRow="1" w:lastRow="0" w:firstColumn="1" w:lastColumn="0" w:noHBand="0" w:noVBand="1"/>
      </w:tblPr>
      <w:tblGrid>
        <w:gridCol w:w="3228"/>
        <w:gridCol w:w="1362"/>
        <w:gridCol w:w="1890"/>
      </w:tblGrid>
      <w:tr w:rsidR="005D2947" w:rsidRPr="00B336E0" w14:paraId="06FA36FD" w14:textId="77777777" w:rsidTr="00D3236D">
        <w:trPr>
          <w:jc w:val="center"/>
        </w:trPr>
        <w:tc>
          <w:tcPr>
            <w:tcW w:w="3228" w:type="dxa"/>
            <w:tcBorders>
              <w:left w:val="nil"/>
              <w:bottom w:val="single" w:sz="4" w:space="0" w:color="auto"/>
              <w:right w:val="nil"/>
            </w:tcBorders>
            <w:vAlign w:val="center"/>
          </w:tcPr>
          <w:p w14:paraId="00E826FB" w14:textId="77777777" w:rsidR="005D2947" w:rsidRPr="00B336E0" w:rsidRDefault="005D2947" w:rsidP="009E6914">
            <w:pPr>
              <w:spacing w:line="276" w:lineRule="auto"/>
              <w:rPr>
                <w:sz w:val="20"/>
                <w:lang w:val="en-US"/>
              </w:rPr>
            </w:pPr>
            <w:r w:rsidRPr="00B336E0">
              <w:rPr>
                <w:sz w:val="20"/>
                <w:lang w:val="en-US"/>
              </w:rPr>
              <w:t>Variable</w:t>
            </w:r>
          </w:p>
        </w:tc>
        <w:tc>
          <w:tcPr>
            <w:tcW w:w="1362" w:type="dxa"/>
            <w:tcBorders>
              <w:left w:val="nil"/>
              <w:bottom w:val="single" w:sz="4" w:space="0" w:color="auto"/>
              <w:right w:val="nil"/>
            </w:tcBorders>
            <w:vAlign w:val="center"/>
          </w:tcPr>
          <w:p w14:paraId="652C263A" w14:textId="77777777" w:rsidR="005D2947" w:rsidRPr="00B336E0" w:rsidRDefault="005D2947" w:rsidP="005D2947">
            <w:pPr>
              <w:spacing w:line="276" w:lineRule="auto"/>
              <w:jc w:val="center"/>
              <w:rPr>
                <w:sz w:val="20"/>
                <w:lang w:val="en-US"/>
              </w:rPr>
            </w:pPr>
            <w:r w:rsidRPr="00B336E0">
              <w:rPr>
                <w:sz w:val="20"/>
                <w:lang w:val="en-US"/>
              </w:rPr>
              <w:t>Symbol</w:t>
            </w:r>
          </w:p>
        </w:tc>
        <w:tc>
          <w:tcPr>
            <w:tcW w:w="1890" w:type="dxa"/>
            <w:tcBorders>
              <w:left w:val="nil"/>
              <w:bottom w:val="single" w:sz="4" w:space="0" w:color="auto"/>
              <w:right w:val="nil"/>
            </w:tcBorders>
            <w:vAlign w:val="center"/>
          </w:tcPr>
          <w:p w14:paraId="69C35E01" w14:textId="77777777" w:rsidR="005D2947" w:rsidRPr="00B336E0" w:rsidRDefault="005D2947" w:rsidP="005D2947">
            <w:pPr>
              <w:spacing w:line="276" w:lineRule="auto"/>
              <w:jc w:val="center"/>
              <w:rPr>
                <w:sz w:val="20"/>
                <w:lang w:val="en-US"/>
              </w:rPr>
            </w:pPr>
            <w:r w:rsidRPr="00B336E0">
              <w:rPr>
                <w:sz w:val="20"/>
                <w:lang w:val="en-US"/>
              </w:rPr>
              <w:t>Value</w:t>
            </w:r>
          </w:p>
        </w:tc>
      </w:tr>
      <w:tr w:rsidR="005D2947" w:rsidRPr="00B336E0" w14:paraId="0528DDD0" w14:textId="77777777" w:rsidTr="00D3236D">
        <w:trPr>
          <w:jc w:val="center"/>
        </w:trPr>
        <w:tc>
          <w:tcPr>
            <w:tcW w:w="3228" w:type="dxa"/>
            <w:tcBorders>
              <w:top w:val="single" w:sz="4" w:space="0" w:color="auto"/>
              <w:left w:val="nil"/>
              <w:right w:val="nil"/>
            </w:tcBorders>
            <w:vAlign w:val="center"/>
          </w:tcPr>
          <w:p w14:paraId="481C4D98" w14:textId="77777777" w:rsidR="005D2947" w:rsidRPr="00B336E0" w:rsidRDefault="005D2947" w:rsidP="009E6914">
            <w:pPr>
              <w:spacing w:line="276" w:lineRule="auto"/>
              <w:rPr>
                <w:sz w:val="20"/>
                <w:lang w:val="en-US"/>
              </w:rPr>
            </w:pPr>
            <w:r w:rsidRPr="00B336E0">
              <w:rPr>
                <w:sz w:val="20"/>
                <w:lang w:val="en-US"/>
              </w:rPr>
              <w:t>Flat to flat distance [mm]</w:t>
            </w:r>
          </w:p>
        </w:tc>
        <w:tc>
          <w:tcPr>
            <w:tcW w:w="1362" w:type="dxa"/>
            <w:tcBorders>
              <w:top w:val="single" w:sz="4" w:space="0" w:color="auto"/>
              <w:left w:val="nil"/>
              <w:right w:val="nil"/>
            </w:tcBorders>
            <w:vAlign w:val="center"/>
          </w:tcPr>
          <w:p w14:paraId="00D99737"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FTF</m:t>
                </m:r>
              </m:oMath>
            </m:oMathPara>
          </w:p>
        </w:tc>
        <w:tc>
          <w:tcPr>
            <w:tcW w:w="1890" w:type="dxa"/>
            <w:tcBorders>
              <w:top w:val="single" w:sz="4" w:space="0" w:color="auto"/>
              <w:left w:val="nil"/>
              <w:right w:val="nil"/>
            </w:tcBorders>
            <w:vAlign w:val="center"/>
          </w:tcPr>
          <w:p w14:paraId="368AC809" w14:textId="77777777" w:rsidR="005D2947" w:rsidRPr="00B336E0" w:rsidRDefault="005D2947" w:rsidP="005D2947">
            <w:pPr>
              <w:spacing w:line="276" w:lineRule="auto"/>
              <w:jc w:val="center"/>
              <w:rPr>
                <w:sz w:val="20"/>
                <w:lang w:val="en-US"/>
              </w:rPr>
            </w:pPr>
            <w:r w:rsidRPr="00B336E0">
              <w:rPr>
                <w:sz w:val="20"/>
                <w:lang w:val="en-US"/>
              </w:rPr>
              <w:t>154.00</w:t>
            </w:r>
          </w:p>
        </w:tc>
      </w:tr>
      <w:tr w:rsidR="005D2947" w:rsidRPr="00B336E0" w14:paraId="3F91ACDD" w14:textId="77777777" w:rsidTr="009E6914">
        <w:trPr>
          <w:jc w:val="center"/>
        </w:trPr>
        <w:tc>
          <w:tcPr>
            <w:tcW w:w="3228" w:type="dxa"/>
            <w:tcBorders>
              <w:left w:val="nil"/>
              <w:right w:val="nil"/>
            </w:tcBorders>
            <w:vAlign w:val="center"/>
          </w:tcPr>
          <w:p w14:paraId="0BD219A8" w14:textId="77777777" w:rsidR="005D2947" w:rsidRPr="00B336E0" w:rsidRDefault="005D2947" w:rsidP="009E6914">
            <w:pPr>
              <w:spacing w:line="276" w:lineRule="auto"/>
              <w:rPr>
                <w:sz w:val="20"/>
                <w:lang w:val="en-US"/>
              </w:rPr>
            </w:pPr>
            <w:r w:rsidRPr="00B336E0">
              <w:rPr>
                <w:sz w:val="20"/>
                <w:lang w:val="en-US"/>
              </w:rPr>
              <w:t>Rod diameter [mm]</w:t>
            </w:r>
          </w:p>
        </w:tc>
        <w:tc>
          <w:tcPr>
            <w:tcW w:w="1362" w:type="dxa"/>
            <w:tcBorders>
              <w:left w:val="nil"/>
              <w:right w:val="nil"/>
            </w:tcBorders>
            <w:vAlign w:val="center"/>
          </w:tcPr>
          <w:p w14:paraId="162EF223"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D</m:t>
                </m:r>
              </m:oMath>
            </m:oMathPara>
          </w:p>
        </w:tc>
        <w:tc>
          <w:tcPr>
            <w:tcW w:w="1890" w:type="dxa"/>
            <w:tcBorders>
              <w:left w:val="nil"/>
              <w:right w:val="nil"/>
            </w:tcBorders>
            <w:vAlign w:val="center"/>
          </w:tcPr>
          <w:p w14:paraId="220BF3B8" w14:textId="77777777" w:rsidR="005D2947" w:rsidRPr="00B336E0" w:rsidRDefault="005D2947" w:rsidP="005D2947">
            <w:pPr>
              <w:spacing w:line="276" w:lineRule="auto"/>
              <w:jc w:val="center"/>
              <w:rPr>
                <w:sz w:val="20"/>
                <w:lang w:val="en-US"/>
              </w:rPr>
            </w:pPr>
            <w:r w:rsidRPr="00B336E0">
              <w:rPr>
                <w:sz w:val="20"/>
                <w:lang w:val="en-US"/>
              </w:rPr>
              <w:t>15.88</w:t>
            </w:r>
          </w:p>
        </w:tc>
      </w:tr>
      <w:tr w:rsidR="005D2947" w:rsidRPr="00B336E0" w14:paraId="7FC6DAFD" w14:textId="77777777" w:rsidTr="009E6914">
        <w:trPr>
          <w:jc w:val="center"/>
        </w:trPr>
        <w:tc>
          <w:tcPr>
            <w:tcW w:w="3228" w:type="dxa"/>
            <w:tcBorders>
              <w:left w:val="nil"/>
              <w:right w:val="nil"/>
            </w:tcBorders>
            <w:vAlign w:val="center"/>
          </w:tcPr>
          <w:p w14:paraId="52A17E04" w14:textId="77777777" w:rsidR="005D2947" w:rsidRPr="00B336E0" w:rsidRDefault="005D2947" w:rsidP="009E6914">
            <w:pPr>
              <w:spacing w:line="276" w:lineRule="auto"/>
              <w:rPr>
                <w:sz w:val="20"/>
                <w:lang w:val="en-US"/>
              </w:rPr>
            </w:pPr>
            <w:r w:rsidRPr="00B336E0">
              <w:rPr>
                <w:sz w:val="20"/>
                <w:lang w:val="en-US"/>
              </w:rPr>
              <w:t>Wire diameter [mm]</w:t>
            </w:r>
          </w:p>
        </w:tc>
        <w:tc>
          <w:tcPr>
            <w:tcW w:w="1362" w:type="dxa"/>
            <w:tcBorders>
              <w:left w:val="nil"/>
              <w:right w:val="nil"/>
            </w:tcBorders>
            <w:vAlign w:val="center"/>
          </w:tcPr>
          <w:p w14:paraId="186C303B" w14:textId="77777777" w:rsidR="005D2947" w:rsidRPr="00B336E0" w:rsidRDefault="00680B2B"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w</m:t>
                    </m:r>
                  </m:sub>
                </m:sSub>
              </m:oMath>
            </m:oMathPara>
          </w:p>
        </w:tc>
        <w:tc>
          <w:tcPr>
            <w:tcW w:w="1890" w:type="dxa"/>
            <w:tcBorders>
              <w:left w:val="nil"/>
              <w:right w:val="nil"/>
            </w:tcBorders>
            <w:vAlign w:val="center"/>
          </w:tcPr>
          <w:p w14:paraId="0982F392" w14:textId="77777777" w:rsidR="005D2947" w:rsidRPr="00B336E0" w:rsidRDefault="005D2947" w:rsidP="005D2947">
            <w:pPr>
              <w:spacing w:line="276" w:lineRule="auto"/>
              <w:jc w:val="center"/>
              <w:rPr>
                <w:sz w:val="20"/>
                <w:lang w:val="en-US"/>
              </w:rPr>
            </w:pPr>
            <w:r w:rsidRPr="00B336E0">
              <w:rPr>
                <w:sz w:val="20"/>
                <w:lang w:val="en-US"/>
              </w:rPr>
              <w:t>3.00</w:t>
            </w:r>
          </w:p>
        </w:tc>
      </w:tr>
      <w:tr w:rsidR="005D2947" w:rsidRPr="00B336E0" w14:paraId="466027C5" w14:textId="77777777" w:rsidTr="009E6914">
        <w:trPr>
          <w:jc w:val="center"/>
        </w:trPr>
        <w:tc>
          <w:tcPr>
            <w:tcW w:w="3228" w:type="dxa"/>
            <w:tcBorders>
              <w:left w:val="nil"/>
              <w:right w:val="nil"/>
            </w:tcBorders>
            <w:vAlign w:val="center"/>
          </w:tcPr>
          <w:p w14:paraId="0ACC0989" w14:textId="77777777" w:rsidR="005D2947" w:rsidRPr="00B336E0" w:rsidRDefault="005D2947" w:rsidP="009E6914">
            <w:pPr>
              <w:spacing w:line="276" w:lineRule="auto"/>
              <w:rPr>
                <w:sz w:val="20"/>
                <w:lang w:val="en-US"/>
              </w:rPr>
            </w:pPr>
            <w:r w:rsidRPr="00B336E0">
              <w:rPr>
                <w:sz w:val="20"/>
                <w:lang w:val="en-US"/>
              </w:rPr>
              <w:t>Rod Pitch [mm]</w:t>
            </w:r>
          </w:p>
        </w:tc>
        <w:tc>
          <w:tcPr>
            <w:tcW w:w="1362" w:type="dxa"/>
            <w:tcBorders>
              <w:left w:val="nil"/>
              <w:right w:val="nil"/>
            </w:tcBorders>
            <w:vAlign w:val="center"/>
          </w:tcPr>
          <w:p w14:paraId="5096765B"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P</m:t>
                </m:r>
              </m:oMath>
            </m:oMathPara>
          </w:p>
        </w:tc>
        <w:tc>
          <w:tcPr>
            <w:tcW w:w="1890" w:type="dxa"/>
            <w:tcBorders>
              <w:left w:val="nil"/>
              <w:right w:val="nil"/>
            </w:tcBorders>
            <w:vAlign w:val="center"/>
          </w:tcPr>
          <w:p w14:paraId="374753A1" w14:textId="77777777" w:rsidR="005D2947" w:rsidRPr="00B336E0" w:rsidRDefault="005D2947" w:rsidP="005D2947">
            <w:pPr>
              <w:spacing w:line="276" w:lineRule="auto"/>
              <w:jc w:val="center"/>
              <w:rPr>
                <w:sz w:val="20"/>
                <w:lang w:val="en-US"/>
              </w:rPr>
            </w:pPr>
            <w:r w:rsidRPr="00B336E0">
              <w:rPr>
                <w:sz w:val="20"/>
                <w:lang w:val="en-US"/>
              </w:rPr>
              <w:t>18.88</w:t>
            </w:r>
          </w:p>
        </w:tc>
      </w:tr>
      <w:tr w:rsidR="005D2947" w:rsidRPr="00B336E0" w14:paraId="3DE77C2B" w14:textId="77777777" w:rsidTr="009E6914">
        <w:trPr>
          <w:jc w:val="center"/>
        </w:trPr>
        <w:tc>
          <w:tcPr>
            <w:tcW w:w="3228" w:type="dxa"/>
            <w:tcBorders>
              <w:left w:val="nil"/>
              <w:right w:val="nil"/>
            </w:tcBorders>
            <w:vAlign w:val="center"/>
          </w:tcPr>
          <w:p w14:paraId="475FEBBB" w14:textId="77777777" w:rsidR="005D2947" w:rsidRPr="00B336E0" w:rsidRDefault="005D2947" w:rsidP="009E6914">
            <w:pPr>
              <w:spacing w:line="276" w:lineRule="auto"/>
              <w:rPr>
                <w:sz w:val="20"/>
                <w:lang w:val="en-US"/>
              </w:rPr>
            </w:pPr>
            <w:r w:rsidRPr="00B336E0">
              <w:rPr>
                <w:sz w:val="20"/>
                <w:lang w:val="en-US"/>
              </w:rPr>
              <w:t>Helix Pitch [mm]</w:t>
            </w:r>
          </w:p>
        </w:tc>
        <w:tc>
          <w:tcPr>
            <w:tcW w:w="1362" w:type="dxa"/>
            <w:tcBorders>
              <w:left w:val="nil"/>
              <w:right w:val="nil"/>
            </w:tcBorders>
            <w:vAlign w:val="center"/>
          </w:tcPr>
          <w:p w14:paraId="45E345BE"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H</m:t>
                </m:r>
              </m:oMath>
            </m:oMathPara>
          </w:p>
        </w:tc>
        <w:tc>
          <w:tcPr>
            <w:tcW w:w="1890" w:type="dxa"/>
            <w:tcBorders>
              <w:left w:val="nil"/>
              <w:right w:val="nil"/>
            </w:tcBorders>
            <w:vAlign w:val="center"/>
          </w:tcPr>
          <w:p w14:paraId="3AF75793" w14:textId="77777777" w:rsidR="005D2947" w:rsidRPr="00B336E0" w:rsidRDefault="005D2947" w:rsidP="005D2947">
            <w:pPr>
              <w:spacing w:line="276" w:lineRule="auto"/>
              <w:jc w:val="center"/>
              <w:rPr>
                <w:sz w:val="20"/>
                <w:lang w:val="en-US"/>
              </w:rPr>
            </w:pPr>
            <w:r w:rsidRPr="00B336E0">
              <w:rPr>
                <w:sz w:val="20"/>
                <w:lang w:val="en-US"/>
              </w:rPr>
              <w:t>476.25</w:t>
            </w:r>
          </w:p>
        </w:tc>
      </w:tr>
      <w:tr w:rsidR="005D2947" w:rsidRPr="00B336E0" w14:paraId="3D6CD7F2" w14:textId="77777777" w:rsidTr="009E6914">
        <w:trPr>
          <w:jc w:val="center"/>
        </w:trPr>
        <w:tc>
          <w:tcPr>
            <w:tcW w:w="3228" w:type="dxa"/>
            <w:tcBorders>
              <w:left w:val="nil"/>
              <w:right w:val="nil"/>
            </w:tcBorders>
            <w:vAlign w:val="center"/>
          </w:tcPr>
          <w:p w14:paraId="74934852" w14:textId="77777777" w:rsidR="005D2947" w:rsidRPr="00B336E0" w:rsidRDefault="005D2947" w:rsidP="009E6914">
            <w:pPr>
              <w:spacing w:line="276" w:lineRule="auto"/>
              <w:rPr>
                <w:sz w:val="20"/>
                <w:lang w:val="en-US"/>
              </w:rPr>
            </w:pPr>
            <w:r w:rsidRPr="00B336E0">
              <w:rPr>
                <w:sz w:val="20"/>
                <w:lang w:val="en-US"/>
              </w:rPr>
              <w:t xml:space="preserve">Hydraulic Diameter [mm] </w:t>
            </w:r>
          </w:p>
        </w:tc>
        <w:tc>
          <w:tcPr>
            <w:tcW w:w="1362" w:type="dxa"/>
            <w:tcBorders>
              <w:left w:val="nil"/>
              <w:right w:val="nil"/>
            </w:tcBorders>
            <w:vAlign w:val="center"/>
          </w:tcPr>
          <w:p w14:paraId="514A75AA" w14:textId="77777777" w:rsidR="005D2947" w:rsidRPr="00B336E0" w:rsidRDefault="00680B2B"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h</m:t>
                    </m:r>
                  </m:sub>
                </m:sSub>
              </m:oMath>
            </m:oMathPara>
          </w:p>
        </w:tc>
        <w:tc>
          <w:tcPr>
            <w:tcW w:w="1890" w:type="dxa"/>
            <w:tcBorders>
              <w:left w:val="nil"/>
              <w:right w:val="nil"/>
            </w:tcBorders>
            <w:vAlign w:val="center"/>
          </w:tcPr>
          <w:p w14:paraId="3090C89C" w14:textId="77777777" w:rsidR="005D2947" w:rsidRPr="00B336E0" w:rsidRDefault="005D2947" w:rsidP="005D2947">
            <w:pPr>
              <w:spacing w:line="276" w:lineRule="auto"/>
              <w:jc w:val="center"/>
              <w:rPr>
                <w:sz w:val="20"/>
                <w:lang w:val="en-US"/>
              </w:rPr>
            </w:pPr>
            <w:r w:rsidRPr="00B336E0">
              <w:rPr>
                <w:sz w:val="20"/>
                <w:lang w:val="en-US"/>
              </w:rPr>
              <w:t>7.756</w:t>
            </w:r>
          </w:p>
        </w:tc>
      </w:tr>
    </w:tbl>
    <w:p w14:paraId="0EB01549" w14:textId="142D5B8D" w:rsidR="007442B8" w:rsidRPr="00B336E0" w:rsidRDefault="007442B8" w:rsidP="007442B8">
      <w:pPr>
        <w:pStyle w:val="BodyText"/>
        <w:ind w:firstLine="0"/>
        <w:rPr>
          <w:lang w:val="en-US"/>
        </w:rPr>
      </w:pPr>
    </w:p>
    <w:p w14:paraId="67F8E6C0" w14:textId="732E1AE1" w:rsidR="003830D8" w:rsidRDefault="00E56A41" w:rsidP="003830D8">
      <w:pPr>
        <w:pStyle w:val="BodyText"/>
        <w:rPr>
          <w:lang w:val="en-US"/>
        </w:rPr>
      </w:pPr>
      <w:r w:rsidRPr="00E56A41">
        <w:rPr>
          <w:lang w:val="en-US"/>
        </w:rPr>
        <w:t>The cross-section flow area and the wetted perimeter are equal to</w:t>
      </w:r>
      <w:r>
        <w:rPr>
          <w:lang w:val="en-US"/>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f</m:t>
            </m:r>
          </m:sub>
        </m:sSub>
        <m:r>
          <w:rPr>
            <w:rFonts w:ascii="Cambria Math" w:hAnsi="Cambria Math"/>
          </w:rPr>
          <m:t>=8.038×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56A41">
        <w:rPr>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=4.145</m:t>
        </m:r>
      </m:oMath>
      <w:r w:rsidRPr="00E56A41">
        <w:rPr>
          <w:lang w:val="en-US"/>
        </w:rPr>
        <w:t xml:space="preserve"> m, respectively, and were deducted from the dimensions of </w:t>
      </w:r>
      <w:r w:rsidR="000F5827">
        <w:rPr>
          <w:lang w:val="en-US"/>
        </w:rPr>
        <w:fldChar w:fldCharType="begin"/>
      </w:r>
      <w:r w:rsidR="000F5827">
        <w:rPr>
          <w:lang w:val="en-US"/>
        </w:rPr>
        <w:instrText xml:space="preserve"> REF _Ref67304862 \h </w:instrText>
      </w:r>
      <w:r w:rsidR="000F5827">
        <w:rPr>
          <w:lang w:val="en-US"/>
        </w:rPr>
      </w:r>
      <w:r w:rsidR="000F5827">
        <w:rPr>
          <w:lang w:val="en-US"/>
        </w:rPr>
        <w:fldChar w:fldCharType="separate"/>
      </w:r>
      <w:r w:rsidR="00190B20" w:rsidRPr="00B336E0">
        <w:rPr>
          <w:lang w:val="en-US"/>
        </w:rPr>
        <w:t xml:space="preserve">TABLE </w:t>
      </w:r>
      <w:r w:rsidR="00190B20">
        <w:rPr>
          <w:noProof/>
          <w:lang w:val="en-US"/>
        </w:rPr>
        <w:t>I</w:t>
      </w:r>
      <w:r w:rsidR="000F5827">
        <w:rPr>
          <w:lang w:val="en-US"/>
        </w:rPr>
        <w:fldChar w:fldCharType="end"/>
      </w:r>
      <w:r w:rsidRPr="00E56A41">
        <w:rPr>
          <w:lang w:val="en-US"/>
        </w:rPr>
        <w:t xml:space="preserve">. The hydraulic diameter of the test section is 7.756 mm, and it was determined using Eq. </w:t>
      </w:r>
      <w:r w:rsidR="003830D8">
        <w:rPr>
          <w:lang w:val="en-US"/>
        </w:rPr>
        <w:fldChar w:fldCharType="begin"/>
      </w:r>
      <w:r w:rsidR="003830D8">
        <w:rPr>
          <w:lang w:val="en-US"/>
        </w:rPr>
        <w:instrText xml:space="preserve"> REF _Ref104823005 \h </w:instrText>
      </w:r>
      <w:r w:rsidR="003830D8">
        <w:rPr>
          <w:lang w:val="en-US"/>
        </w:rPr>
      </w:r>
      <w:r w:rsidR="003830D8">
        <w:rPr>
          <w:lang w:val="en-US"/>
        </w:rPr>
        <w:fldChar w:fldCharType="separate"/>
      </w:r>
      <w:r w:rsidR="00190B20" w:rsidRPr="003830D8">
        <w:t>(</w:t>
      </w:r>
      <w:r w:rsidR="00190B20">
        <w:rPr>
          <w:noProof/>
        </w:rPr>
        <w:t>1</w:t>
      </w:r>
      <w:r w:rsidR="00190B20" w:rsidRPr="003830D8">
        <w:t>)</w:t>
      </w:r>
      <w:r w:rsidR="003830D8">
        <w:rPr>
          <w:lang w:val="en-US"/>
        </w:rPr>
        <w:fldChar w:fldCharType="end"/>
      </w:r>
      <w:r w:rsidRPr="00E56A4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2320DC46" w14:textId="77777777" w:rsidTr="003830D8">
        <w:tc>
          <w:tcPr>
            <w:tcW w:w="8455" w:type="dxa"/>
            <w:vAlign w:val="center"/>
          </w:tcPr>
          <w:p w14:paraId="36E687EB" w14:textId="75D5F49D" w:rsidR="003830D8" w:rsidRDefault="00680B2B" w:rsidP="003830D8">
            <w:pPr>
              <w:pStyle w:val="BodyText"/>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f</m:t>
                        </m:r>
                      </m:sub>
                    </m:sSub>
                  </m:num>
                  <m:den>
                    <m:sSub>
                      <m:sSubPr>
                        <m:ctrlPr>
                          <w:rPr>
                            <w:rFonts w:ascii="Cambria Math" w:eastAsiaTheme="minorEastAsia" w:hAnsi="Cambria Math"/>
                            <w:i/>
                          </w:rPr>
                        </m:ctrlPr>
                      </m:sSubPr>
                      <m:e>
                        <m:r>
                          <m:rPr>
                            <m:scr m:val="script"/>
                          </m:rPr>
                          <w:rPr>
                            <w:rFonts w:ascii="Cambria Math" w:eastAsiaTheme="minorEastAsia" w:hAnsi="Cambria Math"/>
                          </w:rPr>
                          <m:t>P</m:t>
                        </m:r>
                      </m:e>
                      <m:sub>
                        <m:r>
                          <w:rPr>
                            <w:rFonts w:ascii="Cambria Math" w:eastAsiaTheme="minorEastAsia" w:hAnsi="Cambria Math"/>
                          </w:rPr>
                          <m:t>w</m:t>
                        </m:r>
                      </m:sub>
                    </m:sSub>
                  </m:den>
                </m:f>
              </m:oMath>
            </m:oMathPara>
          </w:p>
        </w:tc>
        <w:tc>
          <w:tcPr>
            <w:tcW w:w="562" w:type="dxa"/>
            <w:vAlign w:val="center"/>
          </w:tcPr>
          <w:p w14:paraId="44F9182A" w14:textId="526AA546" w:rsidR="003830D8" w:rsidRDefault="003830D8" w:rsidP="003830D8">
            <w:pPr>
              <w:pStyle w:val="Caption"/>
            </w:pPr>
            <w:bookmarkStart w:id="4" w:name="_Ref104823005"/>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1</w:t>
            </w:r>
            <w:r w:rsidRPr="003830D8">
              <w:rPr>
                <w:sz w:val="20"/>
              </w:rPr>
              <w:fldChar w:fldCharType="end"/>
            </w:r>
            <w:r w:rsidRPr="003830D8">
              <w:rPr>
                <w:sz w:val="20"/>
              </w:rPr>
              <w:t>)</w:t>
            </w:r>
            <w:bookmarkEnd w:id="4"/>
          </w:p>
        </w:tc>
      </w:tr>
    </w:tbl>
    <w:p w14:paraId="01EDB18F" w14:textId="240DEFA4" w:rsidR="007442B8" w:rsidRDefault="00E56A41" w:rsidP="003830D8">
      <w:pPr>
        <w:pStyle w:val="BodyText"/>
        <w:rPr>
          <w:lang w:val="en-US"/>
        </w:rPr>
      </w:pPr>
      <w:r w:rsidRPr="00E56A41">
        <w:rPr>
          <w:lang w:val="en-US"/>
        </w:rPr>
        <w:t>The experimental facility is equipped with high-precision differential pressure transducers installed at different axial and azimuthal locations in the test section. Pressure transducers are installed along the centerline of face F (</w:t>
      </w:r>
      <w:r w:rsidR="004021C8">
        <w:rPr>
          <w:lang w:val="en-US"/>
        </w:rPr>
        <w:fldChar w:fldCharType="begin"/>
      </w:r>
      <w:r w:rsidR="004021C8">
        <w:rPr>
          <w:lang w:val="en-US"/>
        </w:rPr>
        <w:instrText xml:space="preserve"> REF _Ref104820961 \h </w:instrText>
      </w:r>
      <w:r w:rsidR="004021C8">
        <w:rPr>
          <w:lang w:val="en-US"/>
        </w:rPr>
      </w:r>
      <w:r w:rsidR="004021C8">
        <w:rPr>
          <w:lang w:val="en-US"/>
        </w:rPr>
        <w:fldChar w:fldCharType="separate"/>
      </w:r>
      <w:r w:rsidR="00190B20">
        <w:t xml:space="preserve">FIG </w:t>
      </w:r>
      <w:r w:rsidR="00190B20">
        <w:rPr>
          <w:noProof/>
        </w:rPr>
        <w:t>2</w:t>
      </w:r>
      <w:r w:rsidR="004021C8">
        <w:rPr>
          <w:lang w:val="en-US"/>
        </w:rPr>
        <w:fldChar w:fldCharType="end"/>
      </w:r>
      <w:r w:rsidRPr="00E56A41">
        <w:rPr>
          <w:lang w:val="en-US"/>
        </w:rPr>
        <w:t xml:space="preserve">), and designated with pressure tap numbers (PT 5, 6 and 7). The axial distance between PT5 and PT7 is equal to one wire pitch, H. Additional details on the experimental facility and test sections can be found in the experimental research conducted by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190B20">
        <w:rPr>
          <w:lang w:val="en-US"/>
        </w:rPr>
        <w:t>[16]</w:t>
      </w:r>
      <w:r w:rsidR="00B407D9">
        <w:rPr>
          <w:lang w:val="en-US"/>
        </w:rPr>
        <w:fldChar w:fldCharType="end"/>
      </w:r>
      <w:r w:rsidRPr="00E56A41">
        <w:rPr>
          <w:lang w:val="en-US"/>
        </w:rPr>
        <w:t>.</w:t>
      </w:r>
    </w:p>
    <w:p w14:paraId="5D8888E8" w14:textId="68DDD259" w:rsidR="000F5827" w:rsidRDefault="000F5827" w:rsidP="000F5827">
      <w:pPr>
        <w:pStyle w:val="BodyText"/>
        <w:rPr>
          <w:lang w:val="en-US"/>
        </w:rPr>
      </w:pPr>
      <w:r w:rsidRPr="000F5827">
        <w:rPr>
          <w:lang w:val="en-US"/>
        </w:rPr>
        <w:t xml:space="preserve">To improve the understanding of flow channel blockage impact on wire-wrapped assemblies, a number of blockages were produced and mounted into the experimental section for the study. The scope of this test campaign was to analyze the effect of various blockage configurations, including blockage position and blocked flow area. A diagram of the different blockage configurations and their location is displayed in </w:t>
      </w:r>
      <w:r>
        <w:rPr>
          <w:lang w:val="en-US"/>
        </w:rPr>
        <w:fldChar w:fldCharType="begin"/>
      </w:r>
      <w:r>
        <w:rPr>
          <w:lang w:val="en-US"/>
        </w:rPr>
        <w:instrText xml:space="preserve"> REF _Ref104821169 \h </w:instrText>
      </w:r>
      <w:r>
        <w:rPr>
          <w:lang w:val="en-US"/>
        </w:rPr>
      </w:r>
      <w:r>
        <w:rPr>
          <w:lang w:val="en-US"/>
        </w:rPr>
        <w:fldChar w:fldCharType="separate"/>
      </w:r>
      <w:r w:rsidR="00190B20">
        <w:t xml:space="preserve">FIG </w:t>
      </w:r>
      <w:r w:rsidR="00190B20">
        <w:rPr>
          <w:noProof/>
        </w:rPr>
        <w:t>3</w:t>
      </w:r>
      <w:r>
        <w:rPr>
          <w:lang w:val="en-US"/>
        </w:rPr>
        <w:fldChar w:fldCharType="end"/>
      </w:r>
      <w:r>
        <w:rPr>
          <w:lang w:val="en-US"/>
        </w:rPr>
        <w:t>.</w:t>
      </w:r>
      <w:r w:rsidRPr="000F5827">
        <w:rPr>
          <w:lang w:val="en-US"/>
        </w:rPr>
        <w:t xml:space="preserve"> The axial blockage length was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m:t>
            </m:r>
          </m:sub>
        </m:sSub>
        <m:r>
          <w:rPr>
            <w:rFonts w:ascii="Cambria Math" w:hAnsi="Cambria Math"/>
            <w:lang w:val="en-US"/>
          </w:rPr>
          <m:t>=12.8</m:t>
        </m:r>
      </m:oMath>
      <w:r w:rsidRPr="000F5827">
        <w:rPr>
          <w:lang w:val="en-US"/>
        </w:rPr>
        <w:t xml:space="preserve"> mm (0.5 in.) and was selected for material availability. Blockages were installed at the midpoint between pressure taps PT5 and PT7 used to measure the axial pressure drop. </w:t>
      </w:r>
    </w:p>
    <w:p w14:paraId="32C52FB5" w14:textId="77777777" w:rsidR="00835776" w:rsidRDefault="00835776" w:rsidP="00835776">
      <w:pPr>
        <w:pStyle w:val="BodyText"/>
        <w:keepNext/>
        <w:ind w:firstLine="0"/>
        <w:jc w:val="center"/>
      </w:pPr>
      <w:r>
        <w:rPr>
          <w:noProof/>
        </w:rPr>
        <w:drawing>
          <wp:inline distT="0" distB="0" distL="0" distR="0" wp14:anchorId="68355F9F" wp14:editId="62A2534A">
            <wp:extent cx="3666414"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57" t="3232" r="16415" b="7354"/>
                    <a:stretch/>
                  </pic:blipFill>
                  <pic:spPr bwMode="auto">
                    <a:xfrm>
                      <a:off x="0" y="0"/>
                      <a:ext cx="3666414"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1C40660" w14:textId="1E4694D3" w:rsidR="00835776" w:rsidRDefault="00835776" w:rsidP="00835776">
      <w:pPr>
        <w:pStyle w:val="FIG-LONG"/>
      </w:pPr>
      <w:bookmarkStart w:id="5" w:name="_Ref104821169"/>
      <w:r>
        <w:t xml:space="preserve">FIG </w:t>
      </w:r>
      <w:fldSimple w:instr=" SEQ Fig \* ARABIC ">
        <w:r w:rsidR="00190B20">
          <w:rPr>
            <w:noProof/>
          </w:rPr>
          <w:t>3</w:t>
        </w:r>
      </w:fldSimple>
      <w:bookmarkEnd w:id="5"/>
      <w:r>
        <w:t xml:space="preserve">. </w:t>
      </w:r>
      <w:r w:rsidRPr="0044068A">
        <w:t>Blockage Locations.</w:t>
      </w:r>
    </w:p>
    <w:p w14:paraId="39417617" w14:textId="73B47CDF" w:rsidR="000F5827" w:rsidRDefault="000F5827" w:rsidP="000F5827">
      <w:pPr>
        <w:pStyle w:val="BodyText"/>
        <w:rPr>
          <w:lang w:val="en-US"/>
        </w:rPr>
      </w:pPr>
      <w:r w:rsidRPr="000F5827">
        <w:rPr>
          <w:lang w:val="en-US"/>
        </w:rPr>
        <w:t xml:space="preserve">The blockage scenarios studied in this article are based on experiments conducted by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190B20">
        <w:rPr>
          <w:lang w:val="en-US"/>
        </w:rPr>
        <w:t>[16]</w:t>
      </w:r>
      <w:r w:rsidR="00B407D9">
        <w:rPr>
          <w:lang w:val="en-US"/>
        </w:rPr>
        <w:fldChar w:fldCharType="end"/>
      </w:r>
      <w:r w:rsidRPr="000F5827">
        <w:rPr>
          <w:lang w:val="en-US"/>
        </w:rPr>
        <w:t xml:space="preserve">. The geometry, size and location of the blockages were maintained from the experimental activity to allow for a comparison with the simulation results and validation of the computational model. It has to be remarked that the </w:t>
      </w:r>
      <w:r w:rsidRPr="000F5827">
        <w:rPr>
          <w:lang w:val="en-US"/>
        </w:rPr>
        <w:lastRenderedPageBreak/>
        <w:t>geometry and size of the blockages investigated may not represent the ones that are expected to occur during the operation of a typical LFR. This study has adopted regular shapes and full subchannel blockages, to facilitate the fabrication and installation of the blockages during the experimental activity, and the generation of the mesh for the geometry during the numerical analysis. Blockages generated during the life of a typical LMFR are expected to be irregular in shape and size, because they can be originated due to the accumulation of debris from the detachment of metallic parts or due corrosion between the sodium and the cladding, they could also be porous</w:t>
      </w:r>
      <w:r>
        <w:rPr>
          <w:lang w:val="en-US"/>
        </w:rPr>
        <w:t>.</w:t>
      </w:r>
    </w:p>
    <w:p w14:paraId="315044AB" w14:textId="05D775E4" w:rsidR="000F5827" w:rsidRDefault="000F5827" w:rsidP="000F5827">
      <w:pPr>
        <w:pStyle w:val="BodyText"/>
      </w:pPr>
      <w:r>
        <w:t>Each blockage identified with numbers 1, 2 and 3 was designed to block four edge subchannels and two half-corner subchannels within the same side of the hexagonal duct, corresponding to 6.4% of the total test section flow area.</w:t>
      </w:r>
      <w:r w:rsidR="00E57D85">
        <w:t xml:space="preserve"> </w:t>
      </w:r>
      <w:r>
        <w:t xml:space="preserve">The interior central blockage (4, </w:t>
      </w:r>
      <w:r>
        <w:fldChar w:fldCharType="begin"/>
      </w:r>
      <w:r>
        <w:instrText xml:space="preserve"> REF _Ref104821169 \h </w:instrText>
      </w:r>
      <w:r>
        <w:fldChar w:fldCharType="separate"/>
      </w:r>
      <w:r w:rsidR="00190B20">
        <w:t xml:space="preserve">FIG </w:t>
      </w:r>
      <w:r w:rsidR="00190B20">
        <w:rPr>
          <w:noProof/>
        </w:rPr>
        <w:t>3</w:t>
      </w:r>
      <w:r>
        <w:fldChar w:fldCharType="end"/>
      </w:r>
      <w:r>
        <w:t xml:space="preserve">) was manufactured as hexagonally symmetric around the central rod with the total area, chosen to be approximately twice the flow area impeded by a full edge, or interior peripheral blockage. This blockage has a surface equal to 11.6% of the total flow area. Due to constraints of residence time for acrylic rods in p-cymene, as well as length of time required for new pin installation in the test section, a selection of blockages to test in each case was determined to permit the most consecutive experimental cases with subsequent blockages added, as summarized in </w:t>
      </w:r>
      <w:r>
        <w:fldChar w:fldCharType="begin"/>
      </w:r>
      <w:r>
        <w:instrText xml:space="preserve"> REF _Ref104821407 \h </w:instrText>
      </w:r>
      <w:r>
        <w:fldChar w:fldCharType="separate"/>
      </w:r>
      <w:r w:rsidR="00190B20">
        <w:t xml:space="preserve">TABLE </w:t>
      </w:r>
      <w:r w:rsidR="00190B20">
        <w:rPr>
          <w:noProof/>
        </w:rPr>
        <w:t>II</w:t>
      </w:r>
      <w:r>
        <w:fldChar w:fldCharType="end"/>
      </w:r>
      <w:r>
        <w:t>.</w:t>
      </w:r>
    </w:p>
    <w:p w14:paraId="4006A414" w14:textId="77777777" w:rsidR="000F5827" w:rsidRDefault="000F5827" w:rsidP="000F5827">
      <w:pPr>
        <w:pStyle w:val="BodyText"/>
      </w:pPr>
    </w:p>
    <w:p w14:paraId="3CC30A37" w14:textId="49B983EC" w:rsidR="000F5827" w:rsidRDefault="000F5827" w:rsidP="000F5827">
      <w:pPr>
        <w:pStyle w:val="Caption"/>
        <w:keepNext/>
      </w:pPr>
      <w:bookmarkStart w:id="6" w:name="_Ref104821407"/>
      <w:r>
        <w:t xml:space="preserve">TABLE </w:t>
      </w:r>
      <w:r>
        <w:fldChar w:fldCharType="begin"/>
      </w:r>
      <w:r>
        <w:instrText xml:space="preserve"> SEQ TABLE \* ROMAN </w:instrText>
      </w:r>
      <w:r>
        <w:fldChar w:fldCharType="separate"/>
      </w:r>
      <w:r w:rsidR="00190B20">
        <w:rPr>
          <w:noProof/>
        </w:rPr>
        <w:t>II</w:t>
      </w:r>
      <w:r>
        <w:fldChar w:fldCharType="end"/>
      </w:r>
      <w:bookmarkEnd w:id="6"/>
      <w:r>
        <w:t>.</w:t>
      </w:r>
      <w:r w:rsidR="00FB5BED">
        <w:tab/>
      </w:r>
      <w:r w:rsidRPr="000F5827">
        <w:t>SUMMARY OF BLOCKAGE CASES</w:t>
      </w:r>
    </w:p>
    <w:p w14:paraId="215448DD" w14:textId="77777777" w:rsidR="000F5827" w:rsidRPr="000F5827" w:rsidRDefault="000F5827" w:rsidP="000F5827">
      <w:pPr>
        <w:rPr>
          <w:lang w:val="en-US"/>
        </w:rPr>
      </w:pPr>
    </w:p>
    <w:tbl>
      <w:tblPr>
        <w:tblStyle w:val="TableGrid"/>
        <w:tblW w:w="0" w:type="auto"/>
        <w:jc w:val="center"/>
        <w:tblLook w:val="04A0" w:firstRow="1" w:lastRow="0" w:firstColumn="1" w:lastColumn="0" w:noHBand="0" w:noVBand="1"/>
      </w:tblPr>
      <w:tblGrid>
        <w:gridCol w:w="605"/>
        <w:gridCol w:w="1362"/>
        <w:gridCol w:w="2520"/>
      </w:tblGrid>
      <w:tr w:rsidR="000F5827" w:rsidRPr="00B336E0" w14:paraId="72DA2E1B" w14:textId="77777777" w:rsidTr="000F5827">
        <w:trPr>
          <w:jc w:val="center"/>
        </w:trPr>
        <w:tc>
          <w:tcPr>
            <w:tcW w:w="528" w:type="dxa"/>
            <w:tcBorders>
              <w:left w:val="nil"/>
              <w:bottom w:val="single" w:sz="4" w:space="0" w:color="auto"/>
              <w:right w:val="nil"/>
            </w:tcBorders>
            <w:vAlign w:val="center"/>
          </w:tcPr>
          <w:p w14:paraId="3858AF3C" w14:textId="2EC9677E" w:rsidR="000F5827" w:rsidRPr="00B336E0" w:rsidRDefault="000F5827" w:rsidP="000E6307">
            <w:pPr>
              <w:spacing w:line="276" w:lineRule="auto"/>
              <w:rPr>
                <w:sz w:val="20"/>
                <w:lang w:val="en-US"/>
              </w:rPr>
            </w:pPr>
            <w:r>
              <w:rPr>
                <w:sz w:val="20"/>
                <w:lang w:val="en-US"/>
              </w:rPr>
              <w:t>Case</w:t>
            </w:r>
          </w:p>
        </w:tc>
        <w:tc>
          <w:tcPr>
            <w:tcW w:w="1362" w:type="dxa"/>
            <w:tcBorders>
              <w:left w:val="nil"/>
              <w:bottom w:val="single" w:sz="4" w:space="0" w:color="auto"/>
              <w:right w:val="nil"/>
            </w:tcBorders>
            <w:vAlign w:val="center"/>
          </w:tcPr>
          <w:p w14:paraId="3D47756D" w14:textId="1C5CB198" w:rsidR="000F5827" w:rsidRPr="00B336E0" w:rsidRDefault="000F5827" w:rsidP="000E6307">
            <w:pPr>
              <w:spacing w:line="276" w:lineRule="auto"/>
              <w:jc w:val="center"/>
              <w:rPr>
                <w:sz w:val="20"/>
                <w:lang w:val="en-US"/>
              </w:rPr>
            </w:pPr>
            <w:r>
              <w:rPr>
                <w:sz w:val="20"/>
                <w:lang w:val="en-US"/>
              </w:rPr>
              <w:t>Blockage</w:t>
            </w:r>
          </w:p>
        </w:tc>
        <w:tc>
          <w:tcPr>
            <w:tcW w:w="2520" w:type="dxa"/>
            <w:tcBorders>
              <w:left w:val="nil"/>
              <w:bottom w:val="single" w:sz="4" w:space="0" w:color="auto"/>
              <w:right w:val="nil"/>
            </w:tcBorders>
            <w:vAlign w:val="center"/>
          </w:tcPr>
          <w:p w14:paraId="7970AE43" w14:textId="3D300F1B" w:rsidR="000F5827" w:rsidRPr="00B336E0" w:rsidRDefault="000F5827" w:rsidP="000E6307">
            <w:pPr>
              <w:spacing w:line="276" w:lineRule="auto"/>
              <w:jc w:val="center"/>
              <w:rPr>
                <w:sz w:val="20"/>
                <w:lang w:val="en-US"/>
              </w:rPr>
            </w:pPr>
            <w:r>
              <w:rPr>
                <w:sz w:val="20"/>
                <w:lang w:val="en-US"/>
              </w:rPr>
              <w:t>Blocked Flow Area (%)</w:t>
            </w:r>
          </w:p>
        </w:tc>
      </w:tr>
      <w:tr w:rsidR="000F5827" w:rsidRPr="00B336E0" w14:paraId="265EB280" w14:textId="77777777" w:rsidTr="000F5827">
        <w:trPr>
          <w:jc w:val="center"/>
        </w:trPr>
        <w:tc>
          <w:tcPr>
            <w:tcW w:w="528" w:type="dxa"/>
            <w:tcBorders>
              <w:top w:val="single" w:sz="4" w:space="0" w:color="auto"/>
              <w:left w:val="nil"/>
              <w:right w:val="nil"/>
            </w:tcBorders>
            <w:vAlign w:val="center"/>
          </w:tcPr>
          <w:p w14:paraId="3727C60F" w14:textId="78341A08" w:rsidR="000F5827" w:rsidRPr="00B336E0" w:rsidRDefault="000F5827" w:rsidP="000E6307">
            <w:pPr>
              <w:spacing w:line="276" w:lineRule="auto"/>
              <w:rPr>
                <w:sz w:val="20"/>
                <w:lang w:val="en-US"/>
              </w:rPr>
            </w:pPr>
            <w:r>
              <w:rPr>
                <w:sz w:val="20"/>
                <w:lang w:val="en-US"/>
              </w:rPr>
              <w:t>0</w:t>
            </w:r>
          </w:p>
        </w:tc>
        <w:tc>
          <w:tcPr>
            <w:tcW w:w="1362" w:type="dxa"/>
            <w:tcBorders>
              <w:top w:val="single" w:sz="4" w:space="0" w:color="auto"/>
              <w:left w:val="nil"/>
              <w:right w:val="nil"/>
            </w:tcBorders>
            <w:vAlign w:val="center"/>
          </w:tcPr>
          <w:p w14:paraId="0BE5F7DB" w14:textId="0218F561"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w:t>
            </w:r>
          </w:p>
        </w:tc>
        <w:tc>
          <w:tcPr>
            <w:tcW w:w="2520" w:type="dxa"/>
            <w:tcBorders>
              <w:top w:val="single" w:sz="4" w:space="0" w:color="auto"/>
              <w:left w:val="nil"/>
              <w:right w:val="nil"/>
            </w:tcBorders>
            <w:vAlign w:val="center"/>
          </w:tcPr>
          <w:p w14:paraId="10624E33" w14:textId="04A5279C" w:rsidR="000F5827" w:rsidRPr="00B336E0" w:rsidRDefault="000F5827" w:rsidP="000E6307">
            <w:pPr>
              <w:spacing w:line="276" w:lineRule="auto"/>
              <w:jc w:val="center"/>
              <w:rPr>
                <w:sz w:val="20"/>
                <w:lang w:val="en-US"/>
              </w:rPr>
            </w:pPr>
            <w:r>
              <w:rPr>
                <w:sz w:val="20"/>
                <w:lang w:val="en-US"/>
              </w:rPr>
              <w:t>0</w:t>
            </w:r>
          </w:p>
        </w:tc>
      </w:tr>
      <w:tr w:rsidR="000F5827" w:rsidRPr="00B336E0" w14:paraId="71F53EA7" w14:textId="77777777" w:rsidTr="000F5827">
        <w:trPr>
          <w:jc w:val="center"/>
        </w:trPr>
        <w:tc>
          <w:tcPr>
            <w:tcW w:w="528" w:type="dxa"/>
            <w:tcBorders>
              <w:left w:val="nil"/>
              <w:right w:val="nil"/>
            </w:tcBorders>
            <w:vAlign w:val="center"/>
          </w:tcPr>
          <w:p w14:paraId="19F2A647" w14:textId="01D79082" w:rsidR="000F5827" w:rsidRPr="00B336E0" w:rsidRDefault="000F5827" w:rsidP="000E6307">
            <w:pPr>
              <w:spacing w:line="276" w:lineRule="auto"/>
              <w:rPr>
                <w:sz w:val="20"/>
                <w:lang w:val="en-US"/>
              </w:rPr>
            </w:pPr>
            <w:r>
              <w:rPr>
                <w:sz w:val="20"/>
                <w:lang w:val="en-US"/>
              </w:rPr>
              <w:t>1</w:t>
            </w:r>
          </w:p>
        </w:tc>
        <w:tc>
          <w:tcPr>
            <w:tcW w:w="1362" w:type="dxa"/>
            <w:tcBorders>
              <w:left w:val="nil"/>
              <w:right w:val="nil"/>
            </w:tcBorders>
            <w:vAlign w:val="center"/>
          </w:tcPr>
          <w:p w14:paraId="0CE1BA1A" w14:textId="128A3420"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w:t>
            </w:r>
          </w:p>
        </w:tc>
        <w:tc>
          <w:tcPr>
            <w:tcW w:w="2520" w:type="dxa"/>
            <w:tcBorders>
              <w:left w:val="nil"/>
              <w:right w:val="nil"/>
            </w:tcBorders>
            <w:vAlign w:val="center"/>
          </w:tcPr>
          <w:p w14:paraId="4AAD35C9" w14:textId="1A44A2C6" w:rsidR="000F5827" w:rsidRPr="00B336E0" w:rsidRDefault="000F5827" w:rsidP="000E6307">
            <w:pPr>
              <w:spacing w:line="276" w:lineRule="auto"/>
              <w:jc w:val="center"/>
              <w:rPr>
                <w:sz w:val="20"/>
                <w:lang w:val="en-US"/>
              </w:rPr>
            </w:pPr>
            <w:r>
              <w:rPr>
                <w:sz w:val="20"/>
                <w:lang w:val="en-US"/>
              </w:rPr>
              <w:t>6.4</w:t>
            </w:r>
          </w:p>
        </w:tc>
      </w:tr>
      <w:tr w:rsidR="000F5827" w:rsidRPr="00B336E0" w14:paraId="2212BAB5" w14:textId="77777777" w:rsidTr="000F5827">
        <w:trPr>
          <w:jc w:val="center"/>
        </w:trPr>
        <w:tc>
          <w:tcPr>
            <w:tcW w:w="528" w:type="dxa"/>
            <w:tcBorders>
              <w:left w:val="nil"/>
              <w:right w:val="nil"/>
            </w:tcBorders>
            <w:vAlign w:val="center"/>
          </w:tcPr>
          <w:p w14:paraId="68717651" w14:textId="45CF7869" w:rsidR="000F5827" w:rsidRPr="00B336E0" w:rsidRDefault="000F5827" w:rsidP="000E6307">
            <w:pPr>
              <w:spacing w:line="276" w:lineRule="auto"/>
              <w:rPr>
                <w:sz w:val="20"/>
                <w:lang w:val="en-US"/>
              </w:rPr>
            </w:pPr>
            <w:r>
              <w:rPr>
                <w:sz w:val="20"/>
                <w:lang w:val="en-US"/>
              </w:rPr>
              <w:t>2</w:t>
            </w:r>
          </w:p>
        </w:tc>
        <w:tc>
          <w:tcPr>
            <w:tcW w:w="1362" w:type="dxa"/>
            <w:tcBorders>
              <w:left w:val="nil"/>
              <w:right w:val="nil"/>
            </w:tcBorders>
            <w:vAlign w:val="center"/>
          </w:tcPr>
          <w:p w14:paraId="63D4DFC2" w14:textId="0A6A9F61"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1, 2</w:t>
            </w:r>
          </w:p>
        </w:tc>
        <w:tc>
          <w:tcPr>
            <w:tcW w:w="2520" w:type="dxa"/>
            <w:tcBorders>
              <w:left w:val="nil"/>
              <w:right w:val="nil"/>
            </w:tcBorders>
            <w:vAlign w:val="center"/>
          </w:tcPr>
          <w:p w14:paraId="7899099D" w14:textId="57536A31" w:rsidR="000F5827" w:rsidRPr="00B336E0" w:rsidRDefault="000F5827" w:rsidP="000E6307">
            <w:pPr>
              <w:spacing w:line="276" w:lineRule="auto"/>
              <w:jc w:val="center"/>
              <w:rPr>
                <w:sz w:val="20"/>
                <w:lang w:val="en-US"/>
              </w:rPr>
            </w:pPr>
            <w:r>
              <w:rPr>
                <w:sz w:val="20"/>
                <w:lang w:val="en-US"/>
              </w:rPr>
              <w:t>12.8</w:t>
            </w:r>
          </w:p>
        </w:tc>
      </w:tr>
      <w:tr w:rsidR="000F5827" w:rsidRPr="00B336E0" w14:paraId="54410B5B" w14:textId="77777777" w:rsidTr="000F5827">
        <w:trPr>
          <w:jc w:val="center"/>
        </w:trPr>
        <w:tc>
          <w:tcPr>
            <w:tcW w:w="528" w:type="dxa"/>
            <w:tcBorders>
              <w:left w:val="nil"/>
              <w:right w:val="nil"/>
            </w:tcBorders>
            <w:vAlign w:val="center"/>
          </w:tcPr>
          <w:p w14:paraId="4391702B" w14:textId="434B1BEE" w:rsidR="000F5827" w:rsidRPr="00B336E0" w:rsidRDefault="000F5827" w:rsidP="000E6307">
            <w:pPr>
              <w:spacing w:line="276" w:lineRule="auto"/>
              <w:rPr>
                <w:sz w:val="20"/>
                <w:lang w:val="en-US"/>
              </w:rPr>
            </w:pPr>
            <w:r>
              <w:rPr>
                <w:sz w:val="20"/>
                <w:lang w:val="en-US"/>
              </w:rPr>
              <w:t>3</w:t>
            </w:r>
          </w:p>
        </w:tc>
        <w:tc>
          <w:tcPr>
            <w:tcW w:w="1362" w:type="dxa"/>
            <w:tcBorders>
              <w:left w:val="nil"/>
              <w:right w:val="nil"/>
            </w:tcBorders>
            <w:vAlign w:val="center"/>
          </w:tcPr>
          <w:p w14:paraId="3D890739" w14:textId="03662117"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1, 2, 3</w:t>
            </w:r>
          </w:p>
        </w:tc>
        <w:tc>
          <w:tcPr>
            <w:tcW w:w="2520" w:type="dxa"/>
            <w:tcBorders>
              <w:left w:val="nil"/>
              <w:right w:val="nil"/>
            </w:tcBorders>
            <w:vAlign w:val="center"/>
          </w:tcPr>
          <w:p w14:paraId="4CE6FB3C" w14:textId="3A569C2A" w:rsidR="000F5827" w:rsidRPr="00B336E0" w:rsidRDefault="000F5827" w:rsidP="000E6307">
            <w:pPr>
              <w:spacing w:line="276" w:lineRule="auto"/>
              <w:jc w:val="center"/>
              <w:rPr>
                <w:sz w:val="20"/>
                <w:lang w:val="en-US"/>
              </w:rPr>
            </w:pPr>
            <w:r>
              <w:rPr>
                <w:sz w:val="20"/>
                <w:lang w:val="en-US"/>
              </w:rPr>
              <w:t>19.6</w:t>
            </w:r>
          </w:p>
        </w:tc>
      </w:tr>
      <w:tr w:rsidR="000F5827" w:rsidRPr="00B336E0" w14:paraId="228B4F05" w14:textId="77777777" w:rsidTr="000F5827">
        <w:trPr>
          <w:jc w:val="center"/>
        </w:trPr>
        <w:tc>
          <w:tcPr>
            <w:tcW w:w="528" w:type="dxa"/>
            <w:tcBorders>
              <w:left w:val="nil"/>
              <w:right w:val="nil"/>
            </w:tcBorders>
            <w:vAlign w:val="center"/>
          </w:tcPr>
          <w:p w14:paraId="5E5D84BD" w14:textId="337B4464" w:rsidR="000F5827" w:rsidRPr="00B336E0" w:rsidRDefault="000F5827" w:rsidP="000E6307">
            <w:pPr>
              <w:spacing w:line="276" w:lineRule="auto"/>
              <w:rPr>
                <w:sz w:val="20"/>
                <w:lang w:val="en-US"/>
              </w:rPr>
            </w:pPr>
            <w:r>
              <w:rPr>
                <w:sz w:val="20"/>
                <w:lang w:val="en-US"/>
              </w:rPr>
              <w:t>4</w:t>
            </w:r>
          </w:p>
        </w:tc>
        <w:tc>
          <w:tcPr>
            <w:tcW w:w="1362" w:type="dxa"/>
            <w:tcBorders>
              <w:left w:val="nil"/>
              <w:right w:val="nil"/>
            </w:tcBorders>
            <w:vAlign w:val="center"/>
          </w:tcPr>
          <w:p w14:paraId="44BA28F7" w14:textId="0010193F"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4</w:t>
            </w:r>
          </w:p>
        </w:tc>
        <w:tc>
          <w:tcPr>
            <w:tcW w:w="2520" w:type="dxa"/>
            <w:tcBorders>
              <w:left w:val="nil"/>
              <w:right w:val="nil"/>
            </w:tcBorders>
            <w:vAlign w:val="center"/>
          </w:tcPr>
          <w:p w14:paraId="34C2718F" w14:textId="46ECBDFC" w:rsidR="000F5827" w:rsidRPr="00B336E0" w:rsidRDefault="000F5827" w:rsidP="000E6307">
            <w:pPr>
              <w:spacing w:line="276" w:lineRule="auto"/>
              <w:jc w:val="center"/>
              <w:rPr>
                <w:sz w:val="20"/>
                <w:lang w:val="en-US"/>
              </w:rPr>
            </w:pPr>
            <w:r>
              <w:rPr>
                <w:sz w:val="20"/>
                <w:lang w:val="en-US"/>
              </w:rPr>
              <w:t>11.6</w:t>
            </w:r>
          </w:p>
        </w:tc>
      </w:tr>
    </w:tbl>
    <w:p w14:paraId="6AD995E7" w14:textId="77777777" w:rsidR="000F5827" w:rsidRPr="000F5827" w:rsidRDefault="000F5827" w:rsidP="000F5827">
      <w:pPr>
        <w:pStyle w:val="BodyText"/>
        <w:ind w:firstLine="0"/>
      </w:pPr>
    </w:p>
    <w:p w14:paraId="433FE053" w14:textId="6B5DE712" w:rsidR="00EE0041" w:rsidRPr="00B336E0" w:rsidRDefault="000F5827" w:rsidP="0026525A">
      <w:pPr>
        <w:pStyle w:val="Heading2"/>
        <w:numPr>
          <w:ilvl w:val="1"/>
          <w:numId w:val="10"/>
        </w:numPr>
        <w:rPr>
          <w:lang w:val="en-US"/>
        </w:rPr>
      </w:pPr>
      <w:r>
        <w:rPr>
          <w:lang w:val="en-US"/>
        </w:rPr>
        <w:t xml:space="preserve">NUMERICAL </w:t>
      </w:r>
      <w:r w:rsidR="0095573A" w:rsidRPr="00B336E0">
        <w:rPr>
          <w:lang w:val="en-US"/>
        </w:rPr>
        <w:t>methodology</w:t>
      </w:r>
    </w:p>
    <w:p w14:paraId="553562F3" w14:textId="721C83F5" w:rsidR="000F5827" w:rsidRDefault="000F5827" w:rsidP="000F5827">
      <w:pPr>
        <w:pStyle w:val="BodyText"/>
      </w:pPr>
      <w:r>
        <w:t xml:space="preserve">In the present study, STAR-CCM+ </w:t>
      </w:r>
      <w:r w:rsidR="00B407D9">
        <w:fldChar w:fldCharType="begin"/>
      </w:r>
      <w:r w:rsidR="00B407D9">
        <w:instrText xml:space="preserve"> REF _Ref104903605 \r \h </w:instrText>
      </w:r>
      <w:r w:rsidR="00B407D9">
        <w:fldChar w:fldCharType="separate"/>
      </w:r>
      <w:r w:rsidR="00190B20">
        <w:t>[21]</w:t>
      </w:r>
      <w:r w:rsidR="00B407D9">
        <w:fldChar w:fldCharType="end"/>
      </w:r>
      <w:r>
        <w:t xml:space="preserve">, a commercial computational fluid dynamics code, was used for the solution of the Navier-Stokes equations for incompressible flows, which are conservation of mass and conservation of momentum. The numerical method employed in the computational fluid dynamics (CFD) calculation was the Finite Volume Method </w:t>
      </w:r>
      <w:r w:rsidR="00B407D9">
        <w:fldChar w:fldCharType="begin"/>
      </w:r>
      <w:r w:rsidR="00B407D9">
        <w:instrText xml:space="preserve"> REF _Ref104903615 \r \h </w:instrText>
      </w:r>
      <w:r w:rsidR="00B407D9">
        <w:fldChar w:fldCharType="separate"/>
      </w:r>
      <w:r w:rsidR="00190B20">
        <w:t>[22]</w:t>
      </w:r>
      <w:r w:rsidR="00B407D9">
        <w:fldChar w:fldCharType="end"/>
      </w:r>
      <w:r>
        <w:t>. The second-order Upwind scheme was used to discretize the advection term because it has a higher accuracy th</w:t>
      </w:r>
      <w:r w:rsidR="004021C8">
        <w:t>a</w:t>
      </w:r>
      <w:r>
        <w:t>n the first-order Upwind scheme. The algebraic system of equation was solved using the algebraic multigrid solver within a segregated algorithm. The main approach to solve the pressure and velocity field within the wire-wrapped bundle was the Reynolds Averaged Navier-Stokes (RANS) method</w:t>
      </w:r>
      <w:r w:rsidR="00336A07">
        <w:t>.</w:t>
      </w:r>
    </w:p>
    <w:p w14:paraId="4F518A78" w14:textId="4DFD714C" w:rsidR="001F5CB0" w:rsidRDefault="000F5827" w:rsidP="000F5827">
      <w:pPr>
        <w:pStyle w:val="BodyText"/>
      </w:pPr>
      <w:r>
        <w:t xml:space="preserve">A turbulence model is required to calculate the Reynolds Stress Tensor in the RANS equations. Among the available RANS models, those of importance for this paper are the 2-layer Realizable </w:t>
      </w:r>
      <m:oMath>
        <m:r>
          <w:rPr>
            <w:rFonts w:ascii="Cambria Math" w:hAnsi="Cambria Math"/>
          </w:rPr>
          <m:t>k-ϵ</m:t>
        </m:r>
      </m:oMath>
      <w:r>
        <w:t xml:space="preserve"> model, which satisfies certain mathematical constraints on the normal stresses consistent with the physics of turbulence (realizability)</w:t>
      </w:r>
      <w:r w:rsidR="00336A07">
        <w:t>, and</w:t>
      </w:r>
      <w:r>
        <w:t xml:space="preserve"> the </w:t>
      </w:r>
      <m:oMath>
        <m:r>
          <w:rPr>
            <w:rFonts w:ascii="Cambria Math" w:hAnsi="Cambria Math"/>
          </w:rPr>
          <m:t>k-ω</m:t>
        </m:r>
      </m:oMath>
      <w:r>
        <w:t xml:space="preserve"> SST (shear–stress transport)</w:t>
      </w:r>
      <w:r w:rsidR="004021C8">
        <w:t xml:space="preserve">, which </w:t>
      </w:r>
      <w:r>
        <w:t>introduce</w:t>
      </w:r>
      <w:r w:rsidR="004021C8">
        <w:t>s</w:t>
      </w:r>
      <w:r>
        <w:t xml:space="preserve"> a modification to the linear constitutive equation of the standard </w:t>
      </w:r>
      <m:oMath>
        <m:r>
          <w:rPr>
            <w:rFonts w:ascii="Cambria Math" w:hAnsi="Cambria Math"/>
          </w:rPr>
          <m:t>k-ω.</m:t>
        </m:r>
      </m:oMath>
      <w:r w:rsidR="00336A07">
        <w:t xml:space="preserve"> </w:t>
      </w:r>
      <w:r>
        <w:t>The mentioned two-equation models can capture more physical features than the standard two equation models or even the one equation model (</w:t>
      </w:r>
      <w:proofErr w:type="spellStart"/>
      <w:r>
        <w:t>Spalart-Allmaras</w:t>
      </w:r>
      <w:proofErr w:type="spellEnd"/>
      <w:r>
        <w:t>) or the very simple 0-equation model proposed by Prandtl based on a mixing length</w:t>
      </w:r>
      <w:r w:rsidR="00336A07">
        <w:t>.</w:t>
      </w:r>
    </w:p>
    <w:p w14:paraId="78C3BC55" w14:textId="1012634E" w:rsidR="00092C10" w:rsidRDefault="00092C10" w:rsidP="00092C10">
      <w:pPr>
        <w:pStyle w:val="BodyText"/>
      </w:pPr>
      <w:r>
        <w:t>The bundle-averaged Reynolds Number is defined as</w:t>
      </w:r>
    </w:p>
    <w:p w14:paraId="2C786EE5"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2F800F26" w14:textId="77777777" w:rsidTr="003830D8">
        <w:tc>
          <w:tcPr>
            <w:tcW w:w="8455" w:type="dxa"/>
            <w:vAlign w:val="center"/>
          </w:tcPr>
          <w:p w14:paraId="3CD0E0EA" w14:textId="507B7CFD" w:rsidR="003830D8" w:rsidRDefault="003830D8" w:rsidP="003830D8">
            <w:pPr>
              <w:pStyle w:val="BodyText"/>
              <w:spacing w:before="240"/>
              <w:ind w:firstLine="0"/>
              <w:rPr>
                <w:lang w:val="en-US"/>
              </w:rPr>
            </w:pPr>
            <m:oMathPara>
              <m:oMath>
                <m:r>
                  <w:rPr>
                    <w:rFonts w:ascii="Cambria Math" w:hAnsi="Cambria Math"/>
                  </w:rPr>
                  <m:t>Re=</m:t>
                </m:r>
                <m:f>
                  <m:fPr>
                    <m:ctrlPr>
                      <w:rPr>
                        <w:rFonts w:ascii="Cambria Math" w:hAnsi="Cambria Math"/>
                        <w:i/>
                      </w:rPr>
                    </m:ctrlPr>
                  </m:fPr>
                  <m:num>
                    <m:bar>
                      <m:barPr>
                        <m:pos m:val="top"/>
                        <m:ctrlPr>
                          <w:rPr>
                            <w:rFonts w:ascii="Cambria Math" w:hAnsi="Cambria Math"/>
                            <w:i/>
                          </w:rPr>
                        </m:ctrlPr>
                      </m:barPr>
                      <m:e>
                        <m:r>
                          <w:rPr>
                            <w:rFonts w:ascii="Cambria Math" w:hAnsi="Cambria Math"/>
                          </w:rPr>
                          <m:t>U</m:t>
                        </m:r>
                      </m:e>
                    </m:bar>
                    <m:sSub>
                      <m:sSubPr>
                        <m:ctrlPr>
                          <w:rPr>
                            <w:rFonts w:ascii="Cambria Math" w:hAnsi="Cambria Math"/>
                            <w:i/>
                          </w:rPr>
                        </m:ctrlPr>
                      </m:sSubPr>
                      <m:e>
                        <m:r>
                          <w:rPr>
                            <w:rFonts w:ascii="Cambria Math" w:hAnsi="Cambria Math"/>
                          </w:rPr>
                          <m:t>D</m:t>
                        </m:r>
                      </m:e>
                      <m:sub>
                        <m:r>
                          <w:rPr>
                            <w:rFonts w:ascii="Cambria Math" w:hAnsi="Cambria Math"/>
                          </w:rPr>
                          <m:t>h</m:t>
                        </m:r>
                      </m:sub>
                    </m:sSub>
                  </m:num>
                  <m:den>
                    <m:r>
                      <w:rPr>
                        <w:rFonts w:ascii="Cambria Math" w:hAnsi="Cambria Math"/>
                      </w:rPr>
                      <m:t>ν</m:t>
                    </m:r>
                  </m:den>
                </m:f>
              </m:oMath>
            </m:oMathPara>
          </w:p>
        </w:tc>
        <w:tc>
          <w:tcPr>
            <w:tcW w:w="562" w:type="dxa"/>
            <w:vAlign w:val="center"/>
          </w:tcPr>
          <w:p w14:paraId="345156EA" w14:textId="61ADF8F3" w:rsidR="003830D8" w:rsidRDefault="003830D8" w:rsidP="000E6307">
            <w:pPr>
              <w:pStyle w:val="Caption"/>
            </w:pPr>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2</w:t>
            </w:r>
            <w:r w:rsidRPr="003830D8">
              <w:rPr>
                <w:sz w:val="20"/>
              </w:rPr>
              <w:fldChar w:fldCharType="end"/>
            </w:r>
            <w:r w:rsidRPr="003830D8">
              <w:rPr>
                <w:sz w:val="20"/>
              </w:rPr>
              <w:t>)</w:t>
            </w:r>
          </w:p>
        </w:tc>
      </w:tr>
    </w:tbl>
    <w:p w14:paraId="5E4644E2" w14:textId="77777777" w:rsidR="00835776" w:rsidRDefault="00835776" w:rsidP="003830D8">
      <w:pPr>
        <w:pStyle w:val="BodyText"/>
        <w:ind w:firstLine="0"/>
      </w:pPr>
    </w:p>
    <w:p w14:paraId="5AECD3A7" w14:textId="23430C94" w:rsidR="00092C10" w:rsidRDefault="00092C10" w:rsidP="003830D8">
      <w:pPr>
        <w:pStyle w:val="BodyText"/>
        <w:ind w:firstLine="0"/>
      </w:pPr>
      <w:r>
        <w:t xml:space="preserve">where </w:t>
      </w:r>
      <m:oMath>
        <m:bar>
          <m:barPr>
            <m:pos m:val="top"/>
            <m:ctrlPr>
              <w:rPr>
                <w:rFonts w:ascii="Cambria Math" w:hAnsi="Cambria Math"/>
                <w:i/>
              </w:rPr>
            </m:ctrlPr>
          </m:barPr>
          <m:e>
            <m:r>
              <w:rPr>
                <w:rFonts w:ascii="Cambria Math" w:hAnsi="Cambria Math"/>
              </w:rPr>
              <m:t>U</m:t>
            </m:r>
          </m:e>
        </m:bar>
      </m:oMath>
      <w:r>
        <w:t xml:space="preserve"> is the bulk velocity (or average inlet velocity of a blockage case), and </w:t>
      </w:r>
      <m:oMath>
        <m:r>
          <w:rPr>
            <w:rFonts w:ascii="Cambria Math" w:hAnsi="Cambria Math"/>
          </w:rPr>
          <m:t>ν</m:t>
        </m:r>
      </m:oMath>
      <w:r>
        <w:t xml:space="preserve"> is the kinematic viscosity.</w:t>
      </w:r>
    </w:p>
    <w:p w14:paraId="4A809AEA" w14:textId="792F687D" w:rsidR="00092C10" w:rsidRDefault="00092C10" w:rsidP="00092C10">
      <w:pPr>
        <w:pStyle w:val="BodyText"/>
      </w:pPr>
      <w:r>
        <w:t xml:space="preserve">The bundle-averaged axial friction factor, </w:t>
      </w:r>
      <m:oMath>
        <m:sSub>
          <m:sSubPr>
            <m:ctrlPr>
              <w:rPr>
                <w:rFonts w:ascii="Cambria Math" w:hAnsi="Cambria Math"/>
                <w:i/>
              </w:rPr>
            </m:ctrlPr>
          </m:sSubPr>
          <m:e>
            <m:r>
              <w:rPr>
                <w:rFonts w:ascii="Cambria Math" w:hAnsi="Cambria Math"/>
              </w:rPr>
              <m:t>f</m:t>
            </m:r>
          </m:e>
          <m:sub>
            <m:r>
              <w:rPr>
                <w:rFonts w:ascii="Cambria Math" w:hAnsi="Cambria Math"/>
              </w:rPr>
              <m:t>b</m:t>
            </m:r>
          </m:sub>
        </m:sSub>
      </m:oMath>
      <w:r>
        <w:t xml:space="preserve">, is defined according to Eq. </w:t>
      </w:r>
      <w:r w:rsidR="003830D8">
        <w:fldChar w:fldCharType="begin"/>
      </w:r>
      <w:r w:rsidR="003830D8">
        <w:instrText xml:space="preserve"> REF _Ref104823150 \h </w:instrText>
      </w:r>
      <w:r w:rsidR="003830D8">
        <w:fldChar w:fldCharType="separate"/>
      </w:r>
      <w:r w:rsidR="00190B20" w:rsidRPr="003830D8">
        <w:t>(</w:t>
      </w:r>
      <w:r w:rsidR="00190B20">
        <w:rPr>
          <w:noProof/>
        </w:rPr>
        <w:t>3</w:t>
      </w:r>
      <w:r w:rsidR="00190B20" w:rsidRPr="003830D8">
        <w:t>)</w:t>
      </w:r>
      <w:r w:rsidR="003830D8">
        <w:fldChar w:fldCharType="end"/>
      </w:r>
      <w:r>
        <w:t>,</w:t>
      </w:r>
    </w:p>
    <w:p w14:paraId="0D819968"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7F0677E4" w14:textId="77777777" w:rsidTr="000E6307">
        <w:tc>
          <w:tcPr>
            <w:tcW w:w="8455" w:type="dxa"/>
            <w:vAlign w:val="center"/>
          </w:tcPr>
          <w:p w14:paraId="50ED676F" w14:textId="7B10A12C" w:rsidR="003830D8" w:rsidRDefault="00680B2B" w:rsidP="000E6307">
            <w:pPr>
              <w:pStyle w:val="BodyText"/>
              <w:spacing w:before="240"/>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U</m:t>
                            </m:r>
                          </m:e>
                        </m:acc>
                      </m:e>
                      <m:sup>
                        <m:r>
                          <w:rPr>
                            <w:rFonts w:ascii="Cambria Math" w:eastAsiaTheme="minorEastAsia" w:hAnsi="Cambria Math"/>
                          </w:rPr>
                          <m:t>2</m:t>
                        </m:r>
                      </m:sup>
                    </m:sSup>
                  </m:den>
                </m:f>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P</m:t>
                    </m:r>
                  </m:num>
                  <m:den>
                    <m:r>
                      <w:rPr>
                        <w:rFonts w:ascii="Cambria Math" w:eastAsiaTheme="minorEastAsia" w:hAnsi="Cambria Math"/>
                      </w:rPr>
                      <m:t>H</m:t>
                    </m:r>
                  </m:den>
                </m:f>
              </m:oMath>
            </m:oMathPara>
          </w:p>
        </w:tc>
        <w:tc>
          <w:tcPr>
            <w:tcW w:w="562" w:type="dxa"/>
            <w:vAlign w:val="center"/>
          </w:tcPr>
          <w:p w14:paraId="3EA5F074" w14:textId="3AB5D1E0" w:rsidR="003830D8" w:rsidRDefault="003830D8" w:rsidP="000E6307">
            <w:pPr>
              <w:pStyle w:val="Caption"/>
            </w:pPr>
            <w:bookmarkStart w:id="7" w:name="_Ref104823150"/>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3</w:t>
            </w:r>
            <w:r w:rsidRPr="003830D8">
              <w:rPr>
                <w:sz w:val="20"/>
              </w:rPr>
              <w:fldChar w:fldCharType="end"/>
            </w:r>
            <w:r w:rsidRPr="003830D8">
              <w:rPr>
                <w:sz w:val="20"/>
              </w:rPr>
              <w:t>)</w:t>
            </w:r>
            <w:bookmarkEnd w:id="7"/>
          </w:p>
        </w:tc>
      </w:tr>
    </w:tbl>
    <w:p w14:paraId="15260FF5" w14:textId="77777777" w:rsidR="00835776" w:rsidRDefault="00835776" w:rsidP="003830D8">
      <w:pPr>
        <w:pStyle w:val="BodyText"/>
        <w:ind w:firstLine="0"/>
      </w:pPr>
    </w:p>
    <w:p w14:paraId="6679D7EA" w14:textId="0907D7FF" w:rsidR="00092C10" w:rsidRDefault="00092C10" w:rsidP="00B87742">
      <w:pPr>
        <w:pStyle w:val="BodyText"/>
        <w:ind w:firstLine="0"/>
      </w:pPr>
      <w:r>
        <w:t xml:space="preserve">where </w:t>
      </w:r>
      <m:oMath>
        <m:r>
          <m:rPr>
            <m:sty m:val="p"/>
          </m:rPr>
          <w:rPr>
            <w:rFonts w:ascii="Cambria Math" w:eastAsiaTheme="minorEastAsia" w:hAnsi="Cambria Math"/>
          </w:rPr>
          <m:t>Δ</m:t>
        </m:r>
        <m:r>
          <w:rPr>
            <w:rFonts w:ascii="Cambria Math" w:eastAsiaTheme="minorEastAsia" w:hAnsi="Cambria Math"/>
          </w:rPr>
          <m:t>P=</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in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out</m:t>
            </m:r>
          </m:sub>
        </m:sSub>
      </m:oMath>
      <w:r>
        <w:t xml:space="preserve"> is the pressure drop between the inlet surface-averaged pressure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in</m:t>
            </m:r>
          </m:sub>
        </m:sSub>
      </m:oMath>
      <w:r>
        <w:t xml:space="preserve"> and the outlet surface-averaged pressure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out</m:t>
            </m:r>
          </m:sub>
        </m:sSub>
      </m:oMath>
      <w:r>
        <w:t xml:space="preserve">, </w:t>
      </w:r>
      <m:oMath>
        <m:acc>
          <m:accPr>
            <m:chr m:val="̅"/>
            <m:ctrlPr>
              <w:rPr>
                <w:rFonts w:ascii="Cambria Math" w:eastAsiaTheme="minorEastAsia" w:hAnsi="Cambria Math"/>
                <w:i/>
              </w:rPr>
            </m:ctrlPr>
          </m:accPr>
          <m:e>
            <m:r>
              <w:rPr>
                <w:rFonts w:ascii="Cambria Math" w:eastAsiaTheme="minorEastAsia" w:hAnsi="Cambria Math"/>
              </w:rPr>
              <m:t>U</m:t>
            </m:r>
          </m:e>
        </m:acc>
      </m:oMath>
      <w:r>
        <w:t xml:space="preserve"> is bulk velocity (or average inlet velocity of a blockage case), </w:t>
      </w:r>
      <m:oMath>
        <m:r>
          <w:rPr>
            <w:rFonts w:ascii="Cambria Math" w:hAnsi="Cambria Math"/>
          </w:rPr>
          <m:t>ρ</m:t>
        </m:r>
      </m:oMath>
      <w:r>
        <w:t xml:space="preserve"> is the fluid density, and </w:t>
      </w:r>
      <m:oMath>
        <m:r>
          <w:rPr>
            <w:rFonts w:ascii="Cambria Math" w:hAnsi="Cambria Math"/>
          </w:rPr>
          <m:t>H</m:t>
        </m:r>
      </m:oMath>
      <w:r>
        <w:t xml:space="preserve"> is the helix pitch.</w:t>
      </w:r>
    </w:p>
    <w:p w14:paraId="40BC7240" w14:textId="182F4D71" w:rsidR="00092C10" w:rsidRDefault="00092C10" w:rsidP="00092C10">
      <w:pPr>
        <w:pStyle w:val="BodyText"/>
      </w:pPr>
      <w:r>
        <w:t xml:space="preserve">Two sets of simulations were executed </w:t>
      </w:r>
      <w:r w:rsidR="00336A07">
        <w:t xml:space="preserve">at </w:t>
      </w:r>
      <m:oMath>
        <m:r>
          <w:rPr>
            <w:rFonts w:ascii="Cambria Math" w:hAnsi="Cambria Math"/>
          </w:rPr>
          <m:t>Re=17000</m:t>
        </m:r>
      </m:oMath>
      <w:r>
        <w:t xml:space="preserve">. The first set focused on simulating a bundle with no blockage (case 0). Because the wire has a repetitive pattern after every one pitch, at fully developed conditions, the flow on a bare bundle is periodic, meaning that velocity satisfies Equation </w:t>
      </w:r>
      <w:r w:rsidR="000E6307">
        <w:fldChar w:fldCharType="begin"/>
      </w:r>
      <w:r w:rsidR="000E6307">
        <w:instrText xml:space="preserve"> REF _Ref104823208 \h </w:instrText>
      </w:r>
      <w:r w:rsidR="000E6307">
        <w:fldChar w:fldCharType="separate"/>
      </w:r>
      <w:r w:rsidR="00190B20" w:rsidRPr="003830D8">
        <w:t>(</w:t>
      </w:r>
      <w:r w:rsidR="00190B20">
        <w:rPr>
          <w:noProof/>
        </w:rPr>
        <w:t>4</w:t>
      </w:r>
      <w:r w:rsidR="00190B20" w:rsidRPr="003830D8">
        <w:t>)</w:t>
      </w:r>
      <w:r w:rsidR="000E6307">
        <w:fldChar w:fldCharType="end"/>
      </w:r>
      <w:r>
        <w:t>.</w:t>
      </w:r>
    </w:p>
    <w:p w14:paraId="35EBF30E"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6DDC83F6" w14:textId="77777777" w:rsidTr="000E6307">
        <w:tc>
          <w:tcPr>
            <w:tcW w:w="8455" w:type="dxa"/>
            <w:vAlign w:val="center"/>
          </w:tcPr>
          <w:p w14:paraId="71D54F92" w14:textId="3E264360" w:rsidR="003830D8" w:rsidRDefault="00680B2B" w:rsidP="000E6307">
            <w:pPr>
              <w:pStyle w:val="BodyText"/>
              <w:spacing w:before="240"/>
              <w:ind w:firstLine="0"/>
              <w:rPr>
                <w:lang w:val="en-US"/>
              </w:rPr>
            </w:pPr>
            <m:oMathPara>
              <m:oMath>
                <m:acc>
                  <m:accPr>
                    <m:chr m:val="⃗"/>
                    <m:ctrlPr>
                      <w:rPr>
                        <w:rFonts w:ascii="Cambria Math" w:eastAsiaTheme="minorEastAsia" w:hAnsi="Cambria Math"/>
                        <w:i/>
                      </w:rPr>
                    </m:ctrlPr>
                  </m:accPr>
                  <m:e>
                    <m:r>
                      <w:rPr>
                        <w:rFonts w:ascii="Cambria Math" w:eastAsiaTheme="minorEastAsia" w:hAnsi="Cambria Math"/>
                      </w:rPr>
                      <m:t>U</m:t>
                    </m:r>
                  </m:e>
                </m:acc>
                <m:d>
                  <m:dPr>
                    <m:ctrlPr>
                      <w:rPr>
                        <w:rFonts w:ascii="Cambria Math" w:eastAsiaTheme="minorEastAsia" w:hAnsi="Cambria Math"/>
                        <w:i/>
                      </w:rPr>
                    </m:ctrlPr>
                  </m:dPr>
                  <m:e>
                    <m:r>
                      <w:rPr>
                        <w:rFonts w:ascii="Cambria Math" w:eastAsiaTheme="minorEastAsia" w:hAnsi="Cambria Math"/>
                      </w:rPr>
                      <m:t>x,y,z</m:t>
                    </m:r>
                  </m:e>
                </m:d>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d>
                  <m:dPr>
                    <m:ctrlPr>
                      <w:rPr>
                        <w:rFonts w:ascii="Cambria Math" w:eastAsiaTheme="minorEastAsia" w:hAnsi="Cambria Math"/>
                        <w:i/>
                      </w:rPr>
                    </m:ctrlPr>
                  </m:dPr>
                  <m:e>
                    <m:r>
                      <w:rPr>
                        <w:rFonts w:ascii="Cambria Math" w:eastAsiaTheme="minorEastAsia" w:hAnsi="Cambria Math"/>
                      </w:rPr>
                      <m:t>x,y,z+H</m:t>
                    </m:r>
                  </m:e>
                </m:d>
              </m:oMath>
            </m:oMathPara>
          </w:p>
        </w:tc>
        <w:tc>
          <w:tcPr>
            <w:tcW w:w="562" w:type="dxa"/>
            <w:vAlign w:val="center"/>
          </w:tcPr>
          <w:p w14:paraId="1F5A7F90" w14:textId="471E3EDE" w:rsidR="003830D8" w:rsidRDefault="003830D8" w:rsidP="000E6307">
            <w:pPr>
              <w:pStyle w:val="Caption"/>
            </w:pPr>
            <w:bookmarkStart w:id="8" w:name="_Ref104823208"/>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4</w:t>
            </w:r>
            <w:r w:rsidRPr="003830D8">
              <w:rPr>
                <w:sz w:val="20"/>
              </w:rPr>
              <w:fldChar w:fldCharType="end"/>
            </w:r>
            <w:r w:rsidRPr="003830D8">
              <w:rPr>
                <w:sz w:val="20"/>
              </w:rPr>
              <w:t>)</w:t>
            </w:r>
            <w:bookmarkEnd w:id="8"/>
          </w:p>
        </w:tc>
      </w:tr>
    </w:tbl>
    <w:p w14:paraId="7D7807AA" w14:textId="77777777" w:rsidR="00835776" w:rsidRDefault="00835776" w:rsidP="00092C10">
      <w:pPr>
        <w:pStyle w:val="BodyText"/>
      </w:pPr>
    </w:p>
    <w:p w14:paraId="23C084F5" w14:textId="2E1AECCA" w:rsidR="00092C10" w:rsidRDefault="00092C10" w:rsidP="00092C10">
      <w:pPr>
        <w:pStyle w:val="BodyText"/>
      </w:pPr>
      <w:r>
        <w:t xml:space="preserve">The purpose of this first set of simulations was to model the periodic fully-developed flow within the bundle because the experimental measurements are performed in the fully developed region of the test section. This was accomplished </w:t>
      </w:r>
      <w:r w:rsidR="00336A07">
        <w:t xml:space="preserve">by </w:t>
      </w:r>
      <w:proofErr w:type="spellStart"/>
      <w:r>
        <w:t>modeling</w:t>
      </w:r>
      <w:proofErr w:type="spellEnd"/>
      <w:r>
        <w:t xml:space="preserve"> a one-wire pitch length geometry whose inlet and outlet boundaries were connected through a fully-developed periodic interface, which is a capability of the utilized code, STARCCM+. The adopted geometry for this CFD model is shown in </w:t>
      </w:r>
      <w:r w:rsidR="008213FE">
        <w:fldChar w:fldCharType="begin"/>
      </w:r>
      <w:r w:rsidR="008213FE">
        <w:instrText xml:space="preserve"> REF _Ref104903684 \h </w:instrText>
      </w:r>
      <w:r w:rsidR="008213FE">
        <w:fldChar w:fldCharType="separate"/>
      </w:r>
      <w:r w:rsidR="00190B20">
        <w:t xml:space="preserve">FIG </w:t>
      </w:r>
      <w:r w:rsidR="00190B20">
        <w:rPr>
          <w:noProof/>
        </w:rPr>
        <w:t>4</w:t>
      </w:r>
      <w:r w:rsidR="008213FE">
        <w:fldChar w:fldCharType="end"/>
      </w:r>
      <w:r>
        <w:t>. The contacting region between the fuel rods and the wire were joined using circular fillets in order to reduce the required number of cells and to avoid the singularity that would occur at the tangential touching point.</w:t>
      </w:r>
    </w:p>
    <w:p w14:paraId="7734A1CA" w14:textId="77777777" w:rsidR="00092C10" w:rsidRDefault="00092C10" w:rsidP="00092C10">
      <w:pPr>
        <w:pStyle w:val="BodyText"/>
        <w:keepNext/>
        <w:ind w:firstLine="0"/>
        <w:jc w:val="center"/>
      </w:pPr>
      <w:r>
        <w:rPr>
          <w:noProof/>
        </w:rPr>
        <w:drawing>
          <wp:inline distT="0" distB="0" distL="0" distR="0" wp14:anchorId="7FDBE9F9" wp14:editId="32ABE3FA">
            <wp:extent cx="4529978" cy="32918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978" cy="3291840"/>
                    </a:xfrm>
                    <a:prstGeom prst="rect">
                      <a:avLst/>
                    </a:prstGeom>
                    <a:noFill/>
                    <a:ln>
                      <a:noFill/>
                    </a:ln>
                  </pic:spPr>
                </pic:pic>
              </a:graphicData>
            </a:graphic>
          </wp:inline>
        </w:drawing>
      </w:r>
    </w:p>
    <w:p w14:paraId="45E69EFB" w14:textId="5E361685" w:rsidR="00092C10" w:rsidRDefault="00092C10" w:rsidP="00586B8E">
      <w:pPr>
        <w:pStyle w:val="FIG-LONG"/>
      </w:pPr>
      <w:bookmarkStart w:id="9" w:name="_Ref104903684"/>
      <w:r>
        <w:t xml:space="preserve">FIG </w:t>
      </w:r>
      <w:fldSimple w:instr=" SEQ Fig \* ARABIC ">
        <w:r w:rsidR="00190B20">
          <w:rPr>
            <w:noProof/>
          </w:rPr>
          <w:t>4</w:t>
        </w:r>
      </w:fldSimple>
      <w:bookmarkEnd w:id="9"/>
      <w:r>
        <w:t xml:space="preserve">. </w:t>
      </w:r>
      <w:r w:rsidRPr="00092C10">
        <w:t xml:space="preserve">(a) Wire-Wrapped bundle </w:t>
      </w:r>
      <w:proofErr w:type="spellStart"/>
      <w:r w:rsidRPr="00092C10">
        <w:t>modeled</w:t>
      </w:r>
      <w:proofErr w:type="spellEnd"/>
      <w:r w:rsidRPr="00092C10">
        <w:t xml:space="preserve"> geometry used in the CFD simulations with boundary conditions. (b) Detail of the circular fillets joining rods and wires.</w:t>
      </w:r>
    </w:p>
    <w:p w14:paraId="37438C7D" w14:textId="691A05F1" w:rsidR="00835776" w:rsidRPr="00835776" w:rsidRDefault="00835776" w:rsidP="00835776">
      <w:pPr>
        <w:pStyle w:val="BodyText"/>
      </w:pPr>
      <w:r w:rsidRPr="00092C10">
        <w:t xml:space="preserve">The second set of simulations corresponded to the several blockages scenarios mentioned </w:t>
      </w:r>
      <w:r w:rsidR="004021C8">
        <w:t>i</w:t>
      </w:r>
      <w:r w:rsidRPr="00092C10">
        <w:t xml:space="preserve">n </w:t>
      </w:r>
      <w:r>
        <w:fldChar w:fldCharType="begin"/>
      </w:r>
      <w:r>
        <w:instrText xml:space="preserve"> REF _Ref104821407 \h </w:instrText>
      </w:r>
      <w:r>
        <w:fldChar w:fldCharType="separate"/>
      </w:r>
      <w:r w:rsidR="00190B20">
        <w:t xml:space="preserve">TABLE </w:t>
      </w:r>
      <w:r w:rsidR="00190B20">
        <w:rPr>
          <w:noProof/>
        </w:rPr>
        <w:t>II</w:t>
      </w:r>
      <w:r>
        <w:fldChar w:fldCharType="end"/>
      </w:r>
      <w:r w:rsidRPr="00092C10">
        <w:t xml:space="preserve">. The total geometry length was also set to one wire pitch for these case with the addition of the blockages for each case. The periodic fully-developed characteristics of the flow within a bare bundle are lost as a consequence of the blockage presence. Therefore, the periodic fully-developed interfaces were removed for these scenarios. The outlet boundary condition was replaced by a uniform pressure outlet condition set at 0 Pa. The inlet conditions were obtained from the first set of simulations, using the velocity and turbulence quantities values at the periodic interface. These quantities, which represent fully developed conditions, were imposed at the inlet boundary of the geometry with blockages. This allows to reproduce a fully developed flow entering the blocked geometry, </w:t>
      </w:r>
      <w:r>
        <w:t>replicating</w:t>
      </w:r>
      <w:r w:rsidRPr="00092C10">
        <w:t xml:space="preserve"> the experimental conditions.</w:t>
      </w:r>
    </w:p>
    <w:p w14:paraId="1B20545D" w14:textId="5861D99F" w:rsidR="00FB5BED" w:rsidRDefault="00FB5BED" w:rsidP="00FB5BED">
      <w:pPr>
        <w:pStyle w:val="BodyText"/>
      </w:pPr>
      <w:r w:rsidRPr="00FB5BED">
        <w:t xml:space="preserve">The mesh convergence was determined by executing the case without blockage (Case 0). The computational domain was </w:t>
      </w:r>
      <w:proofErr w:type="spellStart"/>
      <w:r w:rsidRPr="00FB5BED">
        <w:t>modeled</w:t>
      </w:r>
      <w:proofErr w:type="spellEnd"/>
      <w:r w:rsidRPr="00FB5BED">
        <w:t xml:space="preserve"> with four different mesh sizes to establish the spatial convergence in RANS simulations. Four meshes were created with the different base sizes and number of cells, as it is presented on</w:t>
      </w:r>
      <w:r w:rsidR="008213FE">
        <w:t xml:space="preserve"> </w:t>
      </w:r>
      <w:r w:rsidR="008213FE">
        <w:fldChar w:fldCharType="begin"/>
      </w:r>
      <w:r w:rsidR="008213FE">
        <w:instrText xml:space="preserve"> REF _Ref104822744 \h </w:instrText>
      </w:r>
      <w:r w:rsidR="008213FE">
        <w:fldChar w:fldCharType="separate"/>
      </w:r>
      <w:r w:rsidR="00190B20">
        <w:t xml:space="preserve">TABLE </w:t>
      </w:r>
      <w:r w:rsidR="00190B20">
        <w:rPr>
          <w:noProof/>
        </w:rPr>
        <w:t>III</w:t>
      </w:r>
      <w:r w:rsidR="008213FE">
        <w:fldChar w:fldCharType="end"/>
      </w:r>
      <w:r w:rsidRPr="00FB5BED">
        <w:t xml:space="preserve">. </w:t>
      </w:r>
      <w:r w:rsidR="008213FE">
        <w:fldChar w:fldCharType="begin"/>
      </w:r>
      <w:r w:rsidR="008213FE">
        <w:instrText xml:space="preserve"> REF _Ref104903744 \h </w:instrText>
      </w:r>
      <w:r w:rsidR="008213FE">
        <w:fldChar w:fldCharType="separate"/>
      </w:r>
      <w:r w:rsidR="00190B20">
        <w:t xml:space="preserve">FIG </w:t>
      </w:r>
      <w:r w:rsidR="00190B20">
        <w:rPr>
          <w:noProof/>
        </w:rPr>
        <w:t>5</w:t>
      </w:r>
      <w:r w:rsidR="008213FE">
        <w:fldChar w:fldCharType="end"/>
      </w:r>
      <w:r w:rsidRPr="00FB5BED">
        <w:t xml:space="preserve"> shows a portion of the mesh for each base size.</w:t>
      </w:r>
    </w:p>
    <w:p w14:paraId="6C5F403C" w14:textId="52559CA2" w:rsidR="00FB5BED" w:rsidRDefault="00DC1AD3" w:rsidP="00FB5BED">
      <w:pPr>
        <w:pStyle w:val="BodyText"/>
        <w:keepNext/>
        <w:ind w:firstLine="0"/>
      </w:pPr>
      <w:r>
        <w:rPr>
          <w:noProof/>
        </w:rPr>
        <w:lastRenderedPageBreak/>
        <w:drawing>
          <wp:inline distT="0" distB="0" distL="0" distR="0" wp14:anchorId="2F58AF5F" wp14:editId="629F747E">
            <wp:extent cx="5732145" cy="1024930"/>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024930"/>
                    </a:xfrm>
                    <a:prstGeom prst="rect">
                      <a:avLst/>
                    </a:prstGeom>
                    <a:noFill/>
                    <a:ln>
                      <a:noFill/>
                    </a:ln>
                  </pic:spPr>
                </pic:pic>
              </a:graphicData>
            </a:graphic>
          </wp:inline>
        </w:drawing>
      </w:r>
    </w:p>
    <w:p w14:paraId="0BED845E" w14:textId="2AF3CBD6" w:rsidR="00FB5BED" w:rsidRDefault="00FB5BED" w:rsidP="00680B61">
      <w:pPr>
        <w:pStyle w:val="FIG-LONG"/>
      </w:pPr>
      <w:bookmarkStart w:id="10" w:name="_Ref104903744"/>
      <w:r>
        <w:t xml:space="preserve">FIG </w:t>
      </w:r>
      <w:fldSimple w:instr=" SEQ Fig \* ARABIC ">
        <w:r w:rsidR="00190B20">
          <w:rPr>
            <w:noProof/>
          </w:rPr>
          <w:t>5</w:t>
        </w:r>
      </w:fldSimple>
      <w:bookmarkEnd w:id="10"/>
      <w:r>
        <w:t xml:space="preserve">. </w:t>
      </w:r>
      <w:r w:rsidRPr="00FB5BED">
        <w:t xml:space="preserve">Meshes </w:t>
      </w:r>
      <w:r>
        <w:t>analysed</w:t>
      </w:r>
    </w:p>
    <w:p w14:paraId="4B56E6E9" w14:textId="324DDCA3" w:rsidR="00FB5BED" w:rsidRDefault="00B87742" w:rsidP="00FB5BED">
      <w:pPr>
        <w:pStyle w:val="BodyText"/>
      </w:pPr>
      <w:r>
        <w:t>The f</w:t>
      </w:r>
      <w:r w:rsidR="00FB5BED" w:rsidRPr="00FB5BED">
        <w:t>riction factor</w:t>
      </w:r>
      <w:r>
        <w:t xml:space="preserve"> was</w:t>
      </w:r>
      <w:r w:rsidR="00FB5BED" w:rsidRPr="00FB5BED">
        <w:t xml:space="preserve"> analy</w:t>
      </w:r>
      <w:r>
        <w:t>s</w:t>
      </w:r>
      <w:r w:rsidR="00FB5BED" w:rsidRPr="00FB5BED">
        <w:t xml:space="preserve">ed in order to find the mesh independent solution. In early studies, it has been shown that the </w:t>
      </w:r>
      <m:oMath>
        <m:r>
          <w:rPr>
            <w:rFonts w:ascii="Cambria Math" w:hAnsi="Cambria Math"/>
          </w:rPr>
          <m:t>k-ω</m:t>
        </m:r>
      </m:oMath>
      <w:r w:rsidR="00FB5BED" w:rsidRPr="00FB5BED">
        <w:t xml:space="preserve"> SST turbulence model is capable to provide accurate simulation results of a wire-wrapped fuel bundle </w:t>
      </w:r>
      <w:r w:rsidR="008213FE">
        <w:fldChar w:fldCharType="begin"/>
      </w:r>
      <w:r w:rsidR="008213FE">
        <w:instrText xml:space="preserve"> REF _Ref104903773 \r \h </w:instrText>
      </w:r>
      <w:r w:rsidR="008213FE">
        <w:fldChar w:fldCharType="separate"/>
      </w:r>
      <w:r w:rsidR="00190B20">
        <w:t>[24]</w:t>
      </w:r>
      <w:r w:rsidR="008213FE">
        <w:fldChar w:fldCharType="end"/>
      </w:r>
      <w:r w:rsidR="00FB5BED" w:rsidRPr="00FB5BED">
        <w:t xml:space="preserve">. Thus, the mesh sensitivity study was performed for Case 0 with </w:t>
      </w:r>
      <m:oMath>
        <m:r>
          <w:rPr>
            <w:rFonts w:ascii="Cambria Math" w:hAnsi="Cambria Math"/>
          </w:rPr>
          <m:t>k-ω</m:t>
        </m:r>
      </m:oMath>
      <w:r w:rsidR="00FB5BED" w:rsidRPr="00FB5BED">
        <w:t xml:space="preserve"> SST turbulence model. The friction factor was calculated at </w:t>
      </w:r>
      <m:oMath>
        <m:r>
          <w:rPr>
            <w:rFonts w:ascii="Cambria Math" w:hAnsi="Cambria Math"/>
          </w:rPr>
          <m:t>Re=17,000</m:t>
        </m:r>
      </m:oMath>
      <w:r w:rsidR="00FB5BED" w:rsidRPr="00FB5BED">
        <w:t xml:space="preserve"> and compared with the Upgraded Cheng Todreas Detailed correlation (UCTD) </w:t>
      </w:r>
      <w:r w:rsidR="008213FE">
        <w:fldChar w:fldCharType="begin"/>
      </w:r>
      <w:r w:rsidR="008213FE">
        <w:instrText xml:space="preserve"> REF _Ref67226611 \r \h </w:instrText>
      </w:r>
      <w:r w:rsidR="008213FE">
        <w:fldChar w:fldCharType="separate"/>
      </w:r>
      <w:r w:rsidR="00190B20">
        <w:t>[23]</w:t>
      </w:r>
      <w:r w:rsidR="008213FE">
        <w:fldChar w:fldCharType="end"/>
      </w:r>
      <w:r w:rsidR="00FB5BED" w:rsidRPr="00FB5BED">
        <w:t xml:space="preserve">. The friction factor predicted by the UCTD correlation at Reynolds number of 17000 is 0.02838±0.0042. The error between the calculated friction factors and the UCTD correlation is shown in </w:t>
      </w:r>
      <w:r w:rsidR="008213FE">
        <w:fldChar w:fldCharType="begin"/>
      </w:r>
      <w:r w:rsidR="008213FE">
        <w:instrText xml:space="preserve"> REF _Ref104822744 \h </w:instrText>
      </w:r>
      <w:r w:rsidR="008213FE">
        <w:fldChar w:fldCharType="separate"/>
      </w:r>
      <w:r w:rsidR="00190B20">
        <w:t xml:space="preserve">TABLE </w:t>
      </w:r>
      <w:r w:rsidR="00190B20">
        <w:rPr>
          <w:noProof/>
        </w:rPr>
        <w:t>III</w:t>
      </w:r>
      <w:r w:rsidR="008213FE">
        <w:fldChar w:fldCharType="end"/>
      </w:r>
      <w:r w:rsidR="00F63382">
        <w:t xml:space="preserve"> (experimental data is not available for case 0 at </w:t>
      </w:r>
      <m:oMath>
        <m:r>
          <w:rPr>
            <w:rFonts w:ascii="Cambria Math" w:hAnsi="Cambria Math"/>
          </w:rPr>
          <m:t>Re=17000</m:t>
        </m:r>
      </m:oMath>
      <w:r w:rsidR="00F63382">
        <w:t>)</w:t>
      </w:r>
      <w:r w:rsidR="008213FE">
        <w:t>.</w:t>
      </w:r>
      <w:r w:rsidR="00680B2B">
        <w:t xml:space="preserve"> For all the cases analysed, the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680B2B">
        <w:t xml:space="preserve"> value was kept below 1. </w:t>
      </w:r>
    </w:p>
    <w:p w14:paraId="36068BFA" w14:textId="77777777" w:rsidR="00FB5BED" w:rsidRDefault="00FB5BED" w:rsidP="00FB5BED">
      <w:pPr>
        <w:pStyle w:val="BodyText"/>
      </w:pPr>
    </w:p>
    <w:p w14:paraId="3221D5E7" w14:textId="5988205B" w:rsidR="00FB5BED" w:rsidRPr="00FB5BED" w:rsidRDefault="00FB5BED" w:rsidP="00680B2B">
      <w:pPr>
        <w:pStyle w:val="Caption"/>
        <w:keepNext/>
      </w:pPr>
      <w:bookmarkStart w:id="11" w:name="_Ref104822744"/>
      <w:r>
        <w:t xml:space="preserve">TABLE </w:t>
      </w:r>
      <w:r>
        <w:fldChar w:fldCharType="begin"/>
      </w:r>
      <w:r>
        <w:instrText xml:space="preserve"> SEQ TABLE \* ROMAN </w:instrText>
      </w:r>
      <w:r>
        <w:fldChar w:fldCharType="separate"/>
      </w:r>
      <w:r w:rsidR="00190B20">
        <w:rPr>
          <w:noProof/>
        </w:rPr>
        <w:t>III</w:t>
      </w:r>
      <w:r>
        <w:fldChar w:fldCharType="end"/>
      </w:r>
      <w:bookmarkEnd w:id="11"/>
      <w:r>
        <w:t>.</w:t>
      </w:r>
      <w:r>
        <w:tab/>
      </w:r>
      <w:r w:rsidRPr="00FB5BED">
        <w:t>MESH PARAMETERS AND FRICTION FACTOR</w:t>
      </w:r>
      <w:r w:rsidR="001F61A5">
        <w:t xml:space="preserve"> FOR CASE 0</w:t>
      </w:r>
      <w:r w:rsidR="00680B2B">
        <w:t>. THE BASE SIZE WAS NORMALIZED USING THE HYDRAULIC DIAMETER.</w:t>
      </w:r>
    </w:p>
    <w:tbl>
      <w:tblPr>
        <w:tblStyle w:val="TableGrid"/>
        <w:tblW w:w="0" w:type="auto"/>
        <w:jc w:val="center"/>
        <w:tblLook w:val="04A0" w:firstRow="1" w:lastRow="0" w:firstColumn="1" w:lastColumn="0" w:noHBand="0" w:noVBand="1"/>
      </w:tblPr>
      <w:tblGrid>
        <w:gridCol w:w="887"/>
        <w:gridCol w:w="1161"/>
        <w:gridCol w:w="1607"/>
        <w:gridCol w:w="1796"/>
        <w:gridCol w:w="1796"/>
        <w:gridCol w:w="1780"/>
      </w:tblGrid>
      <w:tr w:rsidR="00FB5BED" w:rsidRPr="00B336E0" w14:paraId="43328BEE" w14:textId="2DAC1FDD" w:rsidTr="00FB5BED">
        <w:trPr>
          <w:jc w:val="center"/>
        </w:trPr>
        <w:tc>
          <w:tcPr>
            <w:tcW w:w="900" w:type="dxa"/>
            <w:tcBorders>
              <w:left w:val="nil"/>
              <w:bottom w:val="single" w:sz="4" w:space="0" w:color="auto"/>
              <w:right w:val="nil"/>
            </w:tcBorders>
            <w:vAlign w:val="center"/>
          </w:tcPr>
          <w:p w14:paraId="239A6345" w14:textId="02A5CA18" w:rsidR="00FB5BED" w:rsidRPr="00B336E0" w:rsidRDefault="00FB5BED" w:rsidP="000E6307">
            <w:pPr>
              <w:spacing w:line="276" w:lineRule="auto"/>
              <w:rPr>
                <w:sz w:val="20"/>
                <w:lang w:val="en-US"/>
              </w:rPr>
            </w:pPr>
            <w:r>
              <w:rPr>
                <w:sz w:val="20"/>
                <w:lang w:val="en-US"/>
              </w:rPr>
              <w:t>Mesh #</w:t>
            </w:r>
          </w:p>
        </w:tc>
        <w:tc>
          <w:tcPr>
            <w:tcW w:w="990" w:type="dxa"/>
            <w:tcBorders>
              <w:left w:val="nil"/>
              <w:bottom w:val="single" w:sz="4" w:space="0" w:color="auto"/>
              <w:right w:val="nil"/>
            </w:tcBorders>
            <w:vAlign w:val="center"/>
          </w:tcPr>
          <w:p w14:paraId="74DF26B4" w14:textId="65E302D1" w:rsidR="00FB5BED" w:rsidRPr="00B336E0" w:rsidRDefault="00680B2B" w:rsidP="000E6307">
            <w:pPr>
              <w:spacing w:line="276" w:lineRule="auto"/>
              <w:jc w:val="center"/>
              <w:rPr>
                <w:sz w:val="20"/>
                <w:lang w:val="en-US"/>
              </w:rPr>
            </w:pPr>
            <w:r>
              <w:rPr>
                <w:sz w:val="20"/>
                <w:lang w:val="en-US"/>
              </w:rPr>
              <w:t xml:space="preserve">Normalized </w:t>
            </w:r>
            <w:r w:rsidR="00FB5BED" w:rsidRPr="00FB5BED">
              <w:rPr>
                <w:sz w:val="20"/>
                <w:lang w:val="en-US"/>
              </w:rPr>
              <w:t>Base size</w:t>
            </w:r>
          </w:p>
        </w:tc>
        <w:tc>
          <w:tcPr>
            <w:tcW w:w="1629" w:type="dxa"/>
            <w:tcBorders>
              <w:left w:val="nil"/>
              <w:bottom w:val="single" w:sz="4" w:space="0" w:color="auto"/>
              <w:right w:val="nil"/>
            </w:tcBorders>
            <w:vAlign w:val="center"/>
          </w:tcPr>
          <w:p w14:paraId="2FDCC306" w14:textId="37BD5708" w:rsidR="00FB5BED" w:rsidRPr="00B336E0" w:rsidRDefault="00FB5BED" w:rsidP="000E6307">
            <w:pPr>
              <w:spacing w:line="276" w:lineRule="auto"/>
              <w:jc w:val="center"/>
              <w:rPr>
                <w:sz w:val="20"/>
                <w:lang w:val="en-US"/>
              </w:rPr>
            </w:pPr>
            <w:r w:rsidRPr="00FB5BED">
              <w:rPr>
                <w:sz w:val="20"/>
                <w:lang w:val="en-US"/>
              </w:rPr>
              <w:t>Number of Cells</w:t>
            </w:r>
          </w:p>
        </w:tc>
        <w:tc>
          <w:tcPr>
            <w:tcW w:w="1836" w:type="dxa"/>
            <w:tcBorders>
              <w:left w:val="nil"/>
              <w:bottom w:val="single" w:sz="4" w:space="0" w:color="auto"/>
              <w:right w:val="nil"/>
            </w:tcBorders>
            <w:vAlign w:val="center"/>
          </w:tcPr>
          <w:p w14:paraId="4866C9EA" w14:textId="5E6DC5C2" w:rsidR="00FB5BED" w:rsidRPr="00B336E0" w:rsidRDefault="00FB5BED" w:rsidP="000E6307">
            <w:pPr>
              <w:spacing w:line="276" w:lineRule="auto"/>
              <w:jc w:val="center"/>
              <w:rPr>
                <w:sz w:val="20"/>
                <w:lang w:val="en-US"/>
              </w:rPr>
            </w:pPr>
            <w:r w:rsidRPr="00FB5BED">
              <w:rPr>
                <w:sz w:val="20"/>
                <w:lang w:val="en-US"/>
              </w:rPr>
              <w:t>Calculated Friction Factor</w:t>
            </w:r>
          </w:p>
        </w:tc>
        <w:tc>
          <w:tcPr>
            <w:tcW w:w="1836" w:type="dxa"/>
            <w:tcBorders>
              <w:left w:val="nil"/>
              <w:bottom w:val="single" w:sz="4" w:space="0" w:color="auto"/>
              <w:right w:val="nil"/>
            </w:tcBorders>
            <w:vAlign w:val="center"/>
          </w:tcPr>
          <w:p w14:paraId="307068B7" w14:textId="5D55EE5D" w:rsidR="00FB5BED" w:rsidRPr="00B336E0" w:rsidRDefault="00FB5BED" w:rsidP="000E6307">
            <w:pPr>
              <w:spacing w:line="276" w:lineRule="auto"/>
              <w:jc w:val="center"/>
              <w:rPr>
                <w:sz w:val="20"/>
                <w:lang w:val="en-US"/>
              </w:rPr>
            </w:pPr>
            <w:r w:rsidRPr="00FB5BED">
              <w:rPr>
                <w:sz w:val="20"/>
                <w:lang w:val="en-US"/>
              </w:rPr>
              <w:t>Difference with respect to mesh 4</w:t>
            </w:r>
          </w:p>
        </w:tc>
        <w:tc>
          <w:tcPr>
            <w:tcW w:w="1836" w:type="dxa"/>
            <w:tcBorders>
              <w:left w:val="nil"/>
              <w:bottom w:val="single" w:sz="4" w:space="0" w:color="auto"/>
              <w:right w:val="nil"/>
            </w:tcBorders>
            <w:vAlign w:val="center"/>
          </w:tcPr>
          <w:p w14:paraId="3F4F1E0D" w14:textId="5DBB834D" w:rsidR="00FB5BED" w:rsidRPr="00B336E0" w:rsidRDefault="00FB5BED" w:rsidP="000E6307">
            <w:pPr>
              <w:spacing w:line="276" w:lineRule="auto"/>
              <w:jc w:val="center"/>
              <w:rPr>
                <w:sz w:val="20"/>
                <w:lang w:val="en-US"/>
              </w:rPr>
            </w:pPr>
            <w:r w:rsidRPr="00FB5BED">
              <w:rPr>
                <w:sz w:val="20"/>
                <w:lang w:val="en-US"/>
              </w:rPr>
              <w:t>Error w. r. t. UCTD</w:t>
            </w:r>
          </w:p>
        </w:tc>
      </w:tr>
      <w:tr w:rsidR="00FB5BED" w:rsidRPr="00B336E0" w14:paraId="5D881A2B" w14:textId="5940BE79" w:rsidTr="00FB5BED">
        <w:trPr>
          <w:jc w:val="center"/>
        </w:trPr>
        <w:tc>
          <w:tcPr>
            <w:tcW w:w="900" w:type="dxa"/>
            <w:tcBorders>
              <w:top w:val="single" w:sz="4" w:space="0" w:color="auto"/>
              <w:left w:val="nil"/>
              <w:right w:val="nil"/>
            </w:tcBorders>
            <w:vAlign w:val="center"/>
          </w:tcPr>
          <w:p w14:paraId="052EFFA2" w14:textId="24519EF0" w:rsidR="00FB5BED" w:rsidRPr="00FB5BED" w:rsidRDefault="00FB5BED" w:rsidP="00FB5BED">
            <w:pPr>
              <w:spacing w:line="276" w:lineRule="auto"/>
              <w:rPr>
                <w:sz w:val="20"/>
                <w:lang w:val="en-US"/>
              </w:rPr>
            </w:pPr>
            <w:r w:rsidRPr="00FB5BED">
              <w:rPr>
                <w:sz w:val="20"/>
              </w:rPr>
              <w:t>1</w:t>
            </w:r>
          </w:p>
        </w:tc>
        <w:tc>
          <w:tcPr>
            <w:tcW w:w="990" w:type="dxa"/>
            <w:tcBorders>
              <w:top w:val="single" w:sz="4" w:space="0" w:color="auto"/>
              <w:left w:val="nil"/>
              <w:right w:val="nil"/>
            </w:tcBorders>
            <w:vAlign w:val="center"/>
          </w:tcPr>
          <w:p w14:paraId="771198FA" w14:textId="6A4B2D0F" w:rsidR="00FB5BED" w:rsidRPr="00FB5BED" w:rsidRDefault="00FB5BED" w:rsidP="00FB5BED">
            <w:pPr>
              <w:spacing w:line="276" w:lineRule="auto"/>
              <w:jc w:val="center"/>
              <w:rPr>
                <w:rFonts w:ascii="Cambria Math" w:hAnsi="Cambria Math"/>
                <w:sz w:val="20"/>
                <w:lang w:val="en-US"/>
              </w:rPr>
            </w:pPr>
            <w:r w:rsidRPr="00FB5BED">
              <w:rPr>
                <w:sz w:val="20"/>
              </w:rPr>
              <w:t>0.500</w:t>
            </w:r>
          </w:p>
        </w:tc>
        <w:tc>
          <w:tcPr>
            <w:tcW w:w="1629" w:type="dxa"/>
            <w:tcBorders>
              <w:top w:val="single" w:sz="4" w:space="0" w:color="auto"/>
              <w:left w:val="nil"/>
              <w:right w:val="nil"/>
            </w:tcBorders>
            <w:vAlign w:val="center"/>
          </w:tcPr>
          <w:p w14:paraId="7926B8AF" w14:textId="610C8A6A" w:rsidR="00FB5BED" w:rsidRPr="00FB5BED" w:rsidRDefault="00FB5BED" w:rsidP="00FB5BED">
            <w:pPr>
              <w:spacing w:line="276" w:lineRule="auto"/>
              <w:jc w:val="center"/>
              <w:rPr>
                <w:sz w:val="20"/>
                <w:lang w:val="en-US"/>
              </w:rPr>
            </w:pPr>
            <w:r w:rsidRPr="00FB5BED">
              <w:rPr>
                <w:color w:val="000000"/>
                <w:sz w:val="20"/>
              </w:rPr>
              <w:t>60,322,349</w:t>
            </w:r>
          </w:p>
        </w:tc>
        <w:tc>
          <w:tcPr>
            <w:tcW w:w="1836" w:type="dxa"/>
            <w:tcBorders>
              <w:top w:val="single" w:sz="4" w:space="0" w:color="auto"/>
              <w:left w:val="nil"/>
              <w:right w:val="nil"/>
            </w:tcBorders>
            <w:vAlign w:val="center"/>
          </w:tcPr>
          <w:p w14:paraId="49649546" w14:textId="3926E8EA" w:rsidR="00FB5BED" w:rsidRPr="00FB5BED" w:rsidRDefault="00FB5BED" w:rsidP="00FB5BED">
            <w:pPr>
              <w:spacing w:line="276" w:lineRule="auto"/>
              <w:jc w:val="center"/>
              <w:rPr>
                <w:sz w:val="20"/>
                <w:lang w:val="en-US"/>
              </w:rPr>
            </w:pPr>
            <w:r w:rsidRPr="00FB5BED">
              <w:rPr>
                <w:color w:val="000000"/>
                <w:sz w:val="20"/>
              </w:rPr>
              <w:t>0.027353</w:t>
            </w:r>
          </w:p>
        </w:tc>
        <w:tc>
          <w:tcPr>
            <w:tcW w:w="1836" w:type="dxa"/>
            <w:tcBorders>
              <w:top w:val="single" w:sz="4" w:space="0" w:color="auto"/>
              <w:left w:val="nil"/>
              <w:right w:val="nil"/>
            </w:tcBorders>
            <w:vAlign w:val="center"/>
          </w:tcPr>
          <w:p w14:paraId="0BC723E7" w14:textId="24C21BC5" w:rsidR="00FB5BED" w:rsidRPr="00FB5BED" w:rsidRDefault="00FB5BED" w:rsidP="00FB5BED">
            <w:pPr>
              <w:spacing w:line="276" w:lineRule="auto"/>
              <w:jc w:val="center"/>
              <w:rPr>
                <w:sz w:val="20"/>
                <w:lang w:val="en-US"/>
              </w:rPr>
            </w:pPr>
            <w:r w:rsidRPr="00FB5BED">
              <w:rPr>
                <w:color w:val="000000"/>
                <w:sz w:val="20"/>
              </w:rPr>
              <w:t>-5.62%</w:t>
            </w:r>
          </w:p>
        </w:tc>
        <w:tc>
          <w:tcPr>
            <w:tcW w:w="1836" w:type="dxa"/>
            <w:tcBorders>
              <w:top w:val="single" w:sz="4" w:space="0" w:color="auto"/>
              <w:left w:val="nil"/>
              <w:right w:val="nil"/>
            </w:tcBorders>
            <w:vAlign w:val="center"/>
          </w:tcPr>
          <w:p w14:paraId="23D81B6C" w14:textId="45B02856" w:rsidR="00FB5BED" w:rsidRPr="00FB5BED" w:rsidRDefault="00FB5BED" w:rsidP="00FB5BED">
            <w:pPr>
              <w:spacing w:line="276" w:lineRule="auto"/>
              <w:jc w:val="center"/>
              <w:rPr>
                <w:sz w:val="20"/>
                <w:lang w:val="en-US"/>
              </w:rPr>
            </w:pPr>
            <w:r w:rsidRPr="00FB5BED">
              <w:rPr>
                <w:color w:val="000000"/>
                <w:sz w:val="20"/>
              </w:rPr>
              <w:t>-3.61%</w:t>
            </w:r>
          </w:p>
        </w:tc>
      </w:tr>
      <w:tr w:rsidR="00FB5BED" w:rsidRPr="00B336E0" w14:paraId="699C6CB1" w14:textId="34A0D48E" w:rsidTr="00FB5BED">
        <w:trPr>
          <w:jc w:val="center"/>
        </w:trPr>
        <w:tc>
          <w:tcPr>
            <w:tcW w:w="900" w:type="dxa"/>
            <w:tcBorders>
              <w:left w:val="nil"/>
              <w:right w:val="nil"/>
            </w:tcBorders>
            <w:vAlign w:val="center"/>
          </w:tcPr>
          <w:p w14:paraId="4960C28E" w14:textId="120847EE" w:rsidR="00FB5BED" w:rsidRPr="00FB5BED" w:rsidRDefault="00FB5BED" w:rsidP="00FB5BED">
            <w:pPr>
              <w:spacing w:line="276" w:lineRule="auto"/>
              <w:rPr>
                <w:sz w:val="20"/>
                <w:lang w:val="en-US"/>
              </w:rPr>
            </w:pPr>
            <w:r w:rsidRPr="00FB5BED">
              <w:rPr>
                <w:sz w:val="20"/>
              </w:rPr>
              <w:t>2</w:t>
            </w:r>
          </w:p>
        </w:tc>
        <w:tc>
          <w:tcPr>
            <w:tcW w:w="990" w:type="dxa"/>
            <w:tcBorders>
              <w:left w:val="nil"/>
              <w:right w:val="nil"/>
            </w:tcBorders>
            <w:vAlign w:val="center"/>
          </w:tcPr>
          <w:p w14:paraId="2014A0BF" w14:textId="62BC4362" w:rsidR="00FB5BED" w:rsidRPr="00FB5BED" w:rsidRDefault="00FB5BED" w:rsidP="00FB5BED">
            <w:pPr>
              <w:spacing w:line="276" w:lineRule="auto"/>
              <w:jc w:val="center"/>
              <w:rPr>
                <w:rFonts w:ascii="Cambria Math" w:hAnsi="Cambria Math"/>
                <w:sz w:val="20"/>
                <w:lang w:val="en-US"/>
              </w:rPr>
            </w:pPr>
            <w:r w:rsidRPr="00FB5BED">
              <w:rPr>
                <w:sz w:val="20"/>
              </w:rPr>
              <w:t>0.375</w:t>
            </w:r>
          </w:p>
        </w:tc>
        <w:tc>
          <w:tcPr>
            <w:tcW w:w="1629" w:type="dxa"/>
            <w:tcBorders>
              <w:left w:val="nil"/>
              <w:right w:val="nil"/>
            </w:tcBorders>
            <w:vAlign w:val="center"/>
          </w:tcPr>
          <w:p w14:paraId="52678D16" w14:textId="6B720334" w:rsidR="00FB5BED" w:rsidRPr="00FB5BED" w:rsidRDefault="00FB5BED" w:rsidP="00FB5BED">
            <w:pPr>
              <w:spacing w:line="276" w:lineRule="auto"/>
              <w:jc w:val="center"/>
              <w:rPr>
                <w:sz w:val="20"/>
                <w:lang w:val="en-US"/>
              </w:rPr>
            </w:pPr>
            <w:r w:rsidRPr="00FB5BED">
              <w:rPr>
                <w:color w:val="000000"/>
                <w:sz w:val="20"/>
              </w:rPr>
              <w:t>89,465,198</w:t>
            </w:r>
          </w:p>
        </w:tc>
        <w:tc>
          <w:tcPr>
            <w:tcW w:w="1836" w:type="dxa"/>
            <w:tcBorders>
              <w:left w:val="nil"/>
              <w:right w:val="nil"/>
            </w:tcBorders>
            <w:vAlign w:val="center"/>
          </w:tcPr>
          <w:p w14:paraId="7519F062" w14:textId="0FF1E4B8" w:rsidR="00FB5BED" w:rsidRPr="00FB5BED" w:rsidRDefault="00FB5BED" w:rsidP="00FB5BED">
            <w:pPr>
              <w:spacing w:line="276" w:lineRule="auto"/>
              <w:jc w:val="center"/>
              <w:rPr>
                <w:sz w:val="20"/>
                <w:lang w:val="en-US"/>
              </w:rPr>
            </w:pPr>
            <w:r w:rsidRPr="00FB5BED">
              <w:rPr>
                <w:color w:val="000000"/>
                <w:sz w:val="20"/>
              </w:rPr>
              <w:t>0.028078</w:t>
            </w:r>
          </w:p>
        </w:tc>
        <w:tc>
          <w:tcPr>
            <w:tcW w:w="1836" w:type="dxa"/>
            <w:tcBorders>
              <w:left w:val="nil"/>
              <w:right w:val="nil"/>
            </w:tcBorders>
            <w:vAlign w:val="center"/>
          </w:tcPr>
          <w:p w14:paraId="61D7641F" w14:textId="4DE02003" w:rsidR="00FB5BED" w:rsidRPr="00FB5BED" w:rsidRDefault="00FB5BED" w:rsidP="00FB5BED">
            <w:pPr>
              <w:spacing w:line="276" w:lineRule="auto"/>
              <w:jc w:val="center"/>
              <w:rPr>
                <w:sz w:val="20"/>
                <w:lang w:val="en-US"/>
              </w:rPr>
            </w:pPr>
            <w:r w:rsidRPr="00FB5BED">
              <w:rPr>
                <w:color w:val="000000"/>
                <w:sz w:val="20"/>
              </w:rPr>
              <w:t>-3.12%</w:t>
            </w:r>
          </w:p>
        </w:tc>
        <w:tc>
          <w:tcPr>
            <w:tcW w:w="1836" w:type="dxa"/>
            <w:tcBorders>
              <w:left w:val="nil"/>
              <w:right w:val="nil"/>
            </w:tcBorders>
            <w:vAlign w:val="center"/>
          </w:tcPr>
          <w:p w14:paraId="190708A8" w14:textId="2A3903A2" w:rsidR="00FB5BED" w:rsidRPr="00FB5BED" w:rsidRDefault="00FB5BED" w:rsidP="00FB5BED">
            <w:pPr>
              <w:spacing w:line="276" w:lineRule="auto"/>
              <w:jc w:val="center"/>
              <w:rPr>
                <w:sz w:val="20"/>
                <w:lang w:val="en-US"/>
              </w:rPr>
            </w:pPr>
            <w:r w:rsidRPr="00FB5BED">
              <w:rPr>
                <w:color w:val="000000"/>
                <w:sz w:val="20"/>
              </w:rPr>
              <w:t>-1.05%</w:t>
            </w:r>
          </w:p>
        </w:tc>
      </w:tr>
      <w:tr w:rsidR="00FB5BED" w:rsidRPr="00B336E0" w14:paraId="4A8110DB" w14:textId="3DE3C9EE" w:rsidTr="00FB5BED">
        <w:trPr>
          <w:jc w:val="center"/>
        </w:trPr>
        <w:tc>
          <w:tcPr>
            <w:tcW w:w="900" w:type="dxa"/>
            <w:tcBorders>
              <w:left w:val="nil"/>
              <w:right w:val="nil"/>
            </w:tcBorders>
            <w:vAlign w:val="center"/>
          </w:tcPr>
          <w:p w14:paraId="3102AB20" w14:textId="684D30F2" w:rsidR="00FB5BED" w:rsidRPr="00FB5BED" w:rsidRDefault="00FB5BED" w:rsidP="00FB5BED">
            <w:pPr>
              <w:spacing w:line="276" w:lineRule="auto"/>
              <w:rPr>
                <w:sz w:val="20"/>
                <w:lang w:val="en-US"/>
              </w:rPr>
            </w:pPr>
            <w:r w:rsidRPr="00FB5BED">
              <w:rPr>
                <w:sz w:val="20"/>
              </w:rPr>
              <w:t>3</w:t>
            </w:r>
          </w:p>
        </w:tc>
        <w:tc>
          <w:tcPr>
            <w:tcW w:w="990" w:type="dxa"/>
            <w:tcBorders>
              <w:left w:val="nil"/>
              <w:right w:val="nil"/>
            </w:tcBorders>
            <w:vAlign w:val="center"/>
          </w:tcPr>
          <w:p w14:paraId="4E6BC8E2" w14:textId="745B9E9C" w:rsidR="00FB5BED" w:rsidRPr="00FB5BED" w:rsidRDefault="00FB5BED" w:rsidP="00FB5BED">
            <w:pPr>
              <w:spacing w:line="276" w:lineRule="auto"/>
              <w:jc w:val="center"/>
              <w:rPr>
                <w:rFonts w:ascii="Cambria Math" w:hAnsi="Cambria Math"/>
                <w:sz w:val="20"/>
                <w:lang w:val="en-US"/>
              </w:rPr>
            </w:pPr>
            <w:r w:rsidRPr="00FB5BED">
              <w:rPr>
                <w:sz w:val="20"/>
              </w:rPr>
              <w:t>0.300</w:t>
            </w:r>
          </w:p>
        </w:tc>
        <w:tc>
          <w:tcPr>
            <w:tcW w:w="1629" w:type="dxa"/>
            <w:tcBorders>
              <w:left w:val="nil"/>
              <w:right w:val="nil"/>
            </w:tcBorders>
            <w:vAlign w:val="center"/>
          </w:tcPr>
          <w:p w14:paraId="18067346" w14:textId="79E0B9AF" w:rsidR="00FB5BED" w:rsidRPr="00FB5BED" w:rsidRDefault="00FB5BED" w:rsidP="00FB5BED">
            <w:pPr>
              <w:spacing w:line="276" w:lineRule="auto"/>
              <w:jc w:val="center"/>
              <w:rPr>
                <w:sz w:val="20"/>
                <w:lang w:val="en-US"/>
              </w:rPr>
            </w:pPr>
            <w:r w:rsidRPr="00FB5BED">
              <w:rPr>
                <w:color w:val="000000"/>
                <w:sz w:val="20"/>
              </w:rPr>
              <w:t>146,754,866</w:t>
            </w:r>
          </w:p>
        </w:tc>
        <w:tc>
          <w:tcPr>
            <w:tcW w:w="1836" w:type="dxa"/>
            <w:tcBorders>
              <w:left w:val="nil"/>
              <w:right w:val="nil"/>
            </w:tcBorders>
            <w:vAlign w:val="center"/>
          </w:tcPr>
          <w:p w14:paraId="37AD946A" w14:textId="3D4067E2" w:rsidR="00FB5BED" w:rsidRPr="00FB5BED" w:rsidRDefault="00FB5BED" w:rsidP="00FB5BED">
            <w:pPr>
              <w:spacing w:line="276" w:lineRule="auto"/>
              <w:jc w:val="center"/>
              <w:rPr>
                <w:sz w:val="20"/>
                <w:lang w:val="en-US"/>
              </w:rPr>
            </w:pPr>
            <w:r w:rsidRPr="00FB5BED">
              <w:rPr>
                <w:color w:val="000000"/>
                <w:sz w:val="20"/>
              </w:rPr>
              <w:t>0.028872</w:t>
            </w:r>
          </w:p>
        </w:tc>
        <w:tc>
          <w:tcPr>
            <w:tcW w:w="1836" w:type="dxa"/>
            <w:tcBorders>
              <w:left w:val="nil"/>
              <w:right w:val="nil"/>
            </w:tcBorders>
            <w:vAlign w:val="center"/>
          </w:tcPr>
          <w:p w14:paraId="7EBB4125" w14:textId="6ADE25EF" w:rsidR="00FB5BED" w:rsidRPr="00FB5BED" w:rsidRDefault="00FB5BED" w:rsidP="00FB5BED">
            <w:pPr>
              <w:spacing w:line="276" w:lineRule="auto"/>
              <w:jc w:val="center"/>
              <w:rPr>
                <w:sz w:val="20"/>
                <w:lang w:val="en-US"/>
              </w:rPr>
            </w:pPr>
            <w:r w:rsidRPr="00FB5BED">
              <w:rPr>
                <w:color w:val="000000"/>
                <w:sz w:val="20"/>
              </w:rPr>
              <w:t>-0.38%</w:t>
            </w:r>
          </w:p>
        </w:tc>
        <w:tc>
          <w:tcPr>
            <w:tcW w:w="1836" w:type="dxa"/>
            <w:tcBorders>
              <w:left w:val="nil"/>
              <w:right w:val="nil"/>
            </w:tcBorders>
            <w:vAlign w:val="center"/>
          </w:tcPr>
          <w:p w14:paraId="66C69270" w14:textId="6762440C" w:rsidR="00FB5BED" w:rsidRPr="00FB5BED" w:rsidRDefault="00FB5BED" w:rsidP="00FB5BED">
            <w:pPr>
              <w:spacing w:line="276" w:lineRule="auto"/>
              <w:jc w:val="center"/>
              <w:rPr>
                <w:sz w:val="20"/>
                <w:lang w:val="en-US"/>
              </w:rPr>
            </w:pPr>
            <w:r w:rsidRPr="00FB5BED">
              <w:rPr>
                <w:color w:val="000000"/>
                <w:sz w:val="20"/>
              </w:rPr>
              <w:t>1.75%</w:t>
            </w:r>
          </w:p>
        </w:tc>
      </w:tr>
      <w:tr w:rsidR="00FB5BED" w:rsidRPr="00B336E0" w14:paraId="2795310E" w14:textId="6AECD0DD" w:rsidTr="00FB5BED">
        <w:trPr>
          <w:jc w:val="center"/>
        </w:trPr>
        <w:tc>
          <w:tcPr>
            <w:tcW w:w="900" w:type="dxa"/>
            <w:tcBorders>
              <w:left w:val="nil"/>
              <w:right w:val="nil"/>
            </w:tcBorders>
            <w:vAlign w:val="center"/>
          </w:tcPr>
          <w:p w14:paraId="547085E3" w14:textId="3FD974E0" w:rsidR="00FB5BED" w:rsidRPr="00FB5BED" w:rsidRDefault="00FB5BED" w:rsidP="00FB5BED">
            <w:pPr>
              <w:spacing w:line="276" w:lineRule="auto"/>
              <w:rPr>
                <w:sz w:val="20"/>
                <w:lang w:val="en-US"/>
              </w:rPr>
            </w:pPr>
            <w:r w:rsidRPr="00FB5BED">
              <w:rPr>
                <w:sz w:val="20"/>
              </w:rPr>
              <w:t>4</w:t>
            </w:r>
          </w:p>
        </w:tc>
        <w:tc>
          <w:tcPr>
            <w:tcW w:w="990" w:type="dxa"/>
            <w:tcBorders>
              <w:left w:val="nil"/>
              <w:right w:val="nil"/>
            </w:tcBorders>
            <w:vAlign w:val="center"/>
          </w:tcPr>
          <w:p w14:paraId="7BCD379E" w14:textId="14657A2A" w:rsidR="00FB5BED" w:rsidRPr="00FB5BED" w:rsidRDefault="00FB5BED" w:rsidP="00FB5BED">
            <w:pPr>
              <w:spacing w:line="276" w:lineRule="auto"/>
              <w:jc w:val="center"/>
              <w:rPr>
                <w:rFonts w:ascii="Cambria Math" w:hAnsi="Cambria Math"/>
                <w:sz w:val="20"/>
                <w:lang w:val="en-US"/>
              </w:rPr>
            </w:pPr>
            <w:r w:rsidRPr="00FB5BED">
              <w:rPr>
                <w:sz w:val="20"/>
              </w:rPr>
              <w:t>0.275</w:t>
            </w:r>
          </w:p>
        </w:tc>
        <w:tc>
          <w:tcPr>
            <w:tcW w:w="1629" w:type="dxa"/>
            <w:tcBorders>
              <w:left w:val="nil"/>
              <w:right w:val="nil"/>
            </w:tcBorders>
            <w:vAlign w:val="center"/>
          </w:tcPr>
          <w:p w14:paraId="0ADBA6A8" w14:textId="140C46FF" w:rsidR="00FB5BED" w:rsidRPr="00FB5BED" w:rsidRDefault="00FB5BED" w:rsidP="00FB5BED">
            <w:pPr>
              <w:spacing w:line="276" w:lineRule="auto"/>
              <w:jc w:val="center"/>
              <w:rPr>
                <w:sz w:val="20"/>
                <w:lang w:val="en-US"/>
              </w:rPr>
            </w:pPr>
            <w:r w:rsidRPr="00FB5BED">
              <w:rPr>
                <w:color w:val="000000"/>
                <w:sz w:val="20"/>
              </w:rPr>
              <w:t>180,747,033</w:t>
            </w:r>
          </w:p>
        </w:tc>
        <w:tc>
          <w:tcPr>
            <w:tcW w:w="1836" w:type="dxa"/>
            <w:tcBorders>
              <w:left w:val="nil"/>
              <w:right w:val="nil"/>
            </w:tcBorders>
            <w:vAlign w:val="center"/>
          </w:tcPr>
          <w:p w14:paraId="00843914" w14:textId="360C5EC8" w:rsidR="00FB5BED" w:rsidRPr="00FB5BED" w:rsidRDefault="00FB5BED" w:rsidP="00FB5BED">
            <w:pPr>
              <w:spacing w:line="276" w:lineRule="auto"/>
              <w:jc w:val="center"/>
              <w:rPr>
                <w:sz w:val="20"/>
                <w:lang w:val="en-US"/>
              </w:rPr>
            </w:pPr>
            <w:r w:rsidRPr="00FB5BED">
              <w:rPr>
                <w:color w:val="000000"/>
                <w:sz w:val="20"/>
              </w:rPr>
              <w:t>0.028983</w:t>
            </w:r>
          </w:p>
        </w:tc>
        <w:tc>
          <w:tcPr>
            <w:tcW w:w="1836" w:type="dxa"/>
            <w:tcBorders>
              <w:left w:val="nil"/>
              <w:right w:val="nil"/>
            </w:tcBorders>
            <w:vAlign w:val="center"/>
          </w:tcPr>
          <w:p w14:paraId="7019D89A" w14:textId="139CF6B3" w:rsidR="00FB5BED" w:rsidRPr="00FB5BED" w:rsidRDefault="00FB5BED" w:rsidP="00FB5BED">
            <w:pPr>
              <w:spacing w:line="276" w:lineRule="auto"/>
              <w:jc w:val="center"/>
              <w:rPr>
                <w:sz w:val="20"/>
                <w:lang w:val="en-US"/>
              </w:rPr>
            </w:pPr>
            <w:r w:rsidRPr="00FB5BED">
              <w:rPr>
                <w:color w:val="000000"/>
                <w:sz w:val="20"/>
              </w:rPr>
              <w:t>0</w:t>
            </w:r>
          </w:p>
        </w:tc>
        <w:tc>
          <w:tcPr>
            <w:tcW w:w="1836" w:type="dxa"/>
            <w:tcBorders>
              <w:left w:val="nil"/>
              <w:right w:val="nil"/>
            </w:tcBorders>
            <w:vAlign w:val="center"/>
          </w:tcPr>
          <w:p w14:paraId="1A15A9FF" w14:textId="07B0F4EB" w:rsidR="00FB5BED" w:rsidRPr="00FB5BED" w:rsidRDefault="00FB5BED" w:rsidP="00FB5BED">
            <w:pPr>
              <w:spacing w:line="276" w:lineRule="auto"/>
              <w:jc w:val="center"/>
              <w:rPr>
                <w:sz w:val="20"/>
                <w:lang w:val="en-US"/>
              </w:rPr>
            </w:pPr>
            <w:r w:rsidRPr="00FB5BED">
              <w:rPr>
                <w:color w:val="000000"/>
                <w:sz w:val="20"/>
              </w:rPr>
              <w:t>2.14%</w:t>
            </w:r>
          </w:p>
        </w:tc>
      </w:tr>
    </w:tbl>
    <w:p w14:paraId="63C21686" w14:textId="6FD3939E" w:rsidR="00835776" w:rsidRDefault="00FB5BED" w:rsidP="00FB5BED">
      <w:pPr>
        <w:pStyle w:val="BodyText"/>
      </w:pPr>
      <w:r w:rsidRPr="00FB5BED">
        <w:t xml:space="preserve">From the results in </w:t>
      </w:r>
      <w:r>
        <w:fldChar w:fldCharType="begin"/>
      </w:r>
      <w:r>
        <w:instrText xml:space="preserve"> REF _Ref104822744 \h </w:instrText>
      </w:r>
      <w:r>
        <w:fldChar w:fldCharType="separate"/>
      </w:r>
      <w:r w:rsidR="00190B20">
        <w:t xml:space="preserve">TABLE </w:t>
      </w:r>
      <w:r w:rsidR="00190B20">
        <w:rPr>
          <w:noProof/>
        </w:rPr>
        <w:t>III</w:t>
      </w:r>
      <w:r>
        <w:fldChar w:fldCharType="end"/>
      </w:r>
      <w:r w:rsidRPr="00FB5BED">
        <w:t xml:space="preserve">, it can be observed that as the base size reduces, the relative difference in the friction factor prediction with respect to the finest mesh also reduces (fifth column), as expected. The UCTD </w:t>
      </w:r>
      <w:r w:rsidR="008213FE">
        <w:fldChar w:fldCharType="begin"/>
      </w:r>
      <w:r w:rsidR="008213FE">
        <w:instrText xml:space="preserve"> REF _Ref67226611 \r \h </w:instrText>
      </w:r>
      <w:r w:rsidR="008213FE">
        <w:fldChar w:fldCharType="separate"/>
      </w:r>
      <w:r w:rsidR="00190B20">
        <w:t>[23]</w:t>
      </w:r>
      <w:r w:rsidR="008213FE">
        <w:fldChar w:fldCharType="end"/>
      </w:r>
      <w:r w:rsidRPr="00FB5BED">
        <w:t xml:space="preserve"> correlation prediction was also added for verification. Because meshes 3 and 4 produced very similar results in terms of friction factor (relative difference of -0.38%), it was concluded that Mesh 3 was converged for friction factor determination and their parameters (such as base size, number of prism layer, stretching factor, etc.)  are used for all the RANS simulations in the present study. Regarding the comparison with the UCTD correlation, the error when comparing with Mesh 3 is adequately small, moreover when considering that the error in the correlation is 14.8%, verifying that Mesh 3 is adequate for friction factor calculations.</w:t>
      </w:r>
    </w:p>
    <w:p w14:paraId="526806CB" w14:textId="20E176C3" w:rsidR="001D6F0A" w:rsidRDefault="0095573A" w:rsidP="00FB5BED">
      <w:pPr>
        <w:pStyle w:val="Heading2"/>
        <w:rPr>
          <w:lang w:val="en-US"/>
        </w:rPr>
      </w:pPr>
      <w:r w:rsidRPr="00B336E0">
        <w:rPr>
          <w:lang w:val="en-US"/>
        </w:rPr>
        <w:t>results</w:t>
      </w:r>
      <w:r w:rsidR="00B86B82" w:rsidRPr="00FB5BED">
        <w:rPr>
          <w:lang w:val="en-US"/>
        </w:rPr>
        <w:t xml:space="preserve"> </w:t>
      </w:r>
      <w:r w:rsidR="00FB5BED" w:rsidRPr="00FB5BED">
        <w:rPr>
          <w:lang w:val="en-US"/>
        </w:rPr>
        <w:t>and Discussion</w:t>
      </w:r>
    </w:p>
    <w:p w14:paraId="45E2AB6A" w14:textId="4A55EA7E" w:rsidR="00FB5BED" w:rsidRPr="00FB5BED" w:rsidRDefault="00FB5BED" w:rsidP="00FB5BED">
      <w:pPr>
        <w:pStyle w:val="BodyText"/>
        <w:rPr>
          <w:lang w:val="en-US"/>
        </w:rPr>
      </w:pPr>
      <w:r w:rsidRPr="00FB5BED">
        <w:rPr>
          <w:lang w:val="en-US"/>
        </w:rPr>
        <w:t xml:space="preserve">In this study, </w:t>
      </w:r>
      <w:r w:rsidR="00586B8E">
        <w:rPr>
          <w:lang w:val="en-US"/>
        </w:rPr>
        <w:t xml:space="preserve">the </w:t>
      </w:r>
      <m:oMath>
        <m:r>
          <w:rPr>
            <w:rFonts w:ascii="Cambria Math" w:hAnsi="Cambria Math"/>
            <w:lang w:val="en-US"/>
          </w:rPr>
          <m:t>k-ϵ</m:t>
        </m:r>
      </m:oMath>
      <w:r w:rsidRPr="00FB5BED">
        <w:rPr>
          <w:lang w:val="en-US"/>
        </w:rPr>
        <w:t xml:space="preserve"> Realizable</w:t>
      </w:r>
      <w:r w:rsidR="008213FE">
        <w:rPr>
          <w:lang w:val="en-US"/>
        </w:rPr>
        <w:t xml:space="preserve"> and</w:t>
      </w:r>
      <w:r w:rsidR="00586B8E">
        <w:rPr>
          <w:lang w:val="en-US"/>
        </w:rPr>
        <w:t xml:space="preserve"> the</w:t>
      </w:r>
      <w:r w:rsidRPr="00FB5BED">
        <w:rPr>
          <w:lang w:val="en-US"/>
        </w:rPr>
        <w:t xml:space="preserve"> </w:t>
      </w:r>
      <m:oMath>
        <m:r>
          <w:rPr>
            <w:rFonts w:ascii="Cambria Math" w:hAnsi="Cambria Math"/>
            <w:lang w:val="en-US"/>
          </w:rPr>
          <m:t>k-ω</m:t>
        </m:r>
      </m:oMath>
      <w:r w:rsidRPr="00FB5BED">
        <w:rPr>
          <w:lang w:val="en-US"/>
        </w:rPr>
        <w:t xml:space="preserve"> SST turbulence models were employed for the solution of the RANS equations. This sensitivity study on the RANS turbulence models was performed to determine the model that best predict</w:t>
      </w:r>
      <w:proofErr w:type="spellStart"/>
      <w:r w:rsidR="00586B8E">
        <w:rPr>
          <w:lang w:val="en-US"/>
        </w:rPr>
        <w:t>s</w:t>
      </w:r>
      <w:proofErr w:type="spellEnd"/>
      <w:r w:rsidRPr="00FB5BED">
        <w:rPr>
          <w:lang w:val="en-US"/>
        </w:rPr>
        <w:t xml:space="preserve"> the bundle friction factor for </w:t>
      </w:r>
      <w:r w:rsidR="00586B8E">
        <w:rPr>
          <w:lang w:val="en-US"/>
        </w:rPr>
        <w:t>the</w:t>
      </w:r>
      <w:r w:rsidRPr="00FB5BED">
        <w:rPr>
          <w:lang w:val="en-US"/>
        </w:rPr>
        <w:t xml:space="preserve"> different blockage scenarios analyzed. The simulations for Case 0 (unblocked) and all the blocked cases (1-</w:t>
      </w:r>
      <w:r w:rsidR="008213FE">
        <w:rPr>
          <w:lang w:val="en-US"/>
        </w:rPr>
        <w:t>4</w:t>
      </w:r>
      <w:r w:rsidRPr="00FB5BED">
        <w:rPr>
          <w:lang w:val="en-US"/>
        </w:rPr>
        <w:t xml:space="preserve">) where performed at </w:t>
      </w:r>
      <w:r w:rsidR="008213FE">
        <w:rPr>
          <w:lang w:val="en-US"/>
        </w:rPr>
        <w:t>the</w:t>
      </w:r>
      <w:r w:rsidRPr="00FB5BED">
        <w:rPr>
          <w:lang w:val="en-US"/>
        </w:rPr>
        <w:t xml:space="preserve"> Reynolds number</w:t>
      </w:r>
      <w:r w:rsidR="008213FE">
        <w:rPr>
          <w:lang w:val="en-US"/>
        </w:rPr>
        <w:t xml:space="preserve"> 17,000</w:t>
      </w:r>
      <w:r w:rsidRPr="00FB5BED">
        <w:rPr>
          <w:lang w:val="en-US"/>
        </w:rPr>
        <w:t>. The unblocked bundle was solved using a steady-state solver, whereas the cases with blockages were solved using a second-order implicit time scheme because the flow is highly unsteady due to the blockage. Thus, the method is known as unsteady-RANS equations (U-RANS), since the time derivative term is kept.</w:t>
      </w:r>
    </w:p>
    <w:p w14:paraId="23D6D9B3" w14:textId="30FFD86D" w:rsidR="00FB5BED" w:rsidRDefault="00FB5BED" w:rsidP="00FB5BED">
      <w:pPr>
        <w:pStyle w:val="BodyText"/>
        <w:rPr>
          <w:lang w:val="en-US"/>
        </w:rPr>
      </w:pPr>
      <w:r w:rsidRPr="00FB5BED">
        <w:rPr>
          <w:lang w:val="en-US"/>
        </w:rPr>
        <w:t xml:space="preserve">Convergence was determined after all the relative residuals fall below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Pr="00FB5BED">
        <w:rPr>
          <w:lang w:val="en-US"/>
        </w:rPr>
        <w:t>. In addition, the fourth decimal value of the friction factor was checked to not vary with iterations when reaching the residuals criteria. For the transient simulations, in addition to the residuals and the friction factor variation, the volume-a</w:t>
      </w:r>
      <w:proofErr w:type="spellStart"/>
      <w:r w:rsidRPr="00FB5BED">
        <w:rPr>
          <w:lang w:val="en-US"/>
        </w:rPr>
        <w:t>veraged</w:t>
      </w:r>
      <w:proofErr w:type="spellEnd"/>
      <w:r w:rsidRPr="00FB5BED">
        <w:rPr>
          <w:lang w:val="en-US"/>
        </w:rPr>
        <w:t xml:space="preserve"> Convective Courant number, </w:t>
      </w:r>
      <m:oMath>
        <m:bar>
          <m:barPr>
            <m:pos m:val="top"/>
            <m:ctrlPr>
              <w:rPr>
                <w:rFonts w:ascii="Cambria Math" w:eastAsiaTheme="minorEastAsia" w:hAnsi="Cambria Math"/>
                <w:i/>
              </w:rPr>
            </m:ctrlPr>
          </m:barPr>
          <m:e>
            <m:r>
              <w:rPr>
                <w:rFonts w:ascii="Cambria Math" w:eastAsiaTheme="minorEastAsia" w:hAnsi="Cambria Math"/>
              </w:rPr>
              <m:t>Co</m:t>
            </m:r>
          </m:e>
        </m:bar>
      </m:oMath>
      <w:r w:rsidR="00586B8E">
        <w:t>,</w:t>
      </w:r>
      <w:r w:rsidRPr="00FB5BED">
        <w:rPr>
          <w:lang w:val="en-US"/>
        </w:rPr>
        <w:t xml:space="preserve"> was checked to fall below 1 in all cases. The time step was adjusted based on Equation</w:t>
      </w:r>
      <w:r w:rsidR="000E6307">
        <w:rPr>
          <w:lang w:val="en-US"/>
        </w:rPr>
        <w:t xml:space="preserve"> </w:t>
      </w:r>
      <w:r w:rsidR="000E6307">
        <w:rPr>
          <w:lang w:val="en-US"/>
        </w:rPr>
        <w:fldChar w:fldCharType="begin"/>
      </w:r>
      <w:r w:rsidR="000E6307">
        <w:rPr>
          <w:lang w:val="en-US"/>
        </w:rPr>
        <w:instrText xml:space="preserve"> REF _Ref104823276 \h </w:instrText>
      </w:r>
      <w:r w:rsidR="000E6307">
        <w:rPr>
          <w:lang w:val="en-US"/>
        </w:rPr>
      </w:r>
      <w:r w:rsidR="000E6307">
        <w:rPr>
          <w:lang w:val="en-US"/>
        </w:rPr>
        <w:fldChar w:fldCharType="separate"/>
      </w:r>
      <w:r w:rsidR="00190B20" w:rsidRPr="003830D8">
        <w:t>(</w:t>
      </w:r>
      <w:r w:rsidR="00190B20">
        <w:rPr>
          <w:noProof/>
        </w:rPr>
        <w:t>5</w:t>
      </w:r>
      <w:r w:rsidR="00190B20" w:rsidRPr="003830D8">
        <w:t>)</w:t>
      </w:r>
      <w:r w:rsidR="000E6307">
        <w:rPr>
          <w:lang w:val="en-US"/>
        </w:rPr>
        <w:fldChar w:fldCharType="end"/>
      </w:r>
      <w:r w:rsidRPr="00FB5BED">
        <w:rPr>
          <w:lang w:val="en-US"/>
        </w:rPr>
        <w:t xml:space="preserve">  for a selected Courant number:</w:t>
      </w:r>
    </w:p>
    <w:p w14:paraId="434B7981" w14:textId="77777777" w:rsidR="00835776" w:rsidRDefault="00835776" w:rsidP="00FB5BED">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0E6307" w14:paraId="75585663" w14:textId="77777777" w:rsidTr="000E6307">
        <w:tc>
          <w:tcPr>
            <w:tcW w:w="8455" w:type="dxa"/>
            <w:vAlign w:val="center"/>
          </w:tcPr>
          <w:p w14:paraId="7C876C65" w14:textId="4633CB49" w:rsidR="000E6307" w:rsidRDefault="000E6307" w:rsidP="000E6307">
            <w:pPr>
              <w:pStyle w:val="BodyText"/>
              <w:spacing w:before="240"/>
              <w:ind w:firstLine="0"/>
              <w:rPr>
                <w:lang w:val="en-US"/>
              </w:rPr>
            </w:pPr>
            <m:oMathPara>
              <m:oMath>
                <m:r>
                  <m:rPr>
                    <m:sty m:val="p"/>
                  </m:rPr>
                  <w:rPr>
                    <w:rFonts w:ascii="Cambria Math" w:eastAsiaTheme="minorEastAsia" w:hAnsi="Cambria Math"/>
                  </w:rPr>
                  <m:t>Δ</m:t>
                </m:r>
                <m:r>
                  <w:rPr>
                    <w:rFonts w:ascii="Cambria Math" w:eastAsiaTheme="minorEastAsia" w:hAnsi="Cambria Math"/>
                  </w:rPr>
                  <m:t>t=</m:t>
                </m:r>
                <m:f>
                  <m:fPr>
                    <m:ctrlPr>
                      <w:rPr>
                        <w:rFonts w:ascii="Cambria Math" w:eastAsiaTheme="minorEastAsia" w:hAnsi="Cambria Math"/>
                        <w:i/>
                      </w:rPr>
                    </m:ctrlPr>
                  </m:fPr>
                  <m:num>
                    <m:bar>
                      <m:barPr>
                        <m:pos m:val="top"/>
                        <m:ctrlPr>
                          <w:rPr>
                            <w:rFonts w:ascii="Cambria Math" w:eastAsiaTheme="minorEastAsia" w:hAnsi="Cambria Math"/>
                            <w:i/>
                          </w:rPr>
                        </m:ctrlPr>
                      </m:barPr>
                      <m:e>
                        <m:r>
                          <w:rPr>
                            <w:rFonts w:ascii="Cambria Math" w:eastAsiaTheme="minorEastAsia" w:hAnsi="Cambria Math"/>
                          </w:rPr>
                          <m:t>Co</m:t>
                        </m:r>
                      </m:e>
                    </m:bar>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num>
                  <m:den>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in</m:t>
                        </m:r>
                      </m:sub>
                    </m:sSub>
                  </m:den>
                </m:f>
              </m:oMath>
            </m:oMathPara>
          </w:p>
        </w:tc>
        <w:tc>
          <w:tcPr>
            <w:tcW w:w="562" w:type="dxa"/>
            <w:vAlign w:val="center"/>
          </w:tcPr>
          <w:p w14:paraId="72565719" w14:textId="16DE1534" w:rsidR="000E6307" w:rsidRDefault="000E6307" w:rsidP="000E6307">
            <w:pPr>
              <w:pStyle w:val="Caption"/>
            </w:pPr>
            <w:bookmarkStart w:id="12" w:name="_Ref104823276"/>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5</w:t>
            </w:r>
            <w:r w:rsidRPr="003830D8">
              <w:rPr>
                <w:sz w:val="20"/>
              </w:rPr>
              <w:fldChar w:fldCharType="end"/>
            </w:r>
            <w:r w:rsidRPr="003830D8">
              <w:rPr>
                <w:sz w:val="20"/>
              </w:rPr>
              <w:t>)</w:t>
            </w:r>
            <w:bookmarkEnd w:id="12"/>
          </w:p>
        </w:tc>
      </w:tr>
    </w:tbl>
    <w:p w14:paraId="120724C8" w14:textId="77777777" w:rsidR="00835776" w:rsidRDefault="00835776" w:rsidP="00FB5BED">
      <w:pPr>
        <w:pStyle w:val="BodyText"/>
        <w:ind w:firstLine="0"/>
        <w:rPr>
          <w:lang w:val="en-US"/>
        </w:rPr>
      </w:pPr>
    </w:p>
    <w:p w14:paraId="03D1612A" w14:textId="077BC7F9" w:rsidR="00FB5BED" w:rsidRDefault="00FB5BED" w:rsidP="00FB5BED">
      <w:pPr>
        <w:pStyle w:val="BodyText"/>
        <w:ind w:firstLine="0"/>
        <w:rPr>
          <w:lang w:val="en-US"/>
        </w:rPr>
      </w:pPr>
      <w:r w:rsidRPr="00FB5BED">
        <w:rPr>
          <w:lang w:val="en-US"/>
        </w:rPr>
        <w:lastRenderedPageBreak/>
        <w:t xml:space="preserve">where </w:t>
      </w:r>
      <m:oMath>
        <m:r>
          <w:rPr>
            <w:rFonts w:ascii="Cambria Math" w:hAnsi="Cambria Math"/>
            <w:lang w:val="en-US"/>
          </w:rPr>
          <m:t>Δt</m:t>
        </m:r>
      </m:oMath>
      <w:r w:rsidRPr="00FB5BED">
        <w:rPr>
          <w:lang w:val="en-US"/>
        </w:rPr>
        <w:t xml:space="preserve"> is the time step,</w:t>
      </w:r>
      <w:r w:rsidR="000E6307">
        <w:rPr>
          <w:lang w:val="en-US"/>
        </w:rPr>
        <w:t xml:space="preserve"> </w:t>
      </w:r>
      <m:oMath>
        <m:bar>
          <m:barPr>
            <m:pos m:val="top"/>
            <m:ctrlPr>
              <w:rPr>
                <w:rFonts w:ascii="Cambria Math" w:eastAsiaTheme="minorEastAsia" w:hAnsi="Cambria Math"/>
                <w:i/>
              </w:rPr>
            </m:ctrlPr>
          </m:barPr>
          <m:e>
            <m:r>
              <w:rPr>
                <w:rFonts w:ascii="Cambria Math" w:eastAsiaTheme="minorEastAsia" w:hAnsi="Cambria Math"/>
              </w:rPr>
              <m:t>Co</m:t>
            </m:r>
          </m:e>
        </m:bar>
      </m:oMath>
      <w:r w:rsidRPr="00FB5BED">
        <w:rPr>
          <w:lang w:val="en-US"/>
        </w:rPr>
        <w:t xml:space="preserve"> is the desired Courant number,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in</m:t>
            </m:r>
          </m:sub>
        </m:sSub>
      </m:oMath>
      <w:r w:rsidRPr="00FB5BED">
        <w:rPr>
          <w:lang w:val="en-US"/>
        </w:rPr>
        <w:t xml:space="preserve"> is the inlet average velocity and</w:t>
      </w:r>
      <w:r w:rsidR="000E6307">
        <w:rPr>
          <w:lang w:val="en-US"/>
        </w:rPr>
        <w:t xml:space="preserve"> </w:t>
      </w:r>
      <m:oMath>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oMath>
      <w:r w:rsidRPr="00FB5BED">
        <w:rPr>
          <w:lang w:val="en-US"/>
        </w:rPr>
        <w:t xml:space="preserve"> is the average mesh size, defined in Equation</w:t>
      </w:r>
      <w:r w:rsidR="000E6307">
        <w:rPr>
          <w:lang w:val="en-US"/>
        </w:rPr>
        <w:t xml:space="preserve"> </w:t>
      </w:r>
      <w:r w:rsidR="000E6307">
        <w:rPr>
          <w:lang w:val="en-US"/>
        </w:rPr>
        <w:fldChar w:fldCharType="begin"/>
      </w:r>
      <w:r w:rsidR="000E6307">
        <w:rPr>
          <w:lang w:val="en-US"/>
        </w:rPr>
        <w:instrText xml:space="preserve"> REF _Ref104823343 \h </w:instrText>
      </w:r>
      <w:r w:rsidR="000E6307">
        <w:rPr>
          <w:lang w:val="en-US"/>
        </w:rPr>
      </w:r>
      <w:r w:rsidR="000E6307">
        <w:rPr>
          <w:lang w:val="en-US"/>
        </w:rPr>
        <w:fldChar w:fldCharType="separate"/>
      </w:r>
      <w:r w:rsidR="00190B20" w:rsidRPr="003830D8">
        <w:t>(</w:t>
      </w:r>
      <w:r w:rsidR="00190B20">
        <w:rPr>
          <w:noProof/>
        </w:rPr>
        <w:t>6</w:t>
      </w:r>
      <w:r w:rsidR="00190B20" w:rsidRPr="003830D8">
        <w:t>)</w:t>
      </w:r>
      <w:r w:rsidR="000E6307">
        <w:rPr>
          <w:lang w:val="en-US"/>
        </w:rPr>
        <w:fldChar w:fldCharType="end"/>
      </w:r>
      <w:r w:rsidRPr="00FB5BED">
        <w:rPr>
          <w:lang w:val="en-US"/>
        </w:rPr>
        <w:t xml:space="preserve">, </w:t>
      </w:r>
    </w:p>
    <w:p w14:paraId="19B0F9DC" w14:textId="77777777" w:rsidR="00835776" w:rsidRDefault="00835776" w:rsidP="00FB5BED">
      <w:pPr>
        <w:pStyle w:val="BodyText"/>
        <w:ind w:firstLine="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0E6307" w14:paraId="7968FC76" w14:textId="77777777" w:rsidTr="000E6307">
        <w:tc>
          <w:tcPr>
            <w:tcW w:w="8455" w:type="dxa"/>
            <w:vAlign w:val="center"/>
          </w:tcPr>
          <w:p w14:paraId="1632EA2F" w14:textId="5B38D65A" w:rsidR="000E6307" w:rsidRDefault="00680B2B" w:rsidP="000E6307">
            <w:pPr>
              <w:pStyle w:val="BodyText"/>
              <w:spacing w:before="240"/>
              <w:ind w:firstLine="0"/>
              <w:rPr>
                <w:lang w:val="en-US"/>
              </w:rPr>
            </w:pPr>
            <m:oMathPara>
              <m:oMath>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nary>
                  <m:naryPr>
                    <m:supHide m:val="1"/>
                    <m:ctrlPr>
                      <w:rPr>
                        <w:rFonts w:ascii="Cambria Math" w:eastAsiaTheme="minorEastAsia" w:hAnsi="Cambria Math"/>
                        <w:i/>
                      </w:rPr>
                    </m:ctrlPr>
                  </m:naryPr>
                  <m:sub>
                    <m:r>
                      <w:rPr>
                        <w:rFonts w:ascii="Cambria Math" w:eastAsiaTheme="minorEastAsia" w:hAnsi="Cambria Math"/>
                      </w:rPr>
                      <m:t>V</m:t>
                    </m:r>
                  </m:sub>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cell</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e>
                            </m:d>
                          </m:e>
                        </m:d>
                      </m:e>
                      <m:sup>
                        <m:r>
                          <w:rPr>
                            <w:rFonts w:ascii="Cambria Math" w:eastAsiaTheme="minorEastAsia" w:hAnsi="Cambria Math"/>
                          </w:rPr>
                          <m:t>1</m:t>
                        </m:r>
                        <m:r>
                          <m:rPr>
                            <m:lit/>
                          </m:rPr>
                          <w:rPr>
                            <w:rFonts w:ascii="Cambria Math" w:eastAsiaTheme="minorEastAsia" w:hAnsi="Cambria Math"/>
                          </w:rPr>
                          <m:t>/</m:t>
                        </m:r>
                        <m:r>
                          <w:rPr>
                            <w:rFonts w:ascii="Cambria Math" w:eastAsiaTheme="minorEastAsia" w:hAnsi="Cambria Math"/>
                          </w:rPr>
                          <m:t xml:space="preserve">3 </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r>
                      <w:rPr>
                        <w:rFonts w:ascii="Cambria Math" w:eastAsiaTheme="minorEastAsia" w:hAnsi="Cambria Math"/>
                      </w:rPr>
                      <m:t>r</m:t>
                    </m:r>
                  </m:e>
                </m:nary>
              </m:oMath>
            </m:oMathPara>
          </w:p>
        </w:tc>
        <w:tc>
          <w:tcPr>
            <w:tcW w:w="562" w:type="dxa"/>
            <w:vAlign w:val="center"/>
          </w:tcPr>
          <w:p w14:paraId="3A4EBB02" w14:textId="7B410F24" w:rsidR="000E6307" w:rsidRDefault="000E6307" w:rsidP="000E6307">
            <w:pPr>
              <w:pStyle w:val="Caption"/>
            </w:pPr>
            <w:bookmarkStart w:id="13" w:name="_Ref104823343"/>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6</w:t>
            </w:r>
            <w:r w:rsidRPr="003830D8">
              <w:rPr>
                <w:sz w:val="20"/>
              </w:rPr>
              <w:fldChar w:fldCharType="end"/>
            </w:r>
            <w:r w:rsidRPr="003830D8">
              <w:rPr>
                <w:sz w:val="20"/>
              </w:rPr>
              <w:t>)</w:t>
            </w:r>
            <w:bookmarkEnd w:id="13"/>
          </w:p>
        </w:tc>
      </w:tr>
    </w:tbl>
    <w:p w14:paraId="6016B59C" w14:textId="77777777" w:rsidR="00835776" w:rsidRDefault="00835776" w:rsidP="000E6307">
      <w:pPr>
        <w:pStyle w:val="BodyText"/>
        <w:ind w:firstLine="0"/>
        <w:rPr>
          <w:lang w:val="en-US"/>
        </w:rPr>
      </w:pPr>
    </w:p>
    <w:p w14:paraId="0495DC27" w14:textId="3D4CF73F" w:rsidR="00FB5BED" w:rsidRDefault="000E6307" w:rsidP="000E6307">
      <w:pPr>
        <w:pStyle w:val="BodyText"/>
        <w:ind w:firstLine="0"/>
        <w:rPr>
          <w:lang w:val="en-US"/>
        </w:rPr>
      </w:pPr>
      <w:r>
        <w:rPr>
          <w:lang w:val="en-US"/>
        </w:rPr>
        <w:t>I</w:t>
      </w:r>
      <w:r w:rsidR="00FB5BED" w:rsidRPr="00FB5BED">
        <w:rPr>
          <w:lang w:val="en-US"/>
        </w:rPr>
        <w:t>n Equation</w:t>
      </w:r>
      <w:r w:rsidR="008213FE">
        <w:rPr>
          <w:lang w:val="en-US"/>
        </w:rPr>
        <w:t xml:space="preserve"> </w:t>
      </w:r>
      <w:r w:rsidR="008213FE">
        <w:rPr>
          <w:lang w:val="en-US"/>
        </w:rPr>
        <w:fldChar w:fldCharType="begin"/>
      </w:r>
      <w:r w:rsidR="008213FE">
        <w:rPr>
          <w:lang w:val="en-US"/>
        </w:rPr>
        <w:instrText xml:space="preserve"> REF _Ref104823343 \h </w:instrText>
      </w:r>
      <w:r w:rsidR="008213FE">
        <w:rPr>
          <w:lang w:val="en-US"/>
        </w:rPr>
      </w:r>
      <w:r w:rsidR="008213FE">
        <w:rPr>
          <w:lang w:val="en-US"/>
        </w:rPr>
        <w:fldChar w:fldCharType="separate"/>
      </w:r>
      <w:r w:rsidR="00190B20" w:rsidRPr="003830D8">
        <w:t>(</w:t>
      </w:r>
      <w:r w:rsidR="00190B20">
        <w:rPr>
          <w:noProof/>
        </w:rPr>
        <w:t>6</w:t>
      </w:r>
      <w:r w:rsidR="00190B20" w:rsidRPr="003830D8">
        <w:t>)</w:t>
      </w:r>
      <w:r w:rsidR="008213FE">
        <w:rPr>
          <w:lang w:val="en-US"/>
        </w:rPr>
        <w:fldChar w:fldCharType="end"/>
      </w:r>
      <w:r w:rsidR="00FB5BED" w:rsidRPr="00FB5BED">
        <w:rPr>
          <w:lang w:val="en-US"/>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cell</m:t>
            </m:r>
          </m:sub>
        </m:sSub>
      </m:oMath>
      <w:r w:rsidR="00FB5BED" w:rsidRPr="00FB5BED">
        <w:rPr>
          <w:lang w:val="en-US"/>
        </w:rPr>
        <w:t xml:space="preserve"> is the volume of a mesh cell whose centroid is located at position </w:t>
      </w:r>
      <w:r>
        <w:rPr>
          <w:lang w:val="en-US"/>
        </w:rPr>
        <w:t> </w:t>
      </w:r>
      <m:oMath>
        <m:acc>
          <m:accPr>
            <m:chr m:val="⃗"/>
            <m:ctrlPr>
              <w:rPr>
                <w:rFonts w:ascii="Cambria Math" w:hAnsi="Cambria Math"/>
                <w:i/>
                <w:lang w:val="en-US"/>
              </w:rPr>
            </m:ctrlPr>
          </m:accPr>
          <m:e>
            <m:r>
              <w:rPr>
                <w:rFonts w:ascii="Cambria Math" w:hAnsi="Cambria Math"/>
                <w:lang w:val="en-US"/>
              </w:rPr>
              <m:t>r</m:t>
            </m:r>
          </m:e>
        </m:acc>
      </m:oMath>
      <w:r w:rsidR="00FB5BED" w:rsidRPr="00FB5BED">
        <w:rPr>
          <w:lang w:val="en-US"/>
        </w:rPr>
        <w:t xml:space="preserve">, and </w:t>
      </w:r>
      <m:oMath>
        <m:r>
          <w:rPr>
            <w:rFonts w:ascii="Cambria Math" w:hAnsi="Cambria Math"/>
            <w:lang w:val="en-US"/>
          </w:rPr>
          <m:t>V</m:t>
        </m:r>
      </m:oMath>
      <w:r w:rsidR="00FB5BED" w:rsidRPr="00FB5BED">
        <w:rPr>
          <w:lang w:val="en-US"/>
        </w:rPr>
        <w:t xml:space="preserve"> is the total fluid volume.</w:t>
      </w:r>
    </w:p>
    <w:p w14:paraId="63077CD9" w14:textId="1BC79859" w:rsidR="00E113B5" w:rsidRDefault="00E113B5" w:rsidP="00E113B5">
      <w:pPr>
        <w:pStyle w:val="BodyText"/>
      </w:pPr>
      <w:r>
        <w:fldChar w:fldCharType="begin"/>
      </w:r>
      <w:r>
        <w:instrText xml:space="preserve"> REF _Ref104884735 \h </w:instrText>
      </w:r>
      <w:r>
        <w:fldChar w:fldCharType="separate"/>
      </w:r>
      <w:r w:rsidR="00190B20">
        <w:t xml:space="preserve">FIG </w:t>
      </w:r>
      <w:r w:rsidR="00190B20">
        <w:rPr>
          <w:noProof/>
        </w:rPr>
        <w:t>6</w:t>
      </w:r>
      <w:r>
        <w:fldChar w:fldCharType="end"/>
      </w:r>
      <w:r>
        <w:t xml:space="preserve"> shows the friction factor predictions of the </w:t>
      </w:r>
      <w:r w:rsidR="00586B8E">
        <w:t>2</w:t>
      </w:r>
      <w:r>
        <w:t xml:space="preserve"> RANS turbulence models for the four different blockage scenarios analysed. The performance of the RANS models in predicting the friction factor was evaluated based on the relative error,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rel</m:t>
            </m:r>
          </m:sub>
        </m:sSub>
      </m:oMath>
      <w:r>
        <w:t xml:space="preserve">, defined by Equation </w:t>
      </w:r>
      <w:r>
        <w:fldChar w:fldCharType="begin"/>
      </w:r>
      <w:r>
        <w:instrText xml:space="preserve"> REF _Ref104884701 \h </w:instrText>
      </w:r>
      <w:r>
        <w:fldChar w:fldCharType="separate"/>
      </w:r>
      <w:r w:rsidR="00190B20" w:rsidRPr="003830D8">
        <w:t>(</w:t>
      </w:r>
      <w:r w:rsidR="00190B20">
        <w:rPr>
          <w:noProof/>
        </w:rPr>
        <w:t>7</w:t>
      </w:r>
      <w:r w:rsidR="00190B20" w:rsidRPr="003830D8">
        <w:t>)</w:t>
      </w:r>
      <w:r>
        <w:fldChar w:fldCharType="end"/>
      </w:r>
      <w:r>
        <w:t>,</w:t>
      </w:r>
    </w:p>
    <w:p w14:paraId="194377CA" w14:textId="77777777" w:rsidR="00835776" w:rsidRDefault="00835776" w:rsidP="00E113B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E113B5" w14:paraId="698AEE4A" w14:textId="77777777" w:rsidTr="00B407D9">
        <w:tc>
          <w:tcPr>
            <w:tcW w:w="8455" w:type="dxa"/>
            <w:vAlign w:val="center"/>
          </w:tcPr>
          <w:p w14:paraId="5F0BD323" w14:textId="36BD094A" w:rsidR="00E113B5" w:rsidRDefault="00680B2B" w:rsidP="00B407D9">
            <w:pPr>
              <w:pStyle w:val="BodyText"/>
              <w:spacing w:before="240"/>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rel</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CFD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exp</m:t>
                            </m:r>
                          </m:sub>
                        </m:sSub>
                        <m:ctrlPr>
                          <w:rPr>
                            <w:rFonts w:ascii="Cambria Math" w:hAnsi="Cambria Math"/>
                            <w:i/>
                          </w:rPr>
                        </m:ctrlP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exp</m:t>
                            </m:r>
                          </m:sub>
                        </m:sSub>
                      </m:den>
                    </m:f>
                  </m:e>
                </m:d>
                <m:r>
                  <w:rPr>
                    <w:rFonts w:ascii="Cambria Math" w:eastAsiaTheme="minorEastAsia" w:hAnsi="Cambria Math"/>
                  </w:rPr>
                  <m:t>×100%</m:t>
                </m:r>
              </m:oMath>
            </m:oMathPara>
          </w:p>
        </w:tc>
        <w:tc>
          <w:tcPr>
            <w:tcW w:w="562" w:type="dxa"/>
            <w:vAlign w:val="center"/>
          </w:tcPr>
          <w:p w14:paraId="63AFC7A5" w14:textId="064C5ACA" w:rsidR="00E113B5" w:rsidRDefault="00E113B5" w:rsidP="00B407D9">
            <w:pPr>
              <w:pStyle w:val="Caption"/>
            </w:pPr>
            <w:bookmarkStart w:id="14" w:name="_Ref104884701"/>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7</w:t>
            </w:r>
            <w:r w:rsidRPr="003830D8">
              <w:rPr>
                <w:sz w:val="20"/>
              </w:rPr>
              <w:fldChar w:fldCharType="end"/>
            </w:r>
            <w:r w:rsidRPr="003830D8">
              <w:rPr>
                <w:sz w:val="20"/>
              </w:rPr>
              <w:t>)</w:t>
            </w:r>
            <w:bookmarkEnd w:id="14"/>
          </w:p>
        </w:tc>
      </w:tr>
    </w:tbl>
    <w:p w14:paraId="4A13DD95" w14:textId="77777777" w:rsidR="00835776" w:rsidRDefault="00835776" w:rsidP="00E113B5">
      <w:pPr>
        <w:pStyle w:val="BodyText"/>
        <w:ind w:firstLine="0"/>
      </w:pPr>
    </w:p>
    <w:p w14:paraId="6C665C7E" w14:textId="79A61ADE" w:rsidR="00E113B5" w:rsidRPr="00255C80" w:rsidRDefault="00E113B5" w:rsidP="00E113B5">
      <w:pPr>
        <w:pStyle w:val="BodyText"/>
        <w:ind w:firstLine="0"/>
      </w:pPr>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CFD</m:t>
            </m:r>
          </m:sub>
        </m:sSub>
      </m:oMath>
      <w:r>
        <w:t xml:space="preserve"> is the calculated friction factor and </w:t>
      </w:r>
      <m:oMath>
        <m:sSub>
          <m:sSubPr>
            <m:ctrlPr>
              <w:rPr>
                <w:rFonts w:ascii="Cambria Math" w:hAnsi="Cambria Math"/>
                <w:i/>
              </w:rPr>
            </m:ctrlPr>
          </m:sSubPr>
          <m:e>
            <m:r>
              <w:rPr>
                <w:rFonts w:ascii="Cambria Math" w:hAnsi="Cambria Math"/>
              </w:rPr>
              <m:t>f</m:t>
            </m:r>
          </m:e>
          <m:sub>
            <m:r>
              <w:rPr>
                <w:rFonts w:ascii="Cambria Math" w:hAnsi="Cambria Math"/>
              </w:rPr>
              <m:t>exp</m:t>
            </m:r>
          </m:sub>
        </m:sSub>
      </m:oMath>
      <w:r w:rsidR="00255C80">
        <w:t xml:space="preserve"> </w:t>
      </w:r>
      <w:r>
        <w:t xml:space="preserve">is the experimental </w:t>
      </w:r>
      <w:proofErr w:type="gramStart"/>
      <w:r w:rsidR="00255C80" w:rsidRPr="00255C80">
        <w:t>data</w:t>
      </w:r>
      <w:r>
        <w:t>.</w:t>
      </w:r>
      <w:proofErr w:type="gramEnd"/>
      <w:r>
        <w:t xml:space="preserve"> Results of the relative errors calculated for each case are shown in </w:t>
      </w:r>
      <w:r>
        <w:fldChar w:fldCharType="begin"/>
      </w:r>
      <w:r>
        <w:instrText xml:space="preserve"> REF _Ref104884805 \h </w:instrText>
      </w:r>
      <w:r>
        <w:fldChar w:fldCharType="separate"/>
      </w:r>
      <w:r w:rsidR="00190B20">
        <w:t xml:space="preserve">TABLE </w:t>
      </w:r>
      <w:r w:rsidR="00190B20">
        <w:rPr>
          <w:noProof/>
        </w:rPr>
        <w:t>IV</w:t>
      </w:r>
      <w:r>
        <w:fldChar w:fldCharType="end"/>
      </w:r>
      <w:r>
        <w:t>.</w:t>
      </w:r>
      <w:r w:rsidR="00255C80">
        <w:t xml:space="preserve"> </w:t>
      </w:r>
    </w:p>
    <w:p w14:paraId="4DEFE2AA" w14:textId="63435FDB" w:rsidR="00E113B5" w:rsidRPr="00255C80" w:rsidRDefault="00E113B5" w:rsidP="00E113B5">
      <w:pPr>
        <w:pStyle w:val="BodyText"/>
      </w:pPr>
      <w:r w:rsidRPr="00255C80">
        <w:t>As it can be seen from the results</w:t>
      </w:r>
      <w:r w:rsidR="00255C80" w:rsidRPr="00255C80">
        <w:t xml:space="preserve">, the </w:t>
      </w:r>
      <m:oMath>
        <m:r>
          <w:rPr>
            <w:rFonts w:ascii="Cambria Math" w:hAnsi="Cambria Math"/>
          </w:rPr>
          <m:t>k-ϵ</m:t>
        </m:r>
      </m:oMath>
      <w:r w:rsidR="00255C80" w:rsidRPr="00255C80">
        <w:t xml:space="preserve"> Realizable model predicted the friction factor with the lowest relative error among all cases, while the </w:t>
      </w:r>
      <m:oMath>
        <m:r>
          <w:rPr>
            <w:rFonts w:ascii="Cambria Math" w:hAnsi="Cambria Math"/>
          </w:rPr>
          <m:t>k-ω</m:t>
        </m:r>
      </m:oMath>
      <w:r w:rsidR="00255C80" w:rsidRPr="00255C80">
        <w:t xml:space="preserve"> SST performed with less accuracy and higher relative errors (max 13%).</w:t>
      </w:r>
      <w:r w:rsidRPr="00255C80">
        <w:t xml:space="preserve"> This </w:t>
      </w:r>
      <w:r w:rsidR="00255C80" w:rsidRPr="00255C80">
        <w:t>can be explain</w:t>
      </w:r>
      <w:r w:rsidR="00B87742">
        <w:t>ed</w:t>
      </w:r>
      <w:r w:rsidR="00255C80" w:rsidRPr="00255C80">
        <w:t xml:space="preserve"> due to the fact that the</w:t>
      </w:r>
      <w:r w:rsidRPr="00255C80">
        <w:t xml:space="preserve"> </w:t>
      </w:r>
      <m:oMath>
        <m:r>
          <w:rPr>
            <w:rFonts w:ascii="Cambria Math" w:hAnsi="Cambria Math"/>
          </w:rPr>
          <m:t>Re=17080</m:t>
        </m:r>
      </m:oMath>
      <w:r w:rsidRPr="00255C80">
        <w:t xml:space="preserve"> is at the fully turbulent regime and in the derivation of </w:t>
      </w:r>
      <w:proofErr w:type="spellStart"/>
      <w:r w:rsidRPr="00255C80">
        <w:t>the</w:t>
      </w:r>
      <w:proofErr w:type="spellEnd"/>
      <w:r w:rsidRPr="00255C80">
        <w:t xml:space="preserve"> </w:t>
      </w:r>
      <m:oMath>
        <m:r>
          <w:rPr>
            <w:rFonts w:ascii="Cambria Math" w:hAnsi="Cambria Math"/>
          </w:rPr>
          <m:t>k-ϵ</m:t>
        </m:r>
      </m:oMath>
      <w:r w:rsidRPr="00255C80">
        <w:t xml:space="preserve"> model the flow is assumed to be fully turbulent and the effects of molecular viscosity to be negligible (see page 701 of Moukalled et al.</w:t>
      </w:r>
      <w:r w:rsidR="00255C80" w:rsidRPr="00255C80">
        <w:t xml:space="preserve"> </w:t>
      </w:r>
      <w:r w:rsidR="00255C80" w:rsidRPr="00255C80">
        <w:fldChar w:fldCharType="begin"/>
      </w:r>
      <w:r w:rsidR="00255C80" w:rsidRPr="00255C80">
        <w:instrText xml:space="preserve"> REF _Ref104903615 \r \h </w:instrText>
      </w:r>
      <w:r w:rsidR="00255C80" w:rsidRPr="00255C80">
        <w:fldChar w:fldCharType="separate"/>
      </w:r>
      <w:r w:rsidR="00190B20">
        <w:t>[22]</w:t>
      </w:r>
      <w:r w:rsidR="00255C80" w:rsidRPr="00255C80">
        <w:fldChar w:fldCharType="end"/>
      </w:r>
      <w:r w:rsidRPr="00255C80">
        <w:t xml:space="preserve">). </w:t>
      </w:r>
    </w:p>
    <w:p w14:paraId="16F01526" w14:textId="77777777" w:rsidR="00255C80" w:rsidRPr="00E113B5" w:rsidRDefault="00255C80" w:rsidP="00835776">
      <w:pPr>
        <w:pStyle w:val="BodyText"/>
        <w:ind w:firstLine="0"/>
      </w:pPr>
    </w:p>
    <w:p w14:paraId="15E3F25E" w14:textId="42FFE932" w:rsidR="0005124A" w:rsidRDefault="0005124A" w:rsidP="0005124A">
      <w:pPr>
        <w:pStyle w:val="Caption"/>
        <w:keepNext/>
      </w:pPr>
      <w:bookmarkStart w:id="15" w:name="_Ref104884805"/>
      <w:r>
        <w:t xml:space="preserve">TABLE </w:t>
      </w:r>
      <w:r>
        <w:fldChar w:fldCharType="begin"/>
      </w:r>
      <w:r>
        <w:instrText xml:space="preserve"> SEQ TABLE \* ROMAN </w:instrText>
      </w:r>
      <w:r>
        <w:fldChar w:fldCharType="separate"/>
      </w:r>
      <w:r w:rsidR="00190B20">
        <w:rPr>
          <w:noProof/>
        </w:rPr>
        <w:t>IV</w:t>
      </w:r>
      <w:r>
        <w:fldChar w:fldCharType="end"/>
      </w:r>
      <w:bookmarkEnd w:id="15"/>
      <w:r>
        <w:t xml:space="preserve">. BUNDLE FRICTION FACTOR: RANS MODELS’ PREDICTIONS AND COMPARISON WITH EXPERIMENTAL VALUES AT </w:t>
      </w:r>
      <m:oMath>
        <m:r>
          <w:rPr>
            <w:rFonts w:ascii="Cambria Math" w:hAnsi="Cambria Math"/>
          </w:rPr>
          <m:t>Re=17000</m:t>
        </m:r>
      </m:oMath>
      <w:r>
        <w:t>.</w:t>
      </w:r>
    </w:p>
    <w:p w14:paraId="56A2C406" w14:textId="77777777" w:rsidR="00E113B5" w:rsidRPr="00E113B5" w:rsidRDefault="00E113B5" w:rsidP="00E113B5">
      <w:pPr>
        <w:rPr>
          <w:lang w:val="en-US"/>
        </w:rPr>
      </w:pPr>
    </w:p>
    <w:tbl>
      <w:tblPr>
        <w:tblStyle w:val="TableGrid"/>
        <w:tblW w:w="0" w:type="auto"/>
        <w:jc w:val="center"/>
        <w:tblLook w:val="04A0" w:firstRow="1" w:lastRow="0" w:firstColumn="1" w:lastColumn="0" w:noHBand="0" w:noVBand="1"/>
      </w:tblPr>
      <w:tblGrid>
        <w:gridCol w:w="805"/>
        <w:gridCol w:w="1440"/>
        <w:gridCol w:w="1440"/>
        <w:gridCol w:w="1260"/>
        <w:gridCol w:w="1440"/>
        <w:gridCol w:w="1260"/>
      </w:tblGrid>
      <w:tr w:rsidR="0005124A" w14:paraId="67A9E516" w14:textId="77777777" w:rsidTr="0005124A">
        <w:trPr>
          <w:jc w:val="center"/>
        </w:trPr>
        <w:tc>
          <w:tcPr>
            <w:tcW w:w="805" w:type="dxa"/>
            <w:vMerge w:val="restart"/>
            <w:vAlign w:val="center"/>
          </w:tcPr>
          <w:p w14:paraId="61F2B6D6" w14:textId="33578C63" w:rsidR="0005124A" w:rsidRDefault="0005124A" w:rsidP="001E1EA5">
            <w:pPr>
              <w:pStyle w:val="BodyText"/>
              <w:spacing w:line="276" w:lineRule="auto"/>
              <w:ind w:firstLine="0"/>
              <w:rPr>
                <w:lang w:val="en-US"/>
              </w:rPr>
            </w:pPr>
            <w:r>
              <w:rPr>
                <w:lang w:val="en-US"/>
              </w:rPr>
              <w:t>Case</w:t>
            </w:r>
          </w:p>
        </w:tc>
        <w:tc>
          <w:tcPr>
            <w:tcW w:w="1440" w:type="dxa"/>
            <w:vMerge w:val="restart"/>
            <w:vAlign w:val="center"/>
          </w:tcPr>
          <w:p w14:paraId="37EE5CC4" w14:textId="77777777" w:rsidR="0005124A" w:rsidRDefault="0005124A" w:rsidP="001E1EA5">
            <w:pPr>
              <w:pStyle w:val="BodyText"/>
              <w:spacing w:line="276" w:lineRule="auto"/>
              <w:ind w:firstLine="0"/>
              <w:jc w:val="center"/>
              <w:rPr>
                <w:lang w:val="en-US"/>
              </w:rPr>
            </w:pPr>
            <w:r>
              <w:rPr>
                <w:lang w:val="en-US"/>
              </w:rPr>
              <w:t>Experimental</w:t>
            </w:r>
          </w:p>
          <w:p w14:paraId="375D1CB0" w14:textId="455386D2" w:rsidR="0005124A" w:rsidRDefault="0005124A" w:rsidP="001E1EA5">
            <w:pPr>
              <w:pStyle w:val="BodyText"/>
              <w:spacing w:line="276" w:lineRule="auto"/>
              <w:ind w:firstLine="0"/>
              <w:jc w:val="center"/>
              <w:rPr>
                <w:lang w:val="en-US"/>
              </w:rPr>
            </w:pPr>
            <w:r>
              <w:rPr>
                <w:lang w:val="en-US"/>
              </w:rPr>
              <w:t>Friction Factor</w:t>
            </w:r>
          </w:p>
        </w:tc>
        <w:tc>
          <w:tcPr>
            <w:tcW w:w="2700" w:type="dxa"/>
            <w:gridSpan w:val="2"/>
            <w:vAlign w:val="center"/>
          </w:tcPr>
          <w:p w14:paraId="65428DFB" w14:textId="6F9357E2" w:rsidR="0005124A" w:rsidRDefault="0005124A" w:rsidP="001E1EA5">
            <w:pPr>
              <w:pStyle w:val="BodyText"/>
              <w:spacing w:line="276" w:lineRule="auto"/>
              <w:ind w:firstLine="0"/>
              <w:jc w:val="center"/>
              <w:rPr>
                <w:lang w:val="en-US"/>
              </w:rPr>
            </w:pPr>
            <m:oMath>
              <m:r>
                <w:rPr>
                  <w:rFonts w:ascii="Cambria Math" w:hAnsi="Cambria Math"/>
                  <w:lang w:val="en-US"/>
                </w:rPr>
                <m:t>k-ω</m:t>
              </m:r>
            </m:oMath>
            <w:r>
              <w:rPr>
                <w:lang w:val="en-US"/>
              </w:rPr>
              <w:t xml:space="preserve"> SST</w:t>
            </w:r>
          </w:p>
        </w:tc>
        <w:tc>
          <w:tcPr>
            <w:tcW w:w="2700" w:type="dxa"/>
            <w:gridSpan w:val="2"/>
            <w:vAlign w:val="center"/>
          </w:tcPr>
          <w:p w14:paraId="517A9B6F" w14:textId="4B4AA749" w:rsidR="0005124A" w:rsidRDefault="0005124A" w:rsidP="0005124A">
            <w:pPr>
              <w:pStyle w:val="BodyText"/>
              <w:spacing w:line="276" w:lineRule="auto"/>
              <w:ind w:firstLine="0"/>
              <w:jc w:val="center"/>
              <w:rPr>
                <w:lang w:val="en-US"/>
              </w:rPr>
            </w:pPr>
            <m:oMath>
              <m:r>
                <w:rPr>
                  <w:rFonts w:ascii="Cambria Math" w:hAnsi="Cambria Math"/>
                  <w:lang w:val="en-US"/>
                </w:rPr>
                <m:t>k-ϵ</m:t>
              </m:r>
            </m:oMath>
            <w:r>
              <w:rPr>
                <w:lang w:val="en-US"/>
              </w:rPr>
              <w:t xml:space="preserve"> Realizable</w:t>
            </w:r>
          </w:p>
        </w:tc>
      </w:tr>
      <w:tr w:rsidR="0005124A" w14:paraId="09633C7D" w14:textId="77777777" w:rsidTr="0005124A">
        <w:trPr>
          <w:jc w:val="center"/>
        </w:trPr>
        <w:tc>
          <w:tcPr>
            <w:tcW w:w="805" w:type="dxa"/>
            <w:vMerge/>
            <w:vAlign w:val="center"/>
          </w:tcPr>
          <w:p w14:paraId="7BC66F2E" w14:textId="3BB8100C" w:rsidR="0005124A" w:rsidRDefault="0005124A" w:rsidP="0005124A">
            <w:pPr>
              <w:pStyle w:val="BodyText"/>
              <w:spacing w:line="276" w:lineRule="auto"/>
              <w:ind w:firstLine="0"/>
              <w:rPr>
                <w:lang w:val="en-US"/>
              </w:rPr>
            </w:pPr>
          </w:p>
        </w:tc>
        <w:tc>
          <w:tcPr>
            <w:tcW w:w="1440" w:type="dxa"/>
            <w:vMerge/>
            <w:vAlign w:val="center"/>
          </w:tcPr>
          <w:p w14:paraId="06A43106" w14:textId="77777777" w:rsidR="0005124A" w:rsidRDefault="0005124A" w:rsidP="0005124A">
            <w:pPr>
              <w:pStyle w:val="BodyText"/>
              <w:spacing w:line="276" w:lineRule="auto"/>
              <w:ind w:firstLine="0"/>
              <w:jc w:val="center"/>
              <w:rPr>
                <w:lang w:val="en-US"/>
              </w:rPr>
            </w:pPr>
          </w:p>
        </w:tc>
        <w:tc>
          <w:tcPr>
            <w:tcW w:w="1440" w:type="dxa"/>
            <w:vAlign w:val="center"/>
          </w:tcPr>
          <w:p w14:paraId="63F969A7" w14:textId="0811E89C" w:rsidR="0005124A" w:rsidRDefault="0005124A" w:rsidP="0005124A">
            <w:pPr>
              <w:pStyle w:val="BodyText"/>
              <w:spacing w:line="276" w:lineRule="auto"/>
              <w:ind w:firstLine="0"/>
              <w:jc w:val="center"/>
              <w:rPr>
                <w:lang w:val="en-US"/>
              </w:rPr>
            </w:pPr>
            <w:r>
              <w:rPr>
                <w:lang w:val="en-US"/>
              </w:rPr>
              <w:t>Friction Factor</w:t>
            </w:r>
          </w:p>
        </w:tc>
        <w:tc>
          <w:tcPr>
            <w:tcW w:w="1260" w:type="dxa"/>
            <w:vAlign w:val="center"/>
          </w:tcPr>
          <w:p w14:paraId="72570787" w14:textId="54560D0B" w:rsidR="0005124A" w:rsidRDefault="0005124A" w:rsidP="0005124A">
            <w:pPr>
              <w:pStyle w:val="BodyText"/>
              <w:spacing w:line="276" w:lineRule="auto"/>
              <w:ind w:firstLine="0"/>
              <w:jc w:val="center"/>
              <w:rPr>
                <w:lang w:val="en-US"/>
              </w:rPr>
            </w:pPr>
            <w:r>
              <w:rPr>
                <w:lang w:val="en-US"/>
              </w:rPr>
              <w:t>Error w.r.t experiment</w:t>
            </w:r>
          </w:p>
        </w:tc>
        <w:tc>
          <w:tcPr>
            <w:tcW w:w="1440" w:type="dxa"/>
            <w:vAlign w:val="center"/>
          </w:tcPr>
          <w:p w14:paraId="0FC8BA69" w14:textId="0C365917" w:rsidR="0005124A" w:rsidRDefault="0005124A" w:rsidP="0005124A">
            <w:pPr>
              <w:pStyle w:val="BodyText"/>
              <w:spacing w:line="276" w:lineRule="auto"/>
              <w:ind w:firstLine="0"/>
              <w:jc w:val="center"/>
              <w:rPr>
                <w:lang w:val="en-US"/>
              </w:rPr>
            </w:pPr>
            <w:r>
              <w:rPr>
                <w:lang w:val="en-US"/>
              </w:rPr>
              <w:t>Friction Factor</w:t>
            </w:r>
          </w:p>
        </w:tc>
        <w:tc>
          <w:tcPr>
            <w:tcW w:w="1260" w:type="dxa"/>
            <w:vAlign w:val="center"/>
          </w:tcPr>
          <w:p w14:paraId="22A40512" w14:textId="1C048433" w:rsidR="0005124A" w:rsidRDefault="0005124A" w:rsidP="0005124A">
            <w:pPr>
              <w:pStyle w:val="BodyText"/>
              <w:spacing w:line="276" w:lineRule="auto"/>
              <w:ind w:firstLine="0"/>
              <w:jc w:val="center"/>
              <w:rPr>
                <w:lang w:val="en-US"/>
              </w:rPr>
            </w:pPr>
            <w:r>
              <w:rPr>
                <w:lang w:val="en-US"/>
              </w:rPr>
              <w:t>Error w.r.t experiment</w:t>
            </w:r>
          </w:p>
        </w:tc>
      </w:tr>
      <w:tr w:rsidR="0005124A" w14:paraId="4C3E0868" w14:textId="77777777" w:rsidTr="0005124A">
        <w:trPr>
          <w:jc w:val="center"/>
        </w:trPr>
        <w:tc>
          <w:tcPr>
            <w:tcW w:w="805" w:type="dxa"/>
            <w:vAlign w:val="center"/>
          </w:tcPr>
          <w:p w14:paraId="3F143CAF" w14:textId="1F57D9C5" w:rsidR="0005124A" w:rsidRDefault="0005124A" w:rsidP="0005124A">
            <w:pPr>
              <w:pStyle w:val="BodyText"/>
              <w:spacing w:line="276" w:lineRule="auto"/>
              <w:ind w:firstLine="0"/>
              <w:rPr>
                <w:lang w:val="en-US"/>
              </w:rPr>
            </w:pPr>
            <w:r>
              <w:rPr>
                <w:lang w:val="en-US"/>
              </w:rPr>
              <w:t>Case 1</w:t>
            </w:r>
          </w:p>
        </w:tc>
        <w:tc>
          <w:tcPr>
            <w:tcW w:w="1440" w:type="dxa"/>
            <w:vAlign w:val="center"/>
          </w:tcPr>
          <w:p w14:paraId="0668E509" w14:textId="35C9846A" w:rsidR="0005124A" w:rsidRDefault="00F63382" w:rsidP="0005124A">
            <w:pPr>
              <w:pStyle w:val="BodyText"/>
              <w:spacing w:line="276" w:lineRule="auto"/>
              <w:ind w:firstLine="0"/>
              <w:jc w:val="center"/>
              <w:rPr>
                <w:lang w:val="en-US"/>
              </w:rPr>
            </w:pPr>
            <w:r w:rsidRPr="00F63382">
              <w:rPr>
                <w:lang w:val="en-US"/>
              </w:rPr>
              <w:t>0.0331</w:t>
            </w:r>
            <w:r>
              <w:rPr>
                <w:lang w:val="en-US"/>
              </w:rPr>
              <w:t>38</w:t>
            </w:r>
          </w:p>
        </w:tc>
        <w:tc>
          <w:tcPr>
            <w:tcW w:w="1440" w:type="dxa"/>
            <w:vAlign w:val="center"/>
          </w:tcPr>
          <w:p w14:paraId="01274D7C" w14:textId="7B5E3B81" w:rsidR="0005124A" w:rsidRDefault="00F63382" w:rsidP="0005124A">
            <w:pPr>
              <w:pStyle w:val="BodyText"/>
              <w:spacing w:line="276" w:lineRule="auto"/>
              <w:ind w:firstLine="0"/>
              <w:jc w:val="center"/>
              <w:rPr>
                <w:lang w:val="en-US"/>
              </w:rPr>
            </w:pPr>
            <w:r w:rsidRPr="00F63382">
              <w:rPr>
                <w:lang w:val="en-US"/>
              </w:rPr>
              <w:t>0.029704</w:t>
            </w:r>
          </w:p>
        </w:tc>
        <w:tc>
          <w:tcPr>
            <w:tcW w:w="1260" w:type="dxa"/>
            <w:vAlign w:val="center"/>
          </w:tcPr>
          <w:p w14:paraId="5BD43EE6" w14:textId="6C26CFDC" w:rsidR="0005124A" w:rsidRDefault="00F63382" w:rsidP="0005124A">
            <w:pPr>
              <w:pStyle w:val="BodyText"/>
              <w:spacing w:line="276" w:lineRule="auto"/>
              <w:ind w:firstLine="0"/>
              <w:jc w:val="center"/>
              <w:rPr>
                <w:lang w:val="en-US"/>
              </w:rPr>
            </w:pPr>
            <w:r>
              <w:rPr>
                <w:lang w:val="en-US"/>
              </w:rPr>
              <w:t>10.36%</w:t>
            </w:r>
          </w:p>
        </w:tc>
        <w:tc>
          <w:tcPr>
            <w:tcW w:w="1440" w:type="dxa"/>
            <w:vAlign w:val="center"/>
          </w:tcPr>
          <w:p w14:paraId="787DE7E0" w14:textId="13FA87C3" w:rsidR="0005124A" w:rsidRDefault="00F63382" w:rsidP="0005124A">
            <w:pPr>
              <w:pStyle w:val="BodyText"/>
              <w:spacing w:line="276" w:lineRule="auto"/>
              <w:ind w:firstLine="0"/>
              <w:jc w:val="center"/>
              <w:rPr>
                <w:lang w:val="en-US"/>
              </w:rPr>
            </w:pPr>
            <w:r w:rsidRPr="00F63382">
              <w:rPr>
                <w:lang w:val="en-US"/>
              </w:rPr>
              <w:t>0.033632</w:t>
            </w:r>
          </w:p>
        </w:tc>
        <w:tc>
          <w:tcPr>
            <w:tcW w:w="1260" w:type="dxa"/>
            <w:vAlign w:val="center"/>
          </w:tcPr>
          <w:p w14:paraId="11357E61" w14:textId="307CD006" w:rsidR="0005124A" w:rsidRDefault="00F63382" w:rsidP="0005124A">
            <w:pPr>
              <w:pStyle w:val="BodyText"/>
              <w:spacing w:line="276" w:lineRule="auto"/>
              <w:ind w:firstLine="0"/>
              <w:jc w:val="center"/>
              <w:rPr>
                <w:lang w:val="en-US"/>
              </w:rPr>
            </w:pPr>
            <w:r>
              <w:rPr>
                <w:lang w:val="en-US"/>
              </w:rPr>
              <w:t>1.49%</w:t>
            </w:r>
          </w:p>
        </w:tc>
      </w:tr>
      <w:tr w:rsidR="0005124A" w14:paraId="258863D3" w14:textId="77777777" w:rsidTr="0005124A">
        <w:trPr>
          <w:jc w:val="center"/>
        </w:trPr>
        <w:tc>
          <w:tcPr>
            <w:tcW w:w="805" w:type="dxa"/>
            <w:vAlign w:val="center"/>
          </w:tcPr>
          <w:p w14:paraId="02D56E54" w14:textId="7FCD9421" w:rsidR="0005124A" w:rsidRDefault="0005124A" w:rsidP="0005124A">
            <w:pPr>
              <w:pStyle w:val="BodyText"/>
              <w:spacing w:line="276" w:lineRule="auto"/>
              <w:ind w:firstLine="0"/>
              <w:rPr>
                <w:lang w:val="en-US"/>
              </w:rPr>
            </w:pPr>
            <w:r>
              <w:rPr>
                <w:lang w:val="en-US"/>
              </w:rPr>
              <w:t>Case 2</w:t>
            </w:r>
          </w:p>
        </w:tc>
        <w:tc>
          <w:tcPr>
            <w:tcW w:w="1440" w:type="dxa"/>
            <w:vAlign w:val="center"/>
          </w:tcPr>
          <w:p w14:paraId="50F6393F" w14:textId="43FD8353" w:rsidR="0005124A" w:rsidRDefault="00F63382" w:rsidP="0005124A">
            <w:pPr>
              <w:pStyle w:val="BodyText"/>
              <w:spacing w:line="276" w:lineRule="auto"/>
              <w:ind w:firstLine="0"/>
              <w:jc w:val="center"/>
              <w:rPr>
                <w:lang w:val="en-US"/>
              </w:rPr>
            </w:pPr>
            <w:r w:rsidRPr="00F63382">
              <w:rPr>
                <w:lang w:val="en-US"/>
              </w:rPr>
              <w:t>0.037999</w:t>
            </w:r>
          </w:p>
        </w:tc>
        <w:tc>
          <w:tcPr>
            <w:tcW w:w="1440" w:type="dxa"/>
            <w:vAlign w:val="center"/>
          </w:tcPr>
          <w:p w14:paraId="10FF1097" w14:textId="45238D60" w:rsidR="0005124A" w:rsidRDefault="00F63382" w:rsidP="0005124A">
            <w:pPr>
              <w:pStyle w:val="BodyText"/>
              <w:spacing w:line="276" w:lineRule="auto"/>
              <w:ind w:firstLine="0"/>
              <w:jc w:val="center"/>
              <w:rPr>
                <w:lang w:val="en-US"/>
              </w:rPr>
            </w:pPr>
            <w:r w:rsidRPr="00F63382">
              <w:rPr>
                <w:lang w:val="en-US"/>
              </w:rPr>
              <w:t>0.033266</w:t>
            </w:r>
          </w:p>
        </w:tc>
        <w:tc>
          <w:tcPr>
            <w:tcW w:w="1260" w:type="dxa"/>
            <w:vAlign w:val="center"/>
          </w:tcPr>
          <w:p w14:paraId="242C2E26" w14:textId="5622ACA3" w:rsidR="0005124A" w:rsidRDefault="00F63382" w:rsidP="0005124A">
            <w:pPr>
              <w:pStyle w:val="BodyText"/>
              <w:spacing w:line="276" w:lineRule="auto"/>
              <w:ind w:firstLine="0"/>
              <w:jc w:val="center"/>
              <w:rPr>
                <w:lang w:val="en-US"/>
              </w:rPr>
            </w:pPr>
            <w:r>
              <w:rPr>
                <w:lang w:val="en-US"/>
              </w:rPr>
              <w:t>12.46%</w:t>
            </w:r>
          </w:p>
        </w:tc>
        <w:tc>
          <w:tcPr>
            <w:tcW w:w="1440" w:type="dxa"/>
            <w:vAlign w:val="center"/>
          </w:tcPr>
          <w:p w14:paraId="4DF3319C" w14:textId="6AB215D8" w:rsidR="0005124A" w:rsidRDefault="00F63382" w:rsidP="0005124A">
            <w:pPr>
              <w:pStyle w:val="BodyText"/>
              <w:spacing w:line="276" w:lineRule="auto"/>
              <w:ind w:firstLine="0"/>
              <w:jc w:val="center"/>
              <w:rPr>
                <w:lang w:val="en-US"/>
              </w:rPr>
            </w:pPr>
            <w:r w:rsidRPr="00F63382">
              <w:rPr>
                <w:lang w:val="en-US"/>
              </w:rPr>
              <w:t>0.038006</w:t>
            </w:r>
          </w:p>
        </w:tc>
        <w:tc>
          <w:tcPr>
            <w:tcW w:w="1260" w:type="dxa"/>
            <w:vAlign w:val="center"/>
          </w:tcPr>
          <w:p w14:paraId="05C3044B" w14:textId="7316DC68" w:rsidR="0005124A" w:rsidRDefault="00F63382" w:rsidP="0005124A">
            <w:pPr>
              <w:pStyle w:val="BodyText"/>
              <w:spacing w:line="276" w:lineRule="auto"/>
              <w:ind w:firstLine="0"/>
              <w:jc w:val="center"/>
              <w:rPr>
                <w:lang w:val="en-US"/>
              </w:rPr>
            </w:pPr>
            <w:r>
              <w:rPr>
                <w:lang w:val="en-US"/>
              </w:rPr>
              <w:t>0.02%</w:t>
            </w:r>
          </w:p>
        </w:tc>
      </w:tr>
      <w:tr w:rsidR="0005124A" w14:paraId="049A43E1" w14:textId="77777777" w:rsidTr="0005124A">
        <w:trPr>
          <w:jc w:val="center"/>
        </w:trPr>
        <w:tc>
          <w:tcPr>
            <w:tcW w:w="805" w:type="dxa"/>
            <w:vAlign w:val="center"/>
          </w:tcPr>
          <w:p w14:paraId="7C6A606D" w14:textId="384AD7B9" w:rsidR="0005124A" w:rsidRDefault="0005124A" w:rsidP="0005124A">
            <w:pPr>
              <w:pStyle w:val="BodyText"/>
              <w:spacing w:line="276" w:lineRule="auto"/>
              <w:ind w:firstLine="0"/>
              <w:rPr>
                <w:lang w:val="en-US"/>
              </w:rPr>
            </w:pPr>
            <w:r>
              <w:rPr>
                <w:lang w:val="en-US"/>
              </w:rPr>
              <w:t>Case 3</w:t>
            </w:r>
          </w:p>
        </w:tc>
        <w:tc>
          <w:tcPr>
            <w:tcW w:w="1440" w:type="dxa"/>
            <w:vAlign w:val="center"/>
          </w:tcPr>
          <w:p w14:paraId="18024071" w14:textId="386C2A75" w:rsidR="0005124A" w:rsidRDefault="00F63382" w:rsidP="0005124A">
            <w:pPr>
              <w:pStyle w:val="BodyText"/>
              <w:spacing w:line="276" w:lineRule="auto"/>
              <w:ind w:firstLine="0"/>
              <w:jc w:val="center"/>
              <w:rPr>
                <w:lang w:val="en-US"/>
              </w:rPr>
            </w:pPr>
            <w:r w:rsidRPr="00F63382">
              <w:rPr>
                <w:lang w:val="en-US"/>
              </w:rPr>
              <w:t>0.045259</w:t>
            </w:r>
          </w:p>
        </w:tc>
        <w:tc>
          <w:tcPr>
            <w:tcW w:w="1440" w:type="dxa"/>
            <w:vAlign w:val="center"/>
          </w:tcPr>
          <w:p w14:paraId="296EF8DB" w14:textId="2498920F" w:rsidR="0005124A" w:rsidRDefault="00F63382" w:rsidP="0005124A">
            <w:pPr>
              <w:pStyle w:val="BodyText"/>
              <w:spacing w:line="276" w:lineRule="auto"/>
              <w:ind w:firstLine="0"/>
              <w:jc w:val="center"/>
              <w:rPr>
                <w:lang w:val="en-US"/>
              </w:rPr>
            </w:pPr>
            <w:r w:rsidRPr="00F63382">
              <w:rPr>
                <w:lang w:val="en-US"/>
              </w:rPr>
              <w:t>0.039451</w:t>
            </w:r>
          </w:p>
        </w:tc>
        <w:tc>
          <w:tcPr>
            <w:tcW w:w="1260" w:type="dxa"/>
            <w:vAlign w:val="center"/>
          </w:tcPr>
          <w:p w14:paraId="214DC02E" w14:textId="2C50974E" w:rsidR="0005124A" w:rsidRDefault="00F63382" w:rsidP="0005124A">
            <w:pPr>
              <w:pStyle w:val="BodyText"/>
              <w:spacing w:line="276" w:lineRule="auto"/>
              <w:ind w:firstLine="0"/>
              <w:jc w:val="center"/>
              <w:rPr>
                <w:lang w:val="en-US"/>
              </w:rPr>
            </w:pPr>
            <w:r>
              <w:rPr>
                <w:lang w:val="en-US"/>
              </w:rPr>
              <w:t>12.83%</w:t>
            </w:r>
          </w:p>
        </w:tc>
        <w:tc>
          <w:tcPr>
            <w:tcW w:w="1440" w:type="dxa"/>
            <w:vAlign w:val="center"/>
          </w:tcPr>
          <w:p w14:paraId="3ED2574A" w14:textId="579B5F04" w:rsidR="0005124A" w:rsidRDefault="00F63382" w:rsidP="0005124A">
            <w:pPr>
              <w:pStyle w:val="BodyText"/>
              <w:spacing w:line="276" w:lineRule="auto"/>
              <w:ind w:firstLine="0"/>
              <w:jc w:val="center"/>
              <w:rPr>
                <w:lang w:val="en-US"/>
              </w:rPr>
            </w:pPr>
            <w:r w:rsidRPr="00F63382">
              <w:rPr>
                <w:lang w:val="en-US"/>
              </w:rPr>
              <w:t>0.043967</w:t>
            </w:r>
          </w:p>
        </w:tc>
        <w:tc>
          <w:tcPr>
            <w:tcW w:w="1260" w:type="dxa"/>
            <w:vAlign w:val="center"/>
          </w:tcPr>
          <w:p w14:paraId="266B7CAA" w14:textId="50A3C4F6" w:rsidR="0005124A" w:rsidRDefault="00F63382" w:rsidP="0005124A">
            <w:pPr>
              <w:pStyle w:val="BodyText"/>
              <w:spacing w:line="276" w:lineRule="auto"/>
              <w:ind w:firstLine="0"/>
              <w:jc w:val="center"/>
              <w:rPr>
                <w:lang w:val="en-US"/>
              </w:rPr>
            </w:pPr>
            <w:r>
              <w:rPr>
                <w:lang w:val="en-US"/>
              </w:rPr>
              <w:t>2.86%</w:t>
            </w:r>
          </w:p>
        </w:tc>
      </w:tr>
      <w:tr w:rsidR="0005124A" w14:paraId="2EF2656A" w14:textId="77777777" w:rsidTr="0005124A">
        <w:trPr>
          <w:jc w:val="center"/>
        </w:trPr>
        <w:tc>
          <w:tcPr>
            <w:tcW w:w="805" w:type="dxa"/>
            <w:vAlign w:val="center"/>
          </w:tcPr>
          <w:p w14:paraId="2D2AB21B" w14:textId="208C1578" w:rsidR="0005124A" w:rsidRDefault="0005124A" w:rsidP="0005124A">
            <w:pPr>
              <w:pStyle w:val="BodyText"/>
              <w:spacing w:line="276" w:lineRule="auto"/>
              <w:ind w:firstLine="0"/>
              <w:rPr>
                <w:lang w:val="en-US"/>
              </w:rPr>
            </w:pPr>
            <w:r>
              <w:rPr>
                <w:lang w:val="en-US"/>
              </w:rPr>
              <w:t>Case 4</w:t>
            </w:r>
          </w:p>
        </w:tc>
        <w:tc>
          <w:tcPr>
            <w:tcW w:w="1440" w:type="dxa"/>
            <w:vAlign w:val="center"/>
          </w:tcPr>
          <w:p w14:paraId="59FF8575" w14:textId="482FB3F8" w:rsidR="0005124A" w:rsidRDefault="00F63382" w:rsidP="0005124A">
            <w:pPr>
              <w:pStyle w:val="BodyText"/>
              <w:spacing w:line="276" w:lineRule="auto"/>
              <w:ind w:firstLine="0"/>
              <w:jc w:val="center"/>
              <w:rPr>
                <w:lang w:val="en-US"/>
              </w:rPr>
            </w:pPr>
            <w:r w:rsidRPr="00F63382">
              <w:rPr>
                <w:lang w:val="en-US"/>
              </w:rPr>
              <w:t>0.034264</w:t>
            </w:r>
          </w:p>
        </w:tc>
        <w:tc>
          <w:tcPr>
            <w:tcW w:w="1440" w:type="dxa"/>
            <w:vAlign w:val="center"/>
          </w:tcPr>
          <w:p w14:paraId="3AAFB691" w14:textId="60EE06C6" w:rsidR="0005124A" w:rsidRDefault="00F63382" w:rsidP="0005124A">
            <w:pPr>
              <w:pStyle w:val="BodyText"/>
              <w:spacing w:line="276" w:lineRule="auto"/>
              <w:ind w:firstLine="0"/>
              <w:jc w:val="center"/>
              <w:rPr>
                <w:lang w:val="en-US"/>
              </w:rPr>
            </w:pPr>
            <w:r w:rsidRPr="00F63382">
              <w:rPr>
                <w:lang w:val="en-US"/>
              </w:rPr>
              <w:t>0.032382</w:t>
            </w:r>
          </w:p>
        </w:tc>
        <w:tc>
          <w:tcPr>
            <w:tcW w:w="1260" w:type="dxa"/>
            <w:vAlign w:val="center"/>
          </w:tcPr>
          <w:p w14:paraId="01FBA315" w14:textId="74C2D11C" w:rsidR="0005124A" w:rsidRDefault="00F63382" w:rsidP="0005124A">
            <w:pPr>
              <w:pStyle w:val="BodyText"/>
              <w:spacing w:line="276" w:lineRule="auto"/>
              <w:ind w:firstLine="0"/>
              <w:jc w:val="center"/>
              <w:rPr>
                <w:lang w:val="en-US"/>
              </w:rPr>
            </w:pPr>
            <w:r>
              <w:rPr>
                <w:lang w:val="en-US"/>
              </w:rPr>
              <w:t>5.49%</w:t>
            </w:r>
          </w:p>
        </w:tc>
        <w:tc>
          <w:tcPr>
            <w:tcW w:w="1440" w:type="dxa"/>
            <w:vAlign w:val="center"/>
          </w:tcPr>
          <w:p w14:paraId="2DAC1E44" w14:textId="212EFE0F" w:rsidR="0005124A" w:rsidRDefault="00F63382" w:rsidP="0005124A">
            <w:pPr>
              <w:pStyle w:val="BodyText"/>
              <w:spacing w:line="276" w:lineRule="auto"/>
              <w:ind w:firstLine="0"/>
              <w:jc w:val="center"/>
              <w:rPr>
                <w:lang w:val="en-US"/>
              </w:rPr>
            </w:pPr>
            <w:r w:rsidRPr="00F63382">
              <w:rPr>
                <w:lang w:val="en-US"/>
              </w:rPr>
              <w:t>0.035967</w:t>
            </w:r>
          </w:p>
        </w:tc>
        <w:tc>
          <w:tcPr>
            <w:tcW w:w="1260" w:type="dxa"/>
            <w:vAlign w:val="center"/>
          </w:tcPr>
          <w:p w14:paraId="3F11F50A" w14:textId="447BBBBF" w:rsidR="0005124A" w:rsidRDefault="00F63382" w:rsidP="0005124A">
            <w:pPr>
              <w:pStyle w:val="BodyText"/>
              <w:spacing w:line="276" w:lineRule="auto"/>
              <w:ind w:firstLine="0"/>
              <w:jc w:val="center"/>
              <w:rPr>
                <w:lang w:val="en-US"/>
              </w:rPr>
            </w:pPr>
            <w:r>
              <w:rPr>
                <w:lang w:val="en-US"/>
              </w:rPr>
              <w:t>4.97%</w:t>
            </w:r>
          </w:p>
        </w:tc>
      </w:tr>
    </w:tbl>
    <w:p w14:paraId="7EC88B80" w14:textId="283EDA74" w:rsidR="001E1EA5" w:rsidRDefault="001E1EA5" w:rsidP="000E6307">
      <w:pPr>
        <w:pStyle w:val="BodyText"/>
        <w:ind w:firstLine="0"/>
        <w:rPr>
          <w:lang w:val="en-US"/>
        </w:rPr>
      </w:pPr>
    </w:p>
    <w:p w14:paraId="15D3E389" w14:textId="787E6248" w:rsidR="0024184E" w:rsidRDefault="0024184E" w:rsidP="0024184E">
      <w:pPr>
        <w:pStyle w:val="BodyText"/>
      </w:pPr>
      <w:r w:rsidRPr="00E113B5">
        <w:t>The ef</w:t>
      </w:r>
      <w:r>
        <w:t xml:space="preserve">fect of the blockages on pressure was also analysed by calculating the surface-averaged pressure, </w:t>
      </w:r>
      <m:oMath>
        <m:acc>
          <m:accPr>
            <m:chr m:val="̅"/>
            <m:ctrlPr>
              <w:rPr>
                <w:rFonts w:ascii="Cambria Math" w:hAnsi="Cambria Math"/>
                <w:i/>
              </w:rPr>
            </m:ctrlPr>
          </m:accPr>
          <m:e>
            <m:r>
              <w:rPr>
                <w:rFonts w:ascii="Cambria Math" w:hAnsi="Cambria Math"/>
              </w:rPr>
              <m:t>P</m:t>
            </m:r>
          </m:e>
        </m:acc>
        <m:r>
          <w:rPr>
            <w:rFonts w:ascii="Cambria Math" w:hAnsi="Cambria Math"/>
          </w:rPr>
          <m:t>(z)</m:t>
        </m:r>
      </m:oMath>
      <w:r>
        <w:t xml:space="preserve">, defined according to Equation </w:t>
      </w:r>
      <w:r>
        <w:fldChar w:fldCharType="begin"/>
      </w:r>
      <w:r>
        <w:instrText xml:space="preserve"> REF _Ref104823540 \h </w:instrText>
      </w:r>
      <w:r>
        <w:fldChar w:fldCharType="separate"/>
      </w:r>
      <w:r w:rsidR="00190B20" w:rsidRPr="003830D8">
        <w:t>(</w:t>
      </w:r>
      <w:r w:rsidR="00190B20">
        <w:rPr>
          <w:noProof/>
        </w:rPr>
        <w:t>8</w:t>
      </w:r>
      <w:r w:rsidR="00190B20" w:rsidRPr="003830D8">
        <w:t>)</w:t>
      </w:r>
      <w:r>
        <w:fldChar w:fldCharType="end"/>
      </w:r>
      <w:r>
        <w:t>:</w:t>
      </w:r>
    </w:p>
    <w:p w14:paraId="7CCCB158" w14:textId="77777777" w:rsidR="0024184E" w:rsidRDefault="0024184E" w:rsidP="0024184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24184E" w14:paraId="67CCEC23" w14:textId="77777777" w:rsidTr="00A30935">
        <w:tc>
          <w:tcPr>
            <w:tcW w:w="8455" w:type="dxa"/>
            <w:vAlign w:val="center"/>
          </w:tcPr>
          <w:p w14:paraId="53BC6E1C" w14:textId="77777777" w:rsidR="0024184E" w:rsidRDefault="0024184E" w:rsidP="00A30935">
            <w:pPr>
              <w:pStyle w:val="BodyText"/>
              <w:spacing w:before="240"/>
              <w:ind w:firstLine="0"/>
              <w:rPr>
                <w:lang w:val="en-US"/>
              </w:rPr>
            </w:pPr>
            <m:oMathPara>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nary>
                  <m:naryPr>
                    <m:supHide m:val="1"/>
                    <m:ctrlPr>
                      <w:rPr>
                        <w:rFonts w:ascii="Cambria Math" w:hAnsi="Cambria Math"/>
                        <w:i/>
                      </w:rPr>
                    </m:ctrlPr>
                  </m:naryPr>
                  <m:sub>
                    <m:r>
                      <w:rPr>
                        <w:rFonts w:ascii="Cambria Math" w:hAnsi="Cambria Math"/>
                      </w:rPr>
                      <m:t>A</m:t>
                    </m:r>
                  </m:sub>
                  <m:sup/>
                  <m:e>
                    <m:r>
                      <w:rPr>
                        <w:rFonts w:ascii="Cambria Math" w:hAnsi="Cambria Math"/>
                      </w:rPr>
                      <m:t>P</m:t>
                    </m:r>
                    <m:d>
                      <m:dPr>
                        <m:ctrlPr>
                          <w:rPr>
                            <w:rFonts w:ascii="Cambria Math" w:hAnsi="Cambria Math"/>
                            <w:i/>
                          </w:rPr>
                        </m:ctrlPr>
                      </m:dPr>
                      <m:e>
                        <m:r>
                          <w:rPr>
                            <w:rFonts w:ascii="Cambria Math" w:hAnsi="Cambria Math"/>
                          </w:rPr>
                          <m:t>x,y,z</m:t>
                        </m:r>
                      </m:e>
                    </m:d>
                    <m:r>
                      <w:rPr>
                        <w:rFonts w:ascii="Cambria Math" w:hAnsi="Cambria Math"/>
                      </w:rPr>
                      <m:t>dxdy</m:t>
                    </m:r>
                  </m:e>
                </m:nary>
              </m:oMath>
            </m:oMathPara>
          </w:p>
        </w:tc>
        <w:tc>
          <w:tcPr>
            <w:tcW w:w="562" w:type="dxa"/>
            <w:vAlign w:val="center"/>
          </w:tcPr>
          <w:p w14:paraId="7ED90CCC" w14:textId="4B058DF4" w:rsidR="0024184E" w:rsidRDefault="0024184E" w:rsidP="00A30935">
            <w:pPr>
              <w:pStyle w:val="Caption"/>
            </w:pPr>
            <w:bookmarkStart w:id="16" w:name="_Ref104823540"/>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8</w:t>
            </w:r>
            <w:r w:rsidRPr="003830D8">
              <w:rPr>
                <w:sz w:val="20"/>
              </w:rPr>
              <w:fldChar w:fldCharType="end"/>
            </w:r>
            <w:r w:rsidRPr="003830D8">
              <w:rPr>
                <w:sz w:val="20"/>
              </w:rPr>
              <w:t>)</w:t>
            </w:r>
            <w:bookmarkEnd w:id="16"/>
          </w:p>
        </w:tc>
      </w:tr>
    </w:tbl>
    <w:p w14:paraId="3B8BE8A3" w14:textId="77777777" w:rsidR="0024184E" w:rsidRDefault="0024184E" w:rsidP="0024184E">
      <w:pPr>
        <w:pStyle w:val="BodyText"/>
        <w:ind w:firstLine="0"/>
      </w:pPr>
    </w:p>
    <w:p w14:paraId="01687A9A" w14:textId="6ED33A0D" w:rsidR="0024184E" w:rsidRDefault="0024184E" w:rsidP="0024184E">
      <w:pPr>
        <w:pStyle w:val="BodyText"/>
        <w:ind w:firstLine="0"/>
      </w:pPr>
      <w:r>
        <w:fldChar w:fldCharType="begin"/>
      </w:r>
      <w:r>
        <w:instrText xml:space="preserve"> REF _Ref104823915 \h </w:instrText>
      </w:r>
      <w:r>
        <w:fldChar w:fldCharType="separate"/>
      </w:r>
      <w:r w:rsidR="00190B20">
        <w:t xml:space="preserve">FIG </w:t>
      </w:r>
      <w:r w:rsidR="00190B20">
        <w:rPr>
          <w:noProof/>
        </w:rPr>
        <w:t>7</w:t>
      </w:r>
      <w:r>
        <w:fldChar w:fldCharType="end"/>
      </w:r>
      <w:r>
        <w:t xml:space="preserve"> shows the normalized surface-averaged pressure as a function of the axial length. Results correspond to the </w:t>
      </w:r>
      <m:oMath>
        <m:r>
          <w:rPr>
            <w:rFonts w:ascii="Cambria Math" w:hAnsi="Cambria Math"/>
          </w:rPr>
          <m:t>k-ϵ</m:t>
        </m:r>
      </m:oMath>
      <w:r>
        <w:t xml:space="preserve"> Realizable model. The surface average pressure is only a function of the axial coordinate z, because the integration is performed in the x and y directions, as it can be seen in Equation </w:t>
      </w:r>
      <w:r>
        <w:fldChar w:fldCharType="begin"/>
      </w:r>
      <w:r>
        <w:instrText xml:space="preserve"> REF _Ref104823540 \h </w:instrText>
      </w:r>
      <w:r>
        <w:fldChar w:fldCharType="separate"/>
      </w:r>
      <w:r w:rsidR="00190B20" w:rsidRPr="003830D8">
        <w:t>(</w:t>
      </w:r>
      <w:r w:rsidR="00190B20">
        <w:rPr>
          <w:noProof/>
        </w:rPr>
        <w:t>8</w:t>
      </w:r>
      <w:r w:rsidR="00190B20" w:rsidRPr="003830D8">
        <w:t>)</w:t>
      </w:r>
      <w:r>
        <w:fldChar w:fldCharType="end"/>
      </w:r>
      <w:r>
        <w:t xml:space="preserve">. The unblocked case presents a linear trend, typical of channel flows. In contrast, the blocked scenarios show a sudden pressure reduction downstream of the blockage, which was located at </w:t>
      </w:r>
      <m:oMath>
        <m:r>
          <w:rPr>
            <w:rFonts w:ascii="Cambria Math" w:hAnsi="Cambria Math"/>
          </w:rPr>
          <m:t>z</m:t>
        </m:r>
        <m:r>
          <m:rPr>
            <m:lit/>
          </m:rPr>
          <w:rPr>
            <w:rFonts w:ascii="Cambria Math" w:hAnsi="Cambria Math"/>
          </w:rPr>
          <m:t>/</m:t>
        </m:r>
        <m:r>
          <w:rPr>
            <w:rFonts w:ascii="Cambria Math" w:hAnsi="Cambria Math"/>
          </w:rPr>
          <m:t>H=0.5</m:t>
        </m:r>
      </m:oMath>
      <w:r>
        <w:t>. Further downstream, there was a recirculation region due to the presence of an adverse pressure gradient. Near the outlet, pressure resumes its decreasing behaviour.</w:t>
      </w:r>
    </w:p>
    <w:p w14:paraId="0E4F5DF3" w14:textId="77777777" w:rsidR="0024184E" w:rsidRDefault="0024184E" w:rsidP="000E6307">
      <w:pPr>
        <w:pStyle w:val="BodyText"/>
        <w:ind w:firstLine="0"/>
        <w:rPr>
          <w:lang w:val="en-US"/>
        </w:rPr>
      </w:pPr>
    </w:p>
    <w:p w14:paraId="59801776" w14:textId="319995AA" w:rsidR="00E113B5" w:rsidRDefault="00483D99" w:rsidP="00E113B5">
      <w:pPr>
        <w:pStyle w:val="BodyText"/>
        <w:keepNext/>
        <w:ind w:firstLine="0"/>
        <w:jc w:val="center"/>
      </w:pPr>
      <w:r>
        <w:rPr>
          <w:noProof/>
        </w:rPr>
        <w:lastRenderedPageBreak/>
        <w:drawing>
          <wp:anchor distT="0" distB="0" distL="114300" distR="114300" simplePos="0" relativeHeight="251662336" behindDoc="0" locked="0" layoutInCell="1" allowOverlap="1" wp14:anchorId="2219B7AF" wp14:editId="35F13BA6">
            <wp:simplePos x="0" y="0"/>
            <wp:positionH relativeFrom="column">
              <wp:posOffset>3695700</wp:posOffset>
            </wp:positionH>
            <wp:positionV relativeFrom="paragraph">
              <wp:posOffset>103505</wp:posOffset>
            </wp:positionV>
            <wp:extent cx="1528572" cy="155448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1528572"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3B5">
        <w:rPr>
          <w:noProof/>
        </w:rPr>
        <w:drawing>
          <wp:inline distT="0" distB="0" distL="0" distR="0" wp14:anchorId="297A7A68" wp14:editId="3ABBED79">
            <wp:extent cx="4817977" cy="36576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977" cy="3657600"/>
                    </a:xfrm>
                    <a:prstGeom prst="rect">
                      <a:avLst/>
                    </a:prstGeom>
                    <a:noFill/>
                    <a:ln>
                      <a:noFill/>
                    </a:ln>
                  </pic:spPr>
                </pic:pic>
              </a:graphicData>
            </a:graphic>
          </wp:inline>
        </w:drawing>
      </w:r>
    </w:p>
    <w:p w14:paraId="4B211C97" w14:textId="6C3C3058" w:rsidR="001E1EA5" w:rsidRDefault="00E113B5" w:rsidP="00680B61">
      <w:pPr>
        <w:pStyle w:val="FIG-LONG"/>
      </w:pPr>
      <w:bookmarkStart w:id="17" w:name="_Ref104884735"/>
      <w:r>
        <w:t xml:space="preserve">FIG </w:t>
      </w:r>
      <w:fldSimple w:instr=" SEQ Fig \* ARABIC ">
        <w:r w:rsidR="00190B20">
          <w:rPr>
            <w:noProof/>
          </w:rPr>
          <w:t>6</w:t>
        </w:r>
      </w:fldSimple>
      <w:bookmarkEnd w:id="17"/>
      <w:r>
        <w:t xml:space="preserve">. Friction factor for cases with blockages at </w:t>
      </w:r>
      <m:oMath>
        <m:r>
          <w:rPr>
            <w:rFonts w:ascii="Cambria Math" w:hAnsi="Cambria Math"/>
          </w:rPr>
          <m:t>Re=17000</m:t>
        </m:r>
      </m:oMath>
      <w:r>
        <w:t>. Comparison of RANS models’ predictions with experimental data.</w:t>
      </w:r>
    </w:p>
    <w:p w14:paraId="7ED24020" w14:textId="77777777" w:rsidR="00835776" w:rsidRDefault="00835776" w:rsidP="00835776">
      <w:pPr>
        <w:pStyle w:val="BodyText"/>
        <w:keepNext/>
        <w:ind w:firstLine="0"/>
        <w:jc w:val="center"/>
      </w:pPr>
      <w:r>
        <w:rPr>
          <w:noProof/>
        </w:rPr>
        <w:drawing>
          <wp:anchor distT="0" distB="0" distL="114300" distR="114300" simplePos="0" relativeHeight="251664384" behindDoc="0" locked="0" layoutInCell="1" allowOverlap="1" wp14:anchorId="200881FA" wp14:editId="016F0EB8">
            <wp:simplePos x="0" y="0"/>
            <wp:positionH relativeFrom="column">
              <wp:posOffset>3308483</wp:posOffset>
            </wp:positionH>
            <wp:positionV relativeFrom="paragraph">
              <wp:posOffset>264681</wp:posOffset>
            </wp:positionV>
            <wp:extent cx="2247900" cy="228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22479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94537B" wp14:editId="015356BA">
            <wp:extent cx="5732145" cy="435159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4351599"/>
                    </a:xfrm>
                    <a:prstGeom prst="rect">
                      <a:avLst/>
                    </a:prstGeom>
                    <a:noFill/>
                    <a:ln>
                      <a:noFill/>
                    </a:ln>
                  </pic:spPr>
                </pic:pic>
              </a:graphicData>
            </a:graphic>
          </wp:inline>
        </w:drawing>
      </w:r>
    </w:p>
    <w:p w14:paraId="368DF3E4" w14:textId="722DBAB7" w:rsidR="00835776" w:rsidRPr="00835776" w:rsidRDefault="00835776" w:rsidP="00835776">
      <w:pPr>
        <w:pStyle w:val="FIG-LONG"/>
      </w:pPr>
      <w:bookmarkStart w:id="18" w:name="_Ref104823915"/>
      <w:r>
        <w:t xml:space="preserve">FIG </w:t>
      </w:r>
      <w:fldSimple w:instr=" SEQ Fig \* ARABIC ">
        <w:r w:rsidR="00190B20">
          <w:rPr>
            <w:noProof/>
          </w:rPr>
          <w:t>7</w:t>
        </w:r>
      </w:fldSimple>
      <w:bookmarkEnd w:id="18"/>
      <w:r>
        <w:t xml:space="preserve">. </w:t>
      </w:r>
      <w:r w:rsidRPr="001E1EA5">
        <w:t>Normalized surface-averaged pressure as a function of the axial coordinate obtained with k-ϵ Realizable model</w:t>
      </w:r>
      <w:r>
        <w:t xml:space="preserve"> for the different blockage scenarios.</w:t>
      </w:r>
    </w:p>
    <w:p w14:paraId="76789976" w14:textId="78A5F230" w:rsidR="005E2B5C" w:rsidRDefault="005E2B5C" w:rsidP="005E2B5C">
      <w:pPr>
        <w:pStyle w:val="BodyText"/>
      </w:pPr>
      <w:r>
        <w:lastRenderedPageBreak/>
        <w:t xml:space="preserve">The wire spacer in a wire-wrapped fuel bundle has numerous advantages. The main advantage of the wire spacer is to reduce vortex induced vibration and to avoid collision between adjacent rods. Furthermore, the wire spacer can increase the flow mixing and the convective heat transfer due to the enhanced cross flow. The flow mixing was investigated from a macroscopic point of view by </w:t>
      </w:r>
      <w:proofErr w:type="spellStart"/>
      <w:r>
        <w:t>analyzing</w:t>
      </w:r>
      <w:proofErr w:type="spellEnd"/>
      <w:r>
        <w:t xml:space="preserve"> the crossflow intensity in the 61-pin wire wrapped fuel bundle. The crossflow intensity can be evaluated as a surface-averaged horizontal velocity magnitude, which is given by Equation</w:t>
      </w:r>
      <w:r w:rsidR="00680B61">
        <w:t xml:space="preserve"> </w:t>
      </w:r>
      <w:r w:rsidR="00680B61">
        <w:fldChar w:fldCharType="begin"/>
      </w:r>
      <w:r w:rsidR="00680B61">
        <w:instrText xml:space="preserve"> REF _Ref104886053 \h </w:instrText>
      </w:r>
      <w:r w:rsidR="00680B61">
        <w:fldChar w:fldCharType="separate"/>
      </w:r>
      <w:r w:rsidR="00190B20" w:rsidRPr="003830D8">
        <w:t>(</w:t>
      </w:r>
      <w:r w:rsidR="00190B20">
        <w:rPr>
          <w:noProof/>
        </w:rPr>
        <w:t>9</w:t>
      </w:r>
      <w:r w:rsidR="00190B20" w:rsidRPr="003830D8">
        <w:t>)</w:t>
      </w:r>
      <w:r w:rsidR="00680B61">
        <w:fldChar w:fldCharType="end"/>
      </w:r>
      <w:r>
        <w:t>,</w:t>
      </w:r>
    </w:p>
    <w:p w14:paraId="2DF14A12" w14:textId="77777777" w:rsidR="00835776" w:rsidRDefault="00835776" w:rsidP="005E2B5C">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5E2B5C" w14:paraId="42708A6C" w14:textId="77777777" w:rsidTr="00B407D9">
        <w:tc>
          <w:tcPr>
            <w:tcW w:w="8455" w:type="dxa"/>
            <w:vAlign w:val="center"/>
          </w:tcPr>
          <w:p w14:paraId="62E89580" w14:textId="614677A1" w:rsidR="005E2B5C" w:rsidRDefault="005E2B5C" w:rsidP="00B407D9">
            <w:pPr>
              <w:pStyle w:val="BodyText"/>
              <w:spacing w:before="240"/>
              <w:ind w:firstLine="0"/>
              <w:rPr>
                <w:lang w:val="en-US"/>
              </w:rPr>
            </w:pPr>
            <m:oMathPara>
              <m:oMath>
                <m:r>
                  <w:rPr>
                    <w:rFonts w:ascii="Cambria Math" w:hAnsi="Cambria Math"/>
                  </w:rPr>
                  <m:t>CFI</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nary>
                      <m:naryPr>
                        <m:supHide m:val="1"/>
                        <m:ctrlPr>
                          <w:rPr>
                            <w:rFonts w:ascii="Cambria Math" w:hAnsi="Cambria Math"/>
                            <w:i/>
                          </w:rPr>
                        </m:ctrlPr>
                      </m:naryPr>
                      <m:sub>
                        <m:r>
                          <w:rPr>
                            <w:rFonts w:ascii="Cambria Math" w:hAnsi="Cambria Math"/>
                          </w:rPr>
                          <m:t>A</m:t>
                        </m:r>
                        <m:d>
                          <m:dPr>
                            <m:ctrlPr>
                              <w:rPr>
                                <w:rFonts w:ascii="Cambria Math" w:hAnsi="Cambria Math"/>
                                <w:i/>
                              </w:rPr>
                            </m:ctrlPr>
                          </m:dPr>
                          <m:e>
                            <m:r>
                              <w:rPr>
                                <w:rFonts w:ascii="Cambria Math" w:hAnsi="Cambria Math"/>
                              </w:rPr>
                              <m:t>z</m:t>
                            </m:r>
                          </m:e>
                        </m:d>
                      </m:sub>
                      <m:sup/>
                      <m:e>
                        <m:sSub>
                          <m:sSubPr>
                            <m:ctrlPr>
                              <w:rPr>
                                <w:rFonts w:ascii="Cambria Math" w:hAnsi="Cambria Math"/>
                                <w:i/>
                              </w:rPr>
                            </m:ctrlPr>
                          </m:sSubPr>
                          <m:e>
                            <m:r>
                              <w:rPr>
                                <w:rFonts w:ascii="Cambria Math" w:hAnsi="Cambria Math"/>
                              </w:rPr>
                              <m:t>U</m:t>
                            </m:r>
                          </m:e>
                          <m:sub>
                            <m:r>
                              <w:rPr>
                                <w:rFonts w:ascii="Cambria Math" w:hAnsi="Cambria Math"/>
                              </w:rPr>
                              <m:t>z</m:t>
                            </m:r>
                          </m:sub>
                        </m:sSub>
                      </m:e>
                    </m:nary>
                    <m:r>
                      <w:rPr>
                        <w:rFonts w:ascii="Cambria Math" w:hAnsi="Cambria Math"/>
                      </w:rPr>
                      <m:t>dA</m:t>
                    </m:r>
                  </m:den>
                </m:f>
                <m:nary>
                  <m:naryPr>
                    <m:supHide m:val="1"/>
                    <m:ctrlPr>
                      <w:rPr>
                        <w:rFonts w:ascii="Cambria Math" w:hAnsi="Cambria Math"/>
                        <w:i/>
                      </w:rPr>
                    </m:ctrlPr>
                  </m:naryPr>
                  <m:sub>
                    <m:r>
                      <w:rPr>
                        <w:rFonts w:ascii="Cambria Math" w:hAnsi="Cambria Math"/>
                      </w:rPr>
                      <m:t>A</m:t>
                    </m:r>
                    <m:d>
                      <m:dPr>
                        <m:ctrlPr>
                          <w:rPr>
                            <w:rFonts w:ascii="Cambria Math" w:hAnsi="Cambria Math"/>
                            <w:i/>
                          </w:rPr>
                        </m:ctrlPr>
                      </m:dPr>
                      <m:e>
                        <m:r>
                          <w:rPr>
                            <w:rFonts w:ascii="Cambria Math" w:hAnsi="Cambria Math"/>
                          </w:rPr>
                          <m:t>z</m:t>
                        </m:r>
                      </m:e>
                    </m:d>
                  </m:sub>
                  <m:sup/>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y</m:t>
                            </m:r>
                          </m:sub>
                          <m:sup>
                            <m:r>
                              <w:rPr>
                                <w:rFonts w:ascii="Cambria Math" w:hAnsi="Cambria Math"/>
                              </w:rPr>
                              <m:t>2</m:t>
                            </m:r>
                          </m:sup>
                        </m:sSubSup>
                      </m:e>
                    </m:rad>
                  </m:e>
                </m:nary>
                <m:r>
                  <w:rPr>
                    <w:rFonts w:ascii="Cambria Math" w:hAnsi="Cambria Math"/>
                  </w:rPr>
                  <m:t>dA</m:t>
                </m:r>
              </m:oMath>
            </m:oMathPara>
          </w:p>
        </w:tc>
        <w:tc>
          <w:tcPr>
            <w:tcW w:w="562" w:type="dxa"/>
            <w:vAlign w:val="center"/>
          </w:tcPr>
          <w:p w14:paraId="0FBC3601" w14:textId="63AC9B26" w:rsidR="005E2B5C" w:rsidRDefault="005E2B5C" w:rsidP="00B407D9">
            <w:pPr>
              <w:pStyle w:val="Caption"/>
            </w:pPr>
            <w:bookmarkStart w:id="19" w:name="_Ref104886053"/>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190B20">
              <w:rPr>
                <w:noProof/>
                <w:sz w:val="20"/>
              </w:rPr>
              <w:t>9</w:t>
            </w:r>
            <w:r w:rsidRPr="003830D8">
              <w:rPr>
                <w:sz w:val="20"/>
              </w:rPr>
              <w:fldChar w:fldCharType="end"/>
            </w:r>
            <w:r w:rsidRPr="003830D8">
              <w:rPr>
                <w:sz w:val="20"/>
              </w:rPr>
              <w:t>)</w:t>
            </w:r>
            <w:bookmarkEnd w:id="19"/>
          </w:p>
        </w:tc>
      </w:tr>
    </w:tbl>
    <w:p w14:paraId="29DDB994" w14:textId="77777777" w:rsidR="00835776" w:rsidRDefault="00835776" w:rsidP="00255C80">
      <w:pPr>
        <w:pStyle w:val="BodyText"/>
        <w:ind w:firstLine="0"/>
      </w:pPr>
    </w:p>
    <w:p w14:paraId="18F4515B" w14:textId="16C1DEBF" w:rsidR="005E2B5C" w:rsidRDefault="005E2B5C" w:rsidP="00255C80">
      <w:pPr>
        <w:pStyle w:val="BodyText"/>
        <w:ind w:firstLine="0"/>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x</m:t>
            </m:r>
          </m:sub>
        </m:sSub>
      </m:oMath>
      <w:r>
        <w:t xml:space="preserve">, </w:t>
      </w:r>
      <m:oMath>
        <m:sSub>
          <m:sSubPr>
            <m:ctrlPr>
              <w:rPr>
                <w:rFonts w:ascii="Cambria Math" w:hAnsi="Cambria Math"/>
                <w:i/>
              </w:rPr>
            </m:ctrlPr>
          </m:sSubPr>
          <m:e>
            <m:r>
              <w:rPr>
                <w:rFonts w:ascii="Cambria Math" w:hAnsi="Cambria Math"/>
              </w:rPr>
              <m:t>U</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z</m:t>
            </m:r>
          </m:sub>
        </m:sSub>
      </m:oMath>
      <w:r>
        <w:t xml:space="preserve"> are the flow velocities in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directions, respectively, and </w:t>
      </w:r>
      <m:oMath>
        <m:r>
          <w:rPr>
            <w:rFonts w:ascii="Cambria Math" w:hAnsi="Cambria Math"/>
          </w:rPr>
          <m:t>A</m:t>
        </m:r>
        <m:d>
          <m:dPr>
            <m:ctrlPr>
              <w:rPr>
                <w:rFonts w:ascii="Cambria Math" w:hAnsi="Cambria Math"/>
                <w:i/>
              </w:rPr>
            </m:ctrlPr>
          </m:dPr>
          <m:e>
            <m:r>
              <w:rPr>
                <w:rFonts w:ascii="Cambria Math" w:hAnsi="Cambria Math"/>
              </w:rPr>
              <m:t>z</m:t>
            </m:r>
          </m:e>
        </m:d>
      </m:oMath>
      <w:r>
        <w:t xml:space="preserve"> is the flow area at different axial elevations. </w:t>
      </w:r>
      <w:r w:rsidR="00680B61">
        <w:fldChar w:fldCharType="begin"/>
      </w:r>
      <w:r w:rsidR="00680B61">
        <w:instrText xml:space="preserve"> REF _Ref104886069 \h </w:instrText>
      </w:r>
      <w:r w:rsidR="00680B61">
        <w:fldChar w:fldCharType="separate"/>
      </w:r>
      <w:r w:rsidR="00190B20">
        <w:t xml:space="preserve">FIG </w:t>
      </w:r>
      <w:r w:rsidR="00190B20">
        <w:rPr>
          <w:noProof/>
        </w:rPr>
        <w:t>8</w:t>
      </w:r>
      <w:r w:rsidR="00680B61">
        <w:fldChar w:fldCharType="end"/>
      </w:r>
      <w:r w:rsidR="00680B61">
        <w:t xml:space="preserve"> </w:t>
      </w:r>
      <w:r>
        <w:t xml:space="preserve">shows the crossflow intensity with respect to the axial </w:t>
      </w:r>
      <w:r w:rsidRPr="008213FE">
        <w:t>coordinate</w:t>
      </w:r>
      <w:r>
        <w:t xml:space="preserve"> </w:t>
      </w:r>
      <m:oMath>
        <m:r>
          <w:rPr>
            <w:rFonts w:ascii="Cambria Math" w:hAnsi="Cambria Math"/>
          </w:rPr>
          <m:t>z/H</m:t>
        </m:r>
      </m:oMath>
      <w:r>
        <w:t>. Being the inlet and the outlet at 0 and 1, respectively.</w:t>
      </w:r>
    </w:p>
    <w:p w14:paraId="6E6A3DC2" w14:textId="0FF48E8C" w:rsidR="00255C80" w:rsidRDefault="00255C80" w:rsidP="00255C80">
      <w:pPr>
        <w:pStyle w:val="BodyText"/>
      </w:pPr>
      <w:r>
        <w:t xml:space="preserve">The velocity profiles were extracted on the cross-sectional plane normal to the main flow direction. In the case without any blockages, it can be seen that the crossflow intensity due to the helically wrapped wires oscillates around 8%. This oscillation shows high peaks at positions in which the wires are facing one of the corners of the hexagonal enclosure, and low peaks at the positions in which the wires are in front of one of the faces. In the blockage cases, except for case 2, the crossflow intensity oscillates around 8% up to </w:t>
      </w:r>
      <m:oMath>
        <m:r>
          <w:rPr>
            <w:rFonts w:ascii="Cambria Math" w:hAnsi="Cambria Math"/>
          </w:rPr>
          <m:t>z</m:t>
        </m:r>
        <m:r>
          <m:rPr>
            <m:lit/>
          </m:rPr>
          <w:rPr>
            <w:rFonts w:ascii="Cambria Math" w:hAnsi="Cambria Math"/>
          </w:rPr>
          <m:t>/</m:t>
        </m:r>
        <m:r>
          <w:rPr>
            <w:rFonts w:ascii="Cambria Math" w:hAnsi="Cambria Math"/>
          </w:rPr>
          <m:t>H=0.25</m:t>
        </m:r>
      </m:oMath>
      <w:r>
        <w:t xml:space="preserve"> and the distinguishable effect of the blockage on the crossflow can be observed downstream of that position. The maximum crossflow intensity in each blockage case is observed at near the </w:t>
      </w:r>
      <m:oMath>
        <m:r>
          <w:rPr>
            <w:rFonts w:ascii="Cambria Math" w:hAnsi="Cambria Math"/>
          </w:rPr>
          <m:t>z</m:t>
        </m:r>
        <m:r>
          <m:rPr>
            <m:lit/>
          </m:rPr>
          <w:rPr>
            <w:rFonts w:ascii="Cambria Math" w:hAnsi="Cambria Math"/>
          </w:rPr>
          <m:t>/</m:t>
        </m:r>
        <m:r>
          <w:rPr>
            <w:rFonts w:ascii="Cambria Math" w:hAnsi="Cambria Math"/>
          </w:rPr>
          <m:t>H=0.417</m:t>
        </m:r>
      </m:oMath>
      <w:r>
        <w:t xml:space="preserve"> plane. In general, the maximum crossflow intensity is correlated with the blockage area regardless the blockage location. A higher blockage area results in a higher </w:t>
      </w:r>
      <m:oMath>
        <m:r>
          <w:rPr>
            <w:rFonts w:ascii="Cambria Math" w:hAnsi="Cambria Math"/>
          </w:rPr>
          <m:t>CFI</m:t>
        </m:r>
      </m:oMath>
      <w:r>
        <w:t xml:space="preserve">. </w:t>
      </w:r>
    </w:p>
    <w:p w14:paraId="38C51DCA" w14:textId="77777777" w:rsidR="00026287" w:rsidRPr="00255C80" w:rsidRDefault="00026287" w:rsidP="00255C80">
      <w:pPr>
        <w:pStyle w:val="BodyText"/>
      </w:pPr>
    </w:p>
    <w:p w14:paraId="2F329DB6" w14:textId="77777777" w:rsidR="00680B61" w:rsidRDefault="005E2B5C" w:rsidP="00680B61">
      <w:pPr>
        <w:pStyle w:val="BodyText"/>
        <w:keepNext/>
        <w:ind w:firstLine="0"/>
        <w:jc w:val="center"/>
      </w:pPr>
      <w:r>
        <w:rPr>
          <w:noProof/>
        </w:rPr>
        <w:drawing>
          <wp:anchor distT="0" distB="0" distL="114300" distR="114300" simplePos="0" relativeHeight="251660288" behindDoc="0" locked="0" layoutInCell="1" allowOverlap="1" wp14:anchorId="4C1E7B04" wp14:editId="156A3462">
            <wp:simplePos x="0" y="0"/>
            <wp:positionH relativeFrom="column">
              <wp:posOffset>3574756</wp:posOffset>
            </wp:positionH>
            <wp:positionV relativeFrom="paragraph">
              <wp:posOffset>163195</wp:posOffset>
            </wp:positionV>
            <wp:extent cx="1978152" cy="2011680"/>
            <wp:effectExtent l="0" t="0" r="317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1978152"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17DE87" wp14:editId="56B848F1">
            <wp:extent cx="5732145" cy="435159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351599"/>
                    </a:xfrm>
                    <a:prstGeom prst="rect">
                      <a:avLst/>
                    </a:prstGeom>
                    <a:noFill/>
                    <a:ln>
                      <a:noFill/>
                    </a:ln>
                  </pic:spPr>
                </pic:pic>
              </a:graphicData>
            </a:graphic>
          </wp:inline>
        </w:drawing>
      </w:r>
    </w:p>
    <w:p w14:paraId="5548F3BA" w14:textId="4AFE0A3D" w:rsidR="005E2B5C" w:rsidRDefault="00680B61" w:rsidP="00680B61">
      <w:pPr>
        <w:pStyle w:val="FIG-LONG"/>
      </w:pPr>
      <w:bookmarkStart w:id="20" w:name="_Ref104886069"/>
      <w:r>
        <w:t xml:space="preserve">FIG </w:t>
      </w:r>
      <w:fldSimple w:instr=" SEQ Fig \* ARABIC ">
        <w:r w:rsidR="00190B20">
          <w:rPr>
            <w:noProof/>
          </w:rPr>
          <w:t>8</w:t>
        </w:r>
      </w:fldSimple>
      <w:bookmarkEnd w:id="20"/>
      <w:r>
        <w:t xml:space="preserve">. </w:t>
      </w:r>
      <w:r w:rsidRPr="00680B61">
        <w:t xml:space="preserve">Crossflow Intensity for the </w:t>
      </w:r>
      <w:r>
        <w:t>four</w:t>
      </w:r>
      <w:r w:rsidRPr="00680B61">
        <w:t xml:space="preserve"> blocked cases investigated obtained with k-ϵ Realizable model.</w:t>
      </w:r>
    </w:p>
    <w:p w14:paraId="26EAC732" w14:textId="1664771D" w:rsidR="0024184E" w:rsidRDefault="0024184E" w:rsidP="0024184E">
      <w:pPr>
        <w:pStyle w:val="BodyText"/>
      </w:pPr>
      <w:r>
        <w:t xml:space="preserve">It is important to notice that the </w:t>
      </w:r>
      <m:oMath>
        <m:r>
          <w:rPr>
            <w:rFonts w:ascii="Cambria Math" w:hAnsi="Cambria Math"/>
          </w:rPr>
          <m:t>CFI</m:t>
        </m:r>
      </m:oMath>
      <w:r>
        <w:t xml:space="preserve"> downstream of the blockage shows a rapid decrease when blockages are located in the ou</w:t>
      </w:r>
      <w:proofErr w:type="spellStart"/>
      <w:r>
        <w:t>ter</w:t>
      </w:r>
      <w:proofErr w:type="spellEnd"/>
      <w:r>
        <w:t xml:space="preserve"> region (adjacent to the faces of the hexagonal duct) compared to the case where the </w:t>
      </w:r>
      <w:r>
        <w:lastRenderedPageBreak/>
        <w:t xml:space="preserve">blockage is at the inner region of the bundle. It can be seen from cases 1-3 that the rapid decrease in the CFI takes place at </w:t>
      </w:r>
      <m:oMath>
        <m:r>
          <w:rPr>
            <w:rFonts w:ascii="Cambria Math" w:hAnsi="Cambria Math"/>
          </w:rPr>
          <m:t>z</m:t>
        </m:r>
        <m:r>
          <m:rPr>
            <m:lit/>
          </m:rPr>
          <w:rPr>
            <w:rFonts w:ascii="Cambria Math" w:hAnsi="Cambria Math"/>
          </w:rPr>
          <m:t>/</m:t>
        </m:r>
        <m:r>
          <w:rPr>
            <w:rFonts w:ascii="Cambria Math" w:hAnsi="Cambria Math"/>
          </w:rPr>
          <m:t>H=0.083</m:t>
        </m:r>
      </m:oMath>
      <w:r>
        <w:t xml:space="preserve"> upstream of the blockage. Case 2 shows slightly different </w:t>
      </w:r>
      <w:proofErr w:type="spellStart"/>
      <w:r>
        <w:t>behavior</w:t>
      </w:r>
      <w:proofErr w:type="spellEnd"/>
      <w:r>
        <w:t xml:space="preserve"> upstream of the blockage. The CFI in case 2 slightly decreases at </w:t>
      </w:r>
      <m:oMath>
        <m:r>
          <w:rPr>
            <w:rFonts w:ascii="Cambria Math" w:hAnsi="Cambria Math"/>
          </w:rPr>
          <m:t>z</m:t>
        </m:r>
        <m:r>
          <m:rPr>
            <m:lit/>
          </m:rPr>
          <w:rPr>
            <w:rFonts w:ascii="Cambria Math" w:hAnsi="Cambria Math"/>
          </w:rPr>
          <m:t>/</m:t>
        </m:r>
        <m:r>
          <w:rPr>
            <w:rFonts w:ascii="Cambria Math" w:hAnsi="Cambria Math"/>
          </w:rPr>
          <m:t>H=0.25</m:t>
        </m:r>
      </m:oMath>
      <w:r>
        <w:t xml:space="preserve"> compared to other cases. Existence of blockages in positions 1 and 2 (see </w:t>
      </w:r>
      <w:r>
        <w:fldChar w:fldCharType="begin"/>
      </w:r>
      <w:r>
        <w:instrText xml:space="preserve"> REF _Ref104821169 \h </w:instrText>
      </w:r>
      <w:r>
        <w:fldChar w:fldCharType="separate"/>
      </w:r>
      <w:r w:rsidR="00190B20">
        <w:t xml:space="preserve">FIG </w:t>
      </w:r>
      <w:r w:rsidR="00190B20">
        <w:rPr>
          <w:noProof/>
        </w:rPr>
        <w:t>3</w:t>
      </w:r>
      <w:r>
        <w:fldChar w:fldCharType="end"/>
      </w:r>
      <w:r>
        <w:t xml:space="preserve">) drives the flow from the outer channels to the inner channels. Due to the position of the wires at </w:t>
      </w:r>
      <m:oMath>
        <m:r>
          <w:rPr>
            <w:rFonts w:ascii="Cambria Math" w:hAnsi="Cambria Math"/>
          </w:rPr>
          <m:t>z</m:t>
        </m:r>
        <m:r>
          <m:rPr>
            <m:lit/>
          </m:rPr>
          <w:rPr>
            <w:rFonts w:ascii="Cambria Math" w:hAnsi="Cambria Math"/>
          </w:rPr>
          <m:t>/</m:t>
        </m:r>
        <m:r>
          <w:rPr>
            <w:rFonts w:ascii="Cambria Math" w:hAnsi="Cambria Math"/>
          </w:rPr>
          <m:t>H=0.25</m:t>
        </m:r>
      </m:oMath>
      <w:r>
        <w:t>, flow is redirected in the axial direction, which causes a decrease of the crossflow.</w:t>
      </w:r>
    </w:p>
    <w:p w14:paraId="433FE06E" w14:textId="2282D683" w:rsidR="001C58F5" w:rsidRDefault="0095573A" w:rsidP="003447A1">
      <w:pPr>
        <w:pStyle w:val="Heading2"/>
        <w:rPr>
          <w:lang w:val="en-US"/>
        </w:rPr>
      </w:pPr>
      <w:bookmarkStart w:id="21" w:name="_GoBack"/>
      <w:bookmarkEnd w:id="21"/>
      <w:r w:rsidRPr="00B336E0">
        <w:rPr>
          <w:lang w:val="en-US"/>
        </w:rPr>
        <w:t>conclusion</w:t>
      </w:r>
    </w:p>
    <w:p w14:paraId="321280DD" w14:textId="3D7C6787" w:rsidR="00680B61" w:rsidRPr="00680B61" w:rsidRDefault="00680B61" w:rsidP="00680B61">
      <w:pPr>
        <w:pStyle w:val="BodyText"/>
        <w:rPr>
          <w:lang w:val="en-US"/>
        </w:rPr>
      </w:pPr>
      <w:r w:rsidRPr="00680B61">
        <w:rPr>
          <w:lang w:val="en-US"/>
        </w:rPr>
        <w:t xml:space="preserve">The flow in a 61-pin wire-wrapped fuel bundle was simulated using unsteady RANS-based turbulence models to predict the pressure drop and flow characteristics in presence of localized blockages. </w:t>
      </w:r>
      <w:r w:rsidR="00026287">
        <w:rPr>
          <w:lang w:val="en-US"/>
        </w:rPr>
        <w:t>Four</w:t>
      </w:r>
      <w:r w:rsidRPr="00680B61">
        <w:rPr>
          <w:lang w:val="en-US"/>
        </w:rPr>
        <w:t xml:space="preserve"> different blockage scenarios in the interior and exterior region of the bundle were investigated. The simulation results were compared with the experimental measurements of the axial friction factor. </w:t>
      </w:r>
      <w:r w:rsidR="00026287">
        <w:rPr>
          <w:lang w:val="en-US"/>
        </w:rPr>
        <w:t>Two</w:t>
      </w:r>
      <w:r w:rsidRPr="00680B61">
        <w:rPr>
          <w:lang w:val="en-US"/>
        </w:rPr>
        <w:t xml:space="preserve"> RANS-based turbulence models were employed to simulate the flow for the selected blockage scenarios</w:t>
      </w:r>
      <w:r w:rsidR="00026287">
        <w:rPr>
          <w:lang w:val="en-US"/>
        </w:rPr>
        <w:t xml:space="preserve">: </w:t>
      </w:r>
      <m:oMath>
        <m:r>
          <w:rPr>
            <w:rFonts w:ascii="Cambria Math" w:hAnsi="Cambria Math"/>
            <w:lang w:val="en-US"/>
          </w:rPr>
          <m:t>k-ϵ</m:t>
        </m:r>
      </m:oMath>
      <w:r w:rsidR="00026287">
        <w:rPr>
          <w:lang w:val="en-US"/>
        </w:rPr>
        <w:t xml:space="preserve"> Realizable and </w:t>
      </w:r>
      <m:oMath>
        <m:r>
          <w:rPr>
            <w:rFonts w:ascii="Cambria Math" w:hAnsi="Cambria Math"/>
            <w:lang w:val="en-US"/>
          </w:rPr>
          <m:t>k-ω</m:t>
        </m:r>
      </m:oMath>
      <w:r w:rsidR="00026287">
        <w:rPr>
          <w:lang w:val="en-US"/>
        </w:rPr>
        <w:t xml:space="preserve"> SST</w:t>
      </w:r>
      <w:r w:rsidRPr="00680B61">
        <w:rPr>
          <w:lang w:val="en-US"/>
        </w:rPr>
        <w:t xml:space="preserve">. </w:t>
      </w:r>
    </w:p>
    <w:p w14:paraId="35E92186" w14:textId="7C36B76B" w:rsidR="00026287" w:rsidRDefault="00680B61" w:rsidP="00680B61">
      <w:pPr>
        <w:pStyle w:val="BodyText"/>
        <w:rPr>
          <w:lang w:val="en-US"/>
        </w:rPr>
      </w:pPr>
      <w:r w:rsidRPr="00680B61">
        <w:rPr>
          <w:lang w:val="en-US"/>
        </w:rPr>
        <w:t>CFD results confirmed that the total pressure drop is affected more when the same blockage area is placed at the outer region of the bundle, in agreement with the experimental observations.</w:t>
      </w:r>
      <w:r w:rsidR="00026287">
        <w:rPr>
          <w:lang w:val="en-US"/>
        </w:rPr>
        <w:t xml:space="preserve"> </w:t>
      </w:r>
      <w:r w:rsidRPr="00680B61">
        <w:rPr>
          <w:lang w:val="en-US"/>
        </w:rPr>
        <w:t xml:space="preserve">In general, predictions of </w:t>
      </w:r>
      <m:oMath>
        <m:r>
          <w:rPr>
            <w:rFonts w:ascii="Cambria Math" w:hAnsi="Cambria Math"/>
            <w:lang w:val="en-US"/>
          </w:rPr>
          <m:t>k-ϵ</m:t>
        </m:r>
      </m:oMath>
      <w:r w:rsidRPr="00680B61">
        <w:rPr>
          <w:lang w:val="en-US"/>
        </w:rPr>
        <w:t xml:space="preserve"> Reali</w:t>
      </w:r>
      <w:proofErr w:type="spellStart"/>
      <w:r w:rsidRPr="00680B61">
        <w:rPr>
          <w:lang w:val="en-US"/>
        </w:rPr>
        <w:t>zable</w:t>
      </w:r>
      <w:proofErr w:type="spellEnd"/>
      <w:r w:rsidR="00026287">
        <w:rPr>
          <w:lang w:val="en-US"/>
        </w:rPr>
        <w:t xml:space="preserve"> mo</w:t>
      </w:r>
      <w:r w:rsidR="004021C8">
        <w:rPr>
          <w:lang w:val="en-US"/>
        </w:rPr>
        <w:t>del</w:t>
      </w:r>
      <w:r w:rsidRPr="00680B61">
        <w:rPr>
          <w:lang w:val="en-US"/>
        </w:rPr>
        <w:t xml:space="preserve"> are in reasonable agreement with the experimental data</w:t>
      </w:r>
      <w:r w:rsidR="00026287">
        <w:rPr>
          <w:lang w:val="en-US"/>
        </w:rPr>
        <w:t xml:space="preserve"> (maximum relative error of 5%), while the predictions of the </w:t>
      </w:r>
      <m:oMath>
        <m:r>
          <w:rPr>
            <w:rFonts w:ascii="Cambria Math" w:hAnsi="Cambria Math"/>
            <w:lang w:val="en-US"/>
          </w:rPr>
          <m:t>k-ω</m:t>
        </m:r>
      </m:oMath>
      <w:r w:rsidR="00026287">
        <w:rPr>
          <w:lang w:val="en-US"/>
        </w:rPr>
        <w:t xml:space="preserve"> SST model presented a lower accuracy (maximum relative error of 13%).</w:t>
      </w:r>
    </w:p>
    <w:p w14:paraId="0EB46D05" w14:textId="6BFABAE0" w:rsidR="00F37A29" w:rsidRDefault="00680B61" w:rsidP="0077463D">
      <w:pPr>
        <w:pStyle w:val="BodyText"/>
        <w:rPr>
          <w:lang w:val="en-US"/>
        </w:rPr>
      </w:pPr>
      <w:r w:rsidRPr="00680B61">
        <w:rPr>
          <w:lang w:val="en-US"/>
        </w:rPr>
        <w:t>Crossflow was investigated in presence of blockages which gives insight of flow mixing in macroscopic sense. Results showed that the crossflow intensity is directly correlated with the blockage area. As the blockage area increased, the crossflow intensity also increased.</w:t>
      </w:r>
      <w:r w:rsidR="0077463D">
        <w:rPr>
          <w:lang w:val="en-US"/>
        </w:rPr>
        <w:t xml:space="preserve"> </w:t>
      </w:r>
    </w:p>
    <w:p w14:paraId="433FE097" w14:textId="091EF212" w:rsidR="00D26ADA" w:rsidRPr="00B336E0" w:rsidRDefault="00D26ADA" w:rsidP="00537496">
      <w:pPr>
        <w:pStyle w:val="Otherunnumberedheadings"/>
        <w:rPr>
          <w:lang w:val="en-US"/>
        </w:rPr>
      </w:pPr>
      <w:r w:rsidRPr="00B336E0">
        <w:rPr>
          <w:lang w:val="en-US"/>
        </w:rPr>
        <w:t>References</w:t>
      </w:r>
    </w:p>
    <w:p w14:paraId="32B70E5D" w14:textId="1214FEBC" w:rsidR="008B572E" w:rsidRDefault="00E52153" w:rsidP="0095573A">
      <w:pPr>
        <w:pStyle w:val="Referencelist"/>
        <w:rPr>
          <w:lang w:val="en-US"/>
        </w:rPr>
      </w:pPr>
      <w:bookmarkStart w:id="22" w:name="_Ref104903260"/>
      <w:bookmarkStart w:id="23" w:name="_Ref67226598"/>
      <w:r w:rsidRPr="00E52153">
        <w:rPr>
          <w:lang w:val="en-US"/>
        </w:rPr>
        <w:t>K. REHME</w:t>
      </w:r>
      <w:r>
        <w:rPr>
          <w:lang w:val="en-US"/>
        </w:rPr>
        <w:t>;</w:t>
      </w:r>
      <w:r w:rsidRPr="00E52153">
        <w:rPr>
          <w:lang w:val="en-US"/>
        </w:rPr>
        <w:t xml:space="preserve"> “Pressure drop performance of rod bundles in hexagonal arrangements”</w:t>
      </w:r>
      <w:r>
        <w:rPr>
          <w:lang w:val="en-US"/>
        </w:rPr>
        <w:t>;</w:t>
      </w:r>
      <w:r w:rsidRPr="00E52153">
        <w:rPr>
          <w:lang w:val="en-US"/>
        </w:rPr>
        <w:t xml:space="preserve"> </w:t>
      </w:r>
      <w:r w:rsidRPr="00E52153">
        <w:rPr>
          <w:i/>
          <w:lang w:val="en-US"/>
        </w:rPr>
        <w:t>Int. J. Heat Mass Transf.</w:t>
      </w:r>
      <w:r>
        <w:rPr>
          <w:lang w:val="en-US"/>
        </w:rPr>
        <w:t>;</w:t>
      </w:r>
      <w:r w:rsidRPr="00E52153">
        <w:rPr>
          <w:lang w:val="en-US"/>
        </w:rPr>
        <w:t xml:space="preserve"> vol. </w:t>
      </w:r>
      <w:r w:rsidRPr="00E52153">
        <w:rPr>
          <w:b/>
          <w:lang w:val="en-US"/>
        </w:rPr>
        <w:t>15</w:t>
      </w:r>
      <w:r>
        <w:rPr>
          <w:lang w:val="en-US"/>
        </w:rPr>
        <w:t>;</w:t>
      </w:r>
      <w:r w:rsidRPr="00E52153">
        <w:rPr>
          <w:lang w:val="en-US"/>
        </w:rPr>
        <w:t xml:space="preserve"> 1972</w:t>
      </w:r>
      <w:r>
        <w:rPr>
          <w:lang w:val="en-US"/>
        </w:rPr>
        <w:t>;</w:t>
      </w:r>
      <w:r w:rsidRPr="00E52153">
        <w:rPr>
          <w:lang w:val="en-US"/>
        </w:rPr>
        <w:t xml:space="preserve"> pp. 2499–2517.</w:t>
      </w:r>
      <w:bookmarkEnd w:id="22"/>
    </w:p>
    <w:p w14:paraId="74B297FE" w14:textId="5045B98E" w:rsidR="00E52153" w:rsidRDefault="00E52153" w:rsidP="0095573A">
      <w:pPr>
        <w:pStyle w:val="Referencelist"/>
        <w:rPr>
          <w:lang w:val="en-US"/>
        </w:rPr>
      </w:pPr>
      <w:bookmarkStart w:id="24" w:name="_Ref104903281"/>
      <w:r w:rsidRPr="00E52153">
        <w:rPr>
          <w:lang w:val="en-US"/>
        </w:rPr>
        <w:t>K. REHME</w:t>
      </w:r>
      <w:r>
        <w:rPr>
          <w:lang w:val="en-US"/>
        </w:rPr>
        <w:t>;</w:t>
      </w:r>
      <w:r w:rsidRPr="00E52153">
        <w:rPr>
          <w:lang w:val="en-US"/>
        </w:rPr>
        <w:t xml:space="preserve"> “Pressure Drop Correlations for Fuel Element Spacers”</w:t>
      </w:r>
      <w:r>
        <w:rPr>
          <w:lang w:val="en-US"/>
        </w:rPr>
        <w:t>;</w:t>
      </w:r>
      <w:r w:rsidRPr="00E52153">
        <w:rPr>
          <w:lang w:val="en-US"/>
        </w:rPr>
        <w:t xml:space="preserve"> </w:t>
      </w:r>
      <w:proofErr w:type="spellStart"/>
      <w:r w:rsidRPr="00E52153">
        <w:rPr>
          <w:i/>
          <w:lang w:val="en-US"/>
        </w:rPr>
        <w:t>Nucl</w:t>
      </w:r>
      <w:proofErr w:type="spellEnd"/>
      <w:r w:rsidRPr="00E52153">
        <w:rPr>
          <w:i/>
          <w:lang w:val="en-US"/>
        </w:rPr>
        <w:t>. Technol.</w:t>
      </w:r>
      <w:r>
        <w:rPr>
          <w:lang w:val="en-US"/>
        </w:rPr>
        <w:t>;</w:t>
      </w:r>
      <w:r w:rsidRPr="00E52153">
        <w:rPr>
          <w:lang w:val="en-US"/>
        </w:rPr>
        <w:t xml:space="preserve"> vol. </w:t>
      </w:r>
      <w:r w:rsidRPr="00E52153">
        <w:rPr>
          <w:b/>
          <w:lang w:val="en-US"/>
        </w:rPr>
        <w:t>17</w:t>
      </w:r>
      <w:r>
        <w:rPr>
          <w:lang w:val="en-US"/>
        </w:rPr>
        <w:t>;</w:t>
      </w:r>
      <w:r w:rsidRPr="00E52153">
        <w:rPr>
          <w:lang w:val="en-US"/>
        </w:rPr>
        <w:t xml:space="preserve"> </w:t>
      </w:r>
      <w:r>
        <w:rPr>
          <w:lang w:val="en-US"/>
        </w:rPr>
        <w:t xml:space="preserve">1973; </w:t>
      </w:r>
      <w:r w:rsidRPr="00E52153">
        <w:rPr>
          <w:lang w:val="en-US"/>
        </w:rPr>
        <w:t>pp. 15–23</w:t>
      </w:r>
      <w:r>
        <w:rPr>
          <w:lang w:val="en-US"/>
        </w:rPr>
        <w:t>;</w:t>
      </w:r>
      <w:r w:rsidRPr="00E52153">
        <w:rPr>
          <w:lang w:val="en-US"/>
        </w:rPr>
        <w:t xml:space="preserve"> 1973.</w:t>
      </w:r>
      <w:bookmarkEnd w:id="24"/>
    </w:p>
    <w:p w14:paraId="7B1DDD3B" w14:textId="2883D877" w:rsidR="0095573A" w:rsidRDefault="00FD676C" w:rsidP="0095573A">
      <w:pPr>
        <w:pStyle w:val="Referencelist"/>
        <w:rPr>
          <w:lang w:val="en-US"/>
        </w:rPr>
      </w:pPr>
      <w:bookmarkStart w:id="25" w:name="_Ref104903306"/>
      <w:r w:rsidRPr="00B336E0">
        <w:rPr>
          <w:lang w:val="en-US"/>
        </w:rPr>
        <w:t xml:space="preserve">SHIH-KUEI CHENG &amp; NEIL E. TODREAS; </w:t>
      </w:r>
      <w:r w:rsidR="00F74954">
        <w:rPr>
          <w:lang w:val="en-US"/>
        </w:rPr>
        <w:t>“</w:t>
      </w:r>
      <w:r w:rsidRPr="00B336E0">
        <w:rPr>
          <w:lang w:val="en-US"/>
        </w:rPr>
        <w:t>Hydrodynamic models and correlations for bare and wire-wrapped hexagonal rod bundles - bundle friction factors, subchannel friction factors and mixing parameters</w:t>
      </w:r>
      <w:r w:rsidR="00F74954">
        <w:rPr>
          <w:lang w:val="en-US"/>
        </w:rPr>
        <w:t>”</w:t>
      </w:r>
      <w:r w:rsidRPr="00B336E0">
        <w:rPr>
          <w:lang w:val="en-US"/>
        </w:rPr>
        <w:t xml:space="preserve">; </w:t>
      </w:r>
      <w:r w:rsidRPr="00F74954">
        <w:rPr>
          <w:i/>
          <w:lang w:val="en-US"/>
        </w:rPr>
        <w:t>Nuclear Engineering and Design</w:t>
      </w:r>
      <w:r w:rsidR="00E52153">
        <w:rPr>
          <w:lang w:val="en-US"/>
        </w:rPr>
        <w:t>;</w:t>
      </w:r>
      <w:r w:rsidRPr="00B336E0">
        <w:rPr>
          <w:lang w:val="en-US"/>
        </w:rPr>
        <w:t xml:space="preserve"> </w:t>
      </w:r>
      <w:r w:rsidRPr="00F74954">
        <w:rPr>
          <w:b/>
          <w:lang w:val="en-US"/>
        </w:rPr>
        <w:t>92</w:t>
      </w:r>
      <w:r w:rsidRPr="00B336E0">
        <w:rPr>
          <w:lang w:val="en-US"/>
        </w:rPr>
        <w:t>; 1986; 227-251.</w:t>
      </w:r>
      <w:bookmarkEnd w:id="23"/>
      <w:bookmarkEnd w:id="25"/>
    </w:p>
    <w:p w14:paraId="26E8B6EC" w14:textId="77777777" w:rsidR="00E52153" w:rsidRDefault="00E52153" w:rsidP="0095573A">
      <w:pPr>
        <w:pStyle w:val="Referencelist"/>
        <w:rPr>
          <w:lang w:val="en-US"/>
        </w:rPr>
      </w:pPr>
      <w:bookmarkStart w:id="26" w:name="_Ref104903317"/>
      <w:r w:rsidRPr="00E52153">
        <w:rPr>
          <w:lang w:val="en-US"/>
        </w:rPr>
        <w:t xml:space="preserve">S. K. CHEN, R. PETROSKI </w:t>
      </w:r>
      <w:r>
        <w:rPr>
          <w:lang w:val="en-US"/>
        </w:rPr>
        <w:t>&amp;</w:t>
      </w:r>
      <w:r w:rsidRPr="00E52153">
        <w:rPr>
          <w:lang w:val="en-US"/>
        </w:rPr>
        <w:t xml:space="preserve"> N. E. TODREAS</w:t>
      </w:r>
      <w:r>
        <w:rPr>
          <w:lang w:val="en-US"/>
        </w:rPr>
        <w:t>;</w:t>
      </w:r>
      <w:r w:rsidRPr="00E52153">
        <w:rPr>
          <w:lang w:val="en-US"/>
        </w:rPr>
        <w:t xml:space="preserve"> “Numerical implementation of the Cheng and </w:t>
      </w:r>
      <w:proofErr w:type="spellStart"/>
      <w:r w:rsidRPr="00E52153">
        <w:rPr>
          <w:lang w:val="en-US"/>
        </w:rPr>
        <w:t>Todreas</w:t>
      </w:r>
      <w:proofErr w:type="spellEnd"/>
      <w:r w:rsidRPr="00E52153">
        <w:rPr>
          <w:lang w:val="en-US"/>
        </w:rPr>
        <w:t xml:space="preserve"> correlation for wire wrapped bundle friction factors-desirable improvements in the transition flow region”</w:t>
      </w:r>
      <w:r>
        <w:rPr>
          <w:lang w:val="en-US"/>
        </w:rPr>
        <w:t>;</w:t>
      </w:r>
      <w:r w:rsidRPr="00E52153">
        <w:rPr>
          <w:lang w:val="en-US"/>
        </w:rPr>
        <w:t xml:space="preserve"> </w:t>
      </w:r>
      <w:r w:rsidRPr="00F74954">
        <w:rPr>
          <w:i/>
          <w:lang w:val="en-US"/>
        </w:rPr>
        <w:t>Nuclear Engineering and Design</w:t>
      </w:r>
      <w:r>
        <w:rPr>
          <w:lang w:val="en-US"/>
        </w:rPr>
        <w:t>;</w:t>
      </w:r>
      <w:r w:rsidRPr="00E52153">
        <w:rPr>
          <w:lang w:val="en-US"/>
        </w:rPr>
        <w:t xml:space="preserve"> vol. </w:t>
      </w:r>
      <w:r w:rsidRPr="00E52153">
        <w:rPr>
          <w:b/>
          <w:lang w:val="en-US"/>
        </w:rPr>
        <w:t>263</w:t>
      </w:r>
      <w:r>
        <w:rPr>
          <w:lang w:val="en-US"/>
        </w:rPr>
        <w:t>;</w:t>
      </w:r>
      <w:r w:rsidRPr="00E52153">
        <w:rPr>
          <w:lang w:val="en-US"/>
        </w:rPr>
        <w:t xml:space="preserve"> </w:t>
      </w:r>
      <w:r>
        <w:rPr>
          <w:lang w:val="en-US"/>
        </w:rPr>
        <w:t xml:space="preserve">2013; </w:t>
      </w:r>
      <w:r w:rsidRPr="00E52153">
        <w:rPr>
          <w:lang w:val="en-US"/>
        </w:rPr>
        <w:t>pp. 406–410</w:t>
      </w:r>
      <w:r>
        <w:rPr>
          <w:lang w:val="en-US"/>
        </w:rPr>
        <w:t>.</w:t>
      </w:r>
      <w:bookmarkEnd w:id="26"/>
    </w:p>
    <w:p w14:paraId="1EF67456" w14:textId="1EB12A65" w:rsidR="00E52153" w:rsidRDefault="00E52153" w:rsidP="0095573A">
      <w:pPr>
        <w:pStyle w:val="Referencelist"/>
        <w:rPr>
          <w:lang w:val="en-US"/>
        </w:rPr>
      </w:pPr>
      <w:bookmarkStart w:id="27" w:name="_Ref104903328"/>
      <w:r w:rsidRPr="00E52153">
        <w:rPr>
          <w:lang w:val="en-US"/>
        </w:rPr>
        <w:t xml:space="preserve">T. NGUYEN, N. GOTH, P. JONES, S. LEE, R. VAGHETTO </w:t>
      </w:r>
      <w:r>
        <w:rPr>
          <w:lang w:val="en-US"/>
        </w:rPr>
        <w:t>&amp;</w:t>
      </w:r>
      <w:r w:rsidRPr="00E52153">
        <w:rPr>
          <w:lang w:val="en-US"/>
        </w:rPr>
        <w:t xml:space="preserve"> Y. HASSAN</w:t>
      </w:r>
      <w:r>
        <w:rPr>
          <w:lang w:val="en-US"/>
        </w:rPr>
        <w:t>;</w:t>
      </w:r>
      <w:r w:rsidRPr="00E52153">
        <w:rPr>
          <w:lang w:val="en-US"/>
        </w:rPr>
        <w:t xml:space="preserve"> “PIV measurements of turbulent flows in a 61-pin wire-wrapped hexagonal fuel bundle”</w:t>
      </w:r>
      <w:r>
        <w:rPr>
          <w:lang w:val="en-US"/>
        </w:rPr>
        <w:t>;</w:t>
      </w:r>
      <w:r w:rsidRPr="00E52153">
        <w:rPr>
          <w:lang w:val="en-US"/>
        </w:rPr>
        <w:t xml:space="preserve"> </w:t>
      </w:r>
      <w:r w:rsidRPr="00E52153">
        <w:rPr>
          <w:i/>
          <w:lang w:val="en-US"/>
        </w:rPr>
        <w:t>Int. J. Heat Fluid Flow</w:t>
      </w:r>
      <w:r>
        <w:rPr>
          <w:lang w:val="en-US"/>
        </w:rPr>
        <w:t>;</w:t>
      </w:r>
      <w:r w:rsidRPr="00E52153">
        <w:rPr>
          <w:lang w:val="en-US"/>
        </w:rPr>
        <w:t xml:space="preserve"> vol. </w:t>
      </w:r>
      <w:r w:rsidRPr="00E52153">
        <w:rPr>
          <w:b/>
          <w:lang w:val="en-US"/>
        </w:rPr>
        <w:t>65</w:t>
      </w:r>
      <w:r>
        <w:rPr>
          <w:lang w:val="en-US"/>
        </w:rPr>
        <w:t>;</w:t>
      </w:r>
      <w:r w:rsidRPr="00E52153">
        <w:rPr>
          <w:lang w:val="en-US"/>
        </w:rPr>
        <w:t xml:space="preserve"> </w:t>
      </w:r>
      <w:r>
        <w:rPr>
          <w:lang w:val="en-US"/>
        </w:rPr>
        <w:t xml:space="preserve">2017; </w:t>
      </w:r>
      <w:r w:rsidRPr="00E52153">
        <w:rPr>
          <w:lang w:val="en-US"/>
        </w:rPr>
        <w:t>pp. 47–59</w:t>
      </w:r>
      <w:r>
        <w:rPr>
          <w:lang w:val="en-US"/>
        </w:rPr>
        <w:t>.</w:t>
      </w:r>
      <w:bookmarkEnd w:id="27"/>
      <w:r>
        <w:rPr>
          <w:lang w:val="en-US"/>
        </w:rPr>
        <w:t xml:space="preserve"> </w:t>
      </w:r>
    </w:p>
    <w:p w14:paraId="0DB41566" w14:textId="594A2529" w:rsidR="00E52153" w:rsidRDefault="00E52153" w:rsidP="0095573A">
      <w:pPr>
        <w:pStyle w:val="Referencelist"/>
        <w:rPr>
          <w:lang w:val="en-US"/>
        </w:rPr>
      </w:pPr>
      <w:bookmarkStart w:id="28" w:name="_Ref104903332"/>
      <w:r w:rsidRPr="00E52153">
        <w:rPr>
          <w:lang w:val="en-US"/>
        </w:rPr>
        <w:t>T. NGUYEN, N. GOTH, P. JONES, R. VAGHETTO</w:t>
      </w:r>
      <w:r>
        <w:rPr>
          <w:lang w:val="en-US"/>
        </w:rPr>
        <w:t xml:space="preserve"> &amp;</w:t>
      </w:r>
      <w:r w:rsidRPr="00E52153">
        <w:rPr>
          <w:lang w:val="en-US"/>
        </w:rPr>
        <w:t xml:space="preserve"> Y. HASSAN</w:t>
      </w:r>
      <w:r>
        <w:rPr>
          <w:lang w:val="en-US"/>
        </w:rPr>
        <w:t>;</w:t>
      </w:r>
      <w:r w:rsidRPr="00E52153">
        <w:rPr>
          <w:lang w:val="en-US"/>
        </w:rPr>
        <w:t xml:space="preserve"> “Stereoscopic PIV measurements of near-wall flow in a tightly packed rod bundle with wire spacers”</w:t>
      </w:r>
      <w:r>
        <w:rPr>
          <w:lang w:val="en-US"/>
        </w:rPr>
        <w:t>;</w:t>
      </w:r>
      <w:r w:rsidRPr="00E52153">
        <w:rPr>
          <w:lang w:val="en-US"/>
        </w:rPr>
        <w:t xml:space="preserve"> </w:t>
      </w:r>
      <w:r w:rsidRPr="00E52153">
        <w:rPr>
          <w:i/>
          <w:lang w:val="en-US"/>
        </w:rPr>
        <w:t>Exp. Therm. Fluid Sci</w:t>
      </w:r>
      <w:r w:rsidRPr="00E52153">
        <w:rPr>
          <w:lang w:val="en-US"/>
        </w:rPr>
        <w:t>.</w:t>
      </w:r>
      <w:r>
        <w:rPr>
          <w:lang w:val="en-US"/>
        </w:rPr>
        <w:t>;</w:t>
      </w:r>
      <w:r w:rsidRPr="00E52153">
        <w:rPr>
          <w:lang w:val="en-US"/>
        </w:rPr>
        <w:t xml:space="preserve"> vol. </w:t>
      </w:r>
      <w:r w:rsidRPr="00E52153">
        <w:rPr>
          <w:b/>
          <w:lang w:val="en-US"/>
        </w:rPr>
        <w:t>92</w:t>
      </w:r>
      <w:r w:rsidRPr="00E52153">
        <w:rPr>
          <w:lang w:val="en-US"/>
        </w:rPr>
        <w:t>. 201</w:t>
      </w:r>
      <w:r>
        <w:rPr>
          <w:lang w:val="en-US"/>
        </w:rPr>
        <w:t>8</w:t>
      </w:r>
      <w:r w:rsidRPr="00E52153">
        <w:rPr>
          <w:lang w:val="en-US"/>
        </w:rPr>
        <w:t>, pp. 420–435</w:t>
      </w:r>
      <w:r>
        <w:rPr>
          <w:lang w:val="en-US"/>
        </w:rPr>
        <w:t>.</w:t>
      </w:r>
      <w:bookmarkEnd w:id="28"/>
      <w:r w:rsidRPr="00E52153">
        <w:rPr>
          <w:lang w:val="en-US"/>
        </w:rPr>
        <w:t xml:space="preserve"> </w:t>
      </w:r>
    </w:p>
    <w:p w14:paraId="0C807A87" w14:textId="05E7167D" w:rsidR="00E52153" w:rsidRDefault="00E52153" w:rsidP="0095573A">
      <w:pPr>
        <w:pStyle w:val="Referencelist"/>
        <w:rPr>
          <w:lang w:val="en-US"/>
        </w:rPr>
      </w:pPr>
      <w:bookmarkStart w:id="29" w:name="_Ref104903345"/>
      <w:r w:rsidRPr="00E52153">
        <w:rPr>
          <w:lang w:val="en-US"/>
        </w:rPr>
        <w:t>N. GOTH, P. JONES, T. D. NGUYEN, R. VAGHETTO, Y. HASSAN, N. SALPETER</w:t>
      </w:r>
      <w:r w:rsidR="004F48C7">
        <w:rPr>
          <w:lang w:val="en-US"/>
        </w:rPr>
        <w:t xml:space="preserve"> &amp;</w:t>
      </w:r>
      <w:r w:rsidRPr="00E52153">
        <w:rPr>
          <w:lang w:val="en-US"/>
        </w:rPr>
        <w:t xml:space="preserve"> E. MERZARI; </w:t>
      </w:r>
      <w:r>
        <w:rPr>
          <w:lang w:val="en-US"/>
        </w:rPr>
        <w:t>“</w:t>
      </w:r>
      <w:r w:rsidRPr="00E52153">
        <w:rPr>
          <w:lang w:val="en-US"/>
        </w:rPr>
        <w:t>PTV/PIV measurements of turbulent flows in interior subchannels of a 61-pin wire-wrapped hexagonal fuel bundle</w:t>
      </w:r>
      <w:r>
        <w:rPr>
          <w:lang w:val="en-US"/>
        </w:rPr>
        <w:t>”</w:t>
      </w:r>
      <w:r w:rsidRPr="00E52153">
        <w:rPr>
          <w:lang w:val="en-US"/>
        </w:rPr>
        <w:t xml:space="preserve">; </w:t>
      </w:r>
      <w:r w:rsidRPr="00E52153">
        <w:rPr>
          <w:i/>
          <w:lang w:val="en-US"/>
        </w:rPr>
        <w:t>Int. J. Heat Fluid Flow;</w:t>
      </w:r>
      <w:r w:rsidRPr="00E52153">
        <w:rPr>
          <w:lang w:val="en-US"/>
        </w:rPr>
        <w:t xml:space="preserve"> vol. </w:t>
      </w:r>
      <w:r w:rsidRPr="00E52153">
        <w:rPr>
          <w:b/>
          <w:lang w:val="en-US"/>
        </w:rPr>
        <w:t>71</w:t>
      </w:r>
      <w:r>
        <w:rPr>
          <w:lang w:val="en-US"/>
        </w:rPr>
        <w:t>; 2018;</w:t>
      </w:r>
      <w:r w:rsidRPr="00E52153">
        <w:rPr>
          <w:lang w:val="en-US"/>
        </w:rPr>
        <w:t xml:space="preserve"> pp. 295–304</w:t>
      </w:r>
      <w:r>
        <w:rPr>
          <w:lang w:val="en-US"/>
        </w:rPr>
        <w:t>.</w:t>
      </w:r>
      <w:bookmarkEnd w:id="29"/>
    </w:p>
    <w:p w14:paraId="44B21656" w14:textId="290732C1" w:rsidR="004F48C7" w:rsidRDefault="004F48C7" w:rsidP="0095573A">
      <w:pPr>
        <w:pStyle w:val="Referencelist"/>
        <w:rPr>
          <w:lang w:val="en-US"/>
        </w:rPr>
      </w:pPr>
      <w:bookmarkStart w:id="30" w:name="_Ref104903360"/>
      <w:r w:rsidRPr="004F48C7">
        <w:rPr>
          <w:lang w:val="en-US"/>
        </w:rPr>
        <w:t xml:space="preserve">J. H. JEONG, M. S. SONG </w:t>
      </w:r>
      <w:r>
        <w:rPr>
          <w:lang w:val="en-US"/>
        </w:rPr>
        <w:t>&amp;</w:t>
      </w:r>
      <w:r w:rsidRPr="004F48C7">
        <w:rPr>
          <w:lang w:val="en-US"/>
        </w:rPr>
        <w:t xml:space="preserve"> K. L. LEE</w:t>
      </w:r>
      <w:r>
        <w:rPr>
          <w:lang w:val="en-US"/>
        </w:rPr>
        <w:t>;</w:t>
      </w:r>
      <w:r w:rsidRPr="004F48C7">
        <w:rPr>
          <w:lang w:val="en-US"/>
        </w:rPr>
        <w:t xml:space="preserve"> “RANS based CFD methodology for a real scale 217-pin wire-wrapped fuel assembly of KAERI PGSFR”</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313</w:t>
      </w:r>
      <w:r w:rsidRPr="004F48C7">
        <w:rPr>
          <w:lang w:val="en-US"/>
        </w:rPr>
        <w:t xml:space="preserve">, </w:t>
      </w:r>
      <w:r>
        <w:rPr>
          <w:lang w:val="en-US"/>
        </w:rPr>
        <w:t xml:space="preserve">2017; </w:t>
      </w:r>
      <w:r w:rsidRPr="004F48C7">
        <w:rPr>
          <w:lang w:val="en-US"/>
        </w:rPr>
        <w:t>pp. 470–485</w:t>
      </w:r>
      <w:r>
        <w:rPr>
          <w:lang w:val="en-US"/>
        </w:rPr>
        <w:t>.</w:t>
      </w:r>
      <w:bookmarkEnd w:id="30"/>
    </w:p>
    <w:p w14:paraId="1432EDC9" w14:textId="45F1566D" w:rsidR="004F48C7" w:rsidRDefault="004F48C7" w:rsidP="0095573A">
      <w:pPr>
        <w:pStyle w:val="Referencelist"/>
        <w:rPr>
          <w:lang w:val="en-US"/>
        </w:rPr>
      </w:pPr>
      <w:bookmarkStart w:id="31" w:name="_Ref67226771"/>
      <w:r w:rsidRPr="00B336E0">
        <w:rPr>
          <w:lang w:val="en-US"/>
        </w:rPr>
        <w:t>LANDON BROCKMEYER, LANE B. CARASIK, ELIA MERZARI</w:t>
      </w:r>
      <w:r>
        <w:rPr>
          <w:lang w:val="en-US"/>
        </w:rPr>
        <w:t xml:space="preserve"> &amp;</w:t>
      </w:r>
      <w:r w:rsidRPr="00B336E0">
        <w:rPr>
          <w:lang w:val="en-US"/>
        </w:rPr>
        <w:t xml:space="preserve"> YASSIN HASSAN; </w:t>
      </w:r>
      <w:r>
        <w:rPr>
          <w:lang w:val="en-US"/>
        </w:rPr>
        <w:t>“</w:t>
      </w:r>
      <w:r w:rsidRPr="00B336E0">
        <w:rPr>
          <w:lang w:val="en-US"/>
        </w:rPr>
        <w:t>Numerical simulations for determination of minimum representative bundle size in wire wrapped tube bundles</w:t>
      </w:r>
      <w:r>
        <w:rPr>
          <w:lang w:val="en-US"/>
        </w:rPr>
        <w:t>”</w:t>
      </w:r>
      <w:r w:rsidRPr="00B336E0">
        <w:rPr>
          <w:lang w:val="en-US"/>
        </w:rPr>
        <w:t xml:space="preserve">; </w:t>
      </w:r>
      <w:r w:rsidRPr="00F74954">
        <w:rPr>
          <w:i/>
          <w:lang w:val="en-US"/>
        </w:rPr>
        <w:t>Nuclear Engineering and Design; Nuclear Engineering and Design</w:t>
      </w:r>
      <w:r>
        <w:rPr>
          <w:lang w:val="en-US"/>
        </w:rPr>
        <w:t>;</w:t>
      </w:r>
      <w:r w:rsidRPr="00B336E0">
        <w:rPr>
          <w:lang w:val="en-US"/>
        </w:rPr>
        <w:t xml:space="preserve"> </w:t>
      </w:r>
      <w:r w:rsidRPr="00F74954">
        <w:rPr>
          <w:b/>
          <w:lang w:val="en-US"/>
        </w:rPr>
        <w:t>322</w:t>
      </w:r>
      <w:r w:rsidRPr="00B336E0">
        <w:rPr>
          <w:lang w:val="en-US"/>
        </w:rPr>
        <w:t>; 2017; 557–590.</w:t>
      </w:r>
      <w:bookmarkEnd w:id="31"/>
    </w:p>
    <w:p w14:paraId="1708E92F" w14:textId="749AB8B3" w:rsidR="004F48C7" w:rsidRDefault="004F48C7" w:rsidP="0095573A">
      <w:pPr>
        <w:pStyle w:val="Referencelist"/>
        <w:rPr>
          <w:lang w:val="en-US"/>
        </w:rPr>
      </w:pPr>
      <w:bookmarkStart w:id="32" w:name="_Ref104903385"/>
      <w:r w:rsidRPr="004F48C7">
        <w:rPr>
          <w:lang w:val="en-US"/>
        </w:rPr>
        <w:t>J. T. H</w:t>
      </w:r>
      <w:r>
        <w:rPr>
          <w:lang w:val="en-US"/>
        </w:rPr>
        <w:t>AN;</w:t>
      </w:r>
      <w:r w:rsidRPr="004F48C7">
        <w:rPr>
          <w:lang w:val="en-US"/>
        </w:rPr>
        <w:t xml:space="preserve"> “Blockages in LMFBR fuel assemblies: a review of experimental and theoretical studies”</w:t>
      </w:r>
      <w:r>
        <w:rPr>
          <w:lang w:val="en-US"/>
        </w:rPr>
        <w:t>;</w:t>
      </w:r>
      <w:r w:rsidRPr="004F48C7">
        <w:rPr>
          <w:lang w:val="en-US"/>
        </w:rPr>
        <w:t xml:space="preserve"> 1977. </w:t>
      </w:r>
      <w:proofErr w:type="spellStart"/>
      <w:r w:rsidRPr="004F48C7">
        <w:rPr>
          <w:lang w:val="en-US"/>
        </w:rPr>
        <w:t>doi</w:t>
      </w:r>
      <w:proofErr w:type="spellEnd"/>
      <w:r w:rsidRPr="004F48C7">
        <w:rPr>
          <w:lang w:val="en-US"/>
        </w:rPr>
        <w:t>: 10.2172/7301883.</w:t>
      </w:r>
      <w:bookmarkEnd w:id="32"/>
    </w:p>
    <w:p w14:paraId="6EAC9AD1" w14:textId="7B060145" w:rsidR="004F48C7" w:rsidRDefault="004F48C7" w:rsidP="0095573A">
      <w:pPr>
        <w:pStyle w:val="Referencelist"/>
        <w:rPr>
          <w:lang w:val="en-US"/>
        </w:rPr>
      </w:pPr>
      <w:bookmarkStart w:id="33" w:name="_Ref104903412"/>
      <w:r w:rsidRPr="004F48C7">
        <w:rPr>
          <w:lang w:val="en-US"/>
        </w:rPr>
        <w:t>XIANG CHAI, LEI ZHAO, WENJUN HU ET AL.</w:t>
      </w:r>
      <w:r>
        <w:rPr>
          <w:lang w:val="en-US"/>
        </w:rPr>
        <w:t>;</w:t>
      </w:r>
      <w:r w:rsidRPr="004F48C7">
        <w:rPr>
          <w:lang w:val="en-US"/>
        </w:rPr>
        <w:t xml:space="preserve"> “Numerical investigation of flow blockage accident in SFR fuel assembly”; </w:t>
      </w:r>
      <w:r w:rsidRPr="004F48C7">
        <w:rPr>
          <w:i/>
          <w:lang w:val="en-US"/>
        </w:rPr>
        <w:t>Nuclear Engineering and Design</w:t>
      </w:r>
      <w:r w:rsidRPr="004F48C7">
        <w:rPr>
          <w:lang w:val="en-US"/>
        </w:rPr>
        <w:t xml:space="preserve">; </w:t>
      </w:r>
      <w:r w:rsidRPr="004F48C7">
        <w:rPr>
          <w:b/>
          <w:lang w:val="en-US"/>
        </w:rPr>
        <w:t>359</w:t>
      </w:r>
      <w:r w:rsidRPr="004F48C7">
        <w:rPr>
          <w:lang w:val="en-US"/>
        </w:rPr>
        <w:t>; 2020</w:t>
      </w:r>
      <w:r>
        <w:rPr>
          <w:lang w:val="en-US"/>
        </w:rPr>
        <w:t>.</w:t>
      </w:r>
      <w:bookmarkEnd w:id="33"/>
    </w:p>
    <w:p w14:paraId="306BAEA6" w14:textId="6970A771" w:rsidR="004F48C7" w:rsidRDefault="004F48C7" w:rsidP="0095573A">
      <w:pPr>
        <w:pStyle w:val="Referencelist"/>
        <w:rPr>
          <w:lang w:val="en-US"/>
        </w:rPr>
      </w:pPr>
      <w:bookmarkStart w:id="34" w:name="_Ref104903425"/>
      <w:r w:rsidRPr="004F48C7">
        <w:rPr>
          <w:lang w:val="en-US"/>
        </w:rPr>
        <w:t xml:space="preserve">GENCAY, S., TAPUCU, A., TROCHE, N. </w:t>
      </w:r>
      <w:r>
        <w:rPr>
          <w:lang w:val="en-US"/>
        </w:rPr>
        <w:t>&amp;</w:t>
      </w:r>
      <w:r w:rsidRPr="004F48C7">
        <w:rPr>
          <w:lang w:val="en-US"/>
        </w:rPr>
        <w:t xml:space="preserve"> MERILO, M.</w:t>
      </w:r>
      <w:r>
        <w:rPr>
          <w:lang w:val="en-US"/>
        </w:rPr>
        <w:t>;</w:t>
      </w:r>
      <w:r w:rsidRPr="004F48C7">
        <w:rPr>
          <w:lang w:val="en-US"/>
        </w:rPr>
        <w:t xml:space="preserve"> “Experimental Study of the Diversion Crossflow Caused by Subchannel Blockages. Part I: Experimental Procedures and Mass Flow Rates in the Channels,” </w:t>
      </w:r>
      <w:r w:rsidRPr="004F48C7">
        <w:rPr>
          <w:i/>
          <w:lang w:val="en-US"/>
        </w:rPr>
        <w:t>ASME J. Fluids Eng.</w:t>
      </w:r>
      <w:r>
        <w:rPr>
          <w:lang w:val="en-US"/>
        </w:rPr>
        <w:t>;</w:t>
      </w:r>
      <w:r w:rsidRPr="004F48C7">
        <w:rPr>
          <w:lang w:val="en-US"/>
        </w:rPr>
        <w:t xml:space="preserve"> </w:t>
      </w:r>
      <w:r w:rsidRPr="004F48C7">
        <w:rPr>
          <w:b/>
          <w:lang w:val="en-US"/>
        </w:rPr>
        <w:t>106</w:t>
      </w:r>
      <w:r w:rsidRPr="004F48C7">
        <w:rPr>
          <w:lang w:val="en-US"/>
        </w:rPr>
        <w:t>(4)</w:t>
      </w:r>
      <w:r>
        <w:rPr>
          <w:lang w:val="en-US"/>
        </w:rPr>
        <w:t>;</w:t>
      </w:r>
      <w:r w:rsidRPr="004F48C7">
        <w:rPr>
          <w:lang w:val="en-US"/>
        </w:rPr>
        <w:t xml:space="preserve"> 1984</w:t>
      </w:r>
      <w:r>
        <w:rPr>
          <w:lang w:val="en-US"/>
        </w:rPr>
        <w:t>;</w:t>
      </w:r>
      <w:r w:rsidRPr="004F48C7">
        <w:rPr>
          <w:lang w:val="en-US"/>
        </w:rPr>
        <w:t xml:space="preserve"> pp. 435–440.</w:t>
      </w:r>
      <w:bookmarkEnd w:id="34"/>
    </w:p>
    <w:p w14:paraId="21090DF4" w14:textId="428284D4" w:rsidR="004F48C7" w:rsidRDefault="004F48C7" w:rsidP="0095573A">
      <w:pPr>
        <w:pStyle w:val="Referencelist"/>
        <w:rPr>
          <w:lang w:val="en-US"/>
        </w:rPr>
      </w:pPr>
      <w:bookmarkStart w:id="35" w:name="_Ref104903440"/>
      <w:r w:rsidRPr="004F48C7">
        <w:rPr>
          <w:lang w:val="en-US"/>
        </w:rPr>
        <w:t xml:space="preserve">T. NGUYEN, L. WHITE, R. VAGHETTO </w:t>
      </w:r>
      <w:r>
        <w:rPr>
          <w:lang w:val="en-US"/>
        </w:rPr>
        <w:t>&amp;</w:t>
      </w:r>
      <w:r w:rsidRPr="004F48C7">
        <w:rPr>
          <w:lang w:val="en-US"/>
        </w:rPr>
        <w:t xml:space="preserve"> Y. HASSAN</w:t>
      </w:r>
      <w:r>
        <w:rPr>
          <w:lang w:val="en-US"/>
        </w:rPr>
        <w:t>;</w:t>
      </w:r>
      <w:r w:rsidRPr="004F48C7">
        <w:rPr>
          <w:lang w:val="en-US"/>
        </w:rPr>
        <w:t xml:space="preserve"> “Turbulent flow and vortex characteristics in a blocked subchannel of a helically wrapped rod bundle”</w:t>
      </w:r>
      <w:r>
        <w:rPr>
          <w:lang w:val="en-US"/>
        </w:rPr>
        <w:t>;</w:t>
      </w:r>
      <w:r w:rsidRPr="004F48C7">
        <w:rPr>
          <w:lang w:val="en-US"/>
        </w:rPr>
        <w:t xml:space="preserve"> </w:t>
      </w:r>
      <w:r w:rsidRPr="004F48C7">
        <w:rPr>
          <w:i/>
          <w:lang w:val="en-US"/>
        </w:rPr>
        <w:t>Exp. Fluids</w:t>
      </w:r>
      <w:r>
        <w:rPr>
          <w:lang w:val="en-US"/>
        </w:rPr>
        <w:t>;</w:t>
      </w:r>
      <w:r w:rsidRPr="004F48C7">
        <w:rPr>
          <w:lang w:val="en-US"/>
        </w:rPr>
        <w:t xml:space="preserve"> vol. </w:t>
      </w:r>
      <w:r w:rsidRPr="004F48C7">
        <w:rPr>
          <w:b/>
          <w:lang w:val="en-US"/>
        </w:rPr>
        <w:t>60</w:t>
      </w:r>
      <w:r w:rsidRPr="004F48C7">
        <w:rPr>
          <w:lang w:val="en-US"/>
        </w:rPr>
        <w:t>;</w:t>
      </w:r>
      <w:r>
        <w:rPr>
          <w:lang w:val="en-US"/>
        </w:rPr>
        <w:t xml:space="preserve"> 2019;</w:t>
      </w:r>
      <w:r w:rsidRPr="004F48C7">
        <w:rPr>
          <w:lang w:val="en-US"/>
        </w:rPr>
        <w:t xml:space="preserve"> pp. 1–28</w:t>
      </w:r>
      <w:r>
        <w:rPr>
          <w:lang w:val="en-US"/>
        </w:rPr>
        <w:t>.</w:t>
      </w:r>
      <w:bookmarkEnd w:id="35"/>
    </w:p>
    <w:p w14:paraId="242E9C73" w14:textId="2FE46DFA" w:rsidR="004F48C7" w:rsidRDefault="004F48C7" w:rsidP="0095573A">
      <w:pPr>
        <w:pStyle w:val="Referencelist"/>
        <w:rPr>
          <w:lang w:val="en-US"/>
        </w:rPr>
      </w:pPr>
      <w:bookmarkStart w:id="36" w:name="_Ref104903442"/>
      <w:r w:rsidRPr="004F48C7">
        <w:rPr>
          <w:lang w:val="en-US"/>
        </w:rPr>
        <w:lastRenderedPageBreak/>
        <w:t xml:space="preserve">T. NGUYEN, L. WHITE, R. VAGHETTO </w:t>
      </w:r>
      <w:r>
        <w:rPr>
          <w:lang w:val="en-US"/>
        </w:rPr>
        <w:t>&amp;</w:t>
      </w:r>
      <w:r w:rsidRPr="004F48C7">
        <w:rPr>
          <w:lang w:val="en-US"/>
        </w:rPr>
        <w:t xml:space="preserve"> Y. HASSAN</w:t>
      </w:r>
      <w:r>
        <w:rPr>
          <w:lang w:val="en-US"/>
        </w:rPr>
        <w:t>;</w:t>
      </w:r>
      <w:r w:rsidRPr="004F48C7">
        <w:rPr>
          <w:lang w:val="en-US"/>
        </w:rPr>
        <w:t xml:space="preserve"> “High-fidelity velocity measurements in a totally blocked interior subchannel of a wire-wrapped 61-pin hexagonal fuel bundle”</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353</w:t>
      </w:r>
      <w:r>
        <w:rPr>
          <w:lang w:val="en-US"/>
        </w:rPr>
        <w:t>; 2019.</w:t>
      </w:r>
      <w:bookmarkEnd w:id="36"/>
    </w:p>
    <w:p w14:paraId="637C3CDC" w14:textId="317B79DB" w:rsidR="004F48C7" w:rsidRDefault="004F48C7" w:rsidP="0095573A">
      <w:pPr>
        <w:pStyle w:val="Referencelist"/>
        <w:rPr>
          <w:lang w:val="en-US"/>
        </w:rPr>
      </w:pPr>
      <w:bookmarkStart w:id="37" w:name="_Ref104903444"/>
      <w:r w:rsidRPr="004F48C7">
        <w:rPr>
          <w:lang w:val="en-US"/>
        </w:rPr>
        <w:t xml:space="preserve">T. NGUYEN, R. VAGHETTO </w:t>
      </w:r>
      <w:r>
        <w:rPr>
          <w:lang w:val="en-US"/>
        </w:rPr>
        <w:t>&amp;</w:t>
      </w:r>
      <w:r w:rsidRPr="004F48C7">
        <w:rPr>
          <w:lang w:val="en-US"/>
        </w:rPr>
        <w:t xml:space="preserve"> Y. HASSAN</w:t>
      </w:r>
      <w:r>
        <w:rPr>
          <w:lang w:val="en-US"/>
        </w:rPr>
        <w:t>;</w:t>
      </w:r>
      <w:r w:rsidRPr="004F48C7">
        <w:rPr>
          <w:lang w:val="en-US"/>
        </w:rPr>
        <w:t xml:space="preserve"> “Experimental investigation of turbulent wake flows in a helically wrapped rod bundle in presence of localized blockages”</w:t>
      </w:r>
      <w:r>
        <w:rPr>
          <w:lang w:val="en-US"/>
        </w:rPr>
        <w:t>;</w:t>
      </w:r>
      <w:r w:rsidRPr="004F48C7">
        <w:rPr>
          <w:lang w:val="en-US"/>
        </w:rPr>
        <w:t xml:space="preserve"> </w:t>
      </w:r>
      <w:r w:rsidRPr="004F48C7">
        <w:rPr>
          <w:i/>
          <w:lang w:val="en-US"/>
        </w:rPr>
        <w:t>Phys. Fluids</w:t>
      </w:r>
      <w:r>
        <w:rPr>
          <w:lang w:val="en-US"/>
        </w:rPr>
        <w:t>;</w:t>
      </w:r>
      <w:r w:rsidRPr="004F48C7">
        <w:rPr>
          <w:lang w:val="en-US"/>
        </w:rPr>
        <w:t xml:space="preserve"> vol. </w:t>
      </w:r>
      <w:r w:rsidRPr="004F48C7">
        <w:rPr>
          <w:b/>
          <w:lang w:val="en-US"/>
        </w:rPr>
        <w:t>32</w:t>
      </w:r>
      <w:r>
        <w:rPr>
          <w:lang w:val="en-US"/>
        </w:rPr>
        <w:t>;</w:t>
      </w:r>
      <w:r w:rsidRPr="004F48C7">
        <w:rPr>
          <w:lang w:val="en-US"/>
        </w:rPr>
        <w:t xml:space="preserve"> 2020</w:t>
      </w:r>
      <w:r>
        <w:rPr>
          <w:lang w:val="en-US"/>
        </w:rPr>
        <w:t>.</w:t>
      </w:r>
      <w:bookmarkEnd w:id="37"/>
    </w:p>
    <w:p w14:paraId="68FE84F9" w14:textId="29C645E3" w:rsidR="004F48C7" w:rsidRDefault="004F48C7" w:rsidP="0095573A">
      <w:pPr>
        <w:pStyle w:val="Referencelist"/>
        <w:rPr>
          <w:lang w:val="en-US"/>
        </w:rPr>
      </w:pPr>
      <w:bookmarkStart w:id="38" w:name="_Ref104903460"/>
      <w:r w:rsidRPr="004F48C7">
        <w:rPr>
          <w:lang w:val="en-US"/>
        </w:rPr>
        <w:t>M. CHILDS, R. MUYSHONDT, R. VAGHETTO, T. NGUYEN, AND D. Y. A. HASSAN</w:t>
      </w:r>
      <w:r>
        <w:rPr>
          <w:lang w:val="en-US"/>
        </w:rPr>
        <w:t>;</w:t>
      </w:r>
      <w:r w:rsidRPr="004F48C7">
        <w:rPr>
          <w:lang w:val="en-US"/>
        </w:rPr>
        <w:t xml:space="preserve"> “Experimental Study </w:t>
      </w:r>
      <w:proofErr w:type="gramStart"/>
      <w:r w:rsidRPr="004F48C7">
        <w:rPr>
          <w:lang w:val="en-US"/>
        </w:rPr>
        <w:t>On</w:t>
      </w:r>
      <w:proofErr w:type="gramEnd"/>
      <w:r w:rsidRPr="004F48C7">
        <w:rPr>
          <w:lang w:val="en-US"/>
        </w:rPr>
        <w:t xml:space="preserve"> the Effect of Localized Blockages On the Friction Factor of a 61-pin Wire-Wrapped Bundle</w:t>
      </w:r>
      <w:r>
        <w:rPr>
          <w:lang w:val="en-US"/>
        </w:rPr>
        <w:t>”;</w:t>
      </w:r>
      <w:r w:rsidRPr="004F48C7">
        <w:rPr>
          <w:lang w:val="en-US"/>
        </w:rPr>
        <w:t xml:space="preserve"> </w:t>
      </w:r>
      <w:r w:rsidRPr="004F48C7">
        <w:rPr>
          <w:i/>
          <w:lang w:val="en-US"/>
        </w:rPr>
        <w:t>J. Fluids Eng.</w:t>
      </w:r>
      <w:r>
        <w:rPr>
          <w:lang w:val="en-US"/>
        </w:rPr>
        <w:t>;</w:t>
      </w:r>
      <w:r w:rsidRPr="004F48C7">
        <w:rPr>
          <w:lang w:val="en-US"/>
        </w:rPr>
        <w:t xml:space="preserve"> 2020</w:t>
      </w:r>
      <w:r>
        <w:rPr>
          <w:lang w:val="en-US"/>
        </w:rPr>
        <w:t>.</w:t>
      </w:r>
      <w:bookmarkEnd w:id="38"/>
    </w:p>
    <w:p w14:paraId="2C0D6085" w14:textId="4B98C900" w:rsidR="004F48C7" w:rsidRDefault="004F48C7" w:rsidP="0095573A">
      <w:pPr>
        <w:pStyle w:val="Referencelist"/>
        <w:rPr>
          <w:lang w:val="en-US"/>
        </w:rPr>
      </w:pPr>
      <w:bookmarkStart w:id="39" w:name="_Ref104903471"/>
      <w:r w:rsidRPr="004F48C7">
        <w:rPr>
          <w:lang w:val="en-US"/>
        </w:rPr>
        <w:t>I. DI PIAZZA, F. MAGUGLIANI, M. TARANTINO, AND A. ALEMBERTI</w:t>
      </w:r>
      <w:r>
        <w:rPr>
          <w:lang w:val="en-US"/>
        </w:rPr>
        <w:t>;</w:t>
      </w:r>
      <w:r w:rsidRPr="004F48C7">
        <w:rPr>
          <w:lang w:val="en-US"/>
        </w:rPr>
        <w:t xml:space="preserve"> “A CFD analysis of flow blockage phenomena in ALFRED LFR demo fuel assembly”</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276</w:t>
      </w:r>
      <w:r>
        <w:rPr>
          <w:lang w:val="en-US"/>
        </w:rPr>
        <w:t>;</w:t>
      </w:r>
      <w:r w:rsidRPr="004F48C7">
        <w:rPr>
          <w:lang w:val="en-US"/>
        </w:rPr>
        <w:t xml:space="preserve"> </w:t>
      </w:r>
      <w:r>
        <w:rPr>
          <w:lang w:val="en-US"/>
        </w:rPr>
        <w:t xml:space="preserve">2014; </w:t>
      </w:r>
      <w:r w:rsidRPr="004F48C7">
        <w:rPr>
          <w:lang w:val="en-US"/>
        </w:rPr>
        <w:t>pp. 202–215</w:t>
      </w:r>
      <w:r>
        <w:rPr>
          <w:lang w:val="en-US"/>
        </w:rPr>
        <w:t>.</w:t>
      </w:r>
      <w:bookmarkEnd w:id="39"/>
    </w:p>
    <w:p w14:paraId="3F63F46B" w14:textId="1F6BE7D0" w:rsidR="004F48C7" w:rsidRDefault="00DC1AD3" w:rsidP="0095573A">
      <w:pPr>
        <w:pStyle w:val="Referencelist"/>
        <w:rPr>
          <w:lang w:val="en-US"/>
        </w:rPr>
      </w:pPr>
      <w:bookmarkStart w:id="40" w:name="_Ref104903481"/>
      <w:r w:rsidRPr="00DC1AD3">
        <w:rPr>
          <w:lang w:val="en-US"/>
        </w:rPr>
        <w:t>X. CHAI, X. LIU, J. XIONG, AND X. CHENG</w:t>
      </w:r>
      <w:r>
        <w:rPr>
          <w:lang w:val="en-US"/>
        </w:rPr>
        <w:t>;</w:t>
      </w:r>
      <w:r w:rsidRPr="00DC1AD3">
        <w:rPr>
          <w:lang w:val="en-US"/>
        </w:rPr>
        <w:t xml:space="preserve"> “CFD analysis of flow blockage phenomena in </w:t>
      </w:r>
      <w:proofErr w:type="gramStart"/>
      <w:r w:rsidRPr="00DC1AD3">
        <w:rPr>
          <w:lang w:val="en-US"/>
        </w:rPr>
        <w:t>a</w:t>
      </w:r>
      <w:proofErr w:type="gramEnd"/>
      <w:r w:rsidRPr="00DC1AD3">
        <w:rPr>
          <w:lang w:val="en-US"/>
        </w:rPr>
        <w:t xml:space="preserve"> LBE-cooled 19-pin wire-wrapped rod bundle”</w:t>
      </w:r>
      <w:r>
        <w:rPr>
          <w:lang w:val="en-US"/>
        </w:rPr>
        <w:t>;</w:t>
      </w:r>
      <w:r w:rsidRPr="00DC1AD3">
        <w:rPr>
          <w:lang w:val="en-US"/>
        </w:rPr>
        <w:t xml:space="preserve"> </w:t>
      </w:r>
      <w:proofErr w:type="spellStart"/>
      <w:r w:rsidRPr="00DC1AD3">
        <w:rPr>
          <w:i/>
          <w:lang w:val="en-US"/>
        </w:rPr>
        <w:t>Nucl</w:t>
      </w:r>
      <w:proofErr w:type="spellEnd"/>
      <w:r w:rsidRPr="00DC1AD3">
        <w:rPr>
          <w:i/>
          <w:lang w:val="en-US"/>
        </w:rPr>
        <w:t>. Eng. Des.</w:t>
      </w:r>
      <w:r>
        <w:rPr>
          <w:lang w:val="en-US"/>
        </w:rPr>
        <w:t>;</w:t>
      </w:r>
      <w:r w:rsidRPr="00DC1AD3">
        <w:rPr>
          <w:lang w:val="en-US"/>
        </w:rPr>
        <w:t xml:space="preserve"> vol. </w:t>
      </w:r>
      <w:r w:rsidRPr="00DC1AD3">
        <w:rPr>
          <w:b/>
          <w:lang w:val="en-US"/>
        </w:rPr>
        <w:t>344</w:t>
      </w:r>
      <w:r w:rsidRPr="00DC1AD3">
        <w:rPr>
          <w:lang w:val="en-US"/>
        </w:rPr>
        <w:t xml:space="preserve">, </w:t>
      </w:r>
      <w:r>
        <w:rPr>
          <w:lang w:val="en-US"/>
        </w:rPr>
        <w:t>2019;</w:t>
      </w:r>
      <w:r w:rsidRPr="00DC1AD3">
        <w:rPr>
          <w:lang w:val="en-US"/>
        </w:rPr>
        <w:t xml:space="preserve"> pp. 107–121</w:t>
      </w:r>
      <w:r>
        <w:rPr>
          <w:lang w:val="en-US"/>
        </w:rPr>
        <w:t>.</w:t>
      </w:r>
      <w:bookmarkEnd w:id="40"/>
    </w:p>
    <w:p w14:paraId="09A8C71F" w14:textId="4C86F89F" w:rsidR="00DC1AD3" w:rsidRDefault="00DC1AD3" w:rsidP="0095573A">
      <w:pPr>
        <w:pStyle w:val="Referencelist"/>
        <w:rPr>
          <w:lang w:val="en-US"/>
        </w:rPr>
      </w:pPr>
      <w:bookmarkStart w:id="41" w:name="_Ref104903506"/>
      <w:r w:rsidRPr="00DC1AD3">
        <w:rPr>
          <w:lang w:val="en-US"/>
        </w:rPr>
        <w:t>Texas A&amp;M University-Thermal-Hydraulic Research Laboratory. (202</w:t>
      </w:r>
      <w:r>
        <w:rPr>
          <w:lang w:val="en-US"/>
        </w:rPr>
        <w:t>2</w:t>
      </w:r>
      <w:r w:rsidRPr="00DC1AD3">
        <w:rPr>
          <w:lang w:val="en-US"/>
        </w:rPr>
        <w:t>, M</w:t>
      </w:r>
      <w:r>
        <w:rPr>
          <w:lang w:val="en-US"/>
        </w:rPr>
        <w:t>ay</w:t>
      </w:r>
      <w:r w:rsidRPr="00DC1AD3">
        <w:rPr>
          <w:lang w:val="en-US"/>
        </w:rPr>
        <w:t xml:space="preserve"> </w:t>
      </w:r>
      <w:r>
        <w:rPr>
          <w:lang w:val="en-US"/>
        </w:rPr>
        <w:t>31</w:t>
      </w:r>
      <w:r w:rsidRPr="00DC1AD3">
        <w:rPr>
          <w:lang w:val="en-US"/>
        </w:rPr>
        <w:t xml:space="preserve">). Wire Wrapped Fuel Assembly </w:t>
      </w:r>
      <w:hyperlink r:id="rId20" w:history="1">
        <w:r w:rsidRPr="00590F4B">
          <w:rPr>
            <w:rStyle w:val="Hyperlink"/>
            <w:lang w:val="en-US"/>
          </w:rPr>
          <w:t>https://thrlab.tamu.edu/wire-wrapped-fuel-assembly/</w:t>
        </w:r>
      </w:hyperlink>
      <w:bookmarkEnd w:id="41"/>
    </w:p>
    <w:p w14:paraId="00F143D1" w14:textId="5B3E2C75" w:rsidR="00DC1AD3" w:rsidRDefault="00DC1AD3" w:rsidP="0095573A">
      <w:pPr>
        <w:pStyle w:val="Referencelist"/>
        <w:rPr>
          <w:lang w:val="en-US"/>
        </w:rPr>
      </w:pPr>
      <w:r w:rsidRPr="00DC1AD3">
        <w:rPr>
          <w:lang w:val="en-US"/>
        </w:rPr>
        <w:t>GOTH, N. E., 2017, “Design and PIV Measurements on a Wire-Wrapped 61-Rod Hexagonal Fuel Assembly Experimental Facility,” M.S. thesis, Texas A&amp;M University, College Station, TX.</w:t>
      </w:r>
    </w:p>
    <w:p w14:paraId="7B3C7D0F" w14:textId="685A3A26" w:rsidR="00DC1AD3" w:rsidRDefault="00DC1AD3" w:rsidP="0095573A">
      <w:pPr>
        <w:pStyle w:val="Referencelist"/>
        <w:rPr>
          <w:lang w:val="en-US"/>
        </w:rPr>
      </w:pPr>
      <w:bookmarkStart w:id="42" w:name="_Ref104903605"/>
      <w:r w:rsidRPr="00DC1AD3">
        <w:rPr>
          <w:lang w:val="en-US"/>
        </w:rPr>
        <w:t xml:space="preserve">SIEMENS, </w:t>
      </w:r>
      <w:proofErr w:type="spellStart"/>
      <w:r w:rsidRPr="00DC1AD3">
        <w:rPr>
          <w:lang w:val="en-US"/>
        </w:rPr>
        <w:t>Simcenter</w:t>
      </w:r>
      <w:proofErr w:type="spellEnd"/>
      <w:r w:rsidRPr="00DC1AD3">
        <w:rPr>
          <w:lang w:val="en-US"/>
        </w:rPr>
        <w:t xml:space="preserve"> STAR-CCM+® - Documentation - Version 2019.2.1</w:t>
      </w:r>
      <w:bookmarkEnd w:id="42"/>
    </w:p>
    <w:p w14:paraId="6875A7AF" w14:textId="7E01CC8C" w:rsidR="00DC1AD3" w:rsidRPr="00B336E0" w:rsidRDefault="00DC1AD3" w:rsidP="0095573A">
      <w:pPr>
        <w:pStyle w:val="Referencelist"/>
        <w:rPr>
          <w:lang w:val="en-US"/>
        </w:rPr>
      </w:pPr>
      <w:bookmarkStart w:id="43" w:name="_Ref104903615"/>
      <w:r w:rsidRPr="00DC1AD3">
        <w:rPr>
          <w:lang w:val="en-US"/>
        </w:rPr>
        <w:t xml:space="preserve">F. MOUKALLED, L. MANGANI </w:t>
      </w:r>
      <w:r>
        <w:rPr>
          <w:lang w:val="en-US"/>
        </w:rPr>
        <w:t>&amp;</w:t>
      </w:r>
      <w:r w:rsidRPr="00DC1AD3">
        <w:rPr>
          <w:lang w:val="en-US"/>
        </w:rPr>
        <w:t xml:space="preserve"> M. DARWISH, The Finite Volume Method in Computation Fluid Dynamics, Springer 2016, page 61, ISBN 978-3-319-16874-6.</w:t>
      </w:r>
      <w:bookmarkEnd w:id="43"/>
    </w:p>
    <w:p w14:paraId="02BECA56" w14:textId="101F5E71" w:rsidR="002E0E4B" w:rsidRPr="00DC1AD3" w:rsidRDefault="00FD676C" w:rsidP="00DC1AD3">
      <w:pPr>
        <w:pStyle w:val="Referencelist"/>
        <w:rPr>
          <w:lang w:val="en-US"/>
        </w:rPr>
      </w:pPr>
      <w:bookmarkStart w:id="44" w:name="_Ref67226611"/>
      <w:r w:rsidRPr="00B336E0">
        <w:rPr>
          <w:lang w:val="en-US"/>
        </w:rPr>
        <w:t>S.K. CHEN, Y.M. CHEN</w:t>
      </w:r>
      <w:r w:rsidR="00DC1AD3">
        <w:rPr>
          <w:lang w:val="en-US"/>
        </w:rPr>
        <w:t xml:space="preserve"> &amp;</w:t>
      </w:r>
      <w:r w:rsidRPr="00B336E0">
        <w:rPr>
          <w:lang w:val="en-US"/>
        </w:rPr>
        <w:t xml:space="preserve"> N.E. TODREAS; </w:t>
      </w:r>
      <w:r w:rsidR="00F74954">
        <w:rPr>
          <w:lang w:val="en-US"/>
        </w:rPr>
        <w:t>“</w:t>
      </w:r>
      <w:r w:rsidRPr="00B336E0">
        <w:rPr>
          <w:lang w:val="en-US"/>
        </w:rPr>
        <w:t>The upgraded Cheng and Todreas correlation for pressure drop in hexagonal wire-wrapped rod bundles</w:t>
      </w:r>
      <w:r w:rsidR="00F74954">
        <w:rPr>
          <w:lang w:val="en-US"/>
        </w:rPr>
        <w:t>”</w:t>
      </w:r>
      <w:r w:rsidRPr="00B336E0">
        <w:rPr>
          <w:lang w:val="en-US"/>
        </w:rPr>
        <w:t xml:space="preserve">; </w:t>
      </w:r>
      <w:r w:rsidRPr="00F74954">
        <w:rPr>
          <w:i/>
          <w:lang w:val="en-US"/>
        </w:rPr>
        <w:t>Nuclear Engineering and Design</w:t>
      </w:r>
      <w:r w:rsidR="00F74954">
        <w:rPr>
          <w:lang w:val="en-US"/>
        </w:rPr>
        <w:t>;</w:t>
      </w:r>
      <w:r w:rsidRPr="00B336E0">
        <w:rPr>
          <w:lang w:val="en-US"/>
        </w:rPr>
        <w:t xml:space="preserve"> </w:t>
      </w:r>
      <w:r w:rsidRPr="00F74954">
        <w:rPr>
          <w:b/>
          <w:lang w:val="en-US"/>
        </w:rPr>
        <w:t>335</w:t>
      </w:r>
      <w:r w:rsidRPr="00B336E0">
        <w:rPr>
          <w:lang w:val="en-US"/>
        </w:rPr>
        <w:t>; 2018; pages 356–373.</w:t>
      </w:r>
      <w:bookmarkEnd w:id="44"/>
    </w:p>
    <w:p w14:paraId="1F84E7AF" w14:textId="2B0D0EE0" w:rsidR="00EF51AE" w:rsidRDefault="00DC1AD3" w:rsidP="00EF51AE">
      <w:pPr>
        <w:pStyle w:val="Referencelist"/>
        <w:rPr>
          <w:lang w:val="en-US"/>
        </w:rPr>
      </w:pPr>
      <w:bookmarkStart w:id="45" w:name="_Ref97283998"/>
      <w:bookmarkStart w:id="46" w:name="_Ref104903773"/>
      <w:r w:rsidRPr="0010538D">
        <w:rPr>
          <w:lang w:val="en-US"/>
        </w:rPr>
        <w:t xml:space="preserve">O. BOVATI, M. A. YILDIZ, Y. HASSAN </w:t>
      </w:r>
      <w:r>
        <w:rPr>
          <w:lang w:val="en-US"/>
        </w:rPr>
        <w:t>&amp;</w:t>
      </w:r>
      <w:r w:rsidRPr="0010538D">
        <w:rPr>
          <w:lang w:val="en-US"/>
        </w:rPr>
        <w:t xml:space="preserve"> R. VAGHETTO</w:t>
      </w:r>
      <w:r>
        <w:rPr>
          <w:lang w:val="en-US"/>
        </w:rPr>
        <w:t>;</w:t>
      </w:r>
      <w:r w:rsidR="00EF51AE" w:rsidRPr="0010538D">
        <w:rPr>
          <w:lang w:val="en-US"/>
        </w:rPr>
        <w:t xml:space="preserve"> “RANS simulations for transition and turbulent flow regimes in wire-wrapped rod bundles”</w:t>
      </w:r>
      <w:r>
        <w:rPr>
          <w:lang w:val="en-US"/>
        </w:rPr>
        <w:t>;</w:t>
      </w:r>
      <w:r w:rsidR="00EF51AE" w:rsidRPr="0010538D">
        <w:rPr>
          <w:lang w:val="en-US"/>
        </w:rPr>
        <w:t xml:space="preserve"> </w:t>
      </w:r>
      <w:r w:rsidR="00EF51AE" w:rsidRPr="0010538D">
        <w:rPr>
          <w:i/>
          <w:lang w:val="en-US"/>
        </w:rPr>
        <w:t>International Journal of Heat and Fluid Flow</w:t>
      </w:r>
      <w:r>
        <w:rPr>
          <w:lang w:val="en-US"/>
        </w:rPr>
        <w:t>;</w:t>
      </w:r>
      <w:r w:rsidR="00EF51AE" w:rsidRPr="0010538D">
        <w:rPr>
          <w:lang w:val="en-US"/>
        </w:rPr>
        <w:t xml:space="preserve"> </w:t>
      </w:r>
      <w:r w:rsidR="00EF51AE" w:rsidRPr="0010538D">
        <w:rPr>
          <w:b/>
          <w:lang w:val="en-US"/>
        </w:rPr>
        <w:t>90</w:t>
      </w:r>
      <w:r>
        <w:rPr>
          <w:lang w:val="en-US"/>
        </w:rPr>
        <w:t xml:space="preserve">; </w:t>
      </w:r>
      <w:r w:rsidR="00EF51AE" w:rsidRPr="0010538D">
        <w:rPr>
          <w:lang w:val="en-US"/>
        </w:rPr>
        <w:t>2021</w:t>
      </w:r>
      <w:bookmarkEnd w:id="45"/>
      <w:r>
        <w:rPr>
          <w:lang w:val="en-US"/>
        </w:rPr>
        <w:t>.</w:t>
      </w:r>
      <w:bookmarkEnd w:id="46"/>
    </w:p>
    <w:p w14:paraId="575E21CA" w14:textId="77777777" w:rsidR="00EF51AE" w:rsidRPr="0010538D" w:rsidRDefault="00EF51AE" w:rsidP="00EF51AE">
      <w:pPr>
        <w:pStyle w:val="Referencelist"/>
        <w:numPr>
          <w:ilvl w:val="0"/>
          <w:numId w:val="0"/>
        </w:numPr>
        <w:ind w:left="720" w:hanging="360"/>
        <w:rPr>
          <w:lang w:val="en-US"/>
        </w:rPr>
      </w:pPr>
    </w:p>
    <w:sectPr w:rsidR="00EF51AE" w:rsidRPr="0010538D" w:rsidSect="008D3F11">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06C91" w14:textId="77777777" w:rsidR="00544299" w:rsidRDefault="00544299">
      <w:r>
        <w:separator/>
      </w:r>
    </w:p>
  </w:endnote>
  <w:endnote w:type="continuationSeparator" w:id="0">
    <w:p w14:paraId="18781C11" w14:textId="77777777" w:rsidR="00544299" w:rsidRDefault="0054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6F1BE7AD" w:rsidR="00680B2B" w:rsidRDefault="00680B2B">
    <w:pPr>
      <w:pStyle w:val="zyxClassification1"/>
    </w:pPr>
    <w:r>
      <w:fldChar w:fldCharType="begin"/>
    </w:r>
    <w:r>
      <w:instrText xml:space="preserve"> DOCPROPERTY "IaeaClassification"  \* MERGEFORMAT </w:instrText>
    </w:r>
    <w:r>
      <w:fldChar w:fldCharType="end"/>
    </w:r>
  </w:p>
  <w:p w14:paraId="433FE0C7" w14:textId="6B56449D" w:rsidR="00680B2B" w:rsidRDefault="00680B2B">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12DC2CF2" w:rsidR="00680B2B" w:rsidRDefault="00680B2B">
    <w:pPr>
      <w:pStyle w:val="zyxClassification1"/>
    </w:pPr>
    <w:r>
      <w:fldChar w:fldCharType="begin"/>
    </w:r>
    <w:r>
      <w:instrText xml:space="preserve"> DOCPROPERTY "IaeaClassification"  \* MERGEFORMAT </w:instrText>
    </w:r>
    <w:r>
      <w:fldChar w:fldCharType="end"/>
    </w:r>
  </w:p>
  <w:p w14:paraId="433FE0C9" w14:textId="730C10EA" w:rsidR="00680B2B" w:rsidRPr="00037321" w:rsidRDefault="00680B2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80B2B" w14:paraId="433FE0D8" w14:textId="77777777">
      <w:trPr>
        <w:cantSplit/>
      </w:trPr>
      <w:tc>
        <w:tcPr>
          <w:tcW w:w="4644" w:type="dxa"/>
        </w:tcPr>
        <w:p w14:paraId="433FE0D4" w14:textId="421DE469" w:rsidR="00680B2B" w:rsidRDefault="00680B2B">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4822E9DE" w:rsidR="00680B2B" w:rsidRDefault="00680B2B">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8" w:name="DOC_bkmClassification2"/>
      <w:tc>
        <w:tcPr>
          <w:tcW w:w="5670" w:type="dxa"/>
          <w:tcMar>
            <w:right w:w="249" w:type="dxa"/>
          </w:tcMar>
        </w:tcPr>
        <w:p w14:paraId="433FE0D6" w14:textId="13AE44FE" w:rsidR="00680B2B" w:rsidRDefault="00680B2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8"/>
        <w:p w14:paraId="433FE0D7" w14:textId="3328A59C" w:rsidR="00680B2B" w:rsidRDefault="00680B2B">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9" w:name="DOC_bkmFileName"/>
  <w:p w14:paraId="433FE0D9" w14:textId="1C7296DD" w:rsidR="00680B2B" w:rsidRDefault="00680B2B">
    <w:r>
      <w:rPr>
        <w:sz w:val="16"/>
      </w:rPr>
      <w:fldChar w:fldCharType="begin"/>
    </w:r>
    <w:r>
      <w:rPr>
        <w:sz w:val="16"/>
      </w:rPr>
      <w:instrText xml:space="preserve"> FILENAME \* MERGEFORMAT </w:instrText>
    </w:r>
    <w:r>
      <w:rPr>
        <w:sz w:val="16"/>
      </w:rPr>
      <w:fldChar w:fldCharType="separate"/>
    </w:r>
    <w:r w:rsidR="00190B20">
      <w:rPr>
        <w:noProof/>
        <w:sz w:val="16"/>
      </w:rPr>
      <w:t>TH-TM_Bovati_revised.docx</w:t>
    </w:r>
    <w:r>
      <w:rPr>
        <w:sz w:val="16"/>
      </w:rPr>
      <w:fldChar w:fldCharType="end"/>
    </w:r>
    <w:bookmarkEnd w:id="4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AC3CF" w14:textId="77777777" w:rsidR="00544299" w:rsidRDefault="00544299">
      <w:r>
        <w:t>___________________________________________________________________________</w:t>
      </w:r>
    </w:p>
  </w:footnote>
  <w:footnote w:type="continuationSeparator" w:id="0">
    <w:p w14:paraId="3F37217C" w14:textId="77777777" w:rsidR="00544299" w:rsidRDefault="00544299">
      <w:r>
        <w:t>___________________________________________________________________________</w:t>
      </w:r>
    </w:p>
  </w:footnote>
  <w:footnote w:type="continuationNotice" w:id="1">
    <w:p w14:paraId="12AB0B20" w14:textId="77777777" w:rsidR="00544299" w:rsidRDefault="005442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3" w14:textId="38B19F51" w:rsidR="00680B2B" w:rsidRDefault="00680B2B" w:rsidP="005E2B5C">
    <w:pPr>
      <w:pStyle w:val="zyxClassification2"/>
      <w:jc w:val="left"/>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77401594" w:rsidR="00680B2B" w:rsidRPr="006E6930" w:rsidRDefault="00680B2B" w:rsidP="006E6930">
    <w:pPr>
      <w:pStyle w:val="Runninghead"/>
    </w:pPr>
    <w:r>
      <w:t>OCTAVIO BOVATI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80B2B" w14:paraId="433FE0CE" w14:textId="77777777">
      <w:trPr>
        <w:cantSplit/>
        <w:trHeight w:val="716"/>
      </w:trPr>
      <w:tc>
        <w:tcPr>
          <w:tcW w:w="979" w:type="dxa"/>
          <w:vMerge w:val="restart"/>
        </w:tcPr>
        <w:p w14:paraId="433FE0CA" w14:textId="77777777" w:rsidR="00680B2B" w:rsidRDefault="00680B2B">
          <w:pPr>
            <w:spacing w:before="180"/>
            <w:ind w:left="17"/>
          </w:pPr>
        </w:p>
      </w:tc>
      <w:tc>
        <w:tcPr>
          <w:tcW w:w="3638" w:type="dxa"/>
          <w:vAlign w:val="bottom"/>
        </w:tcPr>
        <w:p w14:paraId="433FE0CB" w14:textId="77777777" w:rsidR="00680B2B" w:rsidRDefault="00680B2B">
          <w:pPr>
            <w:spacing w:after="20"/>
          </w:pPr>
        </w:p>
      </w:tc>
      <w:bookmarkStart w:id="47" w:name="DOC_bkmClassification1"/>
      <w:tc>
        <w:tcPr>
          <w:tcW w:w="5702" w:type="dxa"/>
          <w:vMerge w:val="restart"/>
          <w:tcMar>
            <w:right w:w="193" w:type="dxa"/>
          </w:tcMar>
        </w:tcPr>
        <w:p w14:paraId="433FE0CC" w14:textId="4A738520" w:rsidR="00680B2B" w:rsidRDefault="00680B2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7"/>
        <w:p w14:paraId="433FE0CD" w14:textId="6B7F7574" w:rsidR="00680B2B" w:rsidRDefault="00680B2B">
          <w:pPr>
            <w:pStyle w:val="zyxConfid2Red"/>
          </w:pPr>
          <w:r>
            <w:fldChar w:fldCharType="begin"/>
          </w:r>
          <w:r>
            <w:instrText>DOCPROPERTY "IaeaClassification2"  \* MERGEFORMAT</w:instrText>
          </w:r>
          <w:r>
            <w:fldChar w:fldCharType="end"/>
          </w:r>
        </w:p>
      </w:tc>
    </w:tr>
    <w:tr w:rsidR="00680B2B" w14:paraId="433FE0D2" w14:textId="77777777">
      <w:trPr>
        <w:cantSplit/>
        <w:trHeight w:val="167"/>
      </w:trPr>
      <w:tc>
        <w:tcPr>
          <w:tcW w:w="979" w:type="dxa"/>
          <w:vMerge/>
        </w:tcPr>
        <w:p w14:paraId="433FE0CF" w14:textId="77777777" w:rsidR="00680B2B" w:rsidRDefault="00680B2B">
          <w:pPr>
            <w:spacing w:before="57"/>
          </w:pPr>
        </w:p>
      </w:tc>
      <w:tc>
        <w:tcPr>
          <w:tcW w:w="3638" w:type="dxa"/>
          <w:vAlign w:val="bottom"/>
        </w:tcPr>
        <w:p w14:paraId="433FE0D0" w14:textId="77777777" w:rsidR="00680B2B" w:rsidRDefault="00680B2B">
          <w:pPr>
            <w:pStyle w:val="Heading9"/>
            <w:spacing w:before="0" w:after="10"/>
          </w:pPr>
        </w:p>
      </w:tc>
      <w:tc>
        <w:tcPr>
          <w:tcW w:w="5702" w:type="dxa"/>
          <w:vMerge/>
          <w:vAlign w:val="bottom"/>
        </w:tcPr>
        <w:p w14:paraId="433FE0D1" w14:textId="77777777" w:rsidR="00680B2B" w:rsidRDefault="00680B2B">
          <w:pPr>
            <w:pStyle w:val="Heading9"/>
            <w:spacing w:before="0" w:after="10"/>
          </w:pPr>
        </w:p>
      </w:tc>
    </w:tr>
  </w:tbl>
  <w:p w14:paraId="433FE0D3" w14:textId="77777777" w:rsidR="00680B2B" w:rsidRDefault="00680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A514C46"/>
    <w:multiLevelType w:val="hybridMultilevel"/>
    <w:tmpl w:val="A10A8E06"/>
    <w:lvl w:ilvl="0" w:tplc="FA10F7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6"/>
  </w:num>
  <w:num w:numId="34">
    <w:abstractNumId w:val="1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CA0"/>
    <w:rsid w:val="000054D1"/>
    <w:rsid w:val="000229AB"/>
    <w:rsid w:val="0002569A"/>
    <w:rsid w:val="00026287"/>
    <w:rsid w:val="00037061"/>
    <w:rsid w:val="00037321"/>
    <w:rsid w:val="0005124A"/>
    <w:rsid w:val="000546CF"/>
    <w:rsid w:val="00066DCF"/>
    <w:rsid w:val="0007004C"/>
    <w:rsid w:val="0007009F"/>
    <w:rsid w:val="00084420"/>
    <w:rsid w:val="00092C10"/>
    <w:rsid w:val="00093A64"/>
    <w:rsid w:val="000A0299"/>
    <w:rsid w:val="000A2990"/>
    <w:rsid w:val="000C4332"/>
    <w:rsid w:val="000E6307"/>
    <w:rsid w:val="000F5827"/>
    <w:rsid w:val="000F7E94"/>
    <w:rsid w:val="00104559"/>
    <w:rsid w:val="001048FB"/>
    <w:rsid w:val="0010538D"/>
    <w:rsid w:val="001119D6"/>
    <w:rsid w:val="00113C93"/>
    <w:rsid w:val="001308F2"/>
    <w:rsid w:val="001313E8"/>
    <w:rsid w:val="00147D0F"/>
    <w:rsid w:val="00183BC4"/>
    <w:rsid w:val="00190B20"/>
    <w:rsid w:val="00192B81"/>
    <w:rsid w:val="00192F64"/>
    <w:rsid w:val="001C58F5"/>
    <w:rsid w:val="001D5CEE"/>
    <w:rsid w:val="001D6F0A"/>
    <w:rsid w:val="001E1EA5"/>
    <w:rsid w:val="001F5CB0"/>
    <w:rsid w:val="001F61A5"/>
    <w:rsid w:val="002071D9"/>
    <w:rsid w:val="0023113E"/>
    <w:rsid w:val="0024184E"/>
    <w:rsid w:val="00255C80"/>
    <w:rsid w:val="00256822"/>
    <w:rsid w:val="00260E66"/>
    <w:rsid w:val="0026525A"/>
    <w:rsid w:val="00274790"/>
    <w:rsid w:val="002812B7"/>
    <w:rsid w:val="00285755"/>
    <w:rsid w:val="002913DE"/>
    <w:rsid w:val="002A1F9C"/>
    <w:rsid w:val="002A3EAF"/>
    <w:rsid w:val="002B29C2"/>
    <w:rsid w:val="002C29DB"/>
    <w:rsid w:val="002C4208"/>
    <w:rsid w:val="002D03C7"/>
    <w:rsid w:val="002E0E4B"/>
    <w:rsid w:val="00332DF1"/>
    <w:rsid w:val="00336A07"/>
    <w:rsid w:val="003447A1"/>
    <w:rsid w:val="00352DE1"/>
    <w:rsid w:val="003728E6"/>
    <w:rsid w:val="003819C5"/>
    <w:rsid w:val="00381FE6"/>
    <w:rsid w:val="003830D8"/>
    <w:rsid w:val="0039546B"/>
    <w:rsid w:val="003A2506"/>
    <w:rsid w:val="003A7BDE"/>
    <w:rsid w:val="003B5E0E"/>
    <w:rsid w:val="003D255A"/>
    <w:rsid w:val="004021C8"/>
    <w:rsid w:val="00415E1B"/>
    <w:rsid w:val="00416949"/>
    <w:rsid w:val="004370D8"/>
    <w:rsid w:val="0044068A"/>
    <w:rsid w:val="00472C43"/>
    <w:rsid w:val="004742B9"/>
    <w:rsid w:val="00475C82"/>
    <w:rsid w:val="00483D99"/>
    <w:rsid w:val="004A33AA"/>
    <w:rsid w:val="004B00F0"/>
    <w:rsid w:val="004C35AB"/>
    <w:rsid w:val="004F1D5B"/>
    <w:rsid w:val="004F48C7"/>
    <w:rsid w:val="00537496"/>
    <w:rsid w:val="00544299"/>
    <w:rsid w:val="00544ED3"/>
    <w:rsid w:val="00581CE8"/>
    <w:rsid w:val="0058477B"/>
    <w:rsid w:val="0058654F"/>
    <w:rsid w:val="00586B8E"/>
    <w:rsid w:val="00596ACA"/>
    <w:rsid w:val="005C6AC9"/>
    <w:rsid w:val="005D2947"/>
    <w:rsid w:val="005E2B5C"/>
    <w:rsid w:val="005E39BC"/>
    <w:rsid w:val="005F00A0"/>
    <w:rsid w:val="00601443"/>
    <w:rsid w:val="00647F33"/>
    <w:rsid w:val="0065762C"/>
    <w:rsid w:val="00662532"/>
    <w:rsid w:val="00680B2B"/>
    <w:rsid w:val="00680B61"/>
    <w:rsid w:val="006A6D9F"/>
    <w:rsid w:val="006B2274"/>
    <w:rsid w:val="006E6930"/>
    <w:rsid w:val="00717C6F"/>
    <w:rsid w:val="00740524"/>
    <w:rsid w:val="007442B8"/>
    <w:rsid w:val="007445DA"/>
    <w:rsid w:val="00754CA8"/>
    <w:rsid w:val="007607E5"/>
    <w:rsid w:val="0077463D"/>
    <w:rsid w:val="00780282"/>
    <w:rsid w:val="0079723A"/>
    <w:rsid w:val="007B4FD1"/>
    <w:rsid w:val="007C671D"/>
    <w:rsid w:val="00802381"/>
    <w:rsid w:val="008103E3"/>
    <w:rsid w:val="008213FE"/>
    <w:rsid w:val="0083096A"/>
    <w:rsid w:val="00835776"/>
    <w:rsid w:val="008430C9"/>
    <w:rsid w:val="0086759F"/>
    <w:rsid w:val="00871F40"/>
    <w:rsid w:val="00883848"/>
    <w:rsid w:val="00897ED5"/>
    <w:rsid w:val="008B13EB"/>
    <w:rsid w:val="008B572E"/>
    <w:rsid w:val="008B6BB9"/>
    <w:rsid w:val="008D3F11"/>
    <w:rsid w:val="00911023"/>
    <w:rsid w:val="00911543"/>
    <w:rsid w:val="00917871"/>
    <w:rsid w:val="00921F9F"/>
    <w:rsid w:val="00946F09"/>
    <w:rsid w:val="009519C9"/>
    <w:rsid w:val="0095573A"/>
    <w:rsid w:val="009B33CF"/>
    <w:rsid w:val="009B7194"/>
    <w:rsid w:val="009D0B86"/>
    <w:rsid w:val="009D701A"/>
    <w:rsid w:val="009E0D5B"/>
    <w:rsid w:val="009E1558"/>
    <w:rsid w:val="009E575A"/>
    <w:rsid w:val="009E6914"/>
    <w:rsid w:val="009E7741"/>
    <w:rsid w:val="00A21A16"/>
    <w:rsid w:val="00A233D1"/>
    <w:rsid w:val="00A23A18"/>
    <w:rsid w:val="00A30C4E"/>
    <w:rsid w:val="00A37DCA"/>
    <w:rsid w:val="00A42898"/>
    <w:rsid w:val="00A4401C"/>
    <w:rsid w:val="00A57919"/>
    <w:rsid w:val="00A72A78"/>
    <w:rsid w:val="00A916C4"/>
    <w:rsid w:val="00AB6ACE"/>
    <w:rsid w:val="00AC5A3A"/>
    <w:rsid w:val="00AC7E51"/>
    <w:rsid w:val="00AD5631"/>
    <w:rsid w:val="00B336E0"/>
    <w:rsid w:val="00B407D9"/>
    <w:rsid w:val="00B604BE"/>
    <w:rsid w:val="00B70141"/>
    <w:rsid w:val="00B82FA5"/>
    <w:rsid w:val="00B86B82"/>
    <w:rsid w:val="00B87742"/>
    <w:rsid w:val="00BA5D1D"/>
    <w:rsid w:val="00BD1400"/>
    <w:rsid w:val="00BD605C"/>
    <w:rsid w:val="00BE2A76"/>
    <w:rsid w:val="00BE4E8E"/>
    <w:rsid w:val="00C053C1"/>
    <w:rsid w:val="00C20431"/>
    <w:rsid w:val="00C23E3C"/>
    <w:rsid w:val="00C36585"/>
    <w:rsid w:val="00C53032"/>
    <w:rsid w:val="00C65E60"/>
    <w:rsid w:val="00C939A2"/>
    <w:rsid w:val="00CA0102"/>
    <w:rsid w:val="00CA460B"/>
    <w:rsid w:val="00CE5A52"/>
    <w:rsid w:val="00CF7AF3"/>
    <w:rsid w:val="00D26ADA"/>
    <w:rsid w:val="00D3236D"/>
    <w:rsid w:val="00D35A78"/>
    <w:rsid w:val="00D36D8D"/>
    <w:rsid w:val="00D555A1"/>
    <w:rsid w:val="00D64DC2"/>
    <w:rsid w:val="00D76F0A"/>
    <w:rsid w:val="00DA46CA"/>
    <w:rsid w:val="00DA7E39"/>
    <w:rsid w:val="00DB3E1F"/>
    <w:rsid w:val="00DC1AD3"/>
    <w:rsid w:val="00DC3B35"/>
    <w:rsid w:val="00DF21EB"/>
    <w:rsid w:val="00E05551"/>
    <w:rsid w:val="00E113B5"/>
    <w:rsid w:val="00E15606"/>
    <w:rsid w:val="00E20E70"/>
    <w:rsid w:val="00E25B68"/>
    <w:rsid w:val="00E309BE"/>
    <w:rsid w:val="00E31985"/>
    <w:rsid w:val="00E37E4F"/>
    <w:rsid w:val="00E4439E"/>
    <w:rsid w:val="00E52153"/>
    <w:rsid w:val="00E56A41"/>
    <w:rsid w:val="00E57D85"/>
    <w:rsid w:val="00E84003"/>
    <w:rsid w:val="00E93F92"/>
    <w:rsid w:val="00EB34B7"/>
    <w:rsid w:val="00EC10FC"/>
    <w:rsid w:val="00ED080F"/>
    <w:rsid w:val="00ED0A99"/>
    <w:rsid w:val="00EE0041"/>
    <w:rsid w:val="00EE29B9"/>
    <w:rsid w:val="00EF0812"/>
    <w:rsid w:val="00EF51AE"/>
    <w:rsid w:val="00F004EE"/>
    <w:rsid w:val="00F37A29"/>
    <w:rsid w:val="00F42E23"/>
    <w:rsid w:val="00F45EEE"/>
    <w:rsid w:val="00F51E9C"/>
    <w:rsid w:val="00F523CA"/>
    <w:rsid w:val="00F5328E"/>
    <w:rsid w:val="00F533EE"/>
    <w:rsid w:val="00F63382"/>
    <w:rsid w:val="00F74954"/>
    <w:rsid w:val="00F74A9D"/>
    <w:rsid w:val="00F753D8"/>
    <w:rsid w:val="00F81323"/>
    <w:rsid w:val="00F86F81"/>
    <w:rsid w:val="00FB5BED"/>
    <w:rsid w:val="00FD676C"/>
    <w:rsid w:val="00FF386F"/>
    <w:rsid w:val="00FF4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3FE039"/>
  <w14:defaultImageDpi w14:val="32767"/>
  <w15:docId w15:val="{2060A57D-6FC4-442E-809E-6D842C81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680B61"/>
    <w:pPr>
      <w:tabs>
        <w:tab w:val="left" w:pos="709"/>
      </w:tabs>
      <w:overflowPunct/>
      <w:autoSpaceDE/>
      <w:autoSpaceDN/>
      <w:adjustRightInd/>
      <w:spacing w:after="120"/>
      <w:jc w:val="center"/>
      <w:textAlignment w:val="auto"/>
    </w:pPr>
    <w:rPr>
      <w:rFonts w:eastAsiaTheme="minorEastAsia"/>
      <w:i/>
      <w:iCs/>
      <w:sz w:val="18"/>
      <w:szCs w:val="18"/>
    </w:rPr>
  </w:style>
  <w:style w:type="character" w:customStyle="1" w:styleId="FIG-LONGChar">
    <w:name w:val="FIG-LONG Char"/>
    <w:basedOn w:val="DefaultParagraphFont"/>
    <w:link w:val="FIG-LONG"/>
    <w:rsid w:val="00680B61"/>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PlaceholderText">
    <w:name w:val="Placeholder Text"/>
    <w:basedOn w:val="DefaultParagraphFont"/>
    <w:uiPriority w:val="99"/>
    <w:semiHidden/>
    <w:locked/>
    <w:rsid w:val="007442B8"/>
    <w:rPr>
      <w:color w:val="808080"/>
    </w:rPr>
  </w:style>
  <w:style w:type="character" w:styleId="Hyperlink">
    <w:name w:val="Hyperlink"/>
    <w:basedOn w:val="DefaultParagraphFont"/>
    <w:uiPriority w:val="49"/>
    <w:unhideWhenUsed/>
    <w:locked/>
    <w:rsid w:val="00FD676C"/>
    <w:rPr>
      <w:color w:val="0000FF" w:themeColor="hyperlink"/>
      <w:u w:val="single"/>
    </w:rPr>
  </w:style>
  <w:style w:type="character" w:styleId="UnresolvedMention">
    <w:name w:val="Unresolved Mention"/>
    <w:basedOn w:val="DefaultParagraphFont"/>
    <w:uiPriority w:val="99"/>
    <w:semiHidden/>
    <w:unhideWhenUsed/>
    <w:rsid w:val="00FD676C"/>
    <w:rPr>
      <w:color w:val="605E5C"/>
      <w:shd w:val="clear" w:color="auto" w:fill="E1DFDD"/>
    </w:rPr>
  </w:style>
  <w:style w:type="paragraph" w:styleId="ListParagraph">
    <w:name w:val="List Paragraph"/>
    <w:basedOn w:val="Normal"/>
    <w:uiPriority w:val="34"/>
    <w:qFormat/>
    <w:locked/>
    <w:rsid w:val="00E93F92"/>
    <w:pPr>
      <w:widowControl w:val="0"/>
      <w:overflowPunct/>
      <w:adjustRightInd/>
      <w:ind w:left="840" w:hanging="361"/>
      <w:jc w:val="both"/>
      <w:textAlignment w:val="auto"/>
    </w:pPr>
    <w:rPr>
      <w:szCs w:val="22"/>
      <w:lang w:val="en-US"/>
    </w:rPr>
  </w:style>
  <w:style w:type="character" w:styleId="FollowedHyperlink">
    <w:name w:val="FollowedHyperlink"/>
    <w:basedOn w:val="DefaultParagraphFont"/>
    <w:uiPriority w:val="49"/>
    <w:semiHidden/>
    <w:unhideWhenUsed/>
    <w:locked/>
    <w:rsid w:val="00DC1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019228">
      <w:bodyDiv w:val="1"/>
      <w:marLeft w:val="0"/>
      <w:marRight w:val="0"/>
      <w:marTop w:val="0"/>
      <w:marBottom w:val="0"/>
      <w:divBdr>
        <w:top w:val="none" w:sz="0" w:space="0" w:color="auto"/>
        <w:left w:val="none" w:sz="0" w:space="0" w:color="auto"/>
        <w:bottom w:val="none" w:sz="0" w:space="0" w:color="auto"/>
        <w:right w:val="none" w:sz="0" w:space="0" w:color="auto"/>
      </w:divBdr>
      <w:divsChild>
        <w:div w:id="1584292569">
          <w:marLeft w:val="0"/>
          <w:marRight w:val="0"/>
          <w:marTop w:val="240"/>
          <w:marBottom w:val="0"/>
          <w:divBdr>
            <w:top w:val="none" w:sz="0" w:space="0" w:color="auto"/>
            <w:left w:val="none" w:sz="0" w:space="0" w:color="auto"/>
            <w:bottom w:val="none" w:sz="0" w:space="0" w:color="auto"/>
            <w:right w:val="none" w:sz="0" w:space="0" w:color="auto"/>
          </w:divBdr>
        </w:div>
      </w:divsChild>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hrlab.tamu.edu/wire-wrapped-fuel-assemb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529B82-5173-4952-A091-18AE82CA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1521</TotalTime>
  <Pages>12</Pages>
  <Words>4995</Words>
  <Characters>28473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Bovati Davalos, Octavio Fernando</cp:lastModifiedBy>
  <cp:revision>36</cp:revision>
  <cp:lastPrinted>2022-11-29T22:03:00Z</cp:lastPrinted>
  <dcterms:created xsi:type="dcterms:W3CDTF">2021-06-01T16:59:00Z</dcterms:created>
  <dcterms:modified xsi:type="dcterms:W3CDTF">2022-11-29T22:03:00Z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