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F1E7" w14:textId="26A5BCD4" w:rsidR="00801E01" w:rsidRPr="00355BB3" w:rsidRDefault="00801E01" w:rsidP="00801E01">
      <w:pPr>
        <w:spacing w:after="0" w:line="240" w:lineRule="auto"/>
        <w:rPr>
          <w:rFonts w:asciiTheme="majorBidi" w:hAnsiTheme="majorBidi" w:cstheme="majorBidi"/>
          <w:b/>
          <w:bCs/>
          <w:iCs/>
          <w:sz w:val="28"/>
          <w:lang w:val="en-GB"/>
        </w:rPr>
      </w:pPr>
      <w:r w:rsidRPr="00355BB3">
        <w:rPr>
          <w:rFonts w:asciiTheme="majorBidi" w:hAnsiTheme="majorBidi" w:cstheme="majorBidi"/>
          <w:b/>
          <w:bCs/>
          <w:iCs/>
          <w:sz w:val="28"/>
          <w:lang w:val="en-GB"/>
        </w:rPr>
        <w:t>MECHANISM-BASED COMBINATION THERAPY IN CANCER: STUDIES ON CANCER CELLS</w:t>
      </w:r>
    </w:p>
    <w:p w14:paraId="0798963D" w14:textId="77777777" w:rsidR="00463A45" w:rsidRPr="00355BB3" w:rsidRDefault="00463A45" w:rsidP="00152AF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2B784E36" w14:textId="47B79286" w:rsidR="00152AF7" w:rsidRPr="00355BB3" w:rsidRDefault="00463A45" w:rsidP="00152AF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S. </w:t>
      </w:r>
      <w:proofErr w:type="spellStart"/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>Venkatesan</w:t>
      </w:r>
      <w:r w:rsidRPr="00355BB3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a</w:t>
      </w:r>
      <w:proofErr w:type="spellEnd"/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D.Z.X. </w:t>
      </w:r>
      <w:proofErr w:type="spellStart"/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>Teo</w:t>
      </w:r>
      <w:r w:rsidRPr="00355BB3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a</w:t>
      </w:r>
      <w:proofErr w:type="spellEnd"/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S. </w:t>
      </w:r>
      <w:proofErr w:type="spellStart"/>
      <w:proofErr w:type="gramStart"/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>Sethu</w:t>
      </w:r>
      <w:r w:rsidRPr="00355BB3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a,b</w:t>
      </w:r>
      <w:proofErr w:type="spellEnd"/>
      <w:proofErr w:type="gramEnd"/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  <w:r w:rsidRPr="00355BB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M. P. </w:t>
      </w:r>
      <w:proofErr w:type="spellStart"/>
      <w:r w:rsidRPr="00355BB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Hande</w:t>
      </w:r>
      <w:r w:rsidRPr="00355BB3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a</w:t>
      </w:r>
      <w:proofErr w:type="spellEnd"/>
      <w:r w:rsidR="003E539F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687CEBEE" w14:textId="77777777" w:rsidR="00463A45" w:rsidRPr="00355BB3" w:rsidRDefault="00463A45" w:rsidP="00152AF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64ECF6FE" w14:textId="77777777" w:rsidR="00463A45" w:rsidRPr="00355BB3" w:rsidRDefault="005F4DB6" w:rsidP="0066000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355BB3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a</w:t>
      </w:r>
      <w:r w:rsidR="00463A45" w:rsidRPr="00355BB3">
        <w:rPr>
          <w:rFonts w:asciiTheme="majorBidi" w:hAnsiTheme="majorBidi" w:cstheme="majorBidi"/>
          <w:sz w:val="24"/>
          <w:szCs w:val="24"/>
          <w:lang w:val="en-GB"/>
        </w:rPr>
        <w:t>Department</w:t>
      </w:r>
      <w:proofErr w:type="spellEnd"/>
      <w:r w:rsidR="00463A45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Physiology, Yong Loo Lin School of Medicine, National University of Singapore, MD9, 2 Medical Drive, Singapore 117593</w:t>
      </w:r>
    </w:p>
    <w:p w14:paraId="691896F4" w14:textId="0428E181" w:rsidR="00067515" w:rsidRPr="00355BB3" w:rsidRDefault="00067515" w:rsidP="00067515">
      <w:p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355BB3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b</w:t>
      </w:r>
      <w:r w:rsidR="00463A45" w:rsidRPr="00355BB3">
        <w:rPr>
          <w:rFonts w:asciiTheme="majorBidi" w:hAnsiTheme="majorBidi" w:cstheme="majorBidi"/>
          <w:sz w:val="24"/>
          <w:szCs w:val="24"/>
          <w:lang w:val="en-GB"/>
        </w:rPr>
        <w:t>GROW</w:t>
      </w:r>
      <w:proofErr w:type="spellEnd"/>
      <w:r w:rsidR="00463A45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Research Laboratory, Narayana </w:t>
      </w:r>
      <w:proofErr w:type="spellStart"/>
      <w:r w:rsidR="00463A45" w:rsidRPr="00355BB3">
        <w:rPr>
          <w:rFonts w:asciiTheme="majorBidi" w:hAnsiTheme="majorBidi" w:cstheme="majorBidi"/>
          <w:sz w:val="24"/>
          <w:szCs w:val="24"/>
          <w:lang w:val="en-GB"/>
        </w:rPr>
        <w:t>Nethralaya</w:t>
      </w:r>
      <w:proofErr w:type="spellEnd"/>
      <w:r w:rsidR="00463A45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Foundation, Bangalore </w:t>
      </w:r>
      <w:r w:rsidR="00D071B1" w:rsidRPr="00355BB3">
        <w:rPr>
          <w:rFonts w:asciiTheme="majorBidi" w:hAnsiTheme="majorBidi" w:cstheme="majorBidi"/>
          <w:sz w:val="24"/>
          <w:szCs w:val="24"/>
          <w:lang w:val="en-GB"/>
        </w:rPr>
        <w:t xml:space="preserve">560 099 </w:t>
      </w:r>
      <w:r w:rsidR="00463A45" w:rsidRPr="00355BB3">
        <w:rPr>
          <w:rFonts w:asciiTheme="majorBidi" w:hAnsiTheme="majorBidi" w:cstheme="majorBidi"/>
          <w:sz w:val="24"/>
          <w:szCs w:val="24"/>
          <w:lang w:val="en-GB"/>
        </w:rPr>
        <w:t xml:space="preserve">India </w:t>
      </w:r>
    </w:p>
    <w:p w14:paraId="4A7E5801" w14:textId="4C3E88F3" w:rsidR="00463A45" w:rsidRPr="00355BB3" w:rsidRDefault="00067515" w:rsidP="00067515">
      <w:p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Email address of Corresponding Author(s): </w:t>
      </w:r>
      <w:hyperlink r:id="rId11" w:history="1">
        <w:r w:rsidR="00463A45" w:rsidRPr="00355BB3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phsmph@nus.edu.sg</w:t>
        </w:r>
      </w:hyperlink>
    </w:p>
    <w:p w14:paraId="6F44F946" w14:textId="42D8E4C7" w:rsidR="00152AF7" w:rsidRPr="00355BB3" w:rsidRDefault="00067515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>BACKGROUND</w:t>
      </w:r>
      <w:r w:rsidR="00507E87"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AND OBJECTIVE</w:t>
      </w:r>
    </w:p>
    <w:p w14:paraId="1F8FAE57" w14:textId="2F796AA7" w:rsidR="00071BF5" w:rsidRPr="00355BB3" w:rsidRDefault="00801E01" w:rsidP="00D071B1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Telomeres are DNA repeats at the ends of chromosomes that protect genome integrity along with specialized proteins that bind telomeres. Telomeres shorten with every cell division and a specialized enzyme telomerase can counteract it by adding telomeric repeats. </w:t>
      </w:r>
      <w:r w:rsidR="0018657A" w:rsidRPr="00355BB3">
        <w:rPr>
          <w:rFonts w:asciiTheme="majorBidi" w:hAnsiTheme="majorBidi" w:cstheme="majorBidi"/>
          <w:sz w:val="24"/>
          <w:szCs w:val="24"/>
          <w:lang w:val="en-GB"/>
        </w:rPr>
        <w:t xml:space="preserve">In fact, telomerase activity, silenced in terminally differentiated somatic cells, is reactivated in cancers and there is a striking correlation between telomerase activity and cancer progression [1]. </w:t>
      </w:r>
      <w:r w:rsidR="00403F3A" w:rsidRPr="00355BB3">
        <w:rPr>
          <w:rFonts w:asciiTheme="majorBidi" w:hAnsiTheme="majorBidi" w:cstheme="majorBidi"/>
          <w:sz w:val="24"/>
          <w:szCs w:val="24"/>
          <w:lang w:val="en-GB"/>
        </w:rPr>
        <w:t>Because cancer cells have shorter telomeres than normal cells, e</w:t>
      </w:r>
      <w:r w:rsidR="00D30B61" w:rsidRPr="00355BB3">
        <w:rPr>
          <w:rFonts w:asciiTheme="majorBidi" w:hAnsiTheme="majorBidi" w:cstheme="majorBidi"/>
          <w:sz w:val="24"/>
          <w:szCs w:val="24"/>
          <w:lang w:val="en-GB"/>
        </w:rPr>
        <w:t>xploring telomere-targeted therapeutics has the promise of treating not just one type but most types of cancer</w:t>
      </w:r>
      <w:r w:rsidR="00403F3A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[2]</w:t>
      </w:r>
      <w:r w:rsidR="00D30B61" w:rsidRPr="00355BB3">
        <w:rPr>
          <w:rFonts w:asciiTheme="majorBidi" w:hAnsiTheme="majorBidi" w:cstheme="majorBidi"/>
          <w:sz w:val="24"/>
          <w:szCs w:val="24"/>
          <w:lang w:val="en-GB"/>
        </w:rPr>
        <w:t>. The objective of our study was to characteri</w:t>
      </w:r>
      <w:r w:rsidR="00820096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D30B61" w:rsidRPr="00355BB3">
        <w:rPr>
          <w:rFonts w:asciiTheme="majorBidi" w:hAnsiTheme="majorBidi" w:cstheme="majorBidi"/>
          <w:sz w:val="24"/>
          <w:szCs w:val="24"/>
          <w:lang w:val="en-GB"/>
        </w:rPr>
        <w:t xml:space="preserve">e a potential telomere-targeting drug, to identify combinatorial strategies that would sensitize cancer cells to the drug, and lastly, to uncover the underlying mechanism </w:t>
      </w:r>
      <w:r w:rsidR="001D164D" w:rsidRPr="00355BB3">
        <w:rPr>
          <w:rFonts w:asciiTheme="majorBidi" w:hAnsiTheme="majorBidi" w:cstheme="majorBidi"/>
          <w:sz w:val="24"/>
          <w:szCs w:val="24"/>
          <w:lang w:val="en-GB"/>
        </w:rPr>
        <w:t>of action</w:t>
      </w:r>
      <w:r w:rsidR="00D30B61" w:rsidRPr="00355BB3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7DAB6B5F" w14:textId="619C24D3" w:rsidR="00152AF7" w:rsidRPr="00355BB3" w:rsidRDefault="00856BA6" w:rsidP="00071BF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>METHOD</w:t>
      </w:r>
      <w:r w:rsidR="00152AF7"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</w:p>
    <w:p w14:paraId="3D66AF6E" w14:textId="7287DBE1" w:rsidR="008235AD" w:rsidRPr="00355BB3" w:rsidRDefault="001D164D" w:rsidP="00D071B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We used established human cancer cell lines as model of study, to rapidly test promise of the drug </w:t>
      </w:r>
      <w:r w:rsidR="00355BB3" w:rsidRPr="00355BB3">
        <w:rPr>
          <w:rFonts w:asciiTheme="majorBidi" w:hAnsiTheme="majorBidi" w:cstheme="majorBidi"/>
          <w:sz w:val="24"/>
          <w:szCs w:val="24"/>
          <w:lang w:val="en-GB"/>
        </w:rPr>
        <w:t>and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to find effective combination treatments. The cell </w:t>
      </w:r>
      <w:r w:rsidR="00355BB3" w:rsidRPr="00355BB3">
        <w:rPr>
          <w:rFonts w:asciiTheme="majorBidi" w:hAnsiTheme="majorBidi" w:cstheme="majorBidi"/>
          <w:sz w:val="24"/>
          <w:szCs w:val="24"/>
          <w:lang w:val="en-GB"/>
        </w:rPr>
        <w:t>types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were KNS60, A172 (glioblastoma multiforme) and ONS76 (medulloblastoma). The telomere-targeting drug in study was TMPyP4, a porphyrin</w:t>
      </w:r>
      <w:r w:rsidR="00FF355A" w:rsidRPr="00355BB3">
        <w:rPr>
          <w:rFonts w:asciiTheme="majorBidi" w:hAnsiTheme="majorBidi" w:cstheme="majorBidi"/>
          <w:sz w:val="24"/>
          <w:szCs w:val="24"/>
          <w:lang w:val="en-GB"/>
        </w:rPr>
        <w:t>, that recogni</w:t>
      </w:r>
      <w:r w:rsidR="00355BB3" w:rsidRPr="00355BB3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FF355A" w:rsidRPr="00355BB3">
        <w:rPr>
          <w:rFonts w:asciiTheme="majorBidi" w:hAnsiTheme="majorBidi" w:cstheme="majorBidi"/>
          <w:sz w:val="24"/>
          <w:szCs w:val="24"/>
          <w:lang w:val="en-GB"/>
        </w:rPr>
        <w:t>es and binds G-quadruplex forming regions with high specificity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>. The combination strateg</w:t>
      </w:r>
      <w:r w:rsidR="00FF355A" w:rsidRPr="00355BB3">
        <w:rPr>
          <w:rFonts w:asciiTheme="majorBidi" w:hAnsiTheme="majorBidi" w:cstheme="majorBidi"/>
          <w:sz w:val="24"/>
          <w:szCs w:val="24"/>
          <w:lang w:val="en-GB"/>
        </w:rPr>
        <w:t>y we used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w</w:t>
      </w:r>
      <w:r w:rsidR="00FF355A" w:rsidRPr="00355BB3">
        <w:rPr>
          <w:rFonts w:asciiTheme="majorBidi" w:hAnsiTheme="majorBidi" w:cstheme="majorBidi"/>
          <w:sz w:val="24"/>
          <w:szCs w:val="24"/>
          <w:lang w:val="en-GB"/>
        </w:rPr>
        <w:t>as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C4871" w:rsidRPr="00355BB3">
        <w:rPr>
          <w:rFonts w:asciiTheme="majorBidi" w:hAnsiTheme="majorBidi" w:cstheme="majorBidi"/>
          <w:sz w:val="24"/>
          <w:szCs w:val="24"/>
          <w:lang w:val="en-GB"/>
        </w:rPr>
        <w:t>γ-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radiation (4 </w:t>
      </w:r>
      <w:proofErr w:type="spellStart"/>
      <w:r w:rsidRPr="00355BB3">
        <w:rPr>
          <w:rFonts w:asciiTheme="majorBidi" w:hAnsiTheme="majorBidi" w:cstheme="majorBidi"/>
          <w:sz w:val="24"/>
          <w:szCs w:val="24"/>
          <w:lang w:val="en-GB"/>
        </w:rPr>
        <w:t>Gy</w:t>
      </w:r>
      <w:proofErr w:type="spellEnd"/>
      <w:r w:rsidRPr="00355BB3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FF355A" w:rsidRPr="00355BB3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200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235AD" w:rsidRPr="00355BB3">
        <w:rPr>
          <w:rFonts w:asciiTheme="majorBidi" w:hAnsiTheme="majorBidi" w:cstheme="majorBidi"/>
          <w:sz w:val="24"/>
          <w:szCs w:val="24"/>
          <w:lang w:val="en-GB"/>
        </w:rPr>
        <w:t xml:space="preserve">We assessed telomerase activity using the Telomeric Repeat Amplification Protocol; levels of telomerase and telomere-associated proteins using western blotting. We measured DNA damage by </w:t>
      </w:r>
      <w:r w:rsidR="00475548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8235AD" w:rsidRPr="00355BB3">
        <w:rPr>
          <w:rFonts w:asciiTheme="majorBidi" w:hAnsiTheme="majorBidi" w:cstheme="majorBidi"/>
          <w:sz w:val="24"/>
          <w:szCs w:val="24"/>
          <w:lang w:val="en-GB"/>
        </w:rPr>
        <w:t xml:space="preserve">ingle cell gel electrophoresis (Comet assay) and chromosome and telomere aberrations using Peptide-Nucleic Acid FISH of metaphase chromosome spreads. We used MTT assay and Cell </w:t>
      </w:r>
      <w:proofErr w:type="spellStart"/>
      <w:r w:rsidR="008235AD" w:rsidRPr="00355BB3">
        <w:rPr>
          <w:rFonts w:asciiTheme="majorBidi" w:hAnsiTheme="majorBidi" w:cstheme="majorBidi"/>
          <w:sz w:val="24"/>
          <w:szCs w:val="24"/>
          <w:lang w:val="en-GB"/>
        </w:rPr>
        <w:t>Titer</w:t>
      </w:r>
      <w:proofErr w:type="spellEnd"/>
      <w:r w:rsidR="008235AD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Glo to assess cell viability.</w:t>
      </w:r>
    </w:p>
    <w:p w14:paraId="30DA6807" w14:textId="2A96FEB7" w:rsidR="00152AF7" w:rsidRPr="00355BB3" w:rsidRDefault="00152AF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>RESULTS</w:t>
      </w:r>
      <w:r w:rsidR="00507E87"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AND DISCUSSION</w:t>
      </w:r>
    </w:p>
    <w:p w14:paraId="6007B7F0" w14:textId="0440D042" w:rsidR="00A854F2" w:rsidRPr="00355BB3" w:rsidRDefault="0053109F" w:rsidP="00D071B1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sz w:val="24"/>
          <w:szCs w:val="24"/>
          <w:lang w:val="en-GB"/>
        </w:rPr>
        <w:t>At an LC50 dose of 100 µM for 48 hours, TMPyP4 inhibited telomerase activity significantly in the cancer cells</w:t>
      </w:r>
      <w:r w:rsidR="006A3AA4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accompanied by a significant reduction in the levels of the catalytic protein constituting telomerase, hTERT. In addition, TMPyP4 also reduced the level of c-MYC, an important oncogene, and a master transcriptional regulator. </w:t>
      </w:r>
      <w:r w:rsidR="00FF355A" w:rsidRPr="00355BB3">
        <w:rPr>
          <w:rFonts w:asciiTheme="majorBidi" w:hAnsiTheme="majorBidi" w:cstheme="majorBidi"/>
          <w:sz w:val="24"/>
          <w:szCs w:val="24"/>
          <w:lang w:val="en-GB"/>
        </w:rPr>
        <w:t xml:space="preserve">C-MYC is known to have a G-quadruplex forming region in its promoter, so TMPyP4 could be binding there and blocking its transcription. </w:t>
      </w:r>
      <w:r w:rsidR="006A3AA4" w:rsidRPr="00355BB3">
        <w:rPr>
          <w:rFonts w:asciiTheme="majorBidi" w:hAnsiTheme="majorBidi" w:cstheme="majorBidi"/>
          <w:sz w:val="24"/>
          <w:szCs w:val="24"/>
          <w:lang w:val="en-GB"/>
        </w:rPr>
        <w:t xml:space="preserve">TMPyP4 also caused significant DNA damage, read out by damaged DNA tails via electrophoresis, </w:t>
      </w:r>
      <w:r w:rsidR="00475548" w:rsidRPr="00355BB3">
        <w:rPr>
          <w:rFonts w:asciiTheme="majorBidi" w:hAnsiTheme="majorBidi" w:cstheme="majorBidi"/>
          <w:sz w:val="24"/>
          <w:szCs w:val="24"/>
          <w:lang w:val="en-GB"/>
        </w:rPr>
        <w:t>and</w:t>
      </w:r>
      <w:r w:rsidR="006A3AA4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activation of DNA repair sensors like ATM kinase.</w:t>
      </w:r>
      <w:r w:rsidR="0018657A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37AC47E6" w14:textId="3C2725A1" w:rsidR="007C0F54" w:rsidRPr="00355BB3" w:rsidRDefault="009A48F7" w:rsidP="00D071B1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3323EC6" wp14:editId="66248DFC">
            <wp:simplePos x="0" y="0"/>
            <wp:positionH relativeFrom="margin">
              <wp:align>left</wp:align>
            </wp:positionH>
            <wp:positionV relativeFrom="paragraph">
              <wp:posOffset>838200</wp:posOffset>
            </wp:positionV>
            <wp:extent cx="3228975" cy="2238375"/>
            <wp:effectExtent l="0" t="0" r="0" b="0"/>
            <wp:wrapTight wrapText="bothSides">
              <wp:wrapPolygon edited="0">
                <wp:start x="7901" y="368"/>
                <wp:lineTo x="2294" y="2022"/>
                <wp:lineTo x="765" y="2757"/>
                <wp:lineTo x="892" y="13420"/>
                <wp:lineTo x="3313" y="15442"/>
                <wp:lineTo x="4333" y="15442"/>
                <wp:lineTo x="4333" y="17648"/>
                <wp:lineTo x="5097" y="18383"/>
                <wp:lineTo x="7391" y="18383"/>
                <wp:lineTo x="6117" y="19670"/>
                <wp:lineTo x="5862" y="20589"/>
                <wp:lineTo x="6244" y="21324"/>
                <wp:lineTo x="15419" y="21324"/>
                <wp:lineTo x="17204" y="18383"/>
                <wp:lineTo x="19497" y="15442"/>
                <wp:lineTo x="20135" y="12500"/>
                <wp:lineTo x="20007" y="2390"/>
                <wp:lineTo x="19370" y="368"/>
                <wp:lineTo x="7901" y="368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8B17E0F-0D64-49A4-BCE0-87D59FCB69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A4" w:rsidRPr="00355BB3">
        <w:rPr>
          <w:rFonts w:asciiTheme="majorBidi" w:hAnsiTheme="majorBidi" w:cstheme="majorBidi"/>
          <w:sz w:val="24"/>
          <w:szCs w:val="24"/>
          <w:lang w:val="en-GB"/>
        </w:rPr>
        <w:t>While it was clear that TMPyP4 mounted a comprehensive anti-cancer effect</w:t>
      </w:r>
      <w:r w:rsidR="00A854F2" w:rsidRPr="00355BB3">
        <w:rPr>
          <w:rFonts w:asciiTheme="majorBidi" w:hAnsiTheme="majorBidi" w:cstheme="majorBidi"/>
          <w:sz w:val="24"/>
          <w:szCs w:val="24"/>
          <w:lang w:val="en-GB"/>
        </w:rPr>
        <w:t>, we also tested TMPyP4 with a low dose of 1 – 10 µM and chronic treatment up to 8 weeks by passaging cells regularly. Remarkably, TMPyP4 at these low doses shortened telomeres progressively and caused telomeric and chromosomal aberrations in the cancer cells.</w:t>
      </w:r>
      <w:r w:rsidR="004C4871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689847E5" w14:textId="44DB5779" w:rsidR="004575A5" w:rsidRPr="00355BB3" w:rsidRDefault="00820096" w:rsidP="00D071B1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1615D507" wp14:editId="69C6FEA6">
            <wp:simplePos x="0" y="0"/>
            <wp:positionH relativeFrom="margin">
              <wp:posOffset>3275965</wp:posOffset>
            </wp:positionH>
            <wp:positionV relativeFrom="paragraph">
              <wp:posOffset>10160</wp:posOffset>
            </wp:positionV>
            <wp:extent cx="2085975" cy="1724025"/>
            <wp:effectExtent l="0" t="0" r="0" b="0"/>
            <wp:wrapTight wrapText="bothSides">
              <wp:wrapPolygon edited="0">
                <wp:start x="1578" y="0"/>
                <wp:lineTo x="0" y="1671"/>
                <wp:lineTo x="0" y="15752"/>
                <wp:lineTo x="2959" y="15752"/>
                <wp:lineTo x="3353" y="18139"/>
                <wp:lineTo x="10652" y="19571"/>
                <wp:lineTo x="8088" y="19571"/>
                <wp:lineTo x="8088" y="21003"/>
                <wp:lineTo x="11244" y="21242"/>
                <wp:lineTo x="17359" y="21242"/>
                <wp:lineTo x="17951" y="19810"/>
                <wp:lineTo x="18937" y="19094"/>
                <wp:lineTo x="21107" y="16707"/>
                <wp:lineTo x="20121" y="15752"/>
                <wp:lineTo x="20318" y="11218"/>
                <wp:lineTo x="16964" y="8831"/>
                <wp:lineTo x="14203" y="8115"/>
                <wp:lineTo x="18740" y="6206"/>
                <wp:lineTo x="19923" y="4535"/>
                <wp:lineTo x="18937" y="4296"/>
                <wp:lineTo x="19923" y="2148"/>
                <wp:lineTo x="18148" y="1671"/>
                <wp:lineTo x="4142" y="0"/>
                <wp:lineTo x="1578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BBEE00F-EE41-4A02-959B-D26586FADE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A5" w:rsidRPr="00355BB3">
        <w:rPr>
          <w:rFonts w:asciiTheme="majorBidi" w:hAnsiTheme="majorBidi" w:cstheme="majorBidi"/>
          <w:sz w:val="24"/>
          <w:szCs w:val="24"/>
          <w:lang w:val="en-GB"/>
        </w:rPr>
        <w:tab/>
      </w:r>
    </w:p>
    <w:p w14:paraId="479F1C69" w14:textId="14312172" w:rsidR="004575A5" w:rsidRPr="00355BB3" w:rsidRDefault="004575A5" w:rsidP="00D071B1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78F9257" w14:textId="77777777" w:rsidR="00820096" w:rsidRDefault="00820096" w:rsidP="00D071B1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65709A77" w14:textId="77777777" w:rsidR="00820096" w:rsidRDefault="00820096" w:rsidP="00D071B1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357A0577" w14:textId="77777777" w:rsidR="00820096" w:rsidRDefault="00820096" w:rsidP="00D071B1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CFF2EA1" w14:textId="77777777" w:rsidR="00820096" w:rsidRDefault="00820096" w:rsidP="00D071B1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566D9CD5" w14:textId="77777777" w:rsidR="00475548" w:rsidRDefault="00475548" w:rsidP="00820096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6DFDB2B2" w14:textId="0617B454" w:rsidR="00820096" w:rsidRPr="00475548" w:rsidRDefault="009A48F7" w:rsidP="00820096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75548">
        <w:rPr>
          <w:rFonts w:asciiTheme="majorBidi" w:hAnsiTheme="majorBidi" w:cstheme="majorBidi"/>
          <w:b/>
          <w:bCs/>
          <w:sz w:val="24"/>
          <w:szCs w:val="24"/>
          <w:lang w:val="en-GB"/>
        </w:rPr>
        <w:t>Fig</w:t>
      </w:r>
      <w:r w:rsidR="00475548">
        <w:rPr>
          <w:rFonts w:asciiTheme="majorBidi" w:hAnsiTheme="majorBidi" w:cstheme="majorBidi"/>
          <w:b/>
          <w:bCs/>
          <w:sz w:val="24"/>
          <w:szCs w:val="24"/>
          <w:lang w:val="en-GB"/>
        </w:rPr>
        <w:t>ure</w:t>
      </w:r>
      <w:r w:rsidRPr="0047554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gramStart"/>
      <w:r w:rsidRPr="00475548">
        <w:rPr>
          <w:rFonts w:asciiTheme="majorBidi" w:hAnsiTheme="majorBidi" w:cstheme="majorBidi"/>
          <w:b/>
          <w:bCs/>
          <w:sz w:val="24"/>
          <w:szCs w:val="24"/>
          <w:lang w:val="en-GB"/>
        </w:rPr>
        <w:t>1</w:t>
      </w:r>
      <w:r w:rsidRPr="00475548">
        <w:rPr>
          <w:rFonts w:asciiTheme="majorBidi" w:hAnsiTheme="majorBidi" w:cstheme="majorBidi"/>
          <w:sz w:val="24"/>
          <w:szCs w:val="24"/>
          <w:lang w:val="en-GB"/>
        </w:rPr>
        <w:t xml:space="preserve">  DNA</w:t>
      </w:r>
      <w:proofErr w:type="gramEnd"/>
      <w:r w:rsidRPr="00475548">
        <w:rPr>
          <w:rFonts w:asciiTheme="majorBidi" w:hAnsiTheme="majorBidi" w:cstheme="majorBidi"/>
          <w:sz w:val="24"/>
          <w:szCs w:val="24"/>
          <w:lang w:val="en-GB"/>
        </w:rPr>
        <w:t xml:space="preserve"> damage induction (tail moment, left panel) measured by comet assay and relative cell viability (right panel) in cells treated with TMPy4 and </w:t>
      </w:r>
      <w:r w:rsidRPr="00475548">
        <w:rPr>
          <w:rFonts w:asciiTheme="majorBidi" w:hAnsiTheme="majorBidi" w:cstheme="majorBidi"/>
          <w:sz w:val="24"/>
          <w:szCs w:val="24"/>
          <w:lang w:val="en-GB"/>
        </w:rPr>
        <w:t>γ-radiation</w:t>
      </w:r>
      <w:r w:rsidRPr="00475548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B800D1F" w14:textId="71D9E4AF" w:rsidR="007F486D" w:rsidRPr="00355BB3" w:rsidRDefault="00A854F2" w:rsidP="00820096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sz w:val="24"/>
          <w:szCs w:val="24"/>
          <w:lang w:val="en-GB"/>
        </w:rPr>
        <w:t>G</w:t>
      </w:r>
      <w:r w:rsidR="0018657A" w:rsidRPr="00355BB3">
        <w:rPr>
          <w:rFonts w:asciiTheme="majorBidi" w:hAnsiTheme="majorBidi" w:cstheme="majorBidi"/>
          <w:sz w:val="24"/>
          <w:szCs w:val="24"/>
          <w:lang w:val="en-GB"/>
        </w:rPr>
        <w:t>iven the promise of TMPyP4 to disrupt telomere maintenance in cancer cells, we sought to identify how effective it would be in combination with gamma-radiation that induces DNA damage</w:t>
      </w:r>
      <w:r w:rsidR="00355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A48F7">
        <w:rPr>
          <w:rFonts w:asciiTheme="majorBidi" w:hAnsiTheme="majorBidi" w:cstheme="majorBidi"/>
          <w:sz w:val="24"/>
          <w:szCs w:val="24"/>
          <w:lang w:val="en-GB"/>
        </w:rPr>
        <w:t xml:space="preserve">(measured as tail moment in </w:t>
      </w:r>
      <w:r w:rsidR="00355BB3">
        <w:rPr>
          <w:rFonts w:asciiTheme="majorBidi" w:hAnsiTheme="majorBidi" w:cstheme="majorBidi"/>
          <w:sz w:val="24"/>
          <w:szCs w:val="24"/>
          <w:lang w:val="en-GB"/>
        </w:rPr>
        <w:t>Fig</w:t>
      </w:r>
      <w:r w:rsidR="00475548">
        <w:rPr>
          <w:rFonts w:asciiTheme="majorBidi" w:hAnsiTheme="majorBidi" w:cstheme="majorBidi"/>
          <w:sz w:val="24"/>
          <w:szCs w:val="24"/>
          <w:lang w:val="en-GB"/>
        </w:rPr>
        <w:t>ure</w:t>
      </w:r>
      <w:r w:rsidR="00355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A48F7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355BB3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18657A" w:rsidRPr="00355BB3">
        <w:rPr>
          <w:rFonts w:asciiTheme="majorBidi" w:hAnsiTheme="majorBidi" w:cstheme="majorBidi"/>
          <w:sz w:val="24"/>
          <w:szCs w:val="24"/>
          <w:lang w:val="en-GB"/>
        </w:rPr>
        <w:t xml:space="preserve">. Indeed, in combination with 4 </w:t>
      </w:r>
      <w:proofErr w:type="spellStart"/>
      <w:r w:rsidR="0018657A" w:rsidRPr="00355BB3">
        <w:rPr>
          <w:rFonts w:asciiTheme="majorBidi" w:hAnsiTheme="majorBidi" w:cstheme="majorBidi"/>
          <w:sz w:val="24"/>
          <w:szCs w:val="24"/>
          <w:lang w:val="en-GB"/>
        </w:rPr>
        <w:t>Gy</w:t>
      </w:r>
      <w:proofErr w:type="spellEnd"/>
      <w:r w:rsidR="0018657A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radiation, TMPyP4 was effective even at half its LC50 dose</w:t>
      </w:r>
      <w:r w:rsidR="00BF0403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as evidenced by relative viability</w:t>
      </w:r>
      <w:r w:rsidR="004575A5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(Fig</w:t>
      </w:r>
      <w:r w:rsidR="00475548">
        <w:rPr>
          <w:rFonts w:asciiTheme="majorBidi" w:hAnsiTheme="majorBidi" w:cstheme="majorBidi"/>
          <w:sz w:val="24"/>
          <w:szCs w:val="24"/>
          <w:lang w:val="en-GB"/>
        </w:rPr>
        <w:t>ure</w:t>
      </w:r>
      <w:r w:rsidR="00355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20096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4575A5" w:rsidRPr="00355BB3">
        <w:rPr>
          <w:rFonts w:asciiTheme="majorBidi" w:hAnsiTheme="majorBidi" w:cstheme="majorBidi"/>
          <w:sz w:val="24"/>
          <w:szCs w:val="24"/>
          <w:lang w:val="en-GB"/>
        </w:rPr>
        <w:t>).</w:t>
      </w:r>
      <w:r w:rsidR="00BF0403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8657A" w:rsidRPr="00355BB3">
        <w:rPr>
          <w:rFonts w:asciiTheme="majorBidi" w:hAnsiTheme="majorBidi" w:cstheme="majorBidi"/>
          <w:sz w:val="24"/>
          <w:szCs w:val="24"/>
          <w:lang w:val="en-GB"/>
        </w:rPr>
        <w:t>The combination treatment induced much greater DNA damage than either one alone. Because TMPyP4 causes DNA damage – both directly and indirectly via disrupting telomere maintenance, we think that radiation acts as a great combination strategy.</w:t>
      </w:r>
      <w:r w:rsidR="00355BB3" w:rsidRPr="00355BB3">
        <w:rPr>
          <w:noProof/>
        </w:rPr>
        <w:t xml:space="preserve"> </w:t>
      </w:r>
    </w:p>
    <w:p w14:paraId="25BCB8AD" w14:textId="08ADCADB" w:rsidR="008235AD" w:rsidRPr="00355BB3" w:rsidRDefault="00B458A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b/>
          <w:bCs/>
          <w:sz w:val="24"/>
          <w:szCs w:val="24"/>
          <w:lang w:val="en-GB"/>
        </w:rPr>
        <w:t>CONCLUSIONS</w:t>
      </w:r>
      <w:r w:rsidR="00355BB3" w:rsidRPr="00355BB3">
        <w:rPr>
          <w:noProof/>
        </w:rPr>
        <w:t xml:space="preserve"> </w:t>
      </w:r>
    </w:p>
    <w:p w14:paraId="32CC39BB" w14:textId="212DA4B3" w:rsidR="008235AD" w:rsidRPr="009A48F7" w:rsidRDefault="008235AD" w:rsidP="009A48F7">
      <w:pPr>
        <w:spacing w:after="1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TMPyP4 </w:t>
      </w:r>
      <w:r w:rsidR="00530CAE" w:rsidRPr="00355BB3">
        <w:rPr>
          <w:rFonts w:asciiTheme="majorBidi" w:hAnsiTheme="majorBidi" w:cstheme="majorBidi"/>
          <w:sz w:val="24"/>
          <w:szCs w:val="24"/>
          <w:lang w:val="en-GB"/>
        </w:rPr>
        <w:t xml:space="preserve">effectively had a profound effect on cancer cells both at the molecular level as well as at the cellular level. 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>TMPyP4 w</w:t>
      </w:r>
      <w:r w:rsidR="00530CAE" w:rsidRPr="00355BB3">
        <w:rPr>
          <w:rFonts w:asciiTheme="majorBidi" w:hAnsiTheme="majorBidi" w:cstheme="majorBidi"/>
          <w:sz w:val="24"/>
          <w:szCs w:val="24"/>
          <w:lang w:val="en-GB"/>
        </w:rPr>
        <w:t>as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30CAE" w:rsidRPr="00355BB3">
        <w:rPr>
          <w:rFonts w:asciiTheme="majorBidi" w:hAnsiTheme="majorBidi" w:cstheme="majorBidi"/>
          <w:sz w:val="24"/>
          <w:szCs w:val="24"/>
          <w:lang w:val="en-GB"/>
        </w:rPr>
        <w:t xml:space="preserve">not only potent with an acute dose over a short term, but 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also over a therapeutically relevant long-term treatment window with chronic low doses in the cancer cell types. TMPyP4 </w:t>
      </w:r>
      <w:r w:rsidR="00820096">
        <w:rPr>
          <w:rFonts w:asciiTheme="majorBidi" w:hAnsiTheme="majorBidi" w:cstheme="majorBidi"/>
          <w:sz w:val="24"/>
          <w:szCs w:val="24"/>
          <w:lang w:val="en-GB"/>
        </w:rPr>
        <w:t>induced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telomere shortening</w:t>
      </w:r>
      <w:r w:rsidR="00820096">
        <w:rPr>
          <w:rFonts w:asciiTheme="majorBidi" w:hAnsiTheme="majorBidi" w:cstheme="majorBidi"/>
          <w:sz w:val="24"/>
          <w:szCs w:val="24"/>
          <w:lang w:val="en-GB"/>
        </w:rPr>
        <w:t xml:space="preserve"> and chromosome aberrations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in those cancer cells over time </w:t>
      </w:r>
      <w:r w:rsidR="00820096">
        <w:rPr>
          <w:rFonts w:asciiTheme="majorBidi" w:hAnsiTheme="majorBidi" w:cstheme="majorBidi"/>
          <w:sz w:val="24"/>
          <w:szCs w:val="24"/>
          <w:lang w:val="en-GB"/>
        </w:rPr>
        <w:t>thus disrupting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telomere </w:t>
      </w:r>
      <w:r w:rsidR="00820096" w:rsidRPr="00355BB3">
        <w:rPr>
          <w:rFonts w:asciiTheme="majorBidi" w:hAnsiTheme="majorBidi" w:cstheme="majorBidi"/>
          <w:sz w:val="24"/>
          <w:szCs w:val="24"/>
          <w:lang w:val="en-GB"/>
        </w:rPr>
        <w:t>maintenance. While</w:t>
      </w:r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TMPyP4 inhibited telomere maintenance, the inhibition of either DNA-</w:t>
      </w:r>
      <w:proofErr w:type="spellStart"/>
      <w:r w:rsidRPr="00355BB3">
        <w:rPr>
          <w:rFonts w:asciiTheme="majorBidi" w:hAnsiTheme="majorBidi" w:cstheme="majorBidi"/>
          <w:sz w:val="24"/>
          <w:szCs w:val="24"/>
          <w:lang w:val="en-GB"/>
        </w:rPr>
        <w:t>PKcs</w:t>
      </w:r>
      <w:proofErr w:type="spellEnd"/>
      <w:r w:rsidRPr="00355BB3">
        <w:rPr>
          <w:rFonts w:asciiTheme="majorBidi" w:hAnsiTheme="majorBidi" w:cstheme="majorBidi"/>
          <w:sz w:val="24"/>
          <w:szCs w:val="24"/>
          <w:lang w:val="en-GB"/>
        </w:rPr>
        <w:t xml:space="preserve"> or ATM kinase led to an exacerbated effect on DNA damage, cell arrest and cell viability of the cancer cell types tested.</w:t>
      </w:r>
      <w:r w:rsidR="00530CAE" w:rsidRPr="00355BB3">
        <w:rPr>
          <w:rFonts w:asciiTheme="majorBidi" w:hAnsiTheme="majorBidi" w:cstheme="majorBidi"/>
          <w:sz w:val="24"/>
          <w:szCs w:val="24"/>
          <w:lang w:val="en-GB"/>
        </w:rPr>
        <w:t xml:space="preserve"> The intricate crosstalk of telomere maintenance and DNA repair factors could underlie this effect. Exploring this combination in a context closer to in vivo cancer models will prove as a promising hunt towards new standard of care of clinically recalcitrant cancers.</w:t>
      </w:r>
    </w:p>
    <w:p w14:paraId="0EED9078" w14:textId="3368DCFF" w:rsidR="00801E01" w:rsidRPr="00355BB3" w:rsidRDefault="00152AF7" w:rsidP="00801E01">
      <w:pPr>
        <w:rPr>
          <w:rFonts w:ascii="time" w:hAnsi="time"/>
          <w:sz w:val="24"/>
          <w:lang w:val="en-GB"/>
        </w:rPr>
      </w:pPr>
      <w:r w:rsidRPr="00355BB3">
        <w:rPr>
          <w:rFonts w:asciiTheme="majorBidi" w:hAnsiTheme="majorBidi" w:cstheme="majorBidi"/>
          <w:b/>
          <w:sz w:val="24"/>
          <w:lang w:val="en-GB"/>
        </w:rPr>
        <w:t>REFERENCES</w:t>
      </w:r>
    </w:p>
    <w:p w14:paraId="50F20DBB" w14:textId="30207F78" w:rsidR="00403F3A" w:rsidRPr="00355BB3" w:rsidRDefault="0018657A" w:rsidP="0047554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5BB3">
        <w:rPr>
          <w:rFonts w:ascii="time" w:hAnsi="time"/>
          <w:sz w:val="24"/>
          <w:lang w:val="en-GB"/>
        </w:rPr>
        <w:t>[</w:t>
      </w:r>
      <w:r w:rsidRPr="00820096">
        <w:rPr>
          <w:rFonts w:ascii="time" w:hAnsi="time"/>
          <w:b/>
          <w:bCs/>
          <w:sz w:val="24"/>
          <w:lang w:val="en-GB"/>
        </w:rPr>
        <w:t>1</w:t>
      </w:r>
      <w:r w:rsidRPr="00355BB3">
        <w:rPr>
          <w:rFonts w:ascii="time" w:hAnsi="time"/>
          <w:sz w:val="24"/>
          <w:lang w:val="en-GB"/>
        </w:rPr>
        <w:t xml:space="preserve">] </w:t>
      </w:r>
      <w:r w:rsidR="008200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SHAY</w:t>
      </w:r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J</w:t>
      </w:r>
      <w:r w:rsidR="008200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W</w:t>
      </w:r>
      <w:r w:rsidR="008200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, W</w:t>
      </w:r>
      <w:r w:rsidR="008200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RIGHT,</w:t>
      </w:r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W</w:t>
      </w:r>
      <w:r w:rsidR="008200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E</w:t>
      </w:r>
      <w:r w:rsidR="008200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proofErr w:type="gramEnd"/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Mechanism-based combination telomerase inhibition therapy. Cancer Cell. </w:t>
      </w:r>
      <w:r w:rsidR="00820096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7</w:t>
      </w:r>
      <w:r w:rsidR="008200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(</w:t>
      </w:r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2005</w:t>
      </w:r>
      <w:r w:rsidR="008200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), </w:t>
      </w:r>
      <w:r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1-2.</w:t>
      </w:r>
      <w:r w:rsidR="004755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[</w:t>
      </w:r>
      <w:r w:rsidR="00403F3A" w:rsidRPr="00820096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GB"/>
        </w:rPr>
        <w:t>2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] B</w:t>
      </w:r>
      <w:r w:rsidR="004755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ARTHEL,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F</w:t>
      </w:r>
      <w:r w:rsidR="004755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</w:t>
      </w:r>
      <w:r w:rsidR="004755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, W</w:t>
      </w:r>
      <w:r w:rsidR="004755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EI,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W</w:t>
      </w:r>
      <w:r w:rsidR="004755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, T</w:t>
      </w:r>
      <w:r w:rsidR="004755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ANG,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M</w:t>
      </w:r>
      <w:r w:rsidR="004755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8200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et al.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A48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et al. 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Systematic analysis of telomere length and somatic alterations in 31 cancer types. Nat Genet. 49</w:t>
      </w:r>
      <w:r w:rsidR="004755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(2017),</w:t>
      </w:r>
      <w:r w:rsidR="00403F3A" w:rsidRPr="00355B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349-357</w:t>
      </w:r>
      <w:r w:rsidR="009A48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.</w:t>
      </w:r>
      <w:bookmarkStart w:id="0" w:name="_GoBack"/>
      <w:bookmarkEnd w:id="0"/>
    </w:p>
    <w:sectPr w:rsidR="00403F3A" w:rsidRPr="00355BB3" w:rsidSect="0082009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1A0C" w14:textId="77777777" w:rsidR="00A07375" w:rsidRDefault="00A07375" w:rsidP="00BF48E4">
      <w:pPr>
        <w:spacing w:after="0" w:line="240" w:lineRule="auto"/>
      </w:pPr>
      <w:r>
        <w:separator/>
      </w:r>
    </w:p>
  </w:endnote>
  <w:endnote w:type="continuationSeparator" w:id="0">
    <w:p w14:paraId="57FA4C5F" w14:textId="77777777" w:rsidR="00A07375" w:rsidRDefault="00A07375" w:rsidP="00BF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7334" w14:textId="77777777" w:rsidR="00A07375" w:rsidRDefault="00A07375" w:rsidP="00BF48E4">
      <w:pPr>
        <w:spacing w:after="0" w:line="240" w:lineRule="auto"/>
      </w:pPr>
      <w:r>
        <w:separator/>
      </w:r>
    </w:p>
  </w:footnote>
  <w:footnote w:type="continuationSeparator" w:id="0">
    <w:p w14:paraId="7A914389" w14:textId="77777777" w:rsidR="00A07375" w:rsidRDefault="00A07375" w:rsidP="00BF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77AB"/>
    <w:multiLevelType w:val="hybridMultilevel"/>
    <w:tmpl w:val="C964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pid Comm Mass Spectro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p9aptev9a52yesaftvpre72z9xaffxw0ez&quot;&gt;My EndNote Library&lt;record-ids&gt;&lt;item&gt;8&lt;/item&gt;&lt;/record-ids&gt;&lt;/item&gt;&lt;/Libraries&gt;"/>
  </w:docVars>
  <w:rsids>
    <w:rsidRoot w:val="003373E5"/>
    <w:rsid w:val="00040C9C"/>
    <w:rsid w:val="00052B0B"/>
    <w:rsid w:val="00067515"/>
    <w:rsid w:val="00071BF5"/>
    <w:rsid w:val="000A78B6"/>
    <w:rsid w:val="00110590"/>
    <w:rsid w:val="00111DE4"/>
    <w:rsid w:val="001443E9"/>
    <w:rsid w:val="00152AF7"/>
    <w:rsid w:val="00182AD4"/>
    <w:rsid w:val="0018657A"/>
    <w:rsid w:val="001D164D"/>
    <w:rsid w:val="001F2069"/>
    <w:rsid w:val="00245482"/>
    <w:rsid w:val="00276CD3"/>
    <w:rsid w:val="002953CC"/>
    <w:rsid w:val="003373E5"/>
    <w:rsid w:val="00355BB3"/>
    <w:rsid w:val="0036126E"/>
    <w:rsid w:val="0039072F"/>
    <w:rsid w:val="003E539F"/>
    <w:rsid w:val="00403F3A"/>
    <w:rsid w:val="00427126"/>
    <w:rsid w:val="004575A5"/>
    <w:rsid w:val="00463A45"/>
    <w:rsid w:val="00475548"/>
    <w:rsid w:val="004C4871"/>
    <w:rsid w:val="00507E87"/>
    <w:rsid w:val="00512DF8"/>
    <w:rsid w:val="00530CAE"/>
    <w:rsid w:val="0053109F"/>
    <w:rsid w:val="00540814"/>
    <w:rsid w:val="00541539"/>
    <w:rsid w:val="005C687F"/>
    <w:rsid w:val="005F4DB6"/>
    <w:rsid w:val="0062287D"/>
    <w:rsid w:val="0066000D"/>
    <w:rsid w:val="006A3AA4"/>
    <w:rsid w:val="00770871"/>
    <w:rsid w:val="007C0F54"/>
    <w:rsid w:val="007F486D"/>
    <w:rsid w:val="00801E01"/>
    <w:rsid w:val="0081035D"/>
    <w:rsid w:val="008137C6"/>
    <w:rsid w:val="00820096"/>
    <w:rsid w:val="008235AD"/>
    <w:rsid w:val="00841E57"/>
    <w:rsid w:val="00844CD6"/>
    <w:rsid w:val="00856BA6"/>
    <w:rsid w:val="008840B9"/>
    <w:rsid w:val="009A48F7"/>
    <w:rsid w:val="00A07375"/>
    <w:rsid w:val="00A854F2"/>
    <w:rsid w:val="00B458AF"/>
    <w:rsid w:val="00BA2246"/>
    <w:rsid w:val="00BD4F0B"/>
    <w:rsid w:val="00BF0403"/>
    <w:rsid w:val="00BF48E4"/>
    <w:rsid w:val="00C1643C"/>
    <w:rsid w:val="00C36362"/>
    <w:rsid w:val="00C645F7"/>
    <w:rsid w:val="00C8045F"/>
    <w:rsid w:val="00CC444D"/>
    <w:rsid w:val="00CF4B7A"/>
    <w:rsid w:val="00D071B1"/>
    <w:rsid w:val="00D30B61"/>
    <w:rsid w:val="00D802D1"/>
    <w:rsid w:val="00D97F4C"/>
    <w:rsid w:val="00E11283"/>
    <w:rsid w:val="00E22129"/>
    <w:rsid w:val="00E63584"/>
    <w:rsid w:val="00EB7233"/>
    <w:rsid w:val="00FA65FC"/>
    <w:rsid w:val="00FC42A8"/>
    <w:rsid w:val="00FD4088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4C82B"/>
  <w15:docId w15:val="{54B0EDEB-B473-4CBC-AFC5-0FC2D46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DefaultParagraphFont"/>
    <w:rsid w:val="00152AF7"/>
  </w:style>
  <w:style w:type="character" w:styleId="UnresolvedMention">
    <w:name w:val="Unresolved Mention"/>
    <w:basedOn w:val="DefaultParagraphFont"/>
    <w:uiPriority w:val="99"/>
    <w:semiHidden/>
    <w:unhideWhenUsed/>
    <w:rsid w:val="00C363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E4"/>
    <w:rPr>
      <w:lang w:val="en-US"/>
    </w:rPr>
  </w:style>
  <w:style w:type="paragraph" w:styleId="ListParagraph">
    <w:name w:val="List Paragraph"/>
    <w:basedOn w:val="Normal"/>
    <w:uiPriority w:val="34"/>
    <w:qFormat/>
    <w:rsid w:val="0018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smph@nus.edu.s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hriram%20Venkatesan\Dropbox\ICRR2015_Shriram%20slides\Por+rad%20-%20Cell%20cycle%20and%20COMET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dk2" tx1="lt1" bg2="dk1" tx2="lt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966928297809004"/>
          <c:y val="0.11891161828909237"/>
          <c:w val="0.71614970554727064"/>
          <c:h val="0.489477681892691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'DNA damage comet'!$C$67:$K$67</c:f>
                <c:numCache>
                  <c:formatCode>General</c:formatCode>
                  <c:ptCount val="9"/>
                  <c:pt idx="0">
                    <c:v>1.551775327380438</c:v>
                  </c:pt>
                  <c:pt idx="1">
                    <c:v>3.8988032351821329</c:v>
                  </c:pt>
                  <c:pt idx="2">
                    <c:v>2.212414068000224</c:v>
                  </c:pt>
                  <c:pt idx="3">
                    <c:v>5.0321949478286054</c:v>
                  </c:pt>
                  <c:pt idx="5">
                    <c:v>1.9499698619060399</c:v>
                  </c:pt>
                  <c:pt idx="6">
                    <c:v>3.2783105718736612</c:v>
                  </c:pt>
                  <c:pt idx="7">
                    <c:v>3.5436641437937042</c:v>
                  </c:pt>
                  <c:pt idx="8">
                    <c:v>3.1484803770599981</c:v>
                  </c:pt>
                </c:numCache>
              </c:numRef>
            </c:plus>
            <c:minus>
              <c:numRef>
                <c:f>'DNA damage comet'!$C$67:$K$67</c:f>
                <c:numCache>
                  <c:formatCode>General</c:formatCode>
                  <c:ptCount val="9"/>
                  <c:pt idx="0">
                    <c:v>1.551775327380438</c:v>
                  </c:pt>
                  <c:pt idx="1">
                    <c:v>3.8988032351821329</c:v>
                  </c:pt>
                  <c:pt idx="2">
                    <c:v>2.212414068000224</c:v>
                  </c:pt>
                  <c:pt idx="3">
                    <c:v>5.0321949478286054</c:v>
                  </c:pt>
                  <c:pt idx="5">
                    <c:v>1.9499698619060399</c:v>
                  </c:pt>
                  <c:pt idx="6">
                    <c:v>3.2783105718736612</c:v>
                  </c:pt>
                  <c:pt idx="7">
                    <c:v>3.5436641437937042</c:v>
                  </c:pt>
                  <c:pt idx="8">
                    <c:v>3.1484803770599981</c:v>
                  </c:pt>
                </c:numCache>
              </c:numRef>
            </c:minus>
            <c:spPr>
              <a:ln>
                <a:solidFill>
                  <a:srgbClr val="C00000"/>
                </a:solidFill>
              </a:ln>
            </c:spPr>
          </c:errBars>
          <c:cat>
            <c:strRef>
              <c:f>'DNA damage comet'!$C$62:$K$62</c:f>
              <c:strCache>
                <c:ptCount val="9"/>
                <c:pt idx="0">
                  <c:v>Ctl</c:v>
                </c:pt>
                <c:pt idx="1">
                  <c:v>TMPyP4</c:v>
                </c:pt>
                <c:pt idx="2">
                  <c:v>4 Gy</c:v>
                </c:pt>
                <c:pt idx="3">
                  <c:v>TMPyP4 + 4 Gy</c:v>
                </c:pt>
                <c:pt idx="5">
                  <c:v>Ctl</c:v>
                </c:pt>
                <c:pt idx="6">
                  <c:v>TMPyP4</c:v>
                </c:pt>
                <c:pt idx="7">
                  <c:v>4 Gy</c:v>
                </c:pt>
                <c:pt idx="8">
                  <c:v>TMPyP4 + 4 Gy</c:v>
                </c:pt>
              </c:strCache>
            </c:strRef>
          </c:cat>
          <c:val>
            <c:numRef>
              <c:f>'DNA damage comet'!$C$66:$K$66</c:f>
              <c:numCache>
                <c:formatCode>0.0</c:formatCode>
                <c:ptCount val="9"/>
                <c:pt idx="0">
                  <c:v>4.76</c:v>
                </c:pt>
                <c:pt idx="1">
                  <c:v>47.8</c:v>
                </c:pt>
                <c:pt idx="2">
                  <c:v>24.302713545734282</c:v>
                </c:pt>
                <c:pt idx="3">
                  <c:v>49.198236205125511</c:v>
                </c:pt>
                <c:pt idx="5">
                  <c:v>25.863644795657191</c:v>
                </c:pt>
                <c:pt idx="6">
                  <c:v>48.763506600141113</c:v>
                </c:pt>
                <c:pt idx="7">
                  <c:v>34.924245268361503</c:v>
                </c:pt>
                <c:pt idx="8">
                  <c:v>53.306652266316647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3-4BF8-B6D7-93C8CB5EA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758136"/>
        <c:axId val="2109755032"/>
      </c:barChart>
      <c:catAx>
        <c:axId val="2109758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109755032"/>
        <c:crosses val="autoZero"/>
        <c:auto val="1"/>
        <c:lblAlgn val="ctr"/>
        <c:lblOffset val="100"/>
        <c:noMultiLvlLbl val="0"/>
      </c:catAx>
      <c:valAx>
        <c:axId val="2109755032"/>
        <c:scaling>
          <c:orientation val="minMax"/>
          <c:max val="6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Tail moment (µM)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109758136"/>
        <c:crosses val="autoZero"/>
        <c:crossBetween val="between"/>
        <c:majorUnit val="20"/>
      </c:valAx>
      <c:spPr>
        <a:noFill/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dk2" tx1="lt1" bg2="dk1" tx2="lt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542230447358199"/>
          <c:y val="4.7376543209876602E-2"/>
          <c:w val="0.71927393776443205"/>
          <c:h val="0.715851560221638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'24+24'!$B$54:$C$54</c:f>
              <c:strCache>
                <c:ptCount val="1"/>
                <c:pt idx="0">
                  <c:v>A172 0 Gy</c:v>
                </c:pt>
              </c:strCache>
            </c:strRef>
          </c:tx>
          <c:spPr>
            <a:pattFill prst="pct60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errBars>
            <c:errBarType val="plus"/>
            <c:errValType val="cust"/>
            <c:noEndCap val="0"/>
            <c:plus>
              <c:numRef>
                <c:f>'24+24'!$L$54:$L$56</c:f>
                <c:numCache>
                  <c:formatCode>General</c:formatCode>
                  <c:ptCount val="3"/>
                  <c:pt idx="0">
                    <c:v>11.329322674470109</c:v>
                  </c:pt>
                  <c:pt idx="1">
                    <c:v>1.987843685939205</c:v>
                  </c:pt>
                  <c:pt idx="2">
                    <c:v>2.297621793168191</c:v>
                  </c:pt>
                </c:numCache>
                <c:extLst/>
              </c:numRef>
            </c:plus>
            <c:minus>
              <c:numRef>
                <c:f>'24+24'!$L$54:$L$56</c:f>
                <c:numCache>
                  <c:formatCode>General</c:formatCode>
                  <c:ptCount val="3"/>
                  <c:pt idx="0">
                    <c:v>11.329322674470109</c:v>
                  </c:pt>
                  <c:pt idx="1">
                    <c:v>1.987843685939205</c:v>
                  </c:pt>
                  <c:pt idx="2">
                    <c:v>2.297621793168191</c:v>
                  </c:pt>
                </c:numCache>
                <c:extLst/>
              </c:numRef>
            </c:minus>
          </c:errBars>
          <c:cat>
            <c:numRef>
              <c:f>'24+24'!$A$54:$A$56</c:f>
              <c:numCache>
                <c:formatCode>General</c:formatCode>
                <c:ptCount val="3"/>
                <c:pt idx="0">
                  <c:v>0</c:v>
                </c:pt>
                <c:pt idx="1">
                  <c:v>50</c:v>
                </c:pt>
                <c:pt idx="2">
                  <c:v>100</c:v>
                </c:pt>
              </c:numCache>
              <c:extLst/>
            </c:numRef>
          </c:cat>
          <c:val>
            <c:numRef>
              <c:f>'24+24'!$J$54:$J$56</c:f>
              <c:numCache>
                <c:formatCode>General</c:formatCode>
                <c:ptCount val="3"/>
                <c:pt idx="0">
                  <c:v>100</c:v>
                </c:pt>
                <c:pt idx="1">
                  <c:v>76.213684279693226</c:v>
                </c:pt>
                <c:pt idx="2">
                  <c:v>43.858031934366473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B8C-4441-A49B-244397CABF93}"/>
            </c:ext>
          </c:extLst>
        </c:ser>
        <c:ser>
          <c:idx val="1"/>
          <c:order val="2"/>
          <c:tx>
            <c:strRef>
              <c:f>'24+24'!$B$62:$C$62</c:f>
              <c:strCache>
                <c:ptCount val="1"/>
                <c:pt idx="0">
                  <c:v>A172 4 Gy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errBars>
            <c:errBarType val="plus"/>
            <c:errValType val="cust"/>
            <c:noEndCap val="0"/>
            <c:plus>
              <c:numRef>
                <c:f>'24+24'!$L$62:$L$64</c:f>
                <c:numCache>
                  <c:formatCode>General</c:formatCode>
                  <c:ptCount val="3"/>
                  <c:pt idx="0">
                    <c:v>8.6667144382381025</c:v>
                  </c:pt>
                  <c:pt idx="1">
                    <c:v>3.079201659673743</c:v>
                  </c:pt>
                  <c:pt idx="2">
                    <c:v>4.1926273243932624</c:v>
                  </c:pt>
                </c:numCache>
                <c:extLst/>
              </c:numRef>
            </c:plus>
            <c:minus>
              <c:numRef>
                <c:f>'24+24'!$L$62:$L$64</c:f>
                <c:numCache>
                  <c:formatCode>General</c:formatCode>
                  <c:ptCount val="3"/>
                  <c:pt idx="0">
                    <c:v>8.6667144382381025</c:v>
                  </c:pt>
                  <c:pt idx="1">
                    <c:v>3.079201659673743</c:v>
                  </c:pt>
                  <c:pt idx="2">
                    <c:v>4.1926273243932624</c:v>
                  </c:pt>
                </c:numCache>
                <c:extLst/>
              </c:numRef>
            </c:minus>
          </c:errBars>
          <c:cat>
            <c:numRef>
              <c:f>'24+24'!$A$54:$A$56</c:f>
              <c:numCache>
                <c:formatCode>General</c:formatCode>
                <c:ptCount val="3"/>
                <c:pt idx="0">
                  <c:v>0</c:v>
                </c:pt>
                <c:pt idx="1">
                  <c:v>50</c:v>
                </c:pt>
                <c:pt idx="2">
                  <c:v>100</c:v>
                </c:pt>
              </c:numCache>
              <c:extLst/>
            </c:numRef>
          </c:cat>
          <c:val>
            <c:numRef>
              <c:f>'24+24'!$J$62:$J$64</c:f>
              <c:numCache>
                <c:formatCode>General</c:formatCode>
                <c:ptCount val="3"/>
                <c:pt idx="0">
                  <c:v>90.702236907566615</c:v>
                </c:pt>
                <c:pt idx="1">
                  <c:v>63.010766819047923</c:v>
                </c:pt>
                <c:pt idx="2">
                  <c:v>41.679511128216198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EB8C-4441-A49B-244397CAB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693384"/>
        <c:axId val="2111155336"/>
        <c:extLst>
          <c:ext xmlns:c15="http://schemas.microsoft.com/office/drawing/2012/chart" uri="{02D57815-91ED-43cb-92C2-25804820EDAC}">
            <c15:filteredBarSeries>
              <c15:ser>
                <c:idx val="2"/>
                <c:order val="1"/>
                <c:tx>
                  <c:strRef>
                    <c:extLst>
                      <c:ext uri="{02D57815-91ED-43cb-92C2-25804820EDAC}">
                        <c15:formulaRef>
                          <c15:sqref>'24+24'!$B$58:$C$58</c15:sqref>
                        </c15:formulaRef>
                      </c:ext>
                    </c:extLst>
                    <c:strCache>
                      <c:ptCount val="1"/>
                      <c:pt idx="0">
                        <c:v>A172 2 Gy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errBars>
                  <c:errBarType val="both"/>
                  <c:errValType val="cust"/>
                  <c:noEndCap val="0"/>
                  <c:plus>
                    <c:numRef>
                      <c:extLst>
                        <c:ext uri="{02D57815-91ED-43cb-92C2-25804820EDAC}">
                          <c15:formulaRef>
                            <c15:sqref>'24+24'!$L$58:$L$60</c15:sqref>
                          </c15:formulaRef>
                        </c:ext>
                      </c:extLst>
                      <c:numCache>
                        <c:formatCode>General</c:formatCode>
                        <c:ptCount val="3"/>
                        <c:pt idx="0">
                          <c:v>7.0470129932674475</c:v>
                        </c:pt>
                        <c:pt idx="1">
                          <c:v>2.9992221379459898</c:v>
                        </c:pt>
                        <c:pt idx="2">
                          <c:v>3.1401248824408721</c:v>
                        </c:pt>
                      </c:numCache>
                    </c:numRef>
                  </c:plus>
                  <c:minus>
                    <c:numRef>
                      <c:extLst>
                        <c:ext uri="{02D57815-91ED-43cb-92C2-25804820EDAC}">
                          <c15:formulaRef>
                            <c15:sqref>'24+24'!$L$58:$L$60</c15:sqref>
                          </c15:formulaRef>
                        </c:ext>
                      </c:extLst>
                      <c:numCache>
                        <c:formatCode>General</c:formatCode>
                        <c:ptCount val="3"/>
                        <c:pt idx="0">
                          <c:v>7.0470129932674475</c:v>
                        </c:pt>
                        <c:pt idx="1">
                          <c:v>2.9992221379459898</c:v>
                        </c:pt>
                        <c:pt idx="2">
                          <c:v>3.1401248824408721</c:v>
                        </c:pt>
                      </c:numCache>
                    </c:numRef>
                  </c:minus>
                  <c:spPr>
                    <a:solidFill>
                      <a:schemeClr val="tx1"/>
                    </a:solidFill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:errBars>
                <c:cat>
                  <c:numRef>
                    <c:extLst>
                      <c:ext uri="{02D57815-91ED-43cb-92C2-25804820EDAC}">
                        <c15:formulaRef>
                          <c15:sqref>'24+24'!$A$54:$A$56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50</c:v>
                      </c:pt>
                      <c:pt idx="2">
                        <c:v>100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'24+24'!$J$58:$J$60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115.40678300213084</c:v>
                      </c:pt>
                      <c:pt idx="1">
                        <c:v>74.082098168608184</c:v>
                      </c:pt>
                      <c:pt idx="2">
                        <c:v>44.628887366118782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B8C-4441-A49B-244397CABF93}"/>
                  </c:ext>
                </c:extLst>
              </c15:ser>
            </c15:filteredBarSeries>
          </c:ext>
        </c:extLst>
      </c:barChart>
      <c:catAx>
        <c:axId val="210869338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TMPyP4 (µM)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111155336"/>
        <c:crosses val="autoZero"/>
        <c:auto val="1"/>
        <c:lblAlgn val="ctr"/>
        <c:lblOffset val="100"/>
        <c:noMultiLvlLbl val="0"/>
      </c:catAx>
      <c:valAx>
        <c:axId val="21111553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Relative Viability (%)</a:t>
                </a:r>
              </a:p>
            </c:rich>
          </c:tx>
          <c:overlay val="0"/>
          <c:spPr>
            <a:solidFill>
              <a:sysClr val="window" lastClr="FFFFFF"/>
            </a:solidFill>
          </c:spPr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108693384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50579896690995818"/>
          <c:y val="5.1888198185753097E-2"/>
          <c:w val="0.42810724001965506"/>
          <c:h val="0.23252621046678557"/>
        </c:manualLayout>
      </c:layout>
      <c:overlay val="0"/>
      <c:txPr>
        <a:bodyPr rot="0" vert="horz"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>
          <a:solidFill>
            <a:srgbClr val="0070C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0.33962</cdr:x>
      <cdr:y>0</cdr:y>
    </cdr:from>
    <cdr:to>
      <cdr:x>0.45209</cdr:x>
      <cdr:y>0.13037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62608" y="-3809839"/>
          <a:ext cx="517432" cy="307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 b="1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A172</a:t>
          </a:r>
        </a:p>
      </cdr:txBody>
    </cdr:sp>
  </cdr:relSizeAnchor>
  <cdr:relSizeAnchor xmlns:cdr="http://schemas.openxmlformats.org/drawingml/2006/chartDrawing">
    <cdr:from>
      <cdr:x>0.73746</cdr:x>
      <cdr:y>0</cdr:y>
    </cdr:from>
    <cdr:to>
      <cdr:x>0.8976</cdr:x>
      <cdr:y>0.11111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381251" y="0"/>
          <a:ext cx="517078" cy="2487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 b="1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KNS60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0.65632</cdr:x>
      <cdr:y>0.18519</cdr:y>
    </cdr:from>
    <cdr:to>
      <cdr:x>0.77243</cdr:x>
      <cdr:y>0.28292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19400" y="762000"/>
          <a:ext cx="498782" cy="402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800" dirty="0">
              <a:solidFill>
                <a:schemeClr val="tx1"/>
              </a:solidFill>
            </a:rPr>
            <a:t>**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Fireball 1">
    <a:dk1>
      <a:srgbClr val="5F5F5F"/>
    </a:dk1>
    <a:lt1>
      <a:srgbClr val="FFFFCC"/>
    </a:lt1>
    <a:dk2>
      <a:srgbClr val="000000"/>
    </a:dk2>
    <a:lt2>
      <a:srgbClr val="FFCC66"/>
    </a:lt2>
    <a:accent1>
      <a:srgbClr val="FF9933"/>
    </a:accent1>
    <a:accent2>
      <a:srgbClr val="CC0066"/>
    </a:accent2>
    <a:accent3>
      <a:srgbClr val="AAAAAA"/>
    </a:accent3>
    <a:accent4>
      <a:srgbClr val="DADAAE"/>
    </a:accent4>
    <a:accent5>
      <a:srgbClr val="FFCAAD"/>
    </a:accent5>
    <a:accent6>
      <a:srgbClr val="B9005C"/>
    </a:accent6>
    <a:hlink>
      <a:srgbClr val="CC00CC"/>
    </a:hlink>
    <a:folHlink>
      <a:srgbClr val="990099"/>
    </a:folHlink>
  </a:clrScheme>
  <a:fontScheme name="Fireball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Fireball 1">
    <a:dk1>
      <a:srgbClr val="5F5F5F"/>
    </a:dk1>
    <a:lt1>
      <a:srgbClr val="FFFFCC"/>
    </a:lt1>
    <a:dk2>
      <a:srgbClr val="000000"/>
    </a:dk2>
    <a:lt2>
      <a:srgbClr val="FFCC66"/>
    </a:lt2>
    <a:accent1>
      <a:srgbClr val="FF9933"/>
    </a:accent1>
    <a:accent2>
      <a:srgbClr val="CC0066"/>
    </a:accent2>
    <a:accent3>
      <a:srgbClr val="AAAAAA"/>
    </a:accent3>
    <a:accent4>
      <a:srgbClr val="DADAAE"/>
    </a:accent4>
    <a:accent5>
      <a:srgbClr val="FFCAAD"/>
    </a:accent5>
    <a:accent6>
      <a:srgbClr val="B9005C"/>
    </a:accent6>
    <a:hlink>
      <a:srgbClr val="CC00CC"/>
    </a:hlink>
    <a:folHlink>
      <a:srgbClr val="990099"/>
    </a:folHlink>
  </a:clrScheme>
  <a:fontScheme name="Fireball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F37CD1788E84196FF39AF91DEE5FE" ma:contentTypeVersion="8" ma:contentTypeDescription="Create a new document." ma:contentTypeScope="" ma:versionID="c211238ab38ab65918c6dca5aff5905d">
  <xsd:schema xmlns:xsd="http://www.w3.org/2001/XMLSchema" xmlns:xs="http://www.w3.org/2001/XMLSchema" xmlns:p="http://schemas.microsoft.com/office/2006/metadata/properties" xmlns:ns3="12f83b61-333e-4e48-a9d7-e8dd01894af4" targetNamespace="http://schemas.microsoft.com/office/2006/metadata/properties" ma:root="true" ma:fieldsID="cdfc1d5952b3379536ae3ef439e51ab6" ns3:_="">
    <xsd:import namespace="12f83b61-333e-4e48-a9d7-e8dd01894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83b61-333e-4e48-a9d7-e8dd01894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1836-4857-4A9F-A3A9-04C656DCF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B72FF-1056-40AD-A59A-35D9DD76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7186D-0D62-4C95-A3B9-EEBEEB15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83b61-333e-4e48-a9d7-e8dd01894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6B7F5-C96E-4B71-A8CB-84680B6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4378</Characters>
  <Application>Microsoft Office Word</Application>
  <DocSecurity>0</DocSecurity>
  <Lines>82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WASSENAAR, Leonard</dc:creator>
  <cp:lastModifiedBy>Manoor Prakash Hande</cp:lastModifiedBy>
  <cp:revision>2</cp:revision>
  <dcterms:created xsi:type="dcterms:W3CDTF">2020-12-25T10:46:00Z</dcterms:created>
  <dcterms:modified xsi:type="dcterms:W3CDTF">2020-12-25T10:46:00Z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0x0101005DCF37CD1788E84196FF39AF91DEE5FE</vt:lpwstr>
  </property>
</Properties>
</file>