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17E5" w14:textId="77777777" w:rsidR="00A31E8B" w:rsidRPr="00A31E8B" w:rsidRDefault="00A31E8B" w:rsidP="00A31E8B">
      <w:pPr>
        <w:jc w:val="center"/>
        <w:rPr>
          <w:rFonts w:ascii="Times New Roman" w:hAnsi="Times New Roman" w:cs="Times New Roman"/>
          <w:b/>
          <w:sz w:val="24"/>
          <w:szCs w:val="24"/>
        </w:rPr>
      </w:pPr>
      <w:bookmarkStart w:id="0" w:name="_GoBack"/>
      <w:bookmarkEnd w:id="0"/>
      <w:r w:rsidRPr="00A31E8B">
        <w:rPr>
          <w:rFonts w:ascii="Times New Roman" w:hAnsi="Times New Roman" w:cs="Times New Roman"/>
          <w:b/>
          <w:sz w:val="24"/>
          <w:szCs w:val="24"/>
        </w:rPr>
        <w:t>Treatment outcome comparison between 33 versus 35 fractions among nasopharyngeal carcinoma using helical approach: A retrospective study</w:t>
      </w:r>
    </w:p>
    <w:p w14:paraId="30B5F181" w14:textId="77777777" w:rsidR="00D423FF" w:rsidRPr="00D423FF" w:rsidRDefault="00D423FF" w:rsidP="00D423FF">
      <w:pPr>
        <w:spacing w:after="0" w:line="240" w:lineRule="auto"/>
        <w:jc w:val="both"/>
        <w:rPr>
          <w:rFonts w:ascii="Times New Roman" w:eastAsia="Times New Roman" w:hAnsi="Times New Roman" w:cs="Times New Roman"/>
          <w:color w:val="000000" w:themeColor="text1"/>
          <w:sz w:val="24"/>
          <w:szCs w:val="24"/>
        </w:rPr>
      </w:pPr>
    </w:p>
    <w:p w14:paraId="444D398F" w14:textId="20BB6F3A" w:rsidR="00AD46FC" w:rsidRPr="00A31E8B" w:rsidRDefault="00E22129" w:rsidP="00AD46FC">
      <w:pPr>
        <w:spacing w:after="0" w:line="240" w:lineRule="auto"/>
        <w:rPr>
          <w:rFonts w:ascii="Times New Roman" w:eastAsia="Calibri" w:hAnsi="Times New Roman" w:cs="Times New Roman"/>
          <w:sz w:val="24"/>
          <w:szCs w:val="24"/>
        </w:rPr>
      </w:pPr>
      <w:r w:rsidRPr="00AD46FC">
        <w:rPr>
          <w:rFonts w:ascii="Times New Roman" w:hAnsi="Times New Roman" w:cs="Times New Roman"/>
          <w:b/>
          <w:bCs/>
          <w:sz w:val="24"/>
          <w:szCs w:val="24"/>
        </w:rPr>
        <w:t xml:space="preserve">Primary </w:t>
      </w:r>
      <w:r w:rsidRPr="00A31E8B">
        <w:rPr>
          <w:rFonts w:ascii="Times New Roman" w:hAnsi="Times New Roman" w:cs="Times New Roman"/>
          <w:b/>
          <w:bCs/>
          <w:sz w:val="24"/>
          <w:szCs w:val="24"/>
        </w:rPr>
        <w:t>Author</w:t>
      </w:r>
      <w:r w:rsidR="003E539F" w:rsidRPr="00A31E8B">
        <w:rPr>
          <w:rFonts w:ascii="Times New Roman" w:hAnsi="Times New Roman" w:cs="Times New Roman"/>
          <w:sz w:val="24"/>
          <w:szCs w:val="24"/>
        </w:rPr>
        <w:t xml:space="preserve"> </w:t>
      </w:r>
      <w:r w:rsidR="00AD46FC" w:rsidRPr="00A31E8B">
        <w:rPr>
          <w:rFonts w:ascii="Times New Roman" w:eastAsia="Calibri" w:hAnsi="Times New Roman" w:cs="Times New Roman"/>
          <w:sz w:val="24"/>
          <w:szCs w:val="24"/>
        </w:rPr>
        <w:t>M. </w:t>
      </w:r>
      <w:proofErr w:type="spellStart"/>
      <w:r w:rsidR="00AD46FC" w:rsidRPr="00A31E8B">
        <w:rPr>
          <w:rFonts w:ascii="Times New Roman" w:eastAsia="Calibri" w:hAnsi="Times New Roman" w:cs="Times New Roman"/>
          <w:sz w:val="24"/>
          <w:szCs w:val="24"/>
        </w:rPr>
        <w:t>Cruz</w:t>
      </w:r>
      <w:r w:rsidR="00AD46FC" w:rsidRPr="00A31E8B">
        <w:rPr>
          <w:rFonts w:ascii="Times New Roman" w:eastAsia="Calibri" w:hAnsi="Times New Roman" w:cs="Times New Roman"/>
          <w:sz w:val="24"/>
          <w:szCs w:val="24"/>
          <w:vertAlign w:val="superscript"/>
        </w:rPr>
        <w:t>a</w:t>
      </w:r>
      <w:proofErr w:type="spellEnd"/>
      <w:r w:rsidR="00A31E8B" w:rsidRPr="00A31E8B">
        <w:rPr>
          <w:rFonts w:ascii="Times New Roman" w:eastAsia="Calibri" w:hAnsi="Times New Roman" w:cs="Times New Roman"/>
          <w:sz w:val="24"/>
          <w:szCs w:val="24"/>
        </w:rPr>
        <w:t>, M</w:t>
      </w:r>
      <w:r w:rsidR="00AD46FC" w:rsidRPr="00A31E8B">
        <w:rPr>
          <w:rFonts w:ascii="Times New Roman" w:eastAsia="Calibri" w:hAnsi="Times New Roman" w:cs="Times New Roman"/>
          <w:sz w:val="24"/>
          <w:szCs w:val="24"/>
        </w:rPr>
        <w:t>. </w:t>
      </w:r>
      <w:r w:rsidR="00A31E8B" w:rsidRPr="00A31E8B">
        <w:rPr>
          <w:rFonts w:ascii="Times New Roman" w:eastAsia="Calibri" w:hAnsi="Times New Roman" w:cs="Times New Roman"/>
          <w:sz w:val="24"/>
          <w:szCs w:val="24"/>
        </w:rPr>
        <w:t>Agustin</w:t>
      </w:r>
      <w:r w:rsidR="00A31E8B" w:rsidRPr="00A31E8B">
        <w:rPr>
          <w:rFonts w:ascii="Times New Roman" w:eastAsia="Calibri" w:hAnsi="Times New Roman" w:cs="Times New Roman"/>
          <w:sz w:val="24"/>
          <w:szCs w:val="24"/>
          <w:vertAlign w:val="superscript"/>
        </w:rPr>
        <w:t>a</w:t>
      </w:r>
      <w:r w:rsidR="00AD46FC" w:rsidRPr="00A31E8B">
        <w:rPr>
          <w:rFonts w:ascii="Times New Roman" w:eastAsia="Calibri" w:hAnsi="Times New Roman" w:cs="Times New Roman"/>
          <w:sz w:val="24"/>
          <w:szCs w:val="24"/>
        </w:rPr>
        <w:t>, M</w:t>
      </w:r>
      <w:r w:rsidR="00A31E8B" w:rsidRPr="00A31E8B">
        <w:rPr>
          <w:rFonts w:ascii="Times New Roman" w:eastAsia="Calibri" w:hAnsi="Times New Roman" w:cs="Times New Roman"/>
          <w:sz w:val="24"/>
          <w:szCs w:val="24"/>
        </w:rPr>
        <w:t xml:space="preserve">. </w:t>
      </w:r>
      <w:proofErr w:type="spellStart"/>
      <w:r w:rsidR="00A31E8B" w:rsidRPr="00A31E8B">
        <w:rPr>
          <w:rFonts w:ascii="Times New Roman" w:eastAsia="Calibri" w:hAnsi="Times New Roman" w:cs="Times New Roman"/>
          <w:sz w:val="24"/>
          <w:szCs w:val="24"/>
        </w:rPr>
        <w:t>Valenzuela</w:t>
      </w:r>
      <w:r w:rsidR="00A31E8B" w:rsidRPr="00A31E8B">
        <w:rPr>
          <w:rFonts w:ascii="Times New Roman" w:eastAsia="Calibri" w:hAnsi="Times New Roman" w:cs="Times New Roman"/>
          <w:sz w:val="24"/>
          <w:szCs w:val="24"/>
          <w:vertAlign w:val="superscript"/>
        </w:rPr>
        <w:t>b</w:t>
      </w:r>
      <w:proofErr w:type="spellEnd"/>
    </w:p>
    <w:p w14:paraId="5FEB4BFF" w14:textId="77777777" w:rsidR="00AD46FC" w:rsidRPr="00A31E8B" w:rsidRDefault="00AD46FC" w:rsidP="00AD46FC">
      <w:pPr>
        <w:spacing w:after="0" w:line="240" w:lineRule="auto"/>
        <w:rPr>
          <w:rFonts w:ascii="Times New Roman" w:hAnsi="Times New Roman" w:cs="Times New Roman"/>
          <w:sz w:val="24"/>
          <w:szCs w:val="24"/>
        </w:rPr>
      </w:pPr>
    </w:p>
    <w:p w14:paraId="45EE518B" w14:textId="77777777" w:rsidR="00A31E8B" w:rsidRPr="00A31E8B" w:rsidRDefault="00A31E8B" w:rsidP="00A31E8B">
      <w:pPr>
        <w:pStyle w:val="ListParagraph"/>
        <w:numPr>
          <w:ilvl w:val="0"/>
          <w:numId w:val="3"/>
        </w:numPr>
        <w:rPr>
          <w:rFonts w:ascii="Times New Roman" w:hAnsi="Times New Roman" w:cs="Times New Roman"/>
          <w:sz w:val="24"/>
          <w:szCs w:val="24"/>
          <w:vertAlign w:val="superscript"/>
        </w:rPr>
      </w:pPr>
      <w:r w:rsidRPr="00A31E8B">
        <w:rPr>
          <w:rFonts w:ascii="Times New Roman" w:hAnsi="Times New Roman" w:cs="Times New Roman"/>
          <w:sz w:val="24"/>
          <w:szCs w:val="24"/>
        </w:rPr>
        <w:t>Central Luzon Integrated Oncology Center, City of San Fernando Philippines</w:t>
      </w:r>
    </w:p>
    <w:p w14:paraId="7508E64A" w14:textId="3D821605" w:rsidR="00A31E8B" w:rsidRPr="00A31E8B" w:rsidRDefault="00A31E8B" w:rsidP="00A31E8B">
      <w:pPr>
        <w:pStyle w:val="ListParagraph"/>
        <w:numPr>
          <w:ilvl w:val="0"/>
          <w:numId w:val="3"/>
        </w:numPr>
        <w:rPr>
          <w:rFonts w:ascii="Times New Roman" w:hAnsi="Times New Roman" w:cs="Times New Roman"/>
          <w:sz w:val="24"/>
          <w:szCs w:val="24"/>
          <w:vertAlign w:val="superscript"/>
        </w:rPr>
      </w:pPr>
      <w:r w:rsidRPr="00A31E8B">
        <w:rPr>
          <w:rFonts w:ascii="Times New Roman" w:hAnsi="Times New Roman" w:cs="Times New Roman"/>
          <w:sz w:val="24"/>
          <w:szCs w:val="24"/>
        </w:rPr>
        <w:t xml:space="preserve"> Department of Education Region III, City of San Fernando Philippines</w:t>
      </w:r>
    </w:p>
    <w:p w14:paraId="583C493E" w14:textId="77777777" w:rsidR="00D423FF" w:rsidRPr="000E6CFB" w:rsidRDefault="00D423FF" w:rsidP="00D423FF">
      <w:pPr>
        <w:spacing w:after="0" w:line="240" w:lineRule="auto"/>
        <w:rPr>
          <w:sz w:val="20"/>
          <w:szCs w:val="20"/>
        </w:rPr>
      </w:pPr>
    </w:p>
    <w:p w14:paraId="679E5119" w14:textId="75E486D2" w:rsidR="00067515" w:rsidRPr="00D802D1" w:rsidRDefault="00067515" w:rsidP="00067515">
      <w:pPr>
        <w:spacing w:line="240" w:lineRule="auto"/>
        <w:rPr>
          <w:rFonts w:asciiTheme="majorBidi" w:hAnsiTheme="majorBidi" w:cstheme="majorBidi"/>
          <w:sz w:val="24"/>
          <w:szCs w:val="24"/>
        </w:rPr>
      </w:pPr>
      <w:r w:rsidRPr="00BD4F0B">
        <w:rPr>
          <w:rFonts w:asciiTheme="majorBidi" w:hAnsiTheme="majorBidi" w:cstheme="majorBidi"/>
          <w:sz w:val="24"/>
          <w:szCs w:val="24"/>
        </w:rPr>
        <w:t>Email address</w:t>
      </w:r>
      <w:r>
        <w:rPr>
          <w:rFonts w:asciiTheme="majorBidi" w:hAnsiTheme="majorBidi" w:cstheme="majorBidi"/>
          <w:sz w:val="24"/>
          <w:szCs w:val="24"/>
        </w:rPr>
        <w:t xml:space="preserve"> of Corresponding Author(s)</w:t>
      </w:r>
      <w:r w:rsidRPr="00BD4F0B">
        <w:rPr>
          <w:rFonts w:asciiTheme="majorBidi" w:hAnsiTheme="majorBidi" w:cstheme="majorBidi"/>
          <w:sz w:val="24"/>
          <w:szCs w:val="24"/>
        </w:rPr>
        <w:t xml:space="preserve">: </w:t>
      </w:r>
      <w:r w:rsidR="00AD46FC" w:rsidRPr="00AD46FC">
        <w:t>micru694@gmail.com</w:t>
      </w:r>
    </w:p>
    <w:p w14:paraId="15CD8DFF" w14:textId="77777777" w:rsidR="00507E87" w:rsidRDefault="00507E87">
      <w:pPr>
        <w:rPr>
          <w:rFonts w:asciiTheme="majorBidi" w:hAnsiTheme="majorBidi" w:cstheme="majorBidi"/>
          <w:b/>
          <w:bCs/>
          <w:sz w:val="24"/>
          <w:szCs w:val="24"/>
        </w:rPr>
      </w:pPr>
    </w:p>
    <w:p w14:paraId="6F44F946" w14:textId="42D8E4C7" w:rsidR="00152AF7" w:rsidRPr="000C5261" w:rsidRDefault="00067515">
      <w:pPr>
        <w:rPr>
          <w:rFonts w:ascii="Times New Roman" w:hAnsi="Times New Roman" w:cs="Times New Roman"/>
          <w:b/>
          <w:bCs/>
          <w:sz w:val="24"/>
          <w:szCs w:val="24"/>
        </w:rPr>
      </w:pPr>
      <w:r w:rsidRPr="000C5261">
        <w:rPr>
          <w:rFonts w:ascii="Times New Roman" w:hAnsi="Times New Roman" w:cs="Times New Roman"/>
          <w:b/>
          <w:bCs/>
          <w:sz w:val="24"/>
          <w:szCs w:val="24"/>
        </w:rPr>
        <w:t>BACKGROUND</w:t>
      </w:r>
      <w:r w:rsidR="00507E87" w:rsidRPr="000C5261">
        <w:rPr>
          <w:rFonts w:ascii="Times New Roman" w:hAnsi="Times New Roman" w:cs="Times New Roman"/>
          <w:b/>
          <w:bCs/>
          <w:sz w:val="24"/>
          <w:szCs w:val="24"/>
        </w:rPr>
        <w:t xml:space="preserve"> AND OBJECTIVE</w:t>
      </w:r>
    </w:p>
    <w:p w14:paraId="2BDEEBE7" w14:textId="77777777" w:rsidR="000C5261" w:rsidRPr="000C5261" w:rsidRDefault="000C5261" w:rsidP="000C5261">
      <w:pPr>
        <w:outlineLvl w:val="0"/>
        <w:rPr>
          <w:rFonts w:ascii="Times New Roman" w:hAnsi="Times New Roman" w:cs="Times New Roman"/>
          <w:b/>
          <w:sz w:val="24"/>
          <w:szCs w:val="24"/>
        </w:rPr>
      </w:pPr>
      <w:r w:rsidRPr="000C5261">
        <w:rPr>
          <w:rFonts w:ascii="Times New Roman" w:hAnsi="Times New Roman" w:cs="Times New Roman"/>
          <w:sz w:val="24"/>
          <w:szCs w:val="24"/>
        </w:rPr>
        <w:t xml:space="preserve">To compare the treatment outcome in terms of survival, treatment related side effects and treatment response of 33 fractions with simultaneous intensity modulated boost (SIMB) versus sequential 35 fractions using helical approach among nasopharyngeal carcinoma patients. </w:t>
      </w:r>
    </w:p>
    <w:p w14:paraId="7DAB6B5F" w14:textId="619C24D3" w:rsidR="00152AF7" w:rsidRPr="000C5261" w:rsidRDefault="00856BA6" w:rsidP="00071BF5">
      <w:pPr>
        <w:spacing w:line="240" w:lineRule="auto"/>
        <w:rPr>
          <w:rFonts w:ascii="Times New Roman" w:hAnsi="Times New Roman" w:cs="Times New Roman"/>
          <w:b/>
          <w:bCs/>
          <w:sz w:val="24"/>
          <w:szCs w:val="24"/>
        </w:rPr>
      </w:pPr>
      <w:r w:rsidRPr="000C5261">
        <w:rPr>
          <w:rFonts w:ascii="Times New Roman" w:hAnsi="Times New Roman" w:cs="Times New Roman"/>
          <w:b/>
          <w:bCs/>
          <w:sz w:val="24"/>
          <w:szCs w:val="24"/>
        </w:rPr>
        <w:t>METHOD</w:t>
      </w:r>
      <w:r w:rsidR="00152AF7" w:rsidRPr="000C5261">
        <w:rPr>
          <w:rFonts w:ascii="Times New Roman" w:hAnsi="Times New Roman" w:cs="Times New Roman"/>
          <w:b/>
          <w:bCs/>
          <w:sz w:val="24"/>
          <w:szCs w:val="24"/>
        </w:rPr>
        <w:t>S</w:t>
      </w:r>
    </w:p>
    <w:p w14:paraId="29B61106" w14:textId="41F41ABD" w:rsidR="000C5261" w:rsidRPr="000C5261" w:rsidRDefault="000C5261" w:rsidP="00BB1E66">
      <w:pPr>
        <w:spacing w:after="0" w:line="240" w:lineRule="auto"/>
        <w:jc w:val="both"/>
        <w:outlineLvl w:val="0"/>
        <w:rPr>
          <w:rFonts w:ascii="Times New Roman" w:hAnsi="Times New Roman" w:cs="Times New Roman"/>
          <w:sz w:val="24"/>
          <w:szCs w:val="24"/>
        </w:rPr>
      </w:pPr>
      <w:r w:rsidRPr="000C5261">
        <w:rPr>
          <w:rFonts w:ascii="Times New Roman" w:hAnsi="Times New Roman" w:cs="Times New Roman"/>
          <w:sz w:val="24"/>
          <w:szCs w:val="24"/>
        </w:rPr>
        <w:t xml:space="preserve">From September 2014 to September 2018, a total of 91 patients diagnosed with nasopharyngeal carcinoma were treated with either 33 fractions with SIMB (n=34) and sequential 35 fractions (n=57) using image guided intensity modulated radiotherapy </w:t>
      </w:r>
      <w:r w:rsidR="00BB1E66">
        <w:rPr>
          <w:rFonts w:ascii="Times New Roman" w:hAnsi="Times New Roman" w:cs="Times New Roman"/>
          <w:sz w:val="24"/>
          <w:szCs w:val="24"/>
        </w:rPr>
        <w:t>(IG-</w:t>
      </w:r>
      <w:r w:rsidRPr="000C5261">
        <w:rPr>
          <w:rFonts w:ascii="Times New Roman" w:hAnsi="Times New Roman" w:cs="Times New Roman"/>
          <w:sz w:val="24"/>
          <w:szCs w:val="24"/>
        </w:rPr>
        <w:t xml:space="preserve">IMRT) helical approach concurrently with chemotherapy at the Central Luzon Integrated Oncology Center (CLIOC) and were followed up for four years.  All were </w:t>
      </w:r>
      <w:proofErr w:type="spellStart"/>
      <w:r w:rsidRPr="000C5261">
        <w:rPr>
          <w:rFonts w:ascii="Times New Roman" w:hAnsi="Times New Roman" w:cs="Times New Roman"/>
          <w:sz w:val="24"/>
          <w:szCs w:val="24"/>
        </w:rPr>
        <w:t>histopathologically</w:t>
      </w:r>
      <w:proofErr w:type="spellEnd"/>
      <w:r w:rsidRPr="000C5261">
        <w:rPr>
          <w:rFonts w:ascii="Times New Roman" w:hAnsi="Times New Roman" w:cs="Times New Roman"/>
          <w:sz w:val="24"/>
          <w:szCs w:val="24"/>
        </w:rPr>
        <w:t xml:space="preserve"> confirmed undifferentiated and squamous cell type. Targets were defined as GTV=70Gy, CTV66 = 66Gy, CTV60=60Gy and PTV (target + 3mm) at 200 </w:t>
      </w:r>
      <w:proofErr w:type="spellStart"/>
      <w:r w:rsidRPr="000C5261">
        <w:rPr>
          <w:rFonts w:ascii="Times New Roman" w:hAnsi="Times New Roman" w:cs="Times New Roman"/>
          <w:sz w:val="24"/>
          <w:szCs w:val="24"/>
        </w:rPr>
        <w:t>cGy</w:t>
      </w:r>
      <w:proofErr w:type="spellEnd"/>
      <w:r w:rsidRPr="000C5261">
        <w:rPr>
          <w:rFonts w:ascii="Times New Roman" w:hAnsi="Times New Roman" w:cs="Times New Roman"/>
          <w:sz w:val="24"/>
          <w:szCs w:val="24"/>
        </w:rPr>
        <w:t xml:space="preserve"> per fraction. Daily megavoltage computed tomography was done and organ at risk were define with tolerance dose based on QUANTEC. Side effects were recorded based on common toxicity grading (CTC) </w:t>
      </w:r>
      <w:proofErr w:type="spellStart"/>
      <w:r w:rsidRPr="000C5261">
        <w:rPr>
          <w:rFonts w:ascii="Times New Roman" w:hAnsi="Times New Roman" w:cs="Times New Roman"/>
          <w:sz w:val="24"/>
          <w:szCs w:val="24"/>
        </w:rPr>
        <w:t>ver</w:t>
      </w:r>
      <w:proofErr w:type="spellEnd"/>
      <w:r w:rsidRPr="000C5261">
        <w:rPr>
          <w:rFonts w:ascii="Times New Roman" w:hAnsi="Times New Roman" w:cs="Times New Roman"/>
          <w:sz w:val="24"/>
          <w:szCs w:val="24"/>
        </w:rPr>
        <w:t xml:space="preserve"> 2.0. Patients were followed up using magnetic resonance imaging (MRI) every three months on the first year, every six months on second year and every year on the third year onwards.</w:t>
      </w:r>
    </w:p>
    <w:p w14:paraId="36F5FB7C" w14:textId="77777777" w:rsidR="00D423FF" w:rsidRPr="000C5261" w:rsidRDefault="00D423FF" w:rsidP="00D423FF">
      <w:pPr>
        <w:spacing w:after="0" w:line="240" w:lineRule="auto"/>
        <w:rPr>
          <w:rFonts w:ascii="Times New Roman" w:eastAsia="Times New Roman" w:hAnsi="Times New Roman" w:cs="Times New Roman"/>
          <w:sz w:val="24"/>
          <w:szCs w:val="24"/>
        </w:rPr>
      </w:pPr>
    </w:p>
    <w:p w14:paraId="30DA6807" w14:textId="2A96FEB7" w:rsidR="00152AF7" w:rsidRPr="000C5261" w:rsidRDefault="00152AF7">
      <w:pPr>
        <w:rPr>
          <w:rFonts w:ascii="Times New Roman" w:hAnsi="Times New Roman" w:cs="Times New Roman"/>
          <w:b/>
          <w:bCs/>
          <w:sz w:val="24"/>
          <w:szCs w:val="24"/>
        </w:rPr>
      </w:pPr>
      <w:r w:rsidRPr="000C5261">
        <w:rPr>
          <w:rFonts w:ascii="Times New Roman" w:hAnsi="Times New Roman" w:cs="Times New Roman"/>
          <w:b/>
          <w:bCs/>
          <w:sz w:val="24"/>
          <w:szCs w:val="24"/>
        </w:rPr>
        <w:t>RESULTS</w:t>
      </w:r>
      <w:r w:rsidR="00507E87" w:rsidRPr="000C5261">
        <w:rPr>
          <w:rFonts w:ascii="Times New Roman" w:hAnsi="Times New Roman" w:cs="Times New Roman"/>
          <w:b/>
          <w:bCs/>
          <w:sz w:val="24"/>
          <w:szCs w:val="24"/>
        </w:rPr>
        <w:t xml:space="preserve"> AND DISCUSSION</w:t>
      </w:r>
    </w:p>
    <w:p w14:paraId="313337D2" w14:textId="68A1F1C1" w:rsidR="000C5261" w:rsidRDefault="000C5261" w:rsidP="000C5261">
      <w:pPr>
        <w:spacing w:after="0" w:line="240" w:lineRule="auto"/>
        <w:jc w:val="both"/>
        <w:rPr>
          <w:rFonts w:ascii="Times New Roman" w:hAnsi="Times New Roman" w:cs="Times New Roman"/>
          <w:sz w:val="24"/>
          <w:szCs w:val="24"/>
        </w:rPr>
      </w:pPr>
      <w:bookmarkStart w:id="1" w:name="OLE_LINK5"/>
      <w:r w:rsidRPr="000C5261">
        <w:rPr>
          <w:rFonts w:ascii="Times New Roman" w:hAnsi="Times New Roman" w:cs="Times New Roman"/>
          <w:sz w:val="24"/>
          <w:szCs w:val="24"/>
        </w:rPr>
        <w:t xml:space="preserve">There was no statistically significant difference in terms of clinical profile for patients treated with 33 fractions compared to 35 fractions. Patients who received 33 fractions showed no statistically significant difference in terms of survival time compared with 35 fractions (863 days vs 903 days, p = 0.085). Four-year survival rate was higher in the 33 fractions compared to the 35 fractions group, 97.1% vs 89.5% respectively (Fig. 1) but not statistically significant. </w:t>
      </w:r>
      <w:bookmarkStart w:id="2" w:name="OLE_LINK6"/>
      <w:bookmarkEnd w:id="1"/>
      <w:r w:rsidRPr="000C5261">
        <w:rPr>
          <w:rFonts w:ascii="Times New Roman" w:hAnsi="Times New Roman" w:cs="Times New Roman"/>
          <w:sz w:val="24"/>
          <w:szCs w:val="24"/>
        </w:rPr>
        <w:t xml:space="preserve">No statistically significant difference was noted in the proportion of patients who reported treatment related side effects such as xerostomia, </w:t>
      </w:r>
      <w:proofErr w:type="spellStart"/>
      <w:r w:rsidRPr="000C5261">
        <w:rPr>
          <w:rFonts w:ascii="Times New Roman" w:hAnsi="Times New Roman" w:cs="Times New Roman"/>
          <w:sz w:val="24"/>
          <w:szCs w:val="24"/>
        </w:rPr>
        <w:t>ageusia</w:t>
      </w:r>
      <w:proofErr w:type="spellEnd"/>
      <w:r w:rsidRPr="000C5261">
        <w:rPr>
          <w:rFonts w:ascii="Times New Roman" w:hAnsi="Times New Roman" w:cs="Times New Roman"/>
          <w:sz w:val="24"/>
          <w:szCs w:val="24"/>
        </w:rPr>
        <w:t xml:space="preserve">, dysphagia, mucositis and skin desquamation among 33 and 35 fractions (Fisher’s exact test p-values &gt; 0.05)[Table 1]. although the mean time to event was shorter in the 33 fractions group. Treatment response showed 41.2% vs 35.1% improved, 8,8% vs 7% no improvement and 5.9% vs 1.8% re-treatment for 33 and 35 fractions respectively and found no significant difference (p value 0.511) [Table 2]. </w:t>
      </w:r>
    </w:p>
    <w:p w14:paraId="45A9F694" w14:textId="77777777" w:rsidR="00EA377B" w:rsidRDefault="00EA377B" w:rsidP="000C5261">
      <w:pPr>
        <w:spacing w:after="0" w:line="240" w:lineRule="auto"/>
        <w:jc w:val="both"/>
        <w:rPr>
          <w:rFonts w:ascii="Times New Roman" w:hAnsi="Times New Roman" w:cs="Times New Roman"/>
          <w:sz w:val="24"/>
          <w:szCs w:val="24"/>
        </w:rPr>
      </w:pPr>
    </w:p>
    <w:p w14:paraId="272FD553" w14:textId="77777777" w:rsidR="00EA377B" w:rsidRDefault="00EA377B" w:rsidP="000C5261">
      <w:pPr>
        <w:spacing w:after="0" w:line="240" w:lineRule="auto"/>
        <w:jc w:val="both"/>
        <w:rPr>
          <w:rFonts w:ascii="Times New Roman" w:hAnsi="Times New Roman" w:cs="Times New Roman"/>
          <w:sz w:val="24"/>
          <w:szCs w:val="24"/>
        </w:rPr>
      </w:pPr>
    </w:p>
    <w:p w14:paraId="43916E34" w14:textId="230E857F" w:rsidR="000C5261" w:rsidRPr="000C5261" w:rsidRDefault="000C5261" w:rsidP="000C5261">
      <w:pPr>
        <w:spacing w:line="480" w:lineRule="auto"/>
        <w:jc w:val="both"/>
        <w:rPr>
          <w:rFonts w:ascii="Times New Roman" w:hAnsi="Times New Roman" w:cs="Times New Roman"/>
          <w:b/>
          <w:i/>
        </w:rPr>
      </w:pPr>
      <w:r w:rsidRPr="00743A18">
        <w:rPr>
          <w:rFonts w:ascii="Times New Roman" w:hAnsi="Times New Roman" w:cs="Times New Roman"/>
        </w:rPr>
        <w:lastRenderedPageBreak/>
        <w:t>Fig</w:t>
      </w:r>
      <w:r>
        <w:rPr>
          <w:rFonts w:ascii="Times New Roman" w:hAnsi="Times New Roman" w:cs="Times New Roman"/>
        </w:rPr>
        <w:t>ure</w:t>
      </w:r>
      <w:r w:rsidRPr="00743A18">
        <w:rPr>
          <w:rFonts w:ascii="Times New Roman" w:hAnsi="Times New Roman" w:cs="Times New Roman"/>
        </w:rPr>
        <w:t xml:space="preserve"> 1. </w:t>
      </w:r>
      <w:r w:rsidRPr="00743A18">
        <w:rPr>
          <w:rFonts w:ascii="Times New Roman" w:hAnsi="Times New Roman" w:cs="Times New Roman"/>
          <w:b/>
          <w:i/>
        </w:rPr>
        <w:t xml:space="preserve"> </w:t>
      </w:r>
      <w:r w:rsidRPr="00743A18">
        <w:rPr>
          <w:rFonts w:ascii="Times New Roman" w:hAnsi="Times New Roman" w:cs="Times New Roman"/>
        </w:rPr>
        <w:t>Plots of Kaplan-Meier Estimates of Survival of NPCA Patients</w:t>
      </w:r>
    </w:p>
    <w:bookmarkEnd w:id="2"/>
    <w:p w14:paraId="6B26E54F" w14:textId="77777777" w:rsidR="000C5261" w:rsidRPr="00E600E0" w:rsidRDefault="000C5261" w:rsidP="000C5261">
      <w:pPr>
        <w:ind w:left="1440" w:hanging="1440"/>
        <w:rPr>
          <w:rFonts w:ascii="Times New Roman" w:hAnsi="Times New Roman" w:cs="Times New Roman"/>
        </w:rPr>
      </w:pPr>
      <w:r w:rsidRPr="00140829">
        <w:rPr>
          <w:rFonts w:cstheme="minorHAnsi"/>
          <w:noProof/>
          <w:sz w:val="20"/>
          <w:szCs w:val="20"/>
        </w:rPr>
        <w:drawing>
          <wp:inline distT="0" distB="0" distL="0" distR="0" wp14:anchorId="13574B72" wp14:editId="16F62351">
            <wp:extent cx="4847472" cy="391474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4538" cy="3928530"/>
                    </a:xfrm>
                    <a:prstGeom prst="rect">
                      <a:avLst/>
                    </a:prstGeom>
                  </pic:spPr>
                </pic:pic>
              </a:graphicData>
            </a:graphic>
          </wp:inline>
        </w:drawing>
      </w:r>
    </w:p>
    <w:p w14:paraId="23360E1E" w14:textId="77777777" w:rsidR="000C5261" w:rsidRDefault="000C5261" w:rsidP="000C5261">
      <w:pPr>
        <w:rPr>
          <w:rFonts w:ascii="Times New Roman" w:hAnsi="Times New Roman" w:cs="Times New Roman"/>
          <w:b/>
        </w:rPr>
      </w:pPr>
    </w:p>
    <w:p w14:paraId="6BC86598" w14:textId="77777777" w:rsidR="000C5261" w:rsidRDefault="000C5261" w:rsidP="000C5261">
      <w:pPr>
        <w:ind w:left="1440" w:hanging="1440"/>
        <w:rPr>
          <w:rFonts w:ascii="Times New Roman" w:hAnsi="Times New Roman" w:cs="Times New Roman"/>
        </w:rPr>
      </w:pPr>
      <w:r>
        <w:rPr>
          <w:rFonts w:ascii="Times New Roman" w:hAnsi="Times New Roman" w:cs="Times New Roman"/>
        </w:rPr>
        <w:t>Table 1. Incidence and occurrence of side effects among NPC</w:t>
      </w:r>
    </w:p>
    <w:p w14:paraId="01EE6A1D" w14:textId="77777777" w:rsidR="000C5261" w:rsidRPr="00E600E0" w:rsidRDefault="000C5261" w:rsidP="000C5261">
      <w:pPr>
        <w:ind w:left="1440" w:hanging="1440"/>
        <w:rPr>
          <w:rFonts w:ascii="Times New Roman" w:hAnsi="Times New Roman" w:cs="Times New Roman"/>
        </w:rPr>
      </w:pPr>
    </w:p>
    <w:tbl>
      <w:tblPr>
        <w:tblW w:w="100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083"/>
        <w:gridCol w:w="1178"/>
        <w:gridCol w:w="804"/>
        <w:gridCol w:w="10"/>
        <w:gridCol w:w="761"/>
        <w:gridCol w:w="1277"/>
        <w:gridCol w:w="869"/>
        <w:gridCol w:w="1280"/>
        <w:gridCol w:w="1051"/>
        <w:gridCol w:w="21"/>
      </w:tblGrid>
      <w:tr w:rsidR="000C5261" w:rsidRPr="003F6940" w14:paraId="471DD24B" w14:textId="77777777" w:rsidTr="003A3F03">
        <w:trPr>
          <w:trHeight w:val="575"/>
        </w:trPr>
        <w:tc>
          <w:tcPr>
            <w:tcW w:w="1708" w:type="dxa"/>
            <w:vMerge w:val="restart"/>
            <w:shd w:val="clear" w:color="auto" w:fill="auto"/>
            <w:noWrap/>
            <w:vAlign w:val="center"/>
            <w:hideMark/>
          </w:tcPr>
          <w:p w14:paraId="3269919C" w14:textId="77777777" w:rsidR="000C5261" w:rsidRDefault="000C5261" w:rsidP="003A3F03">
            <w:pPr>
              <w:pStyle w:val="NoSpacing"/>
              <w:jc w:val="center"/>
              <w:rPr>
                <w:rFonts w:cstheme="minorHAnsi"/>
                <w:b/>
                <w:sz w:val="18"/>
                <w:szCs w:val="18"/>
              </w:rPr>
            </w:pPr>
            <w:r w:rsidRPr="003F6940">
              <w:rPr>
                <w:rFonts w:cstheme="minorHAnsi"/>
                <w:b/>
                <w:sz w:val="18"/>
                <w:szCs w:val="18"/>
              </w:rPr>
              <w:t xml:space="preserve">Side </w:t>
            </w:r>
          </w:p>
          <w:p w14:paraId="1703D48F" w14:textId="77777777" w:rsidR="000C5261" w:rsidRPr="003F6940" w:rsidRDefault="000C5261" w:rsidP="003A3F03">
            <w:pPr>
              <w:pStyle w:val="NoSpacing"/>
              <w:jc w:val="center"/>
              <w:rPr>
                <w:rFonts w:cstheme="minorHAnsi"/>
                <w:b/>
                <w:sz w:val="18"/>
                <w:szCs w:val="18"/>
              </w:rPr>
            </w:pPr>
            <w:r w:rsidRPr="003F6940">
              <w:rPr>
                <w:rFonts w:cstheme="minorHAnsi"/>
                <w:b/>
                <w:sz w:val="18"/>
                <w:szCs w:val="18"/>
              </w:rPr>
              <w:t>effects</w:t>
            </w:r>
          </w:p>
        </w:tc>
        <w:tc>
          <w:tcPr>
            <w:tcW w:w="3075" w:type="dxa"/>
            <w:gridSpan w:val="4"/>
            <w:shd w:val="clear" w:color="auto" w:fill="auto"/>
            <w:vAlign w:val="center"/>
            <w:hideMark/>
          </w:tcPr>
          <w:p w14:paraId="08FE35FD" w14:textId="77777777" w:rsidR="000C5261" w:rsidRPr="003F6940" w:rsidRDefault="000C5261" w:rsidP="003A3F03">
            <w:pPr>
              <w:pStyle w:val="NoSpacing"/>
              <w:jc w:val="center"/>
              <w:rPr>
                <w:rFonts w:cstheme="minorHAnsi"/>
                <w:b/>
                <w:sz w:val="18"/>
                <w:szCs w:val="18"/>
              </w:rPr>
            </w:pPr>
            <w:r w:rsidRPr="003F6940">
              <w:rPr>
                <w:rFonts w:cstheme="minorHAnsi"/>
                <w:b/>
                <w:sz w:val="18"/>
                <w:szCs w:val="18"/>
              </w:rPr>
              <w:t>Patients</w:t>
            </w:r>
            <w:r>
              <w:rPr>
                <w:rFonts w:cstheme="minorHAnsi"/>
                <w:b/>
                <w:sz w:val="18"/>
                <w:szCs w:val="18"/>
              </w:rPr>
              <w:t xml:space="preserve"> with side effect</w:t>
            </w:r>
          </w:p>
        </w:tc>
        <w:tc>
          <w:tcPr>
            <w:tcW w:w="5259" w:type="dxa"/>
            <w:gridSpan w:val="6"/>
            <w:vAlign w:val="center"/>
          </w:tcPr>
          <w:p w14:paraId="1B69DBB1" w14:textId="77777777" w:rsidR="000C5261" w:rsidRPr="003F6940" w:rsidRDefault="000C5261" w:rsidP="003A3F03">
            <w:pPr>
              <w:pStyle w:val="NoSpacing"/>
              <w:jc w:val="center"/>
              <w:rPr>
                <w:rFonts w:cstheme="minorHAnsi"/>
                <w:b/>
                <w:sz w:val="18"/>
                <w:szCs w:val="18"/>
              </w:rPr>
            </w:pPr>
            <w:r w:rsidRPr="003F6940">
              <w:rPr>
                <w:rFonts w:cstheme="minorHAnsi"/>
                <w:b/>
                <w:sz w:val="18"/>
                <w:szCs w:val="18"/>
              </w:rPr>
              <w:t>Time to Occurrence of side effect</w:t>
            </w:r>
            <w:r>
              <w:rPr>
                <w:rFonts w:cstheme="minorHAnsi"/>
                <w:b/>
                <w:sz w:val="18"/>
                <w:szCs w:val="18"/>
              </w:rPr>
              <w:t xml:space="preserve"> (in days)</w:t>
            </w:r>
          </w:p>
        </w:tc>
      </w:tr>
      <w:tr w:rsidR="000C5261" w:rsidRPr="003F6940" w14:paraId="6D7E13A0" w14:textId="77777777" w:rsidTr="003A3F03">
        <w:trPr>
          <w:gridAfter w:val="1"/>
          <w:wAfter w:w="21" w:type="dxa"/>
          <w:trHeight w:val="480"/>
        </w:trPr>
        <w:tc>
          <w:tcPr>
            <w:tcW w:w="1708" w:type="dxa"/>
            <w:vMerge/>
            <w:shd w:val="clear" w:color="auto" w:fill="auto"/>
            <w:vAlign w:val="center"/>
            <w:hideMark/>
          </w:tcPr>
          <w:p w14:paraId="5E195B8A" w14:textId="77777777" w:rsidR="000C5261" w:rsidRPr="003F6940" w:rsidRDefault="000C5261" w:rsidP="003A3F03">
            <w:pPr>
              <w:pStyle w:val="NoSpacing"/>
              <w:rPr>
                <w:rFonts w:cstheme="minorHAnsi"/>
                <w:sz w:val="18"/>
                <w:szCs w:val="18"/>
              </w:rPr>
            </w:pPr>
          </w:p>
        </w:tc>
        <w:tc>
          <w:tcPr>
            <w:tcW w:w="1083" w:type="dxa"/>
            <w:vMerge w:val="restart"/>
            <w:shd w:val="clear" w:color="auto" w:fill="auto"/>
            <w:noWrap/>
          </w:tcPr>
          <w:p w14:paraId="0DD9A43D" w14:textId="77777777" w:rsidR="000C5261" w:rsidRDefault="000C5261" w:rsidP="003A3F03">
            <w:pPr>
              <w:pStyle w:val="NoSpacing"/>
              <w:jc w:val="center"/>
              <w:rPr>
                <w:rFonts w:cstheme="minorHAnsi"/>
                <w:b/>
                <w:sz w:val="18"/>
                <w:szCs w:val="18"/>
              </w:rPr>
            </w:pPr>
            <w:r w:rsidRPr="003F6940">
              <w:rPr>
                <w:rFonts w:cstheme="minorHAnsi"/>
                <w:b/>
                <w:sz w:val="18"/>
                <w:szCs w:val="18"/>
              </w:rPr>
              <w:t>33</w:t>
            </w:r>
          </w:p>
          <w:p w14:paraId="717E693C" w14:textId="77777777" w:rsidR="000C5261" w:rsidRDefault="000C5261" w:rsidP="003A3F03">
            <w:pPr>
              <w:pStyle w:val="NoSpacing"/>
              <w:jc w:val="center"/>
              <w:rPr>
                <w:rFonts w:cstheme="minorHAnsi"/>
                <w:b/>
                <w:sz w:val="18"/>
                <w:szCs w:val="18"/>
              </w:rPr>
            </w:pPr>
          </w:p>
          <w:p w14:paraId="19982207" w14:textId="77777777" w:rsidR="000C5261" w:rsidRPr="003F6940" w:rsidRDefault="000C5261" w:rsidP="003A3F03">
            <w:pPr>
              <w:pStyle w:val="NoSpacing"/>
              <w:jc w:val="center"/>
              <w:rPr>
                <w:rFonts w:cstheme="minorHAnsi"/>
                <w:b/>
                <w:sz w:val="18"/>
                <w:szCs w:val="18"/>
              </w:rPr>
            </w:pPr>
            <w:r>
              <w:rPr>
                <w:rFonts w:cstheme="minorHAnsi"/>
                <w:b/>
                <w:sz w:val="18"/>
                <w:szCs w:val="18"/>
              </w:rPr>
              <w:t>n (%)</w:t>
            </w:r>
          </w:p>
        </w:tc>
        <w:tc>
          <w:tcPr>
            <w:tcW w:w="1178" w:type="dxa"/>
            <w:vMerge w:val="restart"/>
            <w:shd w:val="clear" w:color="auto" w:fill="auto"/>
          </w:tcPr>
          <w:p w14:paraId="7C5E2A80" w14:textId="77777777" w:rsidR="000C5261" w:rsidRDefault="000C5261" w:rsidP="003A3F03">
            <w:pPr>
              <w:pStyle w:val="NoSpacing"/>
              <w:jc w:val="center"/>
              <w:rPr>
                <w:rFonts w:cstheme="minorHAnsi"/>
                <w:b/>
                <w:sz w:val="18"/>
                <w:szCs w:val="18"/>
              </w:rPr>
            </w:pPr>
            <w:r w:rsidRPr="003F6940">
              <w:rPr>
                <w:rFonts w:cstheme="minorHAnsi"/>
                <w:b/>
                <w:sz w:val="18"/>
                <w:szCs w:val="18"/>
              </w:rPr>
              <w:t>35</w:t>
            </w:r>
          </w:p>
          <w:p w14:paraId="43916709" w14:textId="77777777" w:rsidR="000C5261" w:rsidRDefault="000C5261" w:rsidP="003A3F03">
            <w:pPr>
              <w:pStyle w:val="NoSpacing"/>
              <w:jc w:val="center"/>
              <w:rPr>
                <w:rFonts w:cstheme="minorHAnsi"/>
                <w:b/>
                <w:sz w:val="18"/>
                <w:szCs w:val="18"/>
              </w:rPr>
            </w:pPr>
          </w:p>
          <w:p w14:paraId="3C2AABE5" w14:textId="77777777" w:rsidR="000C5261" w:rsidRPr="003F6940" w:rsidRDefault="000C5261" w:rsidP="003A3F03">
            <w:pPr>
              <w:pStyle w:val="NoSpacing"/>
              <w:jc w:val="center"/>
              <w:rPr>
                <w:rFonts w:cstheme="minorHAnsi"/>
                <w:b/>
                <w:sz w:val="18"/>
                <w:szCs w:val="18"/>
              </w:rPr>
            </w:pPr>
            <w:r>
              <w:rPr>
                <w:rFonts w:cstheme="minorHAnsi"/>
                <w:b/>
                <w:sz w:val="18"/>
                <w:szCs w:val="18"/>
              </w:rPr>
              <w:t>n (%)</w:t>
            </w:r>
          </w:p>
        </w:tc>
        <w:tc>
          <w:tcPr>
            <w:tcW w:w="804" w:type="dxa"/>
            <w:vMerge w:val="restart"/>
          </w:tcPr>
          <w:p w14:paraId="4C11520C" w14:textId="77777777" w:rsidR="000C5261" w:rsidRDefault="000C5261" w:rsidP="003A3F03">
            <w:pPr>
              <w:pStyle w:val="NoSpacing"/>
              <w:jc w:val="center"/>
              <w:rPr>
                <w:rFonts w:cstheme="minorHAnsi"/>
                <w:b/>
                <w:sz w:val="18"/>
                <w:szCs w:val="18"/>
              </w:rPr>
            </w:pPr>
            <w:r>
              <w:rPr>
                <w:rFonts w:cstheme="minorHAnsi"/>
                <w:b/>
                <w:sz w:val="18"/>
                <w:szCs w:val="18"/>
              </w:rPr>
              <w:t xml:space="preserve">Fisher’s exact test </w:t>
            </w:r>
          </w:p>
          <w:p w14:paraId="4F8578BD" w14:textId="77777777" w:rsidR="000C5261" w:rsidRPr="003F6940" w:rsidRDefault="000C5261" w:rsidP="003A3F03">
            <w:pPr>
              <w:pStyle w:val="NoSpacing"/>
              <w:jc w:val="center"/>
              <w:rPr>
                <w:rFonts w:cstheme="minorHAnsi"/>
                <w:b/>
                <w:sz w:val="18"/>
                <w:szCs w:val="18"/>
              </w:rPr>
            </w:pPr>
            <w:r w:rsidRPr="003F6940">
              <w:rPr>
                <w:rFonts w:cstheme="minorHAnsi"/>
                <w:b/>
                <w:sz w:val="18"/>
                <w:szCs w:val="18"/>
              </w:rPr>
              <w:t>p-value</w:t>
            </w:r>
          </w:p>
        </w:tc>
        <w:tc>
          <w:tcPr>
            <w:tcW w:w="2048" w:type="dxa"/>
            <w:gridSpan w:val="3"/>
          </w:tcPr>
          <w:p w14:paraId="4E75D775" w14:textId="77777777" w:rsidR="000C5261" w:rsidRPr="003F6940" w:rsidRDefault="000C5261" w:rsidP="003A3F03">
            <w:pPr>
              <w:pStyle w:val="NoSpacing"/>
              <w:jc w:val="center"/>
              <w:rPr>
                <w:rFonts w:cstheme="minorHAnsi"/>
                <w:b/>
                <w:sz w:val="18"/>
                <w:szCs w:val="18"/>
              </w:rPr>
            </w:pPr>
            <w:r w:rsidRPr="003F6940">
              <w:rPr>
                <w:rFonts w:cstheme="minorHAnsi"/>
                <w:b/>
                <w:sz w:val="18"/>
                <w:szCs w:val="18"/>
              </w:rPr>
              <w:t>33</w:t>
            </w:r>
          </w:p>
        </w:tc>
        <w:tc>
          <w:tcPr>
            <w:tcW w:w="2149" w:type="dxa"/>
            <w:gridSpan w:val="2"/>
          </w:tcPr>
          <w:p w14:paraId="19D77374" w14:textId="77777777" w:rsidR="000C5261" w:rsidRPr="003F6940" w:rsidRDefault="000C5261" w:rsidP="003A3F03">
            <w:pPr>
              <w:pStyle w:val="NoSpacing"/>
              <w:jc w:val="center"/>
              <w:rPr>
                <w:rFonts w:cstheme="minorHAnsi"/>
                <w:b/>
                <w:sz w:val="18"/>
                <w:szCs w:val="18"/>
              </w:rPr>
            </w:pPr>
            <w:r w:rsidRPr="003F6940">
              <w:rPr>
                <w:rFonts w:cstheme="minorHAnsi"/>
                <w:b/>
                <w:sz w:val="18"/>
                <w:szCs w:val="18"/>
              </w:rPr>
              <w:t>35</w:t>
            </w:r>
          </w:p>
        </w:tc>
        <w:tc>
          <w:tcPr>
            <w:tcW w:w="1051" w:type="dxa"/>
            <w:vMerge w:val="restart"/>
          </w:tcPr>
          <w:p w14:paraId="7974FBB5" w14:textId="77777777" w:rsidR="000C5261" w:rsidRPr="003F6940" w:rsidRDefault="000C5261" w:rsidP="003A3F03">
            <w:pPr>
              <w:pStyle w:val="NoSpacing"/>
              <w:jc w:val="center"/>
              <w:rPr>
                <w:rFonts w:cstheme="minorHAnsi"/>
                <w:b/>
                <w:sz w:val="18"/>
                <w:szCs w:val="18"/>
              </w:rPr>
            </w:pPr>
            <w:r w:rsidRPr="003F6940">
              <w:rPr>
                <w:rFonts w:cstheme="minorHAnsi"/>
                <w:b/>
                <w:sz w:val="18"/>
                <w:szCs w:val="18"/>
              </w:rPr>
              <w:t>Log Rank Test (Mantel-Cox)</w:t>
            </w:r>
          </w:p>
          <w:p w14:paraId="17E95567" w14:textId="77777777" w:rsidR="000C5261" w:rsidRPr="003F6940" w:rsidRDefault="000C5261" w:rsidP="003A3F03">
            <w:pPr>
              <w:pStyle w:val="NoSpacing"/>
              <w:jc w:val="center"/>
              <w:rPr>
                <w:rFonts w:cstheme="minorHAnsi"/>
                <w:b/>
                <w:sz w:val="18"/>
                <w:szCs w:val="18"/>
              </w:rPr>
            </w:pPr>
            <w:r w:rsidRPr="003F6940">
              <w:rPr>
                <w:rFonts w:cstheme="minorHAnsi"/>
                <w:b/>
                <w:sz w:val="18"/>
                <w:szCs w:val="18"/>
              </w:rPr>
              <w:t>p-value</w:t>
            </w:r>
          </w:p>
        </w:tc>
      </w:tr>
      <w:tr w:rsidR="000C5261" w:rsidRPr="003F6940" w14:paraId="116E5600" w14:textId="77777777" w:rsidTr="003A3F03">
        <w:trPr>
          <w:gridAfter w:val="1"/>
          <w:wAfter w:w="21" w:type="dxa"/>
          <w:trHeight w:val="480"/>
        </w:trPr>
        <w:tc>
          <w:tcPr>
            <w:tcW w:w="1708" w:type="dxa"/>
            <w:vMerge/>
            <w:shd w:val="clear" w:color="auto" w:fill="auto"/>
            <w:vAlign w:val="center"/>
            <w:hideMark/>
          </w:tcPr>
          <w:p w14:paraId="18C3DEB5" w14:textId="77777777" w:rsidR="000C5261" w:rsidRPr="003F6940" w:rsidRDefault="000C5261" w:rsidP="003A3F03">
            <w:pPr>
              <w:pStyle w:val="NoSpacing"/>
              <w:rPr>
                <w:rFonts w:cstheme="minorHAnsi"/>
                <w:sz w:val="18"/>
                <w:szCs w:val="18"/>
              </w:rPr>
            </w:pPr>
          </w:p>
        </w:tc>
        <w:tc>
          <w:tcPr>
            <w:tcW w:w="1083" w:type="dxa"/>
            <w:vMerge/>
            <w:shd w:val="clear" w:color="auto" w:fill="auto"/>
            <w:noWrap/>
          </w:tcPr>
          <w:p w14:paraId="2D4389B7" w14:textId="77777777" w:rsidR="000C5261" w:rsidRPr="003F6940" w:rsidRDefault="000C5261" w:rsidP="003A3F03">
            <w:pPr>
              <w:pStyle w:val="NoSpacing"/>
              <w:jc w:val="center"/>
              <w:rPr>
                <w:rFonts w:cstheme="minorHAnsi"/>
                <w:sz w:val="18"/>
                <w:szCs w:val="18"/>
              </w:rPr>
            </w:pPr>
          </w:p>
        </w:tc>
        <w:tc>
          <w:tcPr>
            <w:tcW w:w="1178" w:type="dxa"/>
            <w:vMerge/>
            <w:shd w:val="clear" w:color="auto" w:fill="auto"/>
          </w:tcPr>
          <w:p w14:paraId="130701A8" w14:textId="77777777" w:rsidR="000C5261" w:rsidRPr="003F6940" w:rsidRDefault="000C5261" w:rsidP="003A3F03">
            <w:pPr>
              <w:pStyle w:val="NoSpacing"/>
              <w:jc w:val="center"/>
              <w:rPr>
                <w:rFonts w:cstheme="minorHAnsi"/>
                <w:sz w:val="18"/>
                <w:szCs w:val="18"/>
              </w:rPr>
            </w:pPr>
          </w:p>
        </w:tc>
        <w:tc>
          <w:tcPr>
            <w:tcW w:w="804" w:type="dxa"/>
            <w:vMerge/>
          </w:tcPr>
          <w:p w14:paraId="0ED74B26" w14:textId="77777777" w:rsidR="000C5261" w:rsidRPr="003F6940" w:rsidRDefault="000C5261" w:rsidP="003A3F03">
            <w:pPr>
              <w:pStyle w:val="NoSpacing"/>
              <w:jc w:val="center"/>
              <w:rPr>
                <w:rFonts w:cstheme="minorHAnsi"/>
                <w:sz w:val="18"/>
                <w:szCs w:val="18"/>
              </w:rPr>
            </w:pPr>
          </w:p>
        </w:tc>
        <w:tc>
          <w:tcPr>
            <w:tcW w:w="771" w:type="dxa"/>
            <w:gridSpan w:val="2"/>
            <w:vAlign w:val="center"/>
          </w:tcPr>
          <w:p w14:paraId="746A9E5C" w14:textId="77777777" w:rsidR="000C5261" w:rsidRPr="003F6940" w:rsidRDefault="000C5261" w:rsidP="003A3F03">
            <w:pPr>
              <w:pStyle w:val="NoSpacing"/>
              <w:jc w:val="center"/>
              <w:rPr>
                <w:rFonts w:cstheme="minorHAnsi"/>
                <w:b/>
                <w:sz w:val="18"/>
                <w:szCs w:val="18"/>
              </w:rPr>
            </w:pPr>
            <w:r w:rsidRPr="003F6940">
              <w:rPr>
                <w:rFonts w:cstheme="minorHAnsi"/>
                <w:b/>
                <w:sz w:val="18"/>
                <w:szCs w:val="18"/>
              </w:rPr>
              <w:t>Mean</w:t>
            </w:r>
          </w:p>
        </w:tc>
        <w:tc>
          <w:tcPr>
            <w:tcW w:w="1277" w:type="dxa"/>
            <w:vAlign w:val="center"/>
          </w:tcPr>
          <w:p w14:paraId="394A1A0C" w14:textId="77777777" w:rsidR="000C5261" w:rsidRPr="003F6940" w:rsidRDefault="000C5261" w:rsidP="003A3F03">
            <w:pPr>
              <w:pStyle w:val="NoSpacing"/>
              <w:jc w:val="center"/>
              <w:rPr>
                <w:rFonts w:cstheme="minorHAnsi"/>
                <w:b/>
                <w:sz w:val="18"/>
                <w:szCs w:val="18"/>
              </w:rPr>
            </w:pPr>
            <w:r w:rsidRPr="003F6940">
              <w:rPr>
                <w:rFonts w:cstheme="minorHAnsi"/>
                <w:b/>
                <w:sz w:val="18"/>
                <w:szCs w:val="18"/>
              </w:rPr>
              <w:t>95% CI</w:t>
            </w:r>
          </w:p>
        </w:tc>
        <w:tc>
          <w:tcPr>
            <w:tcW w:w="869" w:type="dxa"/>
            <w:vAlign w:val="center"/>
          </w:tcPr>
          <w:p w14:paraId="6AD6041E" w14:textId="77777777" w:rsidR="000C5261" w:rsidRPr="003F6940" w:rsidRDefault="000C5261" w:rsidP="003A3F03">
            <w:pPr>
              <w:pStyle w:val="NoSpacing"/>
              <w:jc w:val="center"/>
              <w:rPr>
                <w:rFonts w:cstheme="minorHAnsi"/>
                <w:b/>
                <w:sz w:val="18"/>
                <w:szCs w:val="18"/>
              </w:rPr>
            </w:pPr>
            <w:r w:rsidRPr="003F6940">
              <w:rPr>
                <w:rFonts w:cstheme="minorHAnsi"/>
                <w:b/>
                <w:sz w:val="18"/>
                <w:szCs w:val="18"/>
              </w:rPr>
              <w:t>Mean</w:t>
            </w:r>
          </w:p>
        </w:tc>
        <w:tc>
          <w:tcPr>
            <w:tcW w:w="1280" w:type="dxa"/>
            <w:vAlign w:val="center"/>
          </w:tcPr>
          <w:p w14:paraId="2F68D0DC" w14:textId="77777777" w:rsidR="000C5261" w:rsidRPr="003F6940" w:rsidRDefault="000C5261" w:rsidP="003A3F03">
            <w:pPr>
              <w:pStyle w:val="NoSpacing"/>
              <w:jc w:val="center"/>
              <w:rPr>
                <w:rFonts w:cstheme="minorHAnsi"/>
                <w:b/>
                <w:sz w:val="18"/>
                <w:szCs w:val="18"/>
              </w:rPr>
            </w:pPr>
            <w:r w:rsidRPr="003F6940">
              <w:rPr>
                <w:rFonts w:cstheme="minorHAnsi"/>
                <w:b/>
                <w:sz w:val="18"/>
                <w:szCs w:val="18"/>
              </w:rPr>
              <w:t>95% CI</w:t>
            </w:r>
          </w:p>
        </w:tc>
        <w:tc>
          <w:tcPr>
            <w:tcW w:w="1051" w:type="dxa"/>
            <w:vMerge/>
          </w:tcPr>
          <w:p w14:paraId="6321595E" w14:textId="77777777" w:rsidR="000C5261" w:rsidRPr="003F6940" w:rsidRDefault="000C5261" w:rsidP="003A3F03">
            <w:pPr>
              <w:pStyle w:val="NoSpacing"/>
              <w:jc w:val="center"/>
              <w:rPr>
                <w:rFonts w:cstheme="minorHAnsi"/>
                <w:b/>
                <w:sz w:val="18"/>
                <w:szCs w:val="18"/>
              </w:rPr>
            </w:pPr>
          </w:p>
        </w:tc>
      </w:tr>
      <w:tr w:rsidR="000C5261" w:rsidRPr="003F6940" w14:paraId="5987072E" w14:textId="77777777" w:rsidTr="003A3F03">
        <w:trPr>
          <w:gridAfter w:val="1"/>
          <w:wAfter w:w="21" w:type="dxa"/>
          <w:trHeight w:val="305"/>
        </w:trPr>
        <w:tc>
          <w:tcPr>
            <w:tcW w:w="1708" w:type="dxa"/>
            <w:shd w:val="clear" w:color="auto" w:fill="auto"/>
            <w:vAlign w:val="center"/>
            <w:hideMark/>
          </w:tcPr>
          <w:p w14:paraId="50E5F239" w14:textId="77777777" w:rsidR="000C5261" w:rsidRPr="003F6940" w:rsidRDefault="000C5261" w:rsidP="003A3F03">
            <w:pPr>
              <w:pStyle w:val="NoSpacing"/>
              <w:rPr>
                <w:rFonts w:cstheme="minorHAnsi"/>
                <w:sz w:val="18"/>
                <w:szCs w:val="18"/>
              </w:rPr>
            </w:pPr>
            <w:r w:rsidRPr="003F6940">
              <w:rPr>
                <w:rFonts w:cstheme="minorHAnsi"/>
                <w:sz w:val="18"/>
                <w:szCs w:val="18"/>
              </w:rPr>
              <w:t xml:space="preserve">Xerostomia </w:t>
            </w:r>
          </w:p>
        </w:tc>
        <w:tc>
          <w:tcPr>
            <w:tcW w:w="1083" w:type="dxa"/>
            <w:shd w:val="clear" w:color="auto" w:fill="auto"/>
            <w:noWrap/>
          </w:tcPr>
          <w:p w14:paraId="208A65B3"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15 (44.1%)</w:t>
            </w:r>
          </w:p>
        </w:tc>
        <w:tc>
          <w:tcPr>
            <w:tcW w:w="1178" w:type="dxa"/>
            <w:shd w:val="clear" w:color="auto" w:fill="auto"/>
          </w:tcPr>
          <w:p w14:paraId="786C5A91" w14:textId="77777777" w:rsidR="000C5261" w:rsidRPr="00EE34A8" w:rsidRDefault="000C5261" w:rsidP="003A3F03">
            <w:pPr>
              <w:pStyle w:val="NoSpacing"/>
              <w:jc w:val="center"/>
              <w:rPr>
                <w:rFonts w:cstheme="minorHAnsi"/>
                <w:sz w:val="18"/>
                <w:szCs w:val="18"/>
              </w:rPr>
            </w:pPr>
            <w:r w:rsidRPr="00EE34A8">
              <w:rPr>
                <w:rFonts w:cstheme="minorHAnsi"/>
                <w:sz w:val="18"/>
                <w:szCs w:val="18"/>
              </w:rPr>
              <w:t>28 (49.1%)</w:t>
            </w:r>
          </w:p>
        </w:tc>
        <w:tc>
          <w:tcPr>
            <w:tcW w:w="804" w:type="dxa"/>
          </w:tcPr>
          <w:p w14:paraId="6FDB6502" w14:textId="77777777" w:rsidR="000C5261" w:rsidRPr="00EE34A8" w:rsidRDefault="000C5261" w:rsidP="003A3F03">
            <w:pPr>
              <w:pStyle w:val="NoSpacing"/>
              <w:jc w:val="center"/>
              <w:rPr>
                <w:rFonts w:cstheme="minorHAnsi"/>
                <w:sz w:val="18"/>
                <w:szCs w:val="18"/>
              </w:rPr>
            </w:pPr>
            <w:r w:rsidRPr="00EE34A8">
              <w:rPr>
                <w:rFonts w:cstheme="minorHAnsi"/>
                <w:sz w:val="18"/>
                <w:szCs w:val="18"/>
              </w:rPr>
              <w:t>0.670</w:t>
            </w:r>
          </w:p>
        </w:tc>
        <w:tc>
          <w:tcPr>
            <w:tcW w:w="771" w:type="dxa"/>
            <w:gridSpan w:val="2"/>
          </w:tcPr>
          <w:p w14:paraId="4EBEF323" w14:textId="77777777" w:rsidR="000C5261" w:rsidRPr="00EE34A8" w:rsidRDefault="000C5261" w:rsidP="003A3F03">
            <w:pPr>
              <w:pStyle w:val="NoSpacing"/>
              <w:jc w:val="center"/>
              <w:rPr>
                <w:rFonts w:cstheme="minorHAnsi"/>
                <w:sz w:val="18"/>
                <w:szCs w:val="18"/>
              </w:rPr>
            </w:pPr>
            <w:r w:rsidRPr="00EE34A8">
              <w:rPr>
                <w:rFonts w:cstheme="minorHAnsi"/>
                <w:sz w:val="18"/>
                <w:szCs w:val="18"/>
              </w:rPr>
              <w:t>59.0</w:t>
            </w:r>
          </w:p>
        </w:tc>
        <w:tc>
          <w:tcPr>
            <w:tcW w:w="1277" w:type="dxa"/>
          </w:tcPr>
          <w:p w14:paraId="0E8277D5" w14:textId="77777777" w:rsidR="000C5261" w:rsidRPr="00EE34A8" w:rsidRDefault="000C5261" w:rsidP="003A3F03">
            <w:pPr>
              <w:pStyle w:val="NoSpacing"/>
              <w:jc w:val="center"/>
              <w:rPr>
                <w:rFonts w:cstheme="minorHAnsi"/>
                <w:sz w:val="18"/>
                <w:szCs w:val="18"/>
              </w:rPr>
            </w:pPr>
            <w:r w:rsidRPr="00EE34A8">
              <w:rPr>
                <w:rFonts w:cstheme="minorHAnsi"/>
                <w:sz w:val="18"/>
                <w:szCs w:val="18"/>
              </w:rPr>
              <w:t>[45.0, 73.0]</w:t>
            </w:r>
          </w:p>
        </w:tc>
        <w:tc>
          <w:tcPr>
            <w:tcW w:w="869" w:type="dxa"/>
          </w:tcPr>
          <w:p w14:paraId="3E3BF25B"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104.1</w:t>
            </w:r>
          </w:p>
        </w:tc>
        <w:tc>
          <w:tcPr>
            <w:tcW w:w="1280" w:type="dxa"/>
          </w:tcPr>
          <w:p w14:paraId="1CCD6DF1" w14:textId="77777777" w:rsidR="000C5261" w:rsidRPr="00EE34A8" w:rsidRDefault="000C5261" w:rsidP="003A3F03">
            <w:pPr>
              <w:pStyle w:val="NoSpacing"/>
              <w:jc w:val="center"/>
              <w:rPr>
                <w:rFonts w:cstheme="minorHAnsi"/>
                <w:sz w:val="18"/>
                <w:szCs w:val="18"/>
              </w:rPr>
            </w:pPr>
            <w:r w:rsidRPr="00EE34A8">
              <w:rPr>
                <w:rFonts w:cstheme="minorHAnsi"/>
                <w:sz w:val="18"/>
                <w:szCs w:val="18"/>
              </w:rPr>
              <w:t>[78.7, 129.6]</w:t>
            </w:r>
          </w:p>
        </w:tc>
        <w:tc>
          <w:tcPr>
            <w:tcW w:w="1051" w:type="dxa"/>
          </w:tcPr>
          <w:p w14:paraId="0FFF8B13" w14:textId="77777777" w:rsidR="000C5261" w:rsidRPr="00EE34A8" w:rsidRDefault="000C5261" w:rsidP="003A3F03">
            <w:pPr>
              <w:pStyle w:val="NoSpacing"/>
              <w:jc w:val="center"/>
              <w:rPr>
                <w:rFonts w:cstheme="minorHAnsi"/>
                <w:sz w:val="18"/>
                <w:szCs w:val="18"/>
              </w:rPr>
            </w:pPr>
            <w:r w:rsidRPr="00EE34A8">
              <w:rPr>
                <w:rFonts w:cstheme="minorHAnsi"/>
                <w:sz w:val="18"/>
                <w:szCs w:val="18"/>
              </w:rPr>
              <w:t>0.523</w:t>
            </w:r>
          </w:p>
        </w:tc>
      </w:tr>
      <w:tr w:rsidR="000C5261" w:rsidRPr="003F6940" w14:paraId="3BC34A5F" w14:textId="77777777" w:rsidTr="003A3F03">
        <w:trPr>
          <w:gridAfter w:val="1"/>
          <w:wAfter w:w="21" w:type="dxa"/>
          <w:trHeight w:val="350"/>
        </w:trPr>
        <w:tc>
          <w:tcPr>
            <w:tcW w:w="1708" w:type="dxa"/>
            <w:shd w:val="clear" w:color="auto" w:fill="auto"/>
            <w:vAlign w:val="center"/>
            <w:hideMark/>
          </w:tcPr>
          <w:p w14:paraId="2C2B6127" w14:textId="77777777" w:rsidR="000C5261" w:rsidRPr="003F6940" w:rsidRDefault="000C5261" w:rsidP="003A3F03">
            <w:pPr>
              <w:pStyle w:val="NoSpacing"/>
              <w:rPr>
                <w:rFonts w:cstheme="minorHAnsi"/>
                <w:sz w:val="18"/>
                <w:szCs w:val="18"/>
              </w:rPr>
            </w:pPr>
            <w:r w:rsidRPr="003F6940">
              <w:rPr>
                <w:rFonts w:cstheme="minorHAnsi"/>
                <w:sz w:val="18"/>
                <w:szCs w:val="18"/>
              </w:rPr>
              <w:t xml:space="preserve">Dysphagia </w:t>
            </w:r>
          </w:p>
        </w:tc>
        <w:tc>
          <w:tcPr>
            <w:tcW w:w="1083" w:type="dxa"/>
            <w:shd w:val="clear" w:color="auto" w:fill="auto"/>
            <w:noWrap/>
          </w:tcPr>
          <w:p w14:paraId="173AEF29"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14 (41.2%)</w:t>
            </w:r>
          </w:p>
        </w:tc>
        <w:tc>
          <w:tcPr>
            <w:tcW w:w="1178" w:type="dxa"/>
            <w:shd w:val="clear" w:color="auto" w:fill="auto"/>
          </w:tcPr>
          <w:p w14:paraId="4AF5B124" w14:textId="77777777" w:rsidR="000C5261" w:rsidRPr="00EE34A8" w:rsidRDefault="000C5261" w:rsidP="003A3F03">
            <w:pPr>
              <w:pStyle w:val="NoSpacing"/>
              <w:jc w:val="center"/>
              <w:rPr>
                <w:rFonts w:cstheme="minorHAnsi"/>
                <w:sz w:val="18"/>
                <w:szCs w:val="18"/>
              </w:rPr>
            </w:pPr>
            <w:r w:rsidRPr="00EE34A8">
              <w:rPr>
                <w:rFonts w:cstheme="minorHAnsi"/>
                <w:sz w:val="18"/>
                <w:szCs w:val="18"/>
              </w:rPr>
              <w:t>24 (42.1%)</w:t>
            </w:r>
          </w:p>
        </w:tc>
        <w:tc>
          <w:tcPr>
            <w:tcW w:w="804" w:type="dxa"/>
          </w:tcPr>
          <w:p w14:paraId="4E99833A" w14:textId="77777777" w:rsidR="000C5261" w:rsidRPr="00EE34A8" w:rsidRDefault="000C5261" w:rsidP="003A3F03">
            <w:pPr>
              <w:pStyle w:val="NoSpacing"/>
              <w:jc w:val="center"/>
              <w:rPr>
                <w:rFonts w:cstheme="minorHAnsi"/>
                <w:sz w:val="18"/>
                <w:szCs w:val="18"/>
              </w:rPr>
            </w:pPr>
            <w:r>
              <w:rPr>
                <w:rFonts w:cstheme="minorHAnsi"/>
                <w:sz w:val="18"/>
                <w:szCs w:val="18"/>
              </w:rPr>
              <w:t>1.000</w:t>
            </w:r>
          </w:p>
        </w:tc>
        <w:tc>
          <w:tcPr>
            <w:tcW w:w="771" w:type="dxa"/>
            <w:gridSpan w:val="2"/>
          </w:tcPr>
          <w:p w14:paraId="724C170B" w14:textId="77777777" w:rsidR="000C5261" w:rsidRPr="00EE34A8" w:rsidRDefault="000C5261" w:rsidP="003A3F03">
            <w:pPr>
              <w:pStyle w:val="NoSpacing"/>
              <w:jc w:val="center"/>
              <w:rPr>
                <w:rFonts w:cstheme="minorHAnsi"/>
                <w:sz w:val="18"/>
                <w:szCs w:val="18"/>
              </w:rPr>
            </w:pPr>
            <w:r w:rsidRPr="00EE34A8">
              <w:rPr>
                <w:rFonts w:cstheme="minorHAnsi"/>
                <w:sz w:val="18"/>
                <w:szCs w:val="18"/>
              </w:rPr>
              <w:t>63.1</w:t>
            </w:r>
          </w:p>
        </w:tc>
        <w:tc>
          <w:tcPr>
            <w:tcW w:w="1277" w:type="dxa"/>
          </w:tcPr>
          <w:p w14:paraId="6C1CEC11" w14:textId="77777777" w:rsidR="000C5261" w:rsidRPr="00EE34A8" w:rsidRDefault="000C5261" w:rsidP="003A3F03">
            <w:pPr>
              <w:pStyle w:val="NoSpacing"/>
              <w:jc w:val="center"/>
              <w:rPr>
                <w:rFonts w:cstheme="minorHAnsi"/>
                <w:sz w:val="18"/>
                <w:szCs w:val="18"/>
              </w:rPr>
            </w:pPr>
            <w:r w:rsidRPr="00EE34A8">
              <w:rPr>
                <w:rFonts w:cstheme="minorHAnsi"/>
                <w:sz w:val="18"/>
                <w:szCs w:val="18"/>
              </w:rPr>
              <w:t>[49.8, 76.4]</w:t>
            </w:r>
          </w:p>
        </w:tc>
        <w:tc>
          <w:tcPr>
            <w:tcW w:w="869" w:type="dxa"/>
          </w:tcPr>
          <w:p w14:paraId="2C9937BF"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119.7</w:t>
            </w:r>
          </w:p>
        </w:tc>
        <w:tc>
          <w:tcPr>
            <w:tcW w:w="1280" w:type="dxa"/>
          </w:tcPr>
          <w:p w14:paraId="0CFC5FB3" w14:textId="77777777" w:rsidR="000C5261" w:rsidRPr="00EE34A8" w:rsidRDefault="000C5261" w:rsidP="003A3F03">
            <w:pPr>
              <w:pStyle w:val="NoSpacing"/>
              <w:jc w:val="center"/>
              <w:rPr>
                <w:rFonts w:cstheme="minorHAnsi"/>
                <w:sz w:val="18"/>
                <w:szCs w:val="18"/>
              </w:rPr>
            </w:pPr>
            <w:r w:rsidRPr="00EE34A8">
              <w:rPr>
                <w:rFonts w:cstheme="minorHAnsi"/>
                <w:sz w:val="18"/>
                <w:szCs w:val="18"/>
              </w:rPr>
              <w:t>[95.0, 144.5]</w:t>
            </w:r>
          </w:p>
        </w:tc>
        <w:tc>
          <w:tcPr>
            <w:tcW w:w="1051" w:type="dxa"/>
          </w:tcPr>
          <w:p w14:paraId="48F00A2D" w14:textId="77777777" w:rsidR="000C5261" w:rsidRPr="00EE34A8" w:rsidRDefault="000C5261" w:rsidP="003A3F03">
            <w:pPr>
              <w:pStyle w:val="NoSpacing"/>
              <w:jc w:val="center"/>
              <w:rPr>
                <w:rFonts w:cstheme="minorHAnsi"/>
                <w:sz w:val="18"/>
                <w:szCs w:val="18"/>
              </w:rPr>
            </w:pPr>
            <w:r w:rsidRPr="00EE34A8">
              <w:rPr>
                <w:rFonts w:cstheme="minorHAnsi"/>
                <w:sz w:val="18"/>
                <w:szCs w:val="18"/>
              </w:rPr>
              <w:t>0.860</w:t>
            </w:r>
          </w:p>
        </w:tc>
      </w:tr>
      <w:tr w:rsidR="000C5261" w:rsidRPr="003F6940" w14:paraId="09935460" w14:textId="77777777" w:rsidTr="003A3F03">
        <w:trPr>
          <w:gridAfter w:val="1"/>
          <w:wAfter w:w="21" w:type="dxa"/>
          <w:trHeight w:val="300"/>
        </w:trPr>
        <w:tc>
          <w:tcPr>
            <w:tcW w:w="1708" w:type="dxa"/>
            <w:shd w:val="clear" w:color="auto" w:fill="auto"/>
            <w:vAlign w:val="center"/>
            <w:hideMark/>
          </w:tcPr>
          <w:p w14:paraId="4E08F92D" w14:textId="77777777" w:rsidR="000C5261" w:rsidRPr="003F6940" w:rsidRDefault="000C5261" w:rsidP="003A3F03">
            <w:pPr>
              <w:pStyle w:val="NoSpacing"/>
              <w:rPr>
                <w:rFonts w:cstheme="minorHAnsi"/>
                <w:sz w:val="18"/>
                <w:szCs w:val="18"/>
              </w:rPr>
            </w:pPr>
            <w:r w:rsidRPr="003F6940">
              <w:rPr>
                <w:rFonts w:cstheme="minorHAnsi"/>
                <w:sz w:val="18"/>
                <w:szCs w:val="18"/>
              </w:rPr>
              <w:t xml:space="preserve">Mucositis </w:t>
            </w:r>
          </w:p>
        </w:tc>
        <w:tc>
          <w:tcPr>
            <w:tcW w:w="1083" w:type="dxa"/>
            <w:shd w:val="clear" w:color="auto" w:fill="auto"/>
            <w:noWrap/>
          </w:tcPr>
          <w:p w14:paraId="494C04F2"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14 (41.2%)</w:t>
            </w:r>
          </w:p>
        </w:tc>
        <w:tc>
          <w:tcPr>
            <w:tcW w:w="1178" w:type="dxa"/>
            <w:shd w:val="clear" w:color="auto" w:fill="auto"/>
          </w:tcPr>
          <w:p w14:paraId="04668A57" w14:textId="77777777" w:rsidR="000C5261" w:rsidRPr="00EE34A8" w:rsidRDefault="000C5261" w:rsidP="003A3F03">
            <w:pPr>
              <w:pStyle w:val="NoSpacing"/>
              <w:jc w:val="center"/>
              <w:rPr>
                <w:rFonts w:cstheme="minorHAnsi"/>
                <w:sz w:val="18"/>
                <w:szCs w:val="18"/>
              </w:rPr>
            </w:pPr>
            <w:r w:rsidRPr="00EE34A8">
              <w:rPr>
                <w:rFonts w:cstheme="minorHAnsi"/>
                <w:sz w:val="18"/>
                <w:szCs w:val="18"/>
              </w:rPr>
              <w:t>2</w:t>
            </w:r>
            <w:r>
              <w:rPr>
                <w:rFonts w:cstheme="minorHAnsi"/>
                <w:sz w:val="18"/>
                <w:szCs w:val="18"/>
              </w:rPr>
              <w:t>5</w:t>
            </w:r>
            <w:r w:rsidRPr="00EE34A8">
              <w:rPr>
                <w:rFonts w:cstheme="minorHAnsi"/>
                <w:sz w:val="18"/>
                <w:szCs w:val="18"/>
              </w:rPr>
              <w:t xml:space="preserve"> (4</w:t>
            </w:r>
            <w:r>
              <w:rPr>
                <w:rFonts w:cstheme="minorHAnsi"/>
                <w:sz w:val="18"/>
                <w:szCs w:val="18"/>
              </w:rPr>
              <w:t>3.9</w:t>
            </w:r>
            <w:r w:rsidRPr="00EE34A8">
              <w:rPr>
                <w:rFonts w:cstheme="minorHAnsi"/>
                <w:sz w:val="18"/>
                <w:szCs w:val="18"/>
              </w:rPr>
              <w:t>%)</w:t>
            </w:r>
          </w:p>
        </w:tc>
        <w:tc>
          <w:tcPr>
            <w:tcW w:w="804" w:type="dxa"/>
          </w:tcPr>
          <w:p w14:paraId="6CD5D796" w14:textId="77777777" w:rsidR="000C5261" w:rsidRPr="00EE34A8" w:rsidRDefault="000C5261" w:rsidP="003A3F03">
            <w:pPr>
              <w:pStyle w:val="NoSpacing"/>
              <w:jc w:val="center"/>
              <w:rPr>
                <w:rFonts w:cstheme="minorHAnsi"/>
                <w:sz w:val="18"/>
                <w:szCs w:val="18"/>
              </w:rPr>
            </w:pPr>
            <w:r>
              <w:rPr>
                <w:rFonts w:cstheme="minorHAnsi"/>
                <w:sz w:val="18"/>
                <w:szCs w:val="18"/>
              </w:rPr>
              <w:t>0.830</w:t>
            </w:r>
          </w:p>
        </w:tc>
        <w:tc>
          <w:tcPr>
            <w:tcW w:w="771" w:type="dxa"/>
            <w:gridSpan w:val="2"/>
          </w:tcPr>
          <w:p w14:paraId="62BC873B" w14:textId="77777777" w:rsidR="000C5261" w:rsidRPr="00EE34A8" w:rsidRDefault="000C5261" w:rsidP="003A3F03">
            <w:pPr>
              <w:pStyle w:val="NoSpacing"/>
              <w:jc w:val="center"/>
              <w:rPr>
                <w:rFonts w:cstheme="minorHAnsi"/>
                <w:sz w:val="18"/>
                <w:szCs w:val="18"/>
              </w:rPr>
            </w:pPr>
            <w:r w:rsidRPr="00EE34A8">
              <w:rPr>
                <w:rFonts w:cstheme="minorHAnsi"/>
                <w:sz w:val="18"/>
                <w:szCs w:val="18"/>
              </w:rPr>
              <w:t>63.6</w:t>
            </w:r>
          </w:p>
        </w:tc>
        <w:tc>
          <w:tcPr>
            <w:tcW w:w="1277" w:type="dxa"/>
          </w:tcPr>
          <w:p w14:paraId="759CD871" w14:textId="77777777" w:rsidR="000C5261" w:rsidRPr="00EE34A8" w:rsidRDefault="000C5261" w:rsidP="003A3F03">
            <w:pPr>
              <w:pStyle w:val="NoSpacing"/>
              <w:jc w:val="center"/>
              <w:rPr>
                <w:rFonts w:cstheme="minorHAnsi"/>
                <w:sz w:val="18"/>
                <w:szCs w:val="18"/>
              </w:rPr>
            </w:pPr>
            <w:r w:rsidRPr="00EE34A8">
              <w:rPr>
                <w:rFonts w:cstheme="minorHAnsi"/>
                <w:sz w:val="18"/>
                <w:szCs w:val="18"/>
              </w:rPr>
              <w:t>[50.5, 76.7]</w:t>
            </w:r>
          </w:p>
        </w:tc>
        <w:tc>
          <w:tcPr>
            <w:tcW w:w="869" w:type="dxa"/>
          </w:tcPr>
          <w:p w14:paraId="1D286A7A"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116.2</w:t>
            </w:r>
          </w:p>
        </w:tc>
        <w:tc>
          <w:tcPr>
            <w:tcW w:w="1280" w:type="dxa"/>
          </w:tcPr>
          <w:p w14:paraId="328994E0" w14:textId="77777777" w:rsidR="000C5261" w:rsidRPr="00EE34A8" w:rsidRDefault="000C5261" w:rsidP="003A3F03">
            <w:pPr>
              <w:pStyle w:val="NoSpacing"/>
              <w:jc w:val="center"/>
              <w:rPr>
                <w:rFonts w:cstheme="minorHAnsi"/>
                <w:sz w:val="18"/>
                <w:szCs w:val="18"/>
              </w:rPr>
            </w:pPr>
            <w:r w:rsidRPr="00EE34A8">
              <w:rPr>
                <w:rFonts w:cstheme="minorHAnsi"/>
                <w:sz w:val="18"/>
                <w:szCs w:val="18"/>
              </w:rPr>
              <w:t>[91.3, 141.0]</w:t>
            </w:r>
          </w:p>
        </w:tc>
        <w:tc>
          <w:tcPr>
            <w:tcW w:w="1051" w:type="dxa"/>
          </w:tcPr>
          <w:p w14:paraId="632124F2" w14:textId="77777777" w:rsidR="000C5261" w:rsidRPr="00EE34A8" w:rsidRDefault="000C5261" w:rsidP="003A3F03">
            <w:pPr>
              <w:pStyle w:val="NoSpacing"/>
              <w:jc w:val="center"/>
              <w:rPr>
                <w:rFonts w:cstheme="minorHAnsi"/>
                <w:sz w:val="18"/>
                <w:szCs w:val="18"/>
              </w:rPr>
            </w:pPr>
            <w:r w:rsidRPr="00EE34A8">
              <w:rPr>
                <w:rFonts w:cstheme="minorHAnsi"/>
                <w:sz w:val="18"/>
                <w:szCs w:val="18"/>
              </w:rPr>
              <w:t>0.664</w:t>
            </w:r>
          </w:p>
        </w:tc>
      </w:tr>
      <w:tr w:rsidR="000C5261" w:rsidRPr="003F6940" w14:paraId="08A3F3EA" w14:textId="77777777" w:rsidTr="003A3F03">
        <w:trPr>
          <w:gridAfter w:val="1"/>
          <w:wAfter w:w="21" w:type="dxa"/>
          <w:trHeight w:val="300"/>
        </w:trPr>
        <w:tc>
          <w:tcPr>
            <w:tcW w:w="1708" w:type="dxa"/>
            <w:shd w:val="clear" w:color="auto" w:fill="auto"/>
            <w:vAlign w:val="center"/>
            <w:hideMark/>
          </w:tcPr>
          <w:p w14:paraId="74188F09" w14:textId="77777777" w:rsidR="000C5261" w:rsidRPr="003F6940" w:rsidRDefault="000C5261" w:rsidP="003A3F03">
            <w:pPr>
              <w:pStyle w:val="NoSpacing"/>
              <w:rPr>
                <w:rFonts w:cstheme="minorHAnsi"/>
                <w:sz w:val="18"/>
                <w:szCs w:val="18"/>
              </w:rPr>
            </w:pPr>
            <w:proofErr w:type="spellStart"/>
            <w:r w:rsidRPr="003F6940">
              <w:rPr>
                <w:rFonts w:cstheme="minorHAnsi"/>
                <w:sz w:val="18"/>
                <w:szCs w:val="18"/>
              </w:rPr>
              <w:t>Aguesia</w:t>
            </w:r>
            <w:proofErr w:type="spellEnd"/>
            <w:r w:rsidRPr="003F6940">
              <w:rPr>
                <w:rFonts w:cstheme="minorHAnsi"/>
                <w:sz w:val="18"/>
                <w:szCs w:val="18"/>
              </w:rPr>
              <w:t xml:space="preserve"> </w:t>
            </w:r>
          </w:p>
        </w:tc>
        <w:tc>
          <w:tcPr>
            <w:tcW w:w="1083" w:type="dxa"/>
            <w:shd w:val="clear" w:color="auto" w:fill="auto"/>
            <w:noWrap/>
          </w:tcPr>
          <w:p w14:paraId="6D3433E5"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w:t>
            </w:r>
            <w:r>
              <w:rPr>
                <w:rFonts w:cstheme="minorHAnsi"/>
                <w:sz w:val="18"/>
                <w:szCs w:val="18"/>
              </w:rPr>
              <w:t>0</w:t>
            </w:r>
            <w:r w:rsidRPr="00EE34A8">
              <w:rPr>
                <w:rFonts w:cstheme="minorHAnsi"/>
                <w:sz w:val="18"/>
                <w:szCs w:val="18"/>
              </w:rPr>
              <w:t xml:space="preserve"> (</w:t>
            </w:r>
            <w:r>
              <w:rPr>
                <w:rFonts w:cstheme="minorHAnsi"/>
                <w:sz w:val="18"/>
                <w:szCs w:val="18"/>
              </w:rPr>
              <w:t>29.4</w:t>
            </w:r>
            <w:r w:rsidRPr="00EE34A8">
              <w:rPr>
                <w:rFonts w:cstheme="minorHAnsi"/>
                <w:sz w:val="18"/>
                <w:szCs w:val="18"/>
              </w:rPr>
              <w:t>%)</w:t>
            </w:r>
          </w:p>
        </w:tc>
        <w:tc>
          <w:tcPr>
            <w:tcW w:w="1178" w:type="dxa"/>
            <w:shd w:val="clear" w:color="auto" w:fill="auto"/>
          </w:tcPr>
          <w:p w14:paraId="06B7BA20" w14:textId="77777777" w:rsidR="000C5261" w:rsidRPr="00EE34A8" w:rsidRDefault="000C5261" w:rsidP="003A3F03">
            <w:pPr>
              <w:pStyle w:val="NoSpacing"/>
              <w:jc w:val="center"/>
              <w:rPr>
                <w:rFonts w:cstheme="minorHAnsi"/>
                <w:sz w:val="18"/>
                <w:szCs w:val="18"/>
              </w:rPr>
            </w:pPr>
            <w:r w:rsidRPr="00EE34A8">
              <w:rPr>
                <w:rFonts w:cstheme="minorHAnsi"/>
                <w:sz w:val="18"/>
                <w:szCs w:val="18"/>
              </w:rPr>
              <w:t>2</w:t>
            </w:r>
            <w:r>
              <w:rPr>
                <w:rFonts w:cstheme="minorHAnsi"/>
                <w:sz w:val="18"/>
                <w:szCs w:val="18"/>
              </w:rPr>
              <w:t>0</w:t>
            </w:r>
            <w:r w:rsidRPr="00EE34A8">
              <w:rPr>
                <w:rFonts w:cstheme="minorHAnsi"/>
                <w:sz w:val="18"/>
                <w:szCs w:val="18"/>
              </w:rPr>
              <w:t xml:space="preserve"> (</w:t>
            </w:r>
            <w:r>
              <w:rPr>
                <w:rFonts w:cstheme="minorHAnsi"/>
                <w:sz w:val="18"/>
                <w:szCs w:val="18"/>
              </w:rPr>
              <w:t>35.1</w:t>
            </w:r>
            <w:r w:rsidRPr="00EE34A8">
              <w:rPr>
                <w:rFonts w:cstheme="minorHAnsi"/>
                <w:sz w:val="18"/>
                <w:szCs w:val="18"/>
              </w:rPr>
              <w:t>%)</w:t>
            </w:r>
          </w:p>
        </w:tc>
        <w:tc>
          <w:tcPr>
            <w:tcW w:w="804" w:type="dxa"/>
          </w:tcPr>
          <w:p w14:paraId="516C20AF" w14:textId="77777777" w:rsidR="000C5261" w:rsidRPr="00EE34A8" w:rsidRDefault="000C5261" w:rsidP="003A3F03">
            <w:pPr>
              <w:pStyle w:val="NoSpacing"/>
              <w:jc w:val="center"/>
              <w:rPr>
                <w:rFonts w:cstheme="minorHAnsi"/>
                <w:sz w:val="18"/>
                <w:szCs w:val="18"/>
              </w:rPr>
            </w:pPr>
            <w:r>
              <w:rPr>
                <w:rFonts w:cstheme="minorHAnsi"/>
                <w:sz w:val="18"/>
                <w:szCs w:val="18"/>
              </w:rPr>
              <w:t>0.649</w:t>
            </w:r>
          </w:p>
        </w:tc>
        <w:tc>
          <w:tcPr>
            <w:tcW w:w="771" w:type="dxa"/>
            <w:gridSpan w:val="2"/>
          </w:tcPr>
          <w:p w14:paraId="3C2EC938" w14:textId="77777777" w:rsidR="000C5261" w:rsidRPr="00EE34A8" w:rsidRDefault="000C5261" w:rsidP="003A3F03">
            <w:pPr>
              <w:pStyle w:val="NoSpacing"/>
              <w:jc w:val="center"/>
              <w:rPr>
                <w:rFonts w:cstheme="minorHAnsi"/>
                <w:sz w:val="18"/>
                <w:szCs w:val="18"/>
              </w:rPr>
            </w:pPr>
            <w:r w:rsidRPr="00EE34A8">
              <w:rPr>
                <w:rFonts w:cstheme="minorHAnsi"/>
                <w:sz w:val="18"/>
                <w:szCs w:val="18"/>
              </w:rPr>
              <w:t>71.1</w:t>
            </w:r>
          </w:p>
        </w:tc>
        <w:tc>
          <w:tcPr>
            <w:tcW w:w="1277" w:type="dxa"/>
          </w:tcPr>
          <w:p w14:paraId="69EA358B" w14:textId="77777777" w:rsidR="000C5261" w:rsidRPr="00EE34A8" w:rsidRDefault="000C5261" w:rsidP="003A3F03">
            <w:pPr>
              <w:pStyle w:val="NoSpacing"/>
              <w:jc w:val="center"/>
              <w:rPr>
                <w:rFonts w:cstheme="minorHAnsi"/>
                <w:sz w:val="18"/>
                <w:szCs w:val="18"/>
              </w:rPr>
            </w:pPr>
            <w:r w:rsidRPr="00EE34A8">
              <w:rPr>
                <w:rFonts w:cstheme="minorHAnsi"/>
                <w:sz w:val="18"/>
                <w:szCs w:val="18"/>
              </w:rPr>
              <w:t>[58.1,  84.1]</w:t>
            </w:r>
          </w:p>
        </w:tc>
        <w:tc>
          <w:tcPr>
            <w:tcW w:w="869" w:type="dxa"/>
          </w:tcPr>
          <w:p w14:paraId="59150B48"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132.4</w:t>
            </w:r>
          </w:p>
        </w:tc>
        <w:tc>
          <w:tcPr>
            <w:tcW w:w="1280" w:type="dxa"/>
          </w:tcPr>
          <w:p w14:paraId="175EB7AE"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[107.8,  157.1]</w:t>
            </w:r>
          </w:p>
        </w:tc>
        <w:tc>
          <w:tcPr>
            <w:tcW w:w="1051" w:type="dxa"/>
          </w:tcPr>
          <w:p w14:paraId="27B93E9E" w14:textId="77777777" w:rsidR="000C5261" w:rsidRPr="00EE34A8" w:rsidRDefault="000C5261" w:rsidP="003A3F03">
            <w:pPr>
              <w:pStyle w:val="NoSpacing"/>
              <w:jc w:val="center"/>
              <w:rPr>
                <w:rFonts w:cstheme="minorHAnsi"/>
                <w:sz w:val="18"/>
                <w:szCs w:val="18"/>
              </w:rPr>
            </w:pPr>
            <w:r w:rsidRPr="00EE34A8">
              <w:rPr>
                <w:rFonts w:cstheme="minorHAnsi"/>
                <w:sz w:val="18"/>
                <w:szCs w:val="18"/>
              </w:rPr>
              <w:t>0.488</w:t>
            </w:r>
          </w:p>
        </w:tc>
      </w:tr>
      <w:tr w:rsidR="000C5261" w:rsidRPr="003F6940" w14:paraId="55ECFBA6" w14:textId="77777777" w:rsidTr="003A3F03">
        <w:trPr>
          <w:gridAfter w:val="1"/>
          <w:wAfter w:w="21" w:type="dxa"/>
          <w:trHeight w:val="350"/>
        </w:trPr>
        <w:tc>
          <w:tcPr>
            <w:tcW w:w="1708" w:type="dxa"/>
            <w:shd w:val="clear" w:color="auto" w:fill="auto"/>
            <w:vAlign w:val="center"/>
            <w:hideMark/>
          </w:tcPr>
          <w:p w14:paraId="14D11A8C" w14:textId="77777777" w:rsidR="000C5261" w:rsidRPr="003F6940" w:rsidRDefault="000C5261" w:rsidP="003A3F03">
            <w:pPr>
              <w:pStyle w:val="NoSpacing"/>
              <w:rPr>
                <w:rFonts w:cstheme="minorHAnsi"/>
                <w:sz w:val="18"/>
                <w:szCs w:val="18"/>
              </w:rPr>
            </w:pPr>
            <w:r w:rsidRPr="003F6940">
              <w:rPr>
                <w:rFonts w:cstheme="minorHAnsi"/>
                <w:sz w:val="18"/>
                <w:szCs w:val="18"/>
              </w:rPr>
              <w:t>Dry desquamation</w:t>
            </w:r>
          </w:p>
        </w:tc>
        <w:tc>
          <w:tcPr>
            <w:tcW w:w="1083" w:type="dxa"/>
            <w:shd w:val="clear" w:color="auto" w:fill="auto"/>
            <w:noWrap/>
          </w:tcPr>
          <w:p w14:paraId="34F42BBA"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14 (41.2%)</w:t>
            </w:r>
          </w:p>
        </w:tc>
        <w:tc>
          <w:tcPr>
            <w:tcW w:w="1178" w:type="dxa"/>
            <w:shd w:val="clear" w:color="auto" w:fill="auto"/>
          </w:tcPr>
          <w:p w14:paraId="163E4142" w14:textId="77777777" w:rsidR="000C5261" w:rsidRPr="00EE34A8" w:rsidRDefault="000C5261" w:rsidP="003A3F03">
            <w:pPr>
              <w:pStyle w:val="NoSpacing"/>
              <w:jc w:val="center"/>
              <w:rPr>
                <w:rFonts w:cstheme="minorHAnsi"/>
                <w:sz w:val="18"/>
                <w:szCs w:val="18"/>
              </w:rPr>
            </w:pPr>
            <w:r>
              <w:rPr>
                <w:rFonts w:cstheme="minorHAnsi"/>
                <w:sz w:val="18"/>
                <w:szCs w:val="18"/>
              </w:rPr>
              <w:t>16</w:t>
            </w:r>
            <w:r w:rsidRPr="00EE34A8">
              <w:rPr>
                <w:rFonts w:cstheme="minorHAnsi"/>
                <w:sz w:val="18"/>
                <w:szCs w:val="18"/>
              </w:rPr>
              <w:t xml:space="preserve"> (</w:t>
            </w:r>
            <w:r>
              <w:rPr>
                <w:rFonts w:cstheme="minorHAnsi"/>
                <w:sz w:val="18"/>
                <w:szCs w:val="18"/>
              </w:rPr>
              <w:t>28.1</w:t>
            </w:r>
            <w:r w:rsidRPr="00EE34A8">
              <w:rPr>
                <w:rFonts w:cstheme="minorHAnsi"/>
                <w:sz w:val="18"/>
                <w:szCs w:val="18"/>
              </w:rPr>
              <w:t>%)</w:t>
            </w:r>
          </w:p>
        </w:tc>
        <w:tc>
          <w:tcPr>
            <w:tcW w:w="804" w:type="dxa"/>
          </w:tcPr>
          <w:p w14:paraId="6D5A4DC7" w14:textId="77777777" w:rsidR="000C5261" w:rsidRPr="00EE34A8" w:rsidRDefault="000C5261" w:rsidP="003A3F03">
            <w:pPr>
              <w:pStyle w:val="NoSpacing"/>
              <w:jc w:val="center"/>
              <w:rPr>
                <w:rFonts w:cstheme="minorHAnsi"/>
                <w:sz w:val="18"/>
                <w:szCs w:val="18"/>
              </w:rPr>
            </w:pPr>
            <w:r>
              <w:rPr>
                <w:rFonts w:cstheme="minorHAnsi"/>
                <w:sz w:val="18"/>
                <w:szCs w:val="18"/>
              </w:rPr>
              <w:t>0.251</w:t>
            </w:r>
          </w:p>
        </w:tc>
        <w:tc>
          <w:tcPr>
            <w:tcW w:w="771" w:type="dxa"/>
            <w:gridSpan w:val="2"/>
          </w:tcPr>
          <w:p w14:paraId="3C66AC1A" w14:textId="77777777" w:rsidR="000C5261" w:rsidRPr="00EE34A8" w:rsidRDefault="000C5261" w:rsidP="003A3F03">
            <w:pPr>
              <w:pStyle w:val="NoSpacing"/>
              <w:jc w:val="center"/>
              <w:rPr>
                <w:rFonts w:cstheme="minorHAnsi"/>
                <w:sz w:val="18"/>
                <w:szCs w:val="18"/>
              </w:rPr>
            </w:pPr>
            <w:r w:rsidRPr="00EE34A8">
              <w:rPr>
                <w:rFonts w:cstheme="minorHAnsi"/>
                <w:sz w:val="18"/>
                <w:szCs w:val="18"/>
              </w:rPr>
              <w:t>47.3</w:t>
            </w:r>
          </w:p>
        </w:tc>
        <w:tc>
          <w:tcPr>
            <w:tcW w:w="1277" w:type="dxa"/>
          </w:tcPr>
          <w:p w14:paraId="49E52EFF" w14:textId="77777777" w:rsidR="000C5261" w:rsidRPr="00EE34A8" w:rsidRDefault="000C5261" w:rsidP="003A3F03">
            <w:pPr>
              <w:pStyle w:val="NoSpacing"/>
              <w:jc w:val="center"/>
              <w:rPr>
                <w:rFonts w:cstheme="minorHAnsi"/>
                <w:sz w:val="18"/>
                <w:szCs w:val="18"/>
              </w:rPr>
            </w:pPr>
            <w:r w:rsidRPr="00EE34A8">
              <w:rPr>
                <w:rFonts w:cstheme="minorHAnsi"/>
                <w:sz w:val="18"/>
                <w:szCs w:val="18"/>
              </w:rPr>
              <w:t>[40.6, 54.0]</w:t>
            </w:r>
          </w:p>
        </w:tc>
        <w:tc>
          <w:tcPr>
            <w:tcW w:w="869" w:type="dxa"/>
          </w:tcPr>
          <w:p w14:paraId="7848C666"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150.5</w:t>
            </w:r>
          </w:p>
        </w:tc>
        <w:tc>
          <w:tcPr>
            <w:tcW w:w="1280" w:type="dxa"/>
          </w:tcPr>
          <w:p w14:paraId="1AF02820"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[128.9,  172.1]</w:t>
            </w:r>
          </w:p>
        </w:tc>
        <w:tc>
          <w:tcPr>
            <w:tcW w:w="1051" w:type="dxa"/>
          </w:tcPr>
          <w:p w14:paraId="0A400ADA" w14:textId="77777777" w:rsidR="000C5261" w:rsidRPr="00EE34A8" w:rsidRDefault="000C5261" w:rsidP="003A3F03">
            <w:pPr>
              <w:pStyle w:val="NoSpacing"/>
              <w:jc w:val="center"/>
              <w:rPr>
                <w:rFonts w:cstheme="minorHAnsi"/>
                <w:sz w:val="18"/>
                <w:szCs w:val="18"/>
              </w:rPr>
            </w:pPr>
            <w:r w:rsidRPr="00EE34A8">
              <w:rPr>
                <w:rFonts w:cstheme="minorHAnsi"/>
                <w:sz w:val="18"/>
                <w:szCs w:val="18"/>
              </w:rPr>
              <w:t>0.185</w:t>
            </w:r>
          </w:p>
        </w:tc>
      </w:tr>
      <w:tr w:rsidR="000C5261" w:rsidRPr="003F6940" w14:paraId="3FCD8A46" w14:textId="77777777" w:rsidTr="003A3F03">
        <w:trPr>
          <w:gridAfter w:val="1"/>
          <w:wAfter w:w="21" w:type="dxa"/>
          <w:trHeight w:val="350"/>
        </w:trPr>
        <w:tc>
          <w:tcPr>
            <w:tcW w:w="1708" w:type="dxa"/>
            <w:shd w:val="clear" w:color="auto" w:fill="auto"/>
            <w:vAlign w:val="center"/>
            <w:hideMark/>
          </w:tcPr>
          <w:p w14:paraId="7F7F00D1" w14:textId="77777777" w:rsidR="000C5261" w:rsidRPr="003F6940" w:rsidRDefault="000C5261" w:rsidP="003A3F03">
            <w:pPr>
              <w:pStyle w:val="NoSpacing"/>
              <w:rPr>
                <w:rFonts w:cstheme="minorHAnsi"/>
                <w:sz w:val="18"/>
                <w:szCs w:val="18"/>
              </w:rPr>
            </w:pPr>
            <w:r w:rsidRPr="003F6940">
              <w:rPr>
                <w:rFonts w:cstheme="minorHAnsi"/>
                <w:sz w:val="18"/>
                <w:szCs w:val="18"/>
              </w:rPr>
              <w:t>Wet desquamation</w:t>
            </w:r>
          </w:p>
        </w:tc>
        <w:tc>
          <w:tcPr>
            <w:tcW w:w="1083" w:type="dxa"/>
            <w:shd w:val="clear" w:color="auto" w:fill="auto"/>
            <w:noWrap/>
          </w:tcPr>
          <w:p w14:paraId="464F593F" w14:textId="77777777" w:rsidR="000C5261" w:rsidRPr="00EE34A8" w:rsidRDefault="000C5261" w:rsidP="003A3F03">
            <w:pPr>
              <w:pStyle w:val="NoSpacing"/>
              <w:jc w:val="center"/>
              <w:rPr>
                <w:rFonts w:cstheme="minorHAnsi"/>
                <w:sz w:val="18"/>
                <w:szCs w:val="18"/>
              </w:rPr>
            </w:pPr>
            <w:r>
              <w:rPr>
                <w:rFonts w:cstheme="minorHAnsi"/>
                <w:sz w:val="18"/>
                <w:szCs w:val="18"/>
              </w:rPr>
              <w:t>6</w:t>
            </w:r>
            <w:r w:rsidRPr="00EE34A8">
              <w:rPr>
                <w:rFonts w:cstheme="minorHAnsi"/>
                <w:sz w:val="18"/>
                <w:szCs w:val="18"/>
              </w:rPr>
              <w:t xml:space="preserve"> (</w:t>
            </w:r>
            <w:r>
              <w:rPr>
                <w:rFonts w:cstheme="minorHAnsi"/>
                <w:sz w:val="18"/>
                <w:szCs w:val="18"/>
              </w:rPr>
              <w:t>17.6</w:t>
            </w:r>
            <w:r w:rsidRPr="00EE34A8">
              <w:rPr>
                <w:rFonts w:cstheme="minorHAnsi"/>
                <w:sz w:val="18"/>
                <w:szCs w:val="18"/>
              </w:rPr>
              <w:t>%)</w:t>
            </w:r>
          </w:p>
        </w:tc>
        <w:tc>
          <w:tcPr>
            <w:tcW w:w="1178" w:type="dxa"/>
            <w:shd w:val="clear" w:color="auto" w:fill="auto"/>
          </w:tcPr>
          <w:p w14:paraId="6D1FA186" w14:textId="77777777" w:rsidR="000C5261" w:rsidRPr="00EE34A8" w:rsidRDefault="000C5261" w:rsidP="003A3F03">
            <w:pPr>
              <w:pStyle w:val="NoSpacing"/>
              <w:jc w:val="center"/>
              <w:rPr>
                <w:rFonts w:cstheme="minorHAnsi"/>
                <w:sz w:val="18"/>
                <w:szCs w:val="18"/>
              </w:rPr>
            </w:pPr>
            <w:r>
              <w:rPr>
                <w:rFonts w:cstheme="minorHAnsi"/>
                <w:sz w:val="18"/>
                <w:szCs w:val="18"/>
              </w:rPr>
              <w:t>14</w:t>
            </w:r>
            <w:r w:rsidRPr="00EE34A8">
              <w:rPr>
                <w:rFonts w:cstheme="minorHAnsi"/>
                <w:sz w:val="18"/>
                <w:szCs w:val="18"/>
              </w:rPr>
              <w:t xml:space="preserve"> (</w:t>
            </w:r>
            <w:r>
              <w:rPr>
                <w:rFonts w:cstheme="minorHAnsi"/>
                <w:sz w:val="18"/>
                <w:szCs w:val="18"/>
              </w:rPr>
              <w:t>24.6</w:t>
            </w:r>
            <w:r w:rsidRPr="00EE34A8">
              <w:rPr>
                <w:rFonts w:cstheme="minorHAnsi"/>
                <w:sz w:val="18"/>
                <w:szCs w:val="18"/>
              </w:rPr>
              <w:t>%)</w:t>
            </w:r>
          </w:p>
        </w:tc>
        <w:tc>
          <w:tcPr>
            <w:tcW w:w="804" w:type="dxa"/>
          </w:tcPr>
          <w:p w14:paraId="71847123" w14:textId="77777777" w:rsidR="000C5261" w:rsidRPr="00EE34A8" w:rsidRDefault="000C5261" w:rsidP="003A3F03">
            <w:pPr>
              <w:pStyle w:val="NoSpacing"/>
              <w:jc w:val="center"/>
              <w:rPr>
                <w:rFonts w:cstheme="minorHAnsi"/>
                <w:sz w:val="18"/>
                <w:szCs w:val="18"/>
              </w:rPr>
            </w:pPr>
            <w:r>
              <w:rPr>
                <w:rFonts w:cstheme="minorHAnsi"/>
                <w:sz w:val="18"/>
                <w:szCs w:val="18"/>
              </w:rPr>
              <w:t>0.602</w:t>
            </w:r>
          </w:p>
        </w:tc>
        <w:tc>
          <w:tcPr>
            <w:tcW w:w="771" w:type="dxa"/>
            <w:gridSpan w:val="2"/>
          </w:tcPr>
          <w:p w14:paraId="00F53571" w14:textId="77777777" w:rsidR="000C5261" w:rsidRPr="00EE34A8" w:rsidRDefault="000C5261" w:rsidP="003A3F03">
            <w:pPr>
              <w:pStyle w:val="NoSpacing"/>
              <w:jc w:val="center"/>
              <w:rPr>
                <w:rFonts w:cstheme="minorHAnsi"/>
                <w:sz w:val="18"/>
                <w:szCs w:val="18"/>
              </w:rPr>
            </w:pPr>
            <w:r w:rsidRPr="00EE34A8">
              <w:rPr>
                <w:rFonts w:cstheme="minorHAnsi"/>
                <w:sz w:val="18"/>
                <w:szCs w:val="18"/>
              </w:rPr>
              <w:t>83.5</w:t>
            </w:r>
          </w:p>
        </w:tc>
        <w:tc>
          <w:tcPr>
            <w:tcW w:w="1277" w:type="dxa"/>
          </w:tcPr>
          <w:p w14:paraId="5A0FEEEA" w14:textId="77777777" w:rsidR="000C5261" w:rsidRPr="00EE34A8" w:rsidRDefault="000C5261" w:rsidP="003A3F03">
            <w:pPr>
              <w:pStyle w:val="NoSpacing"/>
              <w:jc w:val="center"/>
              <w:rPr>
                <w:rFonts w:cstheme="minorHAnsi"/>
                <w:sz w:val="18"/>
                <w:szCs w:val="18"/>
              </w:rPr>
            </w:pPr>
            <w:r w:rsidRPr="00EE34A8">
              <w:rPr>
                <w:rFonts w:cstheme="minorHAnsi"/>
                <w:sz w:val="18"/>
                <w:szCs w:val="18"/>
              </w:rPr>
              <w:t>[74.4,  92.5]</w:t>
            </w:r>
          </w:p>
        </w:tc>
        <w:tc>
          <w:tcPr>
            <w:tcW w:w="869" w:type="dxa"/>
          </w:tcPr>
          <w:p w14:paraId="304D700F"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156.6</w:t>
            </w:r>
          </w:p>
        </w:tc>
        <w:tc>
          <w:tcPr>
            <w:tcW w:w="1280" w:type="dxa"/>
          </w:tcPr>
          <w:p w14:paraId="25D0C7B7" w14:textId="77777777" w:rsidR="000C5261" w:rsidRPr="00EE34A8" w:rsidRDefault="000C5261" w:rsidP="003A3F03">
            <w:pPr>
              <w:pStyle w:val="NoSpacing"/>
              <w:jc w:val="center"/>
              <w:rPr>
                <w:rFonts w:cstheme="minorHAnsi"/>
                <w:sz w:val="18"/>
                <w:szCs w:val="18"/>
              </w:rPr>
            </w:pPr>
            <w:r w:rsidRPr="00EE34A8">
              <w:rPr>
                <w:rFonts w:cstheme="minorHAnsi"/>
                <w:sz w:val="18"/>
                <w:szCs w:val="18"/>
              </w:rPr>
              <w:t>[135.8,  177.5]</w:t>
            </w:r>
          </w:p>
        </w:tc>
        <w:tc>
          <w:tcPr>
            <w:tcW w:w="1051" w:type="dxa"/>
          </w:tcPr>
          <w:p w14:paraId="558A9045" w14:textId="77777777" w:rsidR="000C5261" w:rsidRPr="00EE34A8" w:rsidRDefault="000C5261" w:rsidP="003A3F03">
            <w:pPr>
              <w:pStyle w:val="NoSpacing"/>
              <w:jc w:val="center"/>
              <w:rPr>
                <w:rFonts w:cstheme="minorHAnsi"/>
                <w:sz w:val="18"/>
                <w:szCs w:val="18"/>
              </w:rPr>
            </w:pPr>
            <w:r w:rsidRPr="00EE34A8">
              <w:rPr>
                <w:rFonts w:cstheme="minorHAnsi"/>
                <w:sz w:val="18"/>
                <w:szCs w:val="18"/>
              </w:rPr>
              <w:t>0.394</w:t>
            </w:r>
          </w:p>
        </w:tc>
      </w:tr>
    </w:tbl>
    <w:p w14:paraId="5055A772" w14:textId="77777777" w:rsidR="000C5261" w:rsidRDefault="000C5261" w:rsidP="000C5261">
      <w:pPr>
        <w:ind w:left="1440" w:hanging="1440"/>
        <w:rPr>
          <w:rFonts w:ascii="Times New Roman" w:hAnsi="Times New Roman" w:cs="Times New Roman"/>
        </w:rPr>
      </w:pPr>
    </w:p>
    <w:p w14:paraId="01059816" w14:textId="77777777" w:rsidR="000C5261" w:rsidRDefault="000C5261" w:rsidP="000C5261">
      <w:pPr>
        <w:ind w:left="1440" w:hanging="1440"/>
        <w:rPr>
          <w:rFonts w:ascii="Times New Roman" w:hAnsi="Times New Roman" w:cs="Times New Roman"/>
        </w:rPr>
      </w:pPr>
    </w:p>
    <w:p w14:paraId="4EA82509" w14:textId="77777777" w:rsidR="000C5261" w:rsidRDefault="000C5261" w:rsidP="000C5261">
      <w:pPr>
        <w:ind w:left="1440" w:hanging="1440"/>
        <w:rPr>
          <w:rFonts w:ascii="Times New Roman" w:hAnsi="Times New Roman" w:cs="Times New Roman"/>
        </w:rPr>
      </w:pPr>
    </w:p>
    <w:p w14:paraId="23A1A815" w14:textId="77777777" w:rsidR="000C5261" w:rsidRDefault="000C5261" w:rsidP="000C5261">
      <w:pPr>
        <w:ind w:left="1440" w:hanging="1440"/>
        <w:rPr>
          <w:rFonts w:ascii="Times New Roman" w:hAnsi="Times New Roman" w:cs="Times New Roman"/>
        </w:rPr>
      </w:pPr>
    </w:p>
    <w:p w14:paraId="5D61297A" w14:textId="0BB9FC75" w:rsidR="000C5261" w:rsidRPr="000C5261" w:rsidRDefault="000C5261" w:rsidP="000C5261">
      <w:pPr>
        <w:ind w:left="1440" w:hanging="1440"/>
        <w:rPr>
          <w:rFonts w:ascii="Times New Roman" w:hAnsi="Times New Roman" w:cs="Times New Roman"/>
        </w:rPr>
      </w:pPr>
      <w:r>
        <w:rPr>
          <w:rFonts w:ascii="Times New Roman" w:hAnsi="Times New Roman" w:cs="Times New Roman"/>
        </w:rPr>
        <w:t>Table 2. Outcome of treatment in NPC using 33 vs 35 fractions</w:t>
      </w:r>
    </w:p>
    <w:tbl>
      <w:tblPr>
        <w:tblW w:w="67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20"/>
        <w:gridCol w:w="911"/>
        <w:gridCol w:w="671"/>
        <w:gridCol w:w="1481"/>
        <w:gridCol w:w="691"/>
        <w:gridCol w:w="1111"/>
        <w:gridCol w:w="1111"/>
      </w:tblGrid>
      <w:tr w:rsidR="000C5261" w:rsidRPr="002E34E8" w14:paraId="3F972D96" w14:textId="77777777" w:rsidTr="003A3F03">
        <w:trPr>
          <w:cantSplit/>
          <w:tblHeader/>
        </w:trPr>
        <w:tc>
          <w:tcPr>
            <w:tcW w:w="820" w:type="dxa"/>
            <w:vMerge w:val="restart"/>
            <w:shd w:val="clear" w:color="auto" w:fill="FFFFFF"/>
            <w:tcMar>
              <w:top w:w="30" w:type="dxa"/>
              <w:left w:w="30" w:type="dxa"/>
              <w:bottom w:w="30" w:type="dxa"/>
              <w:right w:w="30" w:type="dxa"/>
            </w:tcMar>
          </w:tcPr>
          <w:p w14:paraId="73810D3A" w14:textId="77777777" w:rsidR="000C5261" w:rsidRPr="002E34E8" w:rsidRDefault="000C5261" w:rsidP="003A3F03">
            <w:pPr>
              <w:pStyle w:val="NoSpacing"/>
              <w:jc w:val="center"/>
              <w:rPr>
                <w:rFonts w:cstheme="minorHAnsi"/>
                <w:sz w:val="18"/>
                <w:szCs w:val="18"/>
              </w:rPr>
            </w:pPr>
          </w:p>
          <w:p w14:paraId="38E55717" w14:textId="77777777" w:rsidR="000C5261" w:rsidRPr="002E34E8" w:rsidRDefault="000C5261" w:rsidP="003A3F03">
            <w:pPr>
              <w:pStyle w:val="NoSpacing"/>
              <w:jc w:val="center"/>
              <w:rPr>
                <w:rFonts w:cstheme="minorHAnsi"/>
                <w:sz w:val="18"/>
                <w:szCs w:val="18"/>
              </w:rPr>
            </w:pPr>
            <w:proofErr w:type="spellStart"/>
            <w:r w:rsidRPr="002E34E8">
              <w:rPr>
                <w:rFonts w:cstheme="minorHAnsi"/>
                <w:sz w:val="18"/>
                <w:szCs w:val="18"/>
              </w:rPr>
              <w:t>Tomo</w:t>
            </w:r>
            <w:proofErr w:type="spellEnd"/>
          </w:p>
          <w:p w14:paraId="514AF248" w14:textId="77777777" w:rsidR="000C5261" w:rsidRPr="002E34E8" w:rsidRDefault="000C5261" w:rsidP="003A3F03">
            <w:pPr>
              <w:pStyle w:val="NoSpacing"/>
              <w:jc w:val="center"/>
              <w:rPr>
                <w:rFonts w:cstheme="minorHAnsi"/>
              </w:rPr>
            </w:pPr>
            <w:r w:rsidRPr="002E34E8">
              <w:rPr>
                <w:rFonts w:cstheme="minorHAnsi"/>
                <w:sz w:val="18"/>
                <w:szCs w:val="18"/>
              </w:rPr>
              <w:t>Fraction</w:t>
            </w:r>
          </w:p>
        </w:tc>
        <w:tc>
          <w:tcPr>
            <w:tcW w:w="4865" w:type="dxa"/>
            <w:gridSpan w:val="5"/>
            <w:shd w:val="clear" w:color="auto" w:fill="FFFFFF"/>
            <w:tcMar>
              <w:top w:w="30" w:type="dxa"/>
              <w:left w:w="30" w:type="dxa"/>
              <w:bottom w:w="30" w:type="dxa"/>
              <w:right w:w="30" w:type="dxa"/>
            </w:tcMar>
          </w:tcPr>
          <w:p w14:paraId="433DA7B2" w14:textId="77777777" w:rsidR="000C5261" w:rsidRPr="002E34E8" w:rsidRDefault="000C5261" w:rsidP="003A3F03">
            <w:pPr>
              <w:pStyle w:val="NoSpacing"/>
              <w:jc w:val="center"/>
              <w:rPr>
                <w:rFonts w:cstheme="minorHAnsi"/>
                <w:sz w:val="18"/>
                <w:szCs w:val="18"/>
              </w:rPr>
            </w:pPr>
            <w:r w:rsidRPr="002E34E8">
              <w:rPr>
                <w:rFonts w:cstheme="minorHAnsi"/>
                <w:sz w:val="18"/>
                <w:szCs w:val="18"/>
              </w:rPr>
              <w:t>Outcome</w:t>
            </w:r>
          </w:p>
        </w:tc>
        <w:tc>
          <w:tcPr>
            <w:tcW w:w="1111" w:type="dxa"/>
            <w:vMerge w:val="restart"/>
            <w:shd w:val="clear" w:color="auto" w:fill="FFFFFF"/>
          </w:tcPr>
          <w:p w14:paraId="2F5734F3" w14:textId="77777777" w:rsidR="000C5261" w:rsidRPr="002E34E8" w:rsidRDefault="000C5261" w:rsidP="003A3F03">
            <w:pPr>
              <w:pStyle w:val="NoSpacing"/>
              <w:jc w:val="center"/>
              <w:rPr>
                <w:rFonts w:cstheme="minorHAnsi"/>
                <w:sz w:val="18"/>
                <w:szCs w:val="18"/>
              </w:rPr>
            </w:pPr>
            <w:r w:rsidRPr="002E34E8">
              <w:rPr>
                <w:rFonts w:cstheme="minorHAnsi"/>
                <w:sz w:val="18"/>
                <w:szCs w:val="18"/>
              </w:rPr>
              <w:t>p-value (likelihood ratio test)</w:t>
            </w:r>
          </w:p>
        </w:tc>
      </w:tr>
      <w:tr w:rsidR="000C5261" w:rsidRPr="002E34E8" w14:paraId="7CDFD688" w14:textId="77777777" w:rsidTr="003A3F03">
        <w:trPr>
          <w:cantSplit/>
          <w:tblHeader/>
        </w:trPr>
        <w:tc>
          <w:tcPr>
            <w:tcW w:w="820" w:type="dxa"/>
            <w:vMerge/>
            <w:shd w:val="clear" w:color="auto" w:fill="FFFFFF"/>
            <w:tcMar>
              <w:top w:w="30" w:type="dxa"/>
              <w:left w:w="30" w:type="dxa"/>
              <w:bottom w:w="30" w:type="dxa"/>
              <w:right w:w="30" w:type="dxa"/>
            </w:tcMar>
          </w:tcPr>
          <w:p w14:paraId="25BCAF22" w14:textId="77777777" w:rsidR="000C5261" w:rsidRPr="002E34E8" w:rsidRDefault="000C5261" w:rsidP="003A3F03">
            <w:pPr>
              <w:pStyle w:val="NoSpacing"/>
              <w:jc w:val="center"/>
              <w:rPr>
                <w:rFonts w:cstheme="minorHAnsi"/>
              </w:rPr>
            </w:pPr>
          </w:p>
        </w:tc>
        <w:tc>
          <w:tcPr>
            <w:tcW w:w="911" w:type="dxa"/>
            <w:shd w:val="clear" w:color="auto" w:fill="FFFFFF"/>
            <w:tcMar>
              <w:top w:w="30" w:type="dxa"/>
              <w:left w:w="30" w:type="dxa"/>
              <w:bottom w:w="30" w:type="dxa"/>
              <w:right w:w="30" w:type="dxa"/>
            </w:tcMar>
            <w:vAlign w:val="bottom"/>
          </w:tcPr>
          <w:p w14:paraId="52976472" w14:textId="77777777" w:rsidR="000C5261" w:rsidRPr="002E34E8" w:rsidRDefault="000C5261" w:rsidP="003A3F03">
            <w:pPr>
              <w:pStyle w:val="NoSpacing"/>
              <w:jc w:val="center"/>
              <w:rPr>
                <w:rFonts w:cstheme="minorHAnsi"/>
                <w:sz w:val="18"/>
                <w:szCs w:val="18"/>
              </w:rPr>
            </w:pPr>
            <w:r w:rsidRPr="002E34E8">
              <w:rPr>
                <w:rFonts w:cstheme="minorHAnsi"/>
                <w:sz w:val="18"/>
                <w:szCs w:val="18"/>
              </w:rPr>
              <w:t>Improved</w:t>
            </w:r>
          </w:p>
        </w:tc>
        <w:tc>
          <w:tcPr>
            <w:tcW w:w="671" w:type="dxa"/>
            <w:shd w:val="clear" w:color="auto" w:fill="FFFFFF"/>
            <w:tcMar>
              <w:top w:w="30" w:type="dxa"/>
              <w:left w:w="30" w:type="dxa"/>
              <w:bottom w:w="30" w:type="dxa"/>
              <w:right w:w="30" w:type="dxa"/>
            </w:tcMar>
            <w:vAlign w:val="bottom"/>
          </w:tcPr>
          <w:p w14:paraId="14F552FE" w14:textId="77777777" w:rsidR="000C5261" w:rsidRPr="002E34E8" w:rsidRDefault="000C5261" w:rsidP="003A3F03">
            <w:pPr>
              <w:pStyle w:val="NoSpacing"/>
              <w:jc w:val="center"/>
              <w:rPr>
                <w:rFonts w:cstheme="minorHAnsi"/>
                <w:sz w:val="18"/>
                <w:szCs w:val="18"/>
              </w:rPr>
            </w:pPr>
            <w:r w:rsidRPr="002E34E8">
              <w:rPr>
                <w:rFonts w:cstheme="minorHAnsi"/>
                <w:sz w:val="18"/>
                <w:szCs w:val="18"/>
              </w:rPr>
              <w:t>Died</w:t>
            </w:r>
          </w:p>
        </w:tc>
        <w:tc>
          <w:tcPr>
            <w:tcW w:w="1481" w:type="dxa"/>
            <w:shd w:val="clear" w:color="auto" w:fill="FFFFFF"/>
            <w:tcMar>
              <w:top w:w="30" w:type="dxa"/>
              <w:left w:w="30" w:type="dxa"/>
              <w:bottom w:w="30" w:type="dxa"/>
              <w:right w:w="30" w:type="dxa"/>
            </w:tcMar>
            <w:vAlign w:val="bottom"/>
          </w:tcPr>
          <w:p w14:paraId="227D8B21" w14:textId="77777777" w:rsidR="000C5261" w:rsidRPr="002E34E8" w:rsidRDefault="000C5261" w:rsidP="003A3F03">
            <w:pPr>
              <w:pStyle w:val="NoSpacing"/>
              <w:jc w:val="center"/>
              <w:rPr>
                <w:rFonts w:cstheme="minorHAnsi"/>
                <w:sz w:val="18"/>
                <w:szCs w:val="18"/>
              </w:rPr>
            </w:pPr>
            <w:r w:rsidRPr="002E34E8">
              <w:rPr>
                <w:rFonts w:cstheme="minorHAnsi"/>
                <w:sz w:val="18"/>
                <w:szCs w:val="18"/>
              </w:rPr>
              <w:t>No improvement</w:t>
            </w:r>
          </w:p>
        </w:tc>
        <w:tc>
          <w:tcPr>
            <w:tcW w:w="691" w:type="dxa"/>
            <w:shd w:val="clear" w:color="auto" w:fill="FFFFFF"/>
            <w:tcMar>
              <w:top w:w="30" w:type="dxa"/>
              <w:left w:w="30" w:type="dxa"/>
              <w:bottom w:w="30" w:type="dxa"/>
              <w:right w:w="30" w:type="dxa"/>
            </w:tcMar>
            <w:vAlign w:val="bottom"/>
          </w:tcPr>
          <w:p w14:paraId="454F34F3" w14:textId="77777777" w:rsidR="000C5261" w:rsidRPr="002E34E8" w:rsidRDefault="000C5261" w:rsidP="003A3F03">
            <w:pPr>
              <w:pStyle w:val="NoSpacing"/>
              <w:jc w:val="center"/>
              <w:rPr>
                <w:rFonts w:cstheme="minorHAnsi"/>
                <w:sz w:val="18"/>
                <w:szCs w:val="18"/>
              </w:rPr>
            </w:pPr>
            <w:r w:rsidRPr="002E34E8">
              <w:rPr>
                <w:rFonts w:cstheme="minorHAnsi"/>
                <w:sz w:val="18"/>
                <w:szCs w:val="18"/>
              </w:rPr>
              <w:t>Re-RT</w:t>
            </w:r>
          </w:p>
        </w:tc>
        <w:tc>
          <w:tcPr>
            <w:tcW w:w="1111" w:type="dxa"/>
            <w:shd w:val="clear" w:color="auto" w:fill="FFFFFF"/>
            <w:tcMar>
              <w:top w:w="30" w:type="dxa"/>
              <w:left w:w="30" w:type="dxa"/>
              <w:bottom w:w="30" w:type="dxa"/>
              <w:right w:w="30" w:type="dxa"/>
            </w:tcMar>
            <w:vAlign w:val="bottom"/>
          </w:tcPr>
          <w:p w14:paraId="0AAF1E74" w14:textId="77777777" w:rsidR="000C5261" w:rsidRPr="002E34E8" w:rsidRDefault="000C5261" w:rsidP="003A3F03">
            <w:pPr>
              <w:pStyle w:val="NoSpacing"/>
              <w:jc w:val="center"/>
              <w:rPr>
                <w:rFonts w:cstheme="minorHAnsi"/>
                <w:sz w:val="18"/>
                <w:szCs w:val="18"/>
              </w:rPr>
            </w:pPr>
            <w:r w:rsidRPr="002E34E8">
              <w:rPr>
                <w:rFonts w:cstheme="minorHAnsi"/>
                <w:sz w:val="18"/>
                <w:szCs w:val="18"/>
              </w:rPr>
              <w:t xml:space="preserve">Lost to </w:t>
            </w:r>
            <w:proofErr w:type="spellStart"/>
            <w:r w:rsidRPr="002E34E8">
              <w:rPr>
                <w:rFonts w:cstheme="minorHAnsi"/>
                <w:sz w:val="18"/>
                <w:szCs w:val="18"/>
              </w:rPr>
              <w:t>ff</w:t>
            </w:r>
            <w:proofErr w:type="spellEnd"/>
            <w:r w:rsidRPr="002E34E8">
              <w:rPr>
                <w:rFonts w:cstheme="minorHAnsi"/>
                <w:sz w:val="18"/>
                <w:szCs w:val="18"/>
              </w:rPr>
              <w:t>-up</w:t>
            </w:r>
          </w:p>
        </w:tc>
        <w:tc>
          <w:tcPr>
            <w:tcW w:w="1111" w:type="dxa"/>
            <w:vMerge/>
            <w:shd w:val="clear" w:color="auto" w:fill="FFFFFF"/>
          </w:tcPr>
          <w:p w14:paraId="7B300940" w14:textId="77777777" w:rsidR="000C5261" w:rsidRPr="002E34E8" w:rsidRDefault="000C5261" w:rsidP="003A3F03">
            <w:pPr>
              <w:pStyle w:val="NoSpacing"/>
              <w:jc w:val="center"/>
              <w:rPr>
                <w:rFonts w:cstheme="minorHAnsi"/>
                <w:sz w:val="18"/>
                <w:szCs w:val="18"/>
              </w:rPr>
            </w:pPr>
          </w:p>
        </w:tc>
      </w:tr>
      <w:tr w:rsidR="000C5261" w:rsidRPr="002E34E8" w14:paraId="70896CAE" w14:textId="77777777" w:rsidTr="003A3F03">
        <w:trPr>
          <w:cantSplit/>
          <w:tblHeader/>
        </w:trPr>
        <w:tc>
          <w:tcPr>
            <w:tcW w:w="820" w:type="dxa"/>
            <w:vMerge w:val="restart"/>
            <w:shd w:val="clear" w:color="auto" w:fill="FFFFFF"/>
            <w:tcMar>
              <w:top w:w="30" w:type="dxa"/>
              <w:left w:w="30" w:type="dxa"/>
              <w:bottom w:w="30" w:type="dxa"/>
              <w:right w:w="30" w:type="dxa"/>
            </w:tcMar>
          </w:tcPr>
          <w:p w14:paraId="32360A08" w14:textId="77777777" w:rsidR="000C5261" w:rsidRPr="002E34E8" w:rsidRDefault="000C5261" w:rsidP="003A3F03">
            <w:pPr>
              <w:pStyle w:val="NoSpacing"/>
              <w:jc w:val="center"/>
              <w:rPr>
                <w:rFonts w:cstheme="minorHAnsi"/>
                <w:sz w:val="18"/>
                <w:szCs w:val="18"/>
              </w:rPr>
            </w:pPr>
            <w:r w:rsidRPr="002E34E8">
              <w:rPr>
                <w:rFonts w:cstheme="minorHAnsi"/>
                <w:sz w:val="18"/>
                <w:szCs w:val="18"/>
              </w:rPr>
              <w:t>33</w:t>
            </w:r>
          </w:p>
          <w:p w14:paraId="5E2B9AAA" w14:textId="77777777" w:rsidR="000C5261" w:rsidRPr="002E34E8" w:rsidRDefault="000C5261" w:rsidP="003A3F03">
            <w:pPr>
              <w:pStyle w:val="NoSpacing"/>
              <w:jc w:val="center"/>
              <w:rPr>
                <w:rFonts w:cstheme="minorHAnsi"/>
                <w:sz w:val="18"/>
                <w:szCs w:val="18"/>
              </w:rPr>
            </w:pPr>
            <w:r w:rsidRPr="002E34E8">
              <w:rPr>
                <w:rFonts w:cstheme="minorHAnsi"/>
                <w:sz w:val="18"/>
                <w:szCs w:val="18"/>
              </w:rPr>
              <w:t>(n = 34)</w:t>
            </w:r>
          </w:p>
        </w:tc>
        <w:tc>
          <w:tcPr>
            <w:tcW w:w="911" w:type="dxa"/>
            <w:shd w:val="clear" w:color="auto" w:fill="FFFFFF"/>
            <w:tcMar>
              <w:top w:w="30" w:type="dxa"/>
              <w:left w:w="30" w:type="dxa"/>
              <w:bottom w:w="30" w:type="dxa"/>
              <w:right w:w="30" w:type="dxa"/>
            </w:tcMar>
          </w:tcPr>
          <w:p w14:paraId="49D949B8" w14:textId="77777777" w:rsidR="000C5261" w:rsidRPr="002E34E8" w:rsidRDefault="000C5261" w:rsidP="003A3F03">
            <w:pPr>
              <w:pStyle w:val="NoSpacing"/>
              <w:jc w:val="center"/>
              <w:rPr>
                <w:rFonts w:cstheme="minorHAnsi"/>
                <w:sz w:val="18"/>
                <w:szCs w:val="18"/>
              </w:rPr>
            </w:pPr>
            <w:r w:rsidRPr="002E34E8">
              <w:rPr>
                <w:rFonts w:cstheme="minorHAnsi"/>
                <w:sz w:val="18"/>
                <w:szCs w:val="18"/>
              </w:rPr>
              <w:t>14</w:t>
            </w:r>
          </w:p>
        </w:tc>
        <w:tc>
          <w:tcPr>
            <w:tcW w:w="671" w:type="dxa"/>
            <w:shd w:val="clear" w:color="auto" w:fill="FFFFFF"/>
            <w:tcMar>
              <w:top w:w="30" w:type="dxa"/>
              <w:left w:w="30" w:type="dxa"/>
              <w:bottom w:w="30" w:type="dxa"/>
              <w:right w:w="30" w:type="dxa"/>
            </w:tcMar>
          </w:tcPr>
          <w:p w14:paraId="2FEDE924" w14:textId="77777777" w:rsidR="000C5261" w:rsidRPr="002E34E8" w:rsidRDefault="000C5261" w:rsidP="003A3F03">
            <w:pPr>
              <w:pStyle w:val="NoSpacing"/>
              <w:jc w:val="center"/>
              <w:rPr>
                <w:rFonts w:cstheme="minorHAnsi"/>
                <w:sz w:val="18"/>
                <w:szCs w:val="18"/>
              </w:rPr>
            </w:pPr>
            <w:r w:rsidRPr="002E34E8">
              <w:rPr>
                <w:rFonts w:cstheme="minorHAnsi"/>
                <w:sz w:val="18"/>
                <w:szCs w:val="18"/>
              </w:rPr>
              <w:t>1</w:t>
            </w:r>
          </w:p>
        </w:tc>
        <w:tc>
          <w:tcPr>
            <w:tcW w:w="1481" w:type="dxa"/>
            <w:shd w:val="clear" w:color="auto" w:fill="FFFFFF"/>
            <w:tcMar>
              <w:top w:w="30" w:type="dxa"/>
              <w:left w:w="30" w:type="dxa"/>
              <w:bottom w:w="30" w:type="dxa"/>
              <w:right w:w="30" w:type="dxa"/>
            </w:tcMar>
          </w:tcPr>
          <w:p w14:paraId="5515E6FD" w14:textId="77777777" w:rsidR="000C5261" w:rsidRPr="002E34E8" w:rsidRDefault="000C5261" w:rsidP="003A3F03">
            <w:pPr>
              <w:pStyle w:val="NoSpacing"/>
              <w:jc w:val="center"/>
              <w:rPr>
                <w:rFonts w:cstheme="minorHAnsi"/>
                <w:sz w:val="18"/>
                <w:szCs w:val="18"/>
              </w:rPr>
            </w:pPr>
            <w:r w:rsidRPr="002E34E8">
              <w:rPr>
                <w:rFonts w:cstheme="minorHAnsi"/>
                <w:sz w:val="18"/>
                <w:szCs w:val="18"/>
              </w:rPr>
              <w:t>3</w:t>
            </w:r>
          </w:p>
        </w:tc>
        <w:tc>
          <w:tcPr>
            <w:tcW w:w="691" w:type="dxa"/>
            <w:shd w:val="clear" w:color="auto" w:fill="FFFFFF"/>
            <w:tcMar>
              <w:top w:w="30" w:type="dxa"/>
              <w:left w:w="30" w:type="dxa"/>
              <w:bottom w:w="30" w:type="dxa"/>
              <w:right w:w="30" w:type="dxa"/>
            </w:tcMar>
          </w:tcPr>
          <w:p w14:paraId="444B5ABE" w14:textId="77777777" w:rsidR="000C5261" w:rsidRPr="002E34E8" w:rsidRDefault="000C5261" w:rsidP="003A3F03">
            <w:pPr>
              <w:pStyle w:val="NoSpacing"/>
              <w:jc w:val="center"/>
              <w:rPr>
                <w:rFonts w:cstheme="minorHAnsi"/>
                <w:sz w:val="18"/>
                <w:szCs w:val="18"/>
              </w:rPr>
            </w:pPr>
            <w:r w:rsidRPr="002E34E8">
              <w:rPr>
                <w:rFonts w:cstheme="minorHAnsi"/>
                <w:sz w:val="18"/>
                <w:szCs w:val="18"/>
              </w:rPr>
              <w:t>2</w:t>
            </w:r>
          </w:p>
        </w:tc>
        <w:tc>
          <w:tcPr>
            <w:tcW w:w="1111" w:type="dxa"/>
            <w:shd w:val="clear" w:color="auto" w:fill="FFFFFF"/>
            <w:tcMar>
              <w:top w:w="30" w:type="dxa"/>
              <w:left w:w="30" w:type="dxa"/>
              <w:bottom w:w="30" w:type="dxa"/>
              <w:right w:w="30" w:type="dxa"/>
            </w:tcMar>
          </w:tcPr>
          <w:p w14:paraId="19E4F4E8" w14:textId="77777777" w:rsidR="000C5261" w:rsidRPr="002E34E8" w:rsidRDefault="000C5261" w:rsidP="003A3F03">
            <w:pPr>
              <w:pStyle w:val="NoSpacing"/>
              <w:jc w:val="center"/>
              <w:rPr>
                <w:rFonts w:cstheme="minorHAnsi"/>
                <w:sz w:val="18"/>
                <w:szCs w:val="18"/>
              </w:rPr>
            </w:pPr>
            <w:r w:rsidRPr="002E34E8">
              <w:rPr>
                <w:rFonts w:cstheme="minorHAnsi"/>
                <w:sz w:val="18"/>
                <w:szCs w:val="18"/>
              </w:rPr>
              <w:t>14</w:t>
            </w:r>
          </w:p>
        </w:tc>
        <w:tc>
          <w:tcPr>
            <w:tcW w:w="1111" w:type="dxa"/>
            <w:vMerge w:val="restart"/>
            <w:shd w:val="clear" w:color="auto" w:fill="FFFFFF"/>
          </w:tcPr>
          <w:p w14:paraId="7F941F80" w14:textId="77777777" w:rsidR="000C5261" w:rsidRPr="002E34E8" w:rsidRDefault="000C5261" w:rsidP="003A3F03">
            <w:pPr>
              <w:pStyle w:val="NoSpacing"/>
              <w:jc w:val="center"/>
              <w:rPr>
                <w:rFonts w:cstheme="minorHAnsi"/>
                <w:sz w:val="18"/>
                <w:szCs w:val="18"/>
              </w:rPr>
            </w:pPr>
            <w:r w:rsidRPr="002E34E8">
              <w:rPr>
                <w:rFonts w:cstheme="minorHAnsi"/>
                <w:sz w:val="18"/>
                <w:szCs w:val="18"/>
              </w:rPr>
              <w:t>0.511</w:t>
            </w:r>
          </w:p>
        </w:tc>
      </w:tr>
      <w:tr w:rsidR="000C5261" w:rsidRPr="002E34E8" w14:paraId="1AC3C254" w14:textId="77777777" w:rsidTr="003A3F03">
        <w:trPr>
          <w:cantSplit/>
          <w:tblHeader/>
        </w:trPr>
        <w:tc>
          <w:tcPr>
            <w:tcW w:w="820" w:type="dxa"/>
            <w:vMerge/>
            <w:shd w:val="clear" w:color="auto" w:fill="FFFFFF"/>
            <w:tcMar>
              <w:top w:w="30" w:type="dxa"/>
              <w:left w:w="30" w:type="dxa"/>
              <w:bottom w:w="30" w:type="dxa"/>
              <w:right w:w="30" w:type="dxa"/>
            </w:tcMar>
          </w:tcPr>
          <w:p w14:paraId="631B40BA" w14:textId="77777777" w:rsidR="000C5261" w:rsidRPr="002E34E8" w:rsidRDefault="000C5261" w:rsidP="003A3F03">
            <w:pPr>
              <w:pStyle w:val="NoSpacing"/>
              <w:jc w:val="center"/>
              <w:rPr>
                <w:rFonts w:cstheme="minorHAnsi"/>
                <w:sz w:val="18"/>
                <w:szCs w:val="18"/>
              </w:rPr>
            </w:pPr>
          </w:p>
        </w:tc>
        <w:tc>
          <w:tcPr>
            <w:tcW w:w="911" w:type="dxa"/>
            <w:shd w:val="clear" w:color="auto" w:fill="FFFFFF"/>
            <w:tcMar>
              <w:top w:w="30" w:type="dxa"/>
              <w:left w:w="30" w:type="dxa"/>
              <w:bottom w:w="30" w:type="dxa"/>
              <w:right w:w="30" w:type="dxa"/>
            </w:tcMar>
          </w:tcPr>
          <w:p w14:paraId="278F009B" w14:textId="77777777" w:rsidR="000C5261" w:rsidRPr="002E34E8" w:rsidRDefault="000C5261" w:rsidP="003A3F03">
            <w:pPr>
              <w:pStyle w:val="NoSpacing"/>
              <w:jc w:val="center"/>
              <w:rPr>
                <w:rFonts w:cstheme="minorHAnsi"/>
                <w:sz w:val="18"/>
                <w:szCs w:val="18"/>
              </w:rPr>
            </w:pPr>
            <w:r w:rsidRPr="002E34E8">
              <w:rPr>
                <w:rFonts w:cstheme="minorHAnsi"/>
                <w:sz w:val="18"/>
                <w:szCs w:val="18"/>
              </w:rPr>
              <w:t>41.2%</w:t>
            </w:r>
          </w:p>
        </w:tc>
        <w:tc>
          <w:tcPr>
            <w:tcW w:w="671" w:type="dxa"/>
            <w:shd w:val="clear" w:color="auto" w:fill="FFFFFF"/>
            <w:tcMar>
              <w:top w:w="30" w:type="dxa"/>
              <w:left w:w="30" w:type="dxa"/>
              <w:bottom w:w="30" w:type="dxa"/>
              <w:right w:w="30" w:type="dxa"/>
            </w:tcMar>
          </w:tcPr>
          <w:p w14:paraId="3416F667" w14:textId="77777777" w:rsidR="000C5261" w:rsidRPr="002E34E8" w:rsidRDefault="000C5261" w:rsidP="003A3F03">
            <w:pPr>
              <w:pStyle w:val="NoSpacing"/>
              <w:jc w:val="center"/>
              <w:rPr>
                <w:rFonts w:cstheme="minorHAnsi"/>
                <w:sz w:val="18"/>
                <w:szCs w:val="18"/>
              </w:rPr>
            </w:pPr>
            <w:r w:rsidRPr="002E34E8">
              <w:rPr>
                <w:rFonts w:cstheme="minorHAnsi"/>
                <w:sz w:val="18"/>
                <w:szCs w:val="18"/>
              </w:rPr>
              <w:t>2.9%</w:t>
            </w:r>
          </w:p>
        </w:tc>
        <w:tc>
          <w:tcPr>
            <w:tcW w:w="1481" w:type="dxa"/>
            <w:shd w:val="clear" w:color="auto" w:fill="FFFFFF"/>
            <w:tcMar>
              <w:top w:w="30" w:type="dxa"/>
              <w:left w:w="30" w:type="dxa"/>
              <w:bottom w:w="30" w:type="dxa"/>
              <w:right w:w="30" w:type="dxa"/>
            </w:tcMar>
          </w:tcPr>
          <w:p w14:paraId="6FF79AD1" w14:textId="77777777" w:rsidR="000C5261" w:rsidRPr="002E34E8" w:rsidRDefault="000C5261" w:rsidP="003A3F03">
            <w:pPr>
              <w:pStyle w:val="NoSpacing"/>
              <w:jc w:val="center"/>
              <w:rPr>
                <w:rFonts w:cstheme="minorHAnsi"/>
                <w:sz w:val="18"/>
                <w:szCs w:val="18"/>
              </w:rPr>
            </w:pPr>
            <w:r w:rsidRPr="002E34E8">
              <w:rPr>
                <w:rFonts w:cstheme="minorHAnsi"/>
                <w:sz w:val="18"/>
                <w:szCs w:val="18"/>
              </w:rPr>
              <w:t>8.8%</w:t>
            </w:r>
          </w:p>
        </w:tc>
        <w:tc>
          <w:tcPr>
            <w:tcW w:w="691" w:type="dxa"/>
            <w:shd w:val="clear" w:color="auto" w:fill="FFFFFF"/>
            <w:tcMar>
              <w:top w:w="30" w:type="dxa"/>
              <w:left w:w="30" w:type="dxa"/>
              <w:bottom w:w="30" w:type="dxa"/>
              <w:right w:w="30" w:type="dxa"/>
            </w:tcMar>
          </w:tcPr>
          <w:p w14:paraId="08FB361F" w14:textId="77777777" w:rsidR="000C5261" w:rsidRPr="002E34E8" w:rsidRDefault="000C5261" w:rsidP="003A3F03">
            <w:pPr>
              <w:pStyle w:val="NoSpacing"/>
              <w:jc w:val="center"/>
              <w:rPr>
                <w:rFonts w:cstheme="minorHAnsi"/>
                <w:sz w:val="18"/>
                <w:szCs w:val="18"/>
              </w:rPr>
            </w:pPr>
            <w:r w:rsidRPr="002E34E8">
              <w:rPr>
                <w:rFonts w:cstheme="minorHAnsi"/>
                <w:sz w:val="18"/>
                <w:szCs w:val="18"/>
              </w:rPr>
              <w:t>5.9%</w:t>
            </w:r>
          </w:p>
        </w:tc>
        <w:tc>
          <w:tcPr>
            <w:tcW w:w="1111" w:type="dxa"/>
            <w:shd w:val="clear" w:color="auto" w:fill="FFFFFF"/>
            <w:tcMar>
              <w:top w:w="30" w:type="dxa"/>
              <w:left w:w="30" w:type="dxa"/>
              <w:bottom w:w="30" w:type="dxa"/>
              <w:right w:w="30" w:type="dxa"/>
            </w:tcMar>
          </w:tcPr>
          <w:p w14:paraId="2857EFD9" w14:textId="77777777" w:rsidR="000C5261" w:rsidRPr="002E34E8" w:rsidRDefault="000C5261" w:rsidP="003A3F03">
            <w:pPr>
              <w:pStyle w:val="NoSpacing"/>
              <w:jc w:val="center"/>
              <w:rPr>
                <w:rFonts w:cstheme="minorHAnsi"/>
                <w:sz w:val="18"/>
                <w:szCs w:val="18"/>
              </w:rPr>
            </w:pPr>
            <w:r w:rsidRPr="002E34E8">
              <w:rPr>
                <w:rFonts w:cstheme="minorHAnsi"/>
                <w:sz w:val="18"/>
                <w:szCs w:val="18"/>
              </w:rPr>
              <w:t>41.2%</w:t>
            </w:r>
          </w:p>
        </w:tc>
        <w:tc>
          <w:tcPr>
            <w:tcW w:w="1111" w:type="dxa"/>
            <w:vMerge/>
            <w:shd w:val="clear" w:color="auto" w:fill="FFFFFF"/>
          </w:tcPr>
          <w:p w14:paraId="50990E3B" w14:textId="77777777" w:rsidR="000C5261" w:rsidRPr="002E34E8" w:rsidRDefault="000C5261" w:rsidP="003A3F03">
            <w:pPr>
              <w:pStyle w:val="NoSpacing"/>
              <w:jc w:val="center"/>
              <w:rPr>
                <w:rFonts w:cstheme="minorHAnsi"/>
                <w:sz w:val="18"/>
                <w:szCs w:val="18"/>
              </w:rPr>
            </w:pPr>
          </w:p>
        </w:tc>
      </w:tr>
      <w:tr w:rsidR="000C5261" w:rsidRPr="002E34E8" w14:paraId="39D19453" w14:textId="77777777" w:rsidTr="003A3F03">
        <w:trPr>
          <w:cantSplit/>
          <w:tblHeader/>
        </w:trPr>
        <w:tc>
          <w:tcPr>
            <w:tcW w:w="820" w:type="dxa"/>
            <w:vMerge w:val="restart"/>
            <w:shd w:val="clear" w:color="auto" w:fill="FFFFFF"/>
            <w:tcMar>
              <w:top w:w="30" w:type="dxa"/>
              <w:left w:w="30" w:type="dxa"/>
              <w:bottom w:w="30" w:type="dxa"/>
              <w:right w:w="30" w:type="dxa"/>
            </w:tcMar>
          </w:tcPr>
          <w:p w14:paraId="6302E2A3" w14:textId="77777777" w:rsidR="000C5261" w:rsidRPr="002E34E8" w:rsidRDefault="000C5261" w:rsidP="003A3F03">
            <w:pPr>
              <w:pStyle w:val="NoSpacing"/>
              <w:jc w:val="center"/>
              <w:rPr>
                <w:rFonts w:cstheme="minorHAnsi"/>
                <w:sz w:val="18"/>
                <w:szCs w:val="18"/>
              </w:rPr>
            </w:pPr>
            <w:r w:rsidRPr="002E34E8">
              <w:rPr>
                <w:rFonts w:cstheme="minorHAnsi"/>
                <w:sz w:val="18"/>
                <w:szCs w:val="18"/>
              </w:rPr>
              <w:t>35</w:t>
            </w:r>
          </w:p>
          <w:p w14:paraId="00BD640E" w14:textId="77777777" w:rsidR="000C5261" w:rsidRPr="002E34E8" w:rsidRDefault="000C5261" w:rsidP="003A3F03">
            <w:pPr>
              <w:pStyle w:val="NoSpacing"/>
              <w:jc w:val="center"/>
              <w:rPr>
                <w:rFonts w:cstheme="minorHAnsi"/>
                <w:sz w:val="18"/>
                <w:szCs w:val="18"/>
              </w:rPr>
            </w:pPr>
            <w:r w:rsidRPr="002E34E8">
              <w:rPr>
                <w:rFonts w:cstheme="minorHAnsi"/>
                <w:sz w:val="18"/>
                <w:szCs w:val="18"/>
              </w:rPr>
              <w:t>(n = 57)</w:t>
            </w:r>
          </w:p>
        </w:tc>
        <w:tc>
          <w:tcPr>
            <w:tcW w:w="911" w:type="dxa"/>
            <w:shd w:val="clear" w:color="auto" w:fill="FFFFFF"/>
            <w:tcMar>
              <w:top w:w="30" w:type="dxa"/>
              <w:left w:w="30" w:type="dxa"/>
              <w:bottom w:w="30" w:type="dxa"/>
              <w:right w:w="30" w:type="dxa"/>
            </w:tcMar>
          </w:tcPr>
          <w:p w14:paraId="7CB42295" w14:textId="77777777" w:rsidR="000C5261" w:rsidRPr="002E34E8" w:rsidRDefault="000C5261" w:rsidP="003A3F03">
            <w:pPr>
              <w:pStyle w:val="NoSpacing"/>
              <w:jc w:val="center"/>
              <w:rPr>
                <w:rFonts w:cstheme="minorHAnsi"/>
                <w:sz w:val="18"/>
                <w:szCs w:val="18"/>
              </w:rPr>
            </w:pPr>
            <w:r w:rsidRPr="002E34E8">
              <w:rPr>
                <w:rFonts w:cstheme="minorHAnsi"/>
                <w:sz w:val="18"/>
                <w:szCs w:val="18"/>
              </w:rPr>
              <w:t>20</w:t>
            </w:r>
          </w:p>
        </w:tc>
        <w:tc>
          <w:tcPr>
            <w:tcW w:w="671" w:type="dxa"/>
            <w:shd w:val="clear" w:color="auto" w:fill="FFFFFF"/>
            <w:tcMar>
              <w:top w:w="30" w:type="dxa"/>
              <w:left w:w="30" w:type="dxa"/>
              <w:bottom w:w="30" w:type="dxa"/>
              <w:right w:w="30" w:type="dxa"/>
            </w:tcMar>
          </w:tcPr>
          <w:p w14:paraId="259FA27F" w14:textId="77777777" w:rsidR="000C5261" w:rsidRPr="002E34E8" w:rsidRDefault="000C5261" w:rsidP="003A3F03">
            <w:pPr>
              <w:pStyle w:val="NoSpacing"/>
              <w:jc w:val="center"/>
              <w:rPr>
                <w:rFonts w:cstheme="minorHAnsi"/>
                <w:sz w:val="18"/>
                <w:szCs w:val="18"/>
              </w:rPr>
            </w:pPr>
            <w:r w:rsidRPr="002E34E8">
              <w:rPr>
                <w:rFonts w:cstheme="minorHAnsi"/>
                <w:sz w:val="18"/>
                <w:szCs w:val="18"/>
              </w:rPr>
              <w:t>6</w:t>
            </w:r>
          </w:p>
        </w:tc>
        <w:tc>
          <w:tcPr>
            <w:tcW w:w="1481" w:type="dxa"/>
            <w:shd w:val="clear" w:color="auto" w:fill="FFFFFF"/>
            <w:tcMar>
              <w:top w:w="30" w:type="dxa"/>
              <w:left w:w="30" w:type="dxa"/>
              <w:bottom w:w="30" w:type="dxa"/>
              <w:right w:w="30" w:type="dxa"/>
            </w:tcMar>
          </w:tcPr>
          <w:p w14:paraId="7829A498" w14:textId="77777777" w:rsidR="000C5261" w:rsidRPr="002E34E8" w:rsidRDefault="000C5261" w:rsidP="003A3F03">
            <w:pPr>
              <w:pStyle w:val="NoSpacing"/>
              <w:jc w:val="center"/>
              <w:rPr>
                <w:rFonts w:cstheme="minorHAnsi"/>
                <w:sz w:val="18"/>
                <w:szCs w:val="18"/>
              </w:rPr>
            </w:pPr>
            <w:r w:rsidRPr="002E34E8">
              <w:rPr>
                <w:rFonts w:cstheme="minorHAnsi"/>
                <w:sz w:val="18"/>
                <w:szCs w:val="18"/>
              </w:rPr>
              <w:t>4</w:t>
            </w:r>
          </w:p>
        </w:tc>
        <w:tc>
          <w:tcPr>
            <w:tcW w:w="691" w:type="dxa"/>
            <w:shd w:val="clear" w:color="auto" w:fill="FFFFFF"/>
            <w:tcMar>
              <w:top w:w="30" w:type="dxa"/>
              <w:left w:w="30" w:type="dxa"/>
              <w:bottom w:w="30" w:type="dxa"/>
              <w:right w:w="30" w:type="dxa"/>
            </w:tcMar>
          </w:tcPr>
          <w:p w14:paraId="709C5FD7" w14:textId="77777777" w:rsidR="000C5261" w:rsidRPr="002E34E8" w:rsidRDefault="000C5261" w:rsidP="003A3F03">
            <w:pPr>
              <w:pStyle w:val="NoSpacing"/>
              <w:jc w:val="center"/>
              <w:rPr>
                <w:rFonts w:cstheme="minorHAnsi"/>
                <w:sz w:val="18"/>
                <w:szCs w:val="18"/>
              </w:rPr>
            </w:pPr>
            <w:r w:rsidRPr="002E34E8">
              <w:rPr>
                <w:rFonts w:cstheme="minorHAnsi"/>
                <w:sz w:val="18"/>
                <w:szCs w:val="18"/>
              </w:rPr>
              <w:t>1</w:t>
            </w:r>
          </w:p>
        </w:tc>
        <w:tc>
          <w:tcPr>
            <w:tcW w:w="1111" w:type="dxa"/>
            <w:shd w:val="clear" w:color="auto" w:fill="FFFFFF"/>
            <w:tcMar>
              <w:top w:w="30" w:type="dxa"/>
              <w:left w:w="30" w:type="dxa"/>
              <w:bottom w:w="30" w:type="dxa"/>
              <w:right w:w="30" w:type="dxa"/>
            </w:tcMar>
          </w:tcPr>
          <w:p w14:paraId="3A15A86D" w14:textId="77777777" w:rsidR="000C5261" w:rsidRPr="002E34E8" w:rsidRDefault="000C5261" w:rsidP="003A3F03">
            <w:pPr>
              <w:pStyle w:val="NoSpacing"/>
              <w:jc w:val="center"/>
              <w:rPr>
                <w:rFonts w:cstheme="minorHAnsi"/>
                <w:sz w:val="18"/>
                <w:szCs w:val="18"/>
              </w:rPr>
            </w:pPr>
            <w:r w:rsidRPr="002E34E8">
              <w:rPr>
                <w:rFonts w:cstheme="minorHAnsi"/>
                <w:sz w:val="18"/>
                <w:szCs w:val="18"/>
              </w:rPr>
              <w:t>26</w:t>
            </w:r>
          </w:p>
        </w:tc>
        <w:tc>
          <w:tcPr>
            <w:tcW w:w="1111" w:type="dxa"/>
            <w:vMerge/>
            <w:shd w:val="clear" w:color="auto" w:fill="FFFFFF"/>
          </w:tcPr>
          <w:p w14:paraId="6BEB3809" w14:textId="77777777" w:rsidR="000C5261" w:rsidRPr="002E34E8" w:rsidRDefault="000C5261" w:rsidP="003A3F03">
            <w:pPr>
              <w:pStyle w:val="NoSpacing"/>
              <w:jc w:val="center"/>
              <w:rPr>
                <w:rFonts w:cstheme="minorHAnsi"/>
                <w:sz w:val="18"/>
                <w:szCs w:val="18"/>
              </w:rPr>
            </w:pPr>
          </w:p>
        </w:tc>
      </w:tr>
      <w:tr w:rsidR="000C5261" w:rsidRPr="002E34E8" w14:paraId="23B0A404" w14:textId="77777777" w:rsidTr="003A3F03">
        <w:trPr>
          <w:cantSplit/>
          <w:tblHeader/>
        </w:trPr>
        <w:tc>
          <w:tcPr>
            <w:tcW w:w="820" w:type="dxa"/>
            <w:vMerge/>
            <w:shd w:val="clear" w:color="auto" w:fill="FFFFFF"/>
            <w:tcMar>
              <w:top w:w="30" w:type="dxa"/>
              <w:left w:w="30" w:type="dxa"/>
              <w:bottom w:w="30" w:type="dxa"/>
              <w:right w:w="30" w:type="dxa"/>
            </w:tcMar>
          </w:tcPr>
          <w:p w14:paraId="38341316" w14:textId="77777777" w:rsidR="000C5261" w:rsidRPr="002E34E8" w:rsidRDefault="000C5261" w:rsidP="003A3F03">
            <w:pPr>
              <w:pStyle w:val="NoSpacing"/>
              <w:jc w:val="center"/>
              <w:rPr>
                <w:rFonts w:cstheme="minorHAnsi"/>
              </w:rPr>
            </w:pPr>
          </w:p>
        </w:tc>
        <w:tc>
          <w:tcPr>
            <w:tcW w:w="911" w:type="dxa"/>
            <w:shd w:val="clear" w:color="auto" w:fill="FFFFFF"/>
            <w:tcMar>
              <w:top w:w="30" w:type="dxa"/>
              <w:left w:w="30" w:type="dxa"/>
              <w:bottom w:w="30" w:type="dxa"/>
              <w:right w:w="30" w:type="dxa"/>
            </w:tcMar>
          </w:tcPr>
          <w:p w14:paraId="40CD1227" w14:textId="77777777" w:rsidR="000C5261" w:rsidRPr="002E34E8" w:rsidRDefault="000C5261" w:rsidP="003A3F03">
            <w:pPr>
              <w:pStyle w:val="NoSpacing"/>
              <w:jc w:val="center"/>
              <w:rPr>
                <w:rFonts w:cstheme="minorHAnsi"/>
                <w:sz w:val="18"/>
                <w:szCs w:val="18"/>
              </w:rPr>
            </w:pPr>
            <w:r w:rsidRPr="002E34E8">
              <w:rPr>
                <w:rFonts w:cstheme="minorHAnsi"/>
                <w:sz w:val="18"/>
                <w:szCs w:val="18"/>
              </w:rPr>
              <w:t>35.1%</w:t>
            </w:r>
          </w:p>
        </w:tc>
        <w:tc>
          <w:tcPr>
            <w:tcW w:w="671" w:type="dxa"/>
            <w:shd w:val="clear" w:color="auto" w:fill="FFFFFF"/>
            <w:tcMar>
              <w:top w:w="30" w:type="dxa"/>
              <w:left w:w="30" w:type="dxa"/>
              <w:bottom w:w="30" w:type="dxa"/>
              <w:right w:w="30" w:type="dxa"/>
            </w:tcMar>
          </w:tcPr>
          <w:p w14:paraId="163E2FDF" w14:textId="77777777" w:rsidR="000C5261" w:rsidRPr="002E34E8" w:rsidRDefault="000C5261" w:rsidP="003A3F03">
            <w:pPr>
              <w:pStyle w:val="NoSpacing"/>
              <w:jc w:val="center"/>
              <w:rPr>
                <w:rFonts w:cstheme="minorHAnsi"/>
                <w:sz w:val="18"/>
                <w:szCs w:val="18"/>
              </w:rPr>
            </w:pPr>
            <w:r w:rsidRPr="002E34E8">
              <w:rPr>
                <w:rFonts w:cstheme="minorHAnsi"/>
                <w:sz w:val="18"/>
                <w:szCs w:val="18"/>
              </w:rPr>
              <w:t>10.5%</w:t>
            </w:r>
          </w:p>
        </w:tc>
        <w:tc>
          <w:tcPr>
            <w:tcW w:w="1481" w:type="dxa"/>
            <w:shd w:val="clear" w:color="auto" w:fill="FFFFFF"/>
            <w:tcMar>
              <w:top w:w="30" w:type="dxa"/>
              <w:left w:w="30" w:type="dxa"/>
              <w:bottom w:w="30" w:type="dxa"/>
              <w:right w:w="30" w:type="dxa"/>
            </w:tcMar>
          </w:tcPr>
          <w:p w14:paraId="6ABF3F59" w14:textId="77777777" w:rsidR="000C5261" w:rsidRPr="002E34E8" w:rsidRDefault="000C5261" w:rsidP="003A3F03">
            <w:pPr>
              <w:pStyle w:val="NoSpacing"/>
              <w:jc w:val="center"/>
              <w:rPr>
                <w:rFonts w:cstheme="minorHAnsi"/>
                <w:sz w:val="18"/>
                <w:szCs w:val="18"/>
              </w:rPr>
            </w:pPr>
            <w:r w:rsidRPr="002E34E8">
              <w:rPr>
                <w:rFonts w:cstheme="minorHAnsi"/>
                <w:sz w:val="18"/>
                <w:szCs w:val="18"/>
              </w:rPr>
              <w:t>7.0%</w:t>
            </w:r>
          </w:p>
        </w:tc>
        <w:tc>
          <w:tcPr>
            <w:tcW w:w="691" w:type="dxa"/>
            <w:shd w:val="clear" w:color="auto" w:fill="FFFFFF"/>
            <w:tcMar>
              <w:top w:w="30" w:type="dxa"/>
              <w:left w:w="30" w:type="dxa"/>
              <w:bottom w:w="30" w:type="dxa"/>
              <w:right w:w="30" w:type="dxa"/>
            </w:tcMar>
          </w:tcPr>
          <w:p w14:paraId="45EE2228" w14:textId="77777777" w:rsidR="000C5261" w:rsidRPr="002E34E8" w:rsidRDefault="000C5261" w:rsidP="003A3F03">
            <w:pPr>
              <w:pStyle w:val="NoSpacing"/>
              <w:jc w:val="center"/>
              <w:rPr>
                <w:rFonts w:cstheme="minorHAnsi"/>
                <w:sz w:val="18"/>
                <w:szCs w:val="18"/>
              </w:rPr>
            </w:pPr>
            <w:r w:rsidRPr="002E34E8">
              <w:rPr>
                <w:rFonts w:cstheme="minorHAnsi"/>
                <w:sz w:val="18"/>
                <w:szCs w:val="18"/>
              </w:rPr>
              <w:t>1.8%</w:t>
            </w:r>
          </w:p>
        </w:tc>
        <w:tc>
          <w:tcPr>
            <w:tcW w:w="1111" w:type="dxa"/>
            <w:shd w:val="clear" w:color="auto" w:fill="FFFFFF"/>
            <w:tcMar>
              <w:top w:w="30" w:type="dxa"/>
              <w:left w:w="30" w:type="dxa"/>
              <w:bottom w:w="30" w:type="dxa"/>
              <w:right w:w="30" w:type="dxa"/>
            </w:tcMar>
          </w:tcPr>
          <w:p w14:paraId="5BA136CA" w14:textId="77777777" w:rsidR="000C5261" w:rsidRPr="002E34E8" w:rsidRDefault="000C5261" w:rsidP="003A3F03">
            <w:pPr>
              <w:pStyle w:val="NoSpacing"/>
              <w:jc w:val="center"/>
              <w:rPr>
                <w:rFonts w:cstheme="minorHAnsi"/>
                <w:sz w:val="18"/>
                <w:szCs w:val="18"/>
              </w:rPr>
            </w:pPr>
            <w:r w:rsidRPr="002E34E8">
              <w:rPr>
                <w:rFonts w:cstheme="minorHAnsi"/>
                <w:sz w:val="18"/>
                <w:szCs w:val="18"/>
              </w:rPr>
              <w:t>45.6%</w:t>
            </w:r>
          </w:p>
        </w:tc>
        <w:tc>
          <w:tcPr>
            <w:tcW w:w="1111" w:type="dxa"/>
            <w:vMerge/>
            <w:shd w:val="clear" w:color="auto" w:fill="FFFFFF"/>
          </w:tcPr>
          <w:p w14:paraId="52BFD08D" w14:textId="77777777" w:rsidR="000C5261" w:rsidRPr="002E34E8" w:rsidRDefault="000C5261" w:rsidP="003A3F03">
            <w:pPr>
              <w:pStyle w:val="NoSpacing"/>
              <w:jc w:val="center"/>
              <w:rPr>
                <w:rFonts w:cstheme="minorHAnsi"/>
                <w:sz w:val="18"/>
                <w:szCs w:val="18"/>
              </w:rPr>
            </w:pPr>
          </w:p>
        </w:tc>
      </w:tr>
    </w:tbl>
    <w:p w14:paraId="687CB5CC" w14:textId="77777777" w:rsidR="000C5261" w:rsidRPr="00F12121" w:rsidRDefault="000C5261" w:rsidP="000C5261">
      <w:pPr>
        <w:rPr>
          <w:rFonts w:ascii="Arial" w:hAnsi="Arial" w:cs="Arial"/>
        </w:rPr>
      </w:pPr>
    </w:p>
    <w:p w14:paraId="6068C737" w14:textId="571A6ACD" w:rsidR="00B458AF" w:rsidRPr="00D423FF" w:rsidRDefault="00B458AF">
      <w:pPr>
        <w:rPr>
          <w:rFonts w:ascii="Times New Roman" w:hAnsi="Times New Roman" w:cs="Times New Roman"/>
          <w:b/>
          <w:bCs/>
          <w:sz w:val="24"/>
          <w:szCs w:val="24"/>
        </w:rPr>
      </w:pPr>
      <w:r w:rsidRPr="00D423FF">
        <w:rPr>
          <w:rFonts w:ascii="Times New Roman" w:hAnsi="Times New Roman" w:cs="Times New Roman"/>
          <w:b/>
          <w:bCs/>
          <w:sz w:val="24"/>
          <w:szCs w:val="24"/>
        </w:rPr>
        <w:t>CONCLUSIONS</w:t>
      </w:r>
    </w:p>
    <w:p w14:paraId="0A66C56B" w14:textId="4B81DF05" w:rsidR="000C5261" w:rsidRDefault="000C5261" w:rsidP="000C5261">
      <w:pPr>
        <w:spacing w:after="0" w:line="240" w:lineRule="auto"/>
        <w:jc w:val="both"/>
        <w:rPr>
          <w:rFonts w:ascii="Times New Roman" w:hAnsi="Times New Roman" w:cs="Times New Roman"/>
        </w:rPr>
      </w:pPr>
      <w:bookmarkStart w:id="3" w:name="OLE_LINK8"/>
      <w:r>
        <w:rPr>
          <w:rFonts w:ascii="Times New Roman" w:hAnsi="Times New Roman" w:cs="Times New Roman"/>
        </w:rPr>
        <w:t xml:space="preserve">The study presents </w:t>
      </w:r>
      <w:r w:rsidRPr="00743A18">
        <w:rPr>
          <w:rFonts w:ascii="Times New Roman" w:hAnsi="Times New Roman" w:cs="Times New Roman"/>
        </w:rPr>
        <w:t xml:space="preserve">33 fractions with </w:t>
      </w:r>
      <w:r>
        <w:rPr>
          <w:rFonts w:ascii="Times New Roman" w:hAnsi="Times New Roman" w:cs="Times New Roman"/>
        </w:rPr>
        <w:t>SIMB</w:t>
      </w:r>
      <w:r w:rsidRPr="00743A18">
        <w:rPr>
          <w:rFonts w:ascii="Times New Roman" w:hAnsi="Times New Roman" w:cs="Times New Roman"/>
        </w:rPr>
        <w:t xml:space="preserve"> </w:t>
      </w:r>
      <w:r>
        <w:rPr>
          <w:rFonts w:ascii="Times New Roman" w:hAnsi="Times New Roman" w:cs="Times New Roman"/>
        </w:rPr>
        <w:t xml:space="preserve">using IG-IMRT helical approach may be a </w:t>
      </w:r>
      <w:r w:rsidRPr="00743A18">
        <w:rPr>
          <w:rFonts w:ascii="Times New Roman" w:hAnsi="Times New Roman" w:cs="Times New Roman"/>
        </w:rPr>
        <w:t xml:space="preserve">practical option in treating nasopharyngeal carcinoma and it showed comparable results in terms of </w:t>
      </w:r>
      <w:r>
        <w:rPr>
          <w:rFonts w:ascii="Times New Roman" w:hAnsi="Times New Roman" w:cs="Times New Roman"/>
        </w:rPr>
        <w:t xml:space="preserve"> </w:t>
      </w:r>
      <w:r w:rsidRPr="00743A18">
        <w:rPr>
          <w:rFonts w:ascii="Times New Roman" w:hAnsi="Times New Roman" w:cs="Times New Roman"/>
        </w:rPr>
        <w:t xml:space="preserve">survival, treatment related side effect and response </w:t>
      </w:r>
      <w:r>
        <w:rPr>
          <w:rFonts w:ascii="Times New Roman" w:hAnsi="Times New Roman" w:cs="Times New Roman"/>
        </w:rPr>
        <w:t xml:space="preserve">compared </w:t>
      </w:r>
      <w:r w:rsidRPr="00743A18">
        <w:rPr>
          <w:rFonts w:ascii="Times New Roman" w:hAnsi="Times New Roman" w:cs="Times New Roman"/>
        </w:rPr>
        <w:t xml:space="preserve">with the standard 35 </w:t>
      </w:r>
      <w:proofErr w:type="gramStart"/>
      <w:r w:rsidRPr="00743A18">
        <w:rPr>
          <w:rFonts w:ascii="Times New Roman" w:hAnsi="Times New Roman" w:cs="Times New Roman"/>
        </w:rPr>
        <w:t>fractionation</w:t>
      </w:r>
      <w:proofErr w:type="gramEnd"/>
      <w:r w:rsidRPr="00743A18">
        <w:rPr>
          <w:rFonts w:ascii="Times New Roman" w:hAnsi="Times New Roman" w:cs="Times New Roman"/>
        </w:rPr>
        <w:t xml:space="preserve">. </w:t>
      </w:r>
      <w:bookmarkEnd w:id="3"/>
    </w:p>
    <w:p w14:paraId="743B4B85" w14:textId="77777777" w:rsidR="00507E87" w:rsidRDefault="00507E87" w:rsidP="00067515">
      <w:pPr>
        <w:rPr>
          <w:rFonts w:asciiTheme="majorBidi" w:hAnsiTheme="majorBidi" w:cstheme="majorBidi"/>
          <w:b/>
          <w:sz w:val="24"/>
        </w:rPr>
      </w:pPr>
    </w:p>
    <w:p w14:paraId="0EED9078" w14:textId="17DC29C6" w:rsidR="007C0F54" w:rsidRDefault="00152AF7" w:rsidP="00067515">
      <w:pPr>
        <w:rPr>
          <w:rFonts w:asciiTheme="majorBidi" w:hAnsiTheme="majorBidi" w:cstheme="majorBidi"/>
          <w:b/>
          <w:sz w:val="24"/>
        </w:rPr>
      </w:pPr>
      <w:r w:rsidRPr="0039072F">
        <w:rPr>
          <w:rFonts w:asciiTheme="majorBidi" w:hAnsiTheme="majorBidi" w:cstheme="majorBidi"/>
          <w:b/>
          <w:sz w:val="24"/>
        </w:rPr>
        <w:t>REFERENCES</w:t>
      </w:r>
    </w:p>
    <w:p w14:paraId="72866C3A" w14:textId="368FD454" w:rsidR="005F676F" w:rsidRDefault="005F676F" w:rsidP="005F676F">
      <w:pPr>
        <w:pStyle w:val="NormalWeb"/>
        <w:numPr>
          <w:ilvl w:val="0"/>
          <w:numId w:val="6"/>
        </w:numPr>
        <w:shd w:val="clear" w:color="auto" w:fill="FFFFFF"/>
        <w:spacing w:before="0" w:beforeAutospacing="0" w:after="0" w:afterAutospacing="0"/>
        <w:jc w:val="both"/>
        <w:rPr>
          <w:color w:val="222222"/>
        </w:rPr>
      </w:pPr>
      <w:r>
        <w:rPr>
          <w:rFonts w:ascii="Times" w:hAnsi="Times"/>
          <w:color w:val="222222"/>
        </w:rPr>
        <w:t>D’CRUZ A, LIN T, ANAND AK et al. Consensus recommendations for management of head and neck cancer in Asian countries: a review of international guidelines. Oral Oncology 2013; 49: 872-877</w:t>
      </w:r>
    </w:p>
    <w:p w14:paraId="29F2DFB6" w14:textId="0BAF5863" w:rsidR="005F676F" w:rsidRDefault="005F676F" w:rsidP="005F676F">
      <w:pPr>
        <w:pStyle w:val="NormalWeb"/>
        <w:numPr>
          <w:ilvl w:val="0"/>
          <w:numId w:val="6"/>
        </w:numPr>
        <w:shd w:val="clear" w:color="auto" w:fill="FFFFFF"/>
        <w:spacing w:before="0" w:beforeAutospacing="0" w:after="0" w:afterAutospacing="0"/>
        <w:jc w:val="both"/>
        <w:rPr>
          <w:color w:val="222222"/>
        </w:rPr>
      </w:pPr>
      <w:r>
        <w:rPr>
          <w:rFonts w:ascii="Times" w:hAnsi="Times"/>
          <w:color w:val="222222"/>
        </w:rPr>
        <w:t>CHAN ATC, GREGOIRE V, LEFEBRVE JL et al. Nasopharyngeal cancer: EHNS-ESMO-ESTRO Clinical Practice Guidelines for diagnosis, treatment and follow up. Annals of Oncol 2012; 23(Supplement): vii83-vii85</w:t>
      </w:r>
    </w:p>
    <w:p w14:paraId="657D1FA8" w14:textId="1783451C" w:rsidR="005F676F" w:rsidRDefault="005F676F" w:rsidP="005F676F">
      <w:pPr>
        <w:pStyle w:val="NormalWeb"/>
        <w:numPr>
          <w:ilvl w:val="0"/>
          <w:numId w:val="6"/>
        </w:numPr>
        <w:shd w:val="clear" w:color="auto" w:fill="FFFFFF"/>
        <w:spacing w:before="0" w:beforeAutospacing="0" w:after="0" w:afterAutospacing="0"/>
        <w:jc w:val="both"/>
        <w:rPr>
          <w:color w:val="222222"/>
        </w:rPr>
      </w:pPr>
      <w:r>
        <w:rPr>
          <w:rFonts w:ascii="Times" w:hAnsi="Times"/>
          <w:color w:val="222222"/>
        </w:rPr>
        <w:t xml:space="preserve">BIBAULT JE, DUSSART S, POMMIER P, et al. Clinical outcomes of several IMRT techniques for patients with head and neck cancer: a propensity score-weighted analysis. </w:t>
      </w:r>
      <w:proofErr w:type="spellStart"/>
      <w:r>
        <w:rPr>
          <w:rFonts w:ascii="Times" w:hAnsi="Times"/>
          <w:color w:val="222222"/>
        </w:rPr>
        <w:t>Int</w:t>
      </w:r>
      <w:proofErr w:type="spellEnd"/>
      <w:r>
        <w:rPr>
          <w:rFonts w:ascii="Times" w:hAnsi="Times"/>
          <w:color w:val="222222"/>
        </w:rPr>
        <w:t xml:space="preserve"> J </w:t>
      </w:r>
      <w:proofErr w:type="spellStart"/>
      <w:r>
        <w:rPr>
          <w:rFonts w:ascii="Times" w:hAnsi="Times"/>
          <w:color w:val="222222"/>
        </w:rPr>
        <w:t>Radiat</w:t>
      </w:r>
      <w:proofErr w:type="spellEnd"/>
      <w:r>
        <w:rPr>
          <w:rFonts w:ascii="Times" w:hAnsi="Times"/>
          <w:color w:val="222222"/>
        </w:rPr>
        <w:t xml:space="preserve"> Oncol </w:t>
      </w:r>
      <w:proofErr w:type="spellStart"/>
      <w:r>
        <w:rPr>
          <w:rFonts w:ascii="Times" w:hAnsi="Times"/>
          <w:color w:val="222222"/>
        </w:rPr>
        <w:t>Biol</w:t>
      </w:r>
      <w:proofErr w:type="spellEnd"/>
      <w:r>
        <w:rPr>
          <w:rFonts w:ascii="Times" w:hAnsi="Times"/>
          <w:color w:val="222222"/>
        </w:rPr>
        <w:t xml:space="preserve"> Phys 2017; 99(4): 929-937</w:t>
      </w:r>
    </w:p>
    <w:p w14:paraId="0C34685F" w14:textId="53BC765A" w:rsidR="005F676F" w:rsidRDefault="005F676F" w:rsidP="005F676F">
      <w:pPr>
        <w:pStyle w:val="NormalWeb"/>
        <w:numPr>
          <w:ilvl w:val="0"/>
          <w:numId w:val="6"/>
        </w:numPr>
        <w:shd w:val="clear" w:color="auto" w:fill="FFFFFF"/>
        <w:spacing w:before="0" w:beforeAutospacing="0" w:after="0" w:afterAutospacing="0"/>
        <w:jc w:val="both"/>
        <w:rPr>
          <w:color w:val="222222"/>
        </w:rPr>
      </w:pPr>
      <w:r>
        <w:rPr>
          <w:rFonts w:ascii="Times" w:hAnsi="Times"/>
          <w:color w:val="222222"/>
        </w:rPr>
        <w:t xml:space="preserve">CHITAPANARUX I, NOBNOP W, SRIPAN P, et al. The outcome of the first 100 nasopharyngeal cancer patients in Thailand treated by helical </w:t>
      </w:r>
      <w:proofErr w:type="spellStart"/>
      <w:r>
        <w:rPr>
          <w:rFonts w:ascii="Times" w:hAnsi="Times"/>
          <w:color w:val="222222"/>
        </w:rPr>
        <w:t>tomotherapy</w:t>
      </w:r>
      <w:proofErr w:type="spellEnd"/>
      <w:r>
        <w:rPr>
          <w:rFonts w:ascii="Times" w:hAnsi="Times"/>
          <w:color w:val="222222"/>
        </w:rPr>
        <w:t xml:space="preserve">. </w:t>
      </w:r>
      <w:proofErr w:type="spellStart"/>
      <w:r>
        <w:rPr>
          <w:rFonts w:ascii="Times" w:hAnsi="Times"/>
          <w:color w:val="222222"/>
        </w:rPr>
        <w:t>Radiol</w:t>
      </w:r>
      <w:proofErr w:type="spellEnd"/>
      <w:r>
        <w:rPr>
          <w:rFonts w:ascii="Times" w:hAnsi="Times"/>
          <w:color w:val="222222"/>
        </w:rPr>
        <w:t xml:space="preserve"> Oncol 2017; 51(3): 351-356</w:t>
      </w:r>
    </w:p>
    <w:p w14:paraId="5194AD0C" w14:textId="00152F5E" w:rsidR="005F676F" w:rsidRDefault="005F676F" w:rsidP="005F676F">
      <w:pPr>
        <w:pStyle w:val="NormalWeb"/>
        <w:numPr>
          <w:ilvl w:val="0"/>
          <w:numId w:val="6"/>
        </w:numPr>
        <w:shd w:val="clear" w:color="auto" w:fill="FFFFFF"/>
        <w:spacing w:before="0" w:beforeAutospacing="0" w:after="0" w:afterAutospacing="0"/>
        <w:jc w:val="both"/>
        <w:rPr>
          <w:color w:val="222222"/>
        </w:rPr>
      </w:pPr>
      <w:r>
        <w:rPr>
          <w:rFonts w:ascii="Times" w:hAnsi="Times"/>
          <w:color w:val="222222"/>
        </w:rPr>
        <w:t xml:space="preserve">LEUNG SW, LEE TF. Treatment of nasopharyngeal carcinoma by </w:t>
      </w:r>
      <w:proofErr w:type="spellStart"/>
      <w:r>
        <w:rPr>
          <w:rFonts w:ascii="Times" w:hAnsi="Times"/>
          <w:color w:val="222222"/>
        </w:rPr>
        <w:t>tomotherapy</w:t>
      </w:r>
      <w:proofErr w:type="spellEnd"/>
      <w:r>
        <w:rPr>
          <w:rFonts w:ascii="Times" w:hAnsi="Times"/>
          <w:color w:val="222222"/>
        </w:rPr>
        <w:t xml:space="preserve">: </w:t>
      </w:r>
      <w:proofErr w:type="gramStart"/>
      <w:r>
        <w:rPr>
          <w:rFonts w:ascii="Times" w:hAnsi="Times"/>
          <w:color w:val="222222"/>
        </w:rPr>
        <w:t>five year</w:t>
      </w:r>
      <w:proofErr w:type="gramEnd"/>
      <w:r>
        <w:rPr>
          <w:rFonts w:ascii="Times" w:hAnsi="Times"/>
          <w:color w:val="222222"/>
        </w:rPr>
        <w:t xml:space="preserve"> experience.  Radiation Oncology 2013; 8:107</w:t>
      </w:r>
    </w:p>
    <w:p w14:paraId="0DD45164" w14:textId="77777777" w:rsidR="005F676F" w:rsidRPr="0039072F" w:rsidRDefault="005F676F" w:rsidP="00067515">
      <w:pPr>
        <w:rPr>
          <w:rFonts w:asciiTheme="majorBidi" w:hAnsiTheme="majorBidi" w:cstheme="majorBidi"/>
          <w:b/>
          <w:sz w:val="24"/>
        </w:rPr>
      </w:pPr>
    </w:p>
    <w:sectPr w:rsidR="005F676F" w:rsidRPr="003907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A1988" w14:textId="77777777" w:rsidR="00AB24AA" w:rsidRDefault="00AB24AA" w:rsidP="00BF48E4">
      <w:pPr>
        <w:spacing w:after="0" w:line="240" w:lineRule="auto"/>
      </w:pPr>
      <w:r>
        <w:separator/>
      </w:r>
    </w:p>
  </w:endnote>
  <w:endnote w:type="continuationSeparator" w:id="0">
    <w:p w14:paraId="73E13156" w14:textId="77777777" w:rsidR="00AB24AA" w:rsidRDefault="00AB24AA" w:rsidP="00BF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5FDD" w14:textId="77777777" w:rsidR="00AB24AA" w:rsidRDefault="00AB24AA" w:rsidP="00BF48E4">
      <w:pPr>
        <w:spacing w:after="0" w:line="240" w:lineRule="auto"/>
      </w:pPr>
      <w:r>
        <w:separator/>
      </w:r>
    </w:p>
  </w:footnote>
  <w:footnote w:type="continuationSeparator" w:id="0">
    <w:p w14:paraId="24037E13" w14:textId="77777777" w:rsidR="00AB24AA" w:rsidRDefault="00AB24AA" w:rsidP="00BF4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5785"/>
    <w:multiLevelType w:val="hybridMultilevel"/>
    <w:tmpl w:val="8668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C5D0E"/>
    <w:multiLevelType w:val="hybridMultilevel"/>
    <w:tmpl w:val="3814E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B2018"/>
    <w:multiLevelType w:val="hybridMultilevel"/>
    <w:tmpl w:val="C85C16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D06994"/>
    <w:multiLevelType w:val="hybridMultilevel"/>
    <w:tmpl w:val="2756523C"/>
    <w:lvl w:ilvl="0" w:tplc="E36055CE">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62FE4"/>
    <w:multiLevelType w:val="hybridMultilevel"/>
    <w:tmpl w:val="5D46E2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C4F93"/>
    <w:multiLevelType w:val="hybridMultilevel"/>
    <w:tmpl w:val="1CE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43469"/>
    <w:rsid w:val="00052B0B"/>
    <w:rsid w:val="00067515"/>
    <w:rsid w:val="00071BF5"/>
    <w:rsid w:val="000A78B6"/>
    <w:rsid w:val="000C5261"/>
    <w:rsid w:val="00110590"/>
    <w:rsid w:val="00111DE4"/>
    <w:rsid w:val="001443E9"/>
    <w:rsid w:val="00152AF7"/>
    <w:rsid w:val="00182AD4"/>
    <w:rsid w:val="001F2069"/>
    <w:rsid w:val="001F4C2D"/>
    <w:rsid w:val="002123C9"/>
    <w:rsid w:val="00245482"/>
    <w:rsid w:val="00276CD3"/>
    <w:rsid w:val="002953CC"/>
    <w:rsid w:val="003373E5"/>
    <w:rsid w:val="0036126E"/>
    <w:rsid w:val="0039072F"/>
    <w:rsid w:val="003B1936"/>
    <w:rsid w:val="003E539F"/>
    <w:rsid w:val="003F2DE0"/>
    <w:rsid w:val="00427126"/>
    <w:rsid w:val="00507E87"/>
    <w:rsid w:val="00512DF8"/>
    <w:rsid w:val="00540814"/>
    <w:rsid w:val="00541539"/>
    <w:rsid w:val="00551C42"/>
    <w:rsid w:val="005C687F"/>
    <w:rsid w:val="005F4DB6"/>
    <w:rsid w:val="005F676F"/>
    <w:rsid w:val="0062287D"/>
    <w:rsid w:val="0066000D"/>
    <w:rsid w:val="00757247"/>
    <w:rsid w:val="007C0F54"/>
    <w:rsid w:val="007F486D"/>
    <w:rsid w:val="0081035D"/>
    <w:rsid w:val="008137C6"/>
    <w:rsid w:val="00821A3D"/>
    <w:rsid w:val="00841E57"/>
    <w:rsid w:val="00844CD6"/>
    <w:rsid w:val="00856BA6"/>
    <w:rsid w:val="008840B9"/>
    <w:rsid w:val="00A31E8B"/>
    <w:rsid w:val="00AB24AA"/>
    <w:rsid w:val="00AD46FC"/>
    <w:rsid w:val="00AF3EAE"/>
    <w:rsid w:val="00B24B8E"/>
    <w:rsid w:val="00B458AF"/>
    <w:rsid w:val="00BB1E66"/>
    <w:rsid w:val="00BD4F0B"/>
    <w:rsid w:val="00BF48E4"/>
    <w:rsid w:val="00C1643C"/>
    <w:rsid w:val="00C36362"/>
    <w:rsid w:val="00C645F7"/>
    <w:rsid w:val="00C75AA6"/>
    <w:rsid w:val="00C8045F"/>
    <w:rsid w:val="00CC444D"/>
    <w:rsid w:val="00CF4B7A"/>
    <w:rsid w:val="00D423FF"/>
    <w:rsid w:val="00D802D1"/>
    <w:rsid w:val="00D97F4C"/>
    <w:rsid w:val="00E11283"/>
    <w:rsid w:val="00E22129"/>
    <w:rsid w:val="00EA377B"/>
    <w:rsid w:val="00F70274"/>
    <w:rsid w:val="00FA65FC"/>
    <w:rsid w:val="00FC42A8"/>
    <w:rsid w:val="00FD4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4C82B"/>
  <w15:docId w15:val="{54B0EDEB-B473-4CBC-AFC5-0FC2D46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54"/>
    <w:rPr>
      <w:rFonts w:ascii="Tahoma" w:hAnsi="Tahoma" w:cs="Tahoma"/>
      <w:sz w:val="16"/>
      <w:szCs w:val="16"/>
      <w:lang w:val="en-US"/>
    </w:rPr>
  </w:style>
  <w:style w:type="table" w:styleId="TableGrid">
    <w:name w:val="Table Grid"/>
    <w:basedOn w:val="Table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27126"/>
    <w:rPr>
      <w:rFonts w:ascii="Calibri" w:hAnsi="Calibri"/>
      <w:noProof/>
      <w:lang w:val="en-US"/>
    </w:rPr>
  </w:style>
  <w:style w:type="character" w:customStyle="1" w:styleId="maintitle">
    <w:name w:val="maintitle"/>
    <w:basedOn w:val="DefaultParagraphFont"/>
    <w:rsid w:val="00152AF7"/>
  </w:style>
  <w:style w:type="character" w:customStyle="1" w:styleId="UnresolvedMention1">
    <w:name w:val="Unresolved Mention1"/>
    <w:basedOn w:val="DefaultParagraphFont"/>
    <w:uiPriority w:val="99"/>
    <w:semiHidden/>
    <w:unhideWhenUsed/>
    <w:rsid w:val="00C36362"/>
    <w:rPr>
      <w:color w:val="808080"/>
      <w:shd w:val="clear" w:color="auto" w:fill="E6E6E6"/>
    </w:rPr>
  </w:style>
  <w:style w:type="paragraph" w:styleId="Header">
    <w:name w:val="header"/>
    <w:basedOn w:val="Normal"/>
    <w:link w:val="HeaderChar"/>
    <w:uiPriority w:val="99"/>
    <w:unhideWhenUsed/>
    <w:rsid w:val="00BF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8E4"/>
    <w:rPr>
      <w:lang w:val="en-US"/>
    </w:rPr>
  </w:style>
  <w:style w:type="paragraph" w:styleId="Footer">
    <w:name w:val="footer"/>
    <w:basedOn w:val="Normal"/>
    <w:link w:val="FooterChar"/>
    <w:uiPriority w:val="99"/>
    <w:unhideWhenUsed/>
    <w:rsid w:val="00BF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8E4"/>
    <w:rPr>
      <w:lang w:val="en-US"/>
    </w:rPr>
  </w:style>
  <w:style w:type="character" w:styleId="CommentReference">
    <w:name w:val="annotation reference"/>
    <w:basedOn w:val="DefaultParagraphFont"/>
    <w:uiPriority w:val="99"/>
    <w:semiHidden/>
    <w:unhideWhenUsed/>
    <w:rsid w:val="00D423FF"/>
    <w:rPr>
      <w:sz w:val="16"/>
      <w:szCs w:val="16"/>
    </w:rPr>
  </w:style>
  <w:style w:type="paragraph" w:styleId="CommentText">
    <w:name w:val="annotation text"/>
    <w:basedOn w:val="Normal"/>
    <w:link w:val="CommentTextChar"/>
    <w:uiPriority w:val="99"/>
    <w:semiHidden/>
    <w:unhideWhenUsed/>
    <w:rsid w:val="00D423F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423FF"/>
    <w:rPr>
      <w:sz w:val="20"/>
      <w:szCs w:val="20"/>
      <w:lang w:val="en-US"/>
    </w:rPr>
  </w:style>
  <w:style w:type="paragraph" w:styleId="NormalWeb">
    <w:name w:val="Normal (Web)"/>
    <w:basedOn w:val="Normal"/>
    <w:uiPriority w:val="99"/>
    <w:unhideWhenUsed/>
    <w:rsid w:val="00D423F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D46FC"/>
    <w:pPr>
      <w:ind w:left="720"/>
      <w:contextualSpacing/>
    </w:pPr>
  </w:style>
  <w:style w:type="paragraph" w:styleId="NoSpacing">
    <w:name w:val="No Spacing"/>
    <w:uiPriority w:val="1"/>
    <w:qFormat/>
    <w:rsid w:val="000C526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37">
      <w:bodyDiv w:val="1"/>
      <w:marLeft w:val="0"/>
      <w:marRight w:val="0"/>
      <w:marTop w:val="0"/>
      <w:marBottom w:val="0"/>
      <w:divBdr>
        <w:top w:val="none" w:sz="0" w:space="0" w:color="auto"/>
        <w:left w:val="none" w:sz="0" w:space="0" w:color="auto"/>
        <w:bottom w:val="none" w:sz="0" w:space="0" w:color="auto"/>
        <w:right w:val="none" w:sz="0" w:space="0" w:color="auto"/>
      </w:divBdr>
    </w:div>
    <w:div w:id="284240737">
      <w:bodyDiv w:val="1"/>
      <w:marLeft w:val="0"/>
      <w:marRight w:val="0"/>
      <w:marTop w:val="0"/>
      <w:marBottom w:val="0"/>
      <w:divBdr>
        <w:top w:val="none" w:sz="0" w:space="0" w:color="auto"/>
        <w:left w:val="none" w:sz="0" w:space="0" w:color="auto"/>
        <w:bottom w:val="none" w:sz="0" w:space="0" w:color="auto"/>
        <w:right w:val="none" w:sz="0" w:space="0" w:color="auto"/>
      </w:divBdr>
    </w:div>
    <w:div w:id="316957944">
      <w:bodyDiv w:val="1"/>
      <w:marLeft w:val="0"/>
      <w:marRight w:val="0"/>
      <w:marTop w:val="0"/>
      <w:marBottom w:val="0"/>
      <w:divBdr>
        <w:top w:val="none" w:sz="0" w:space="0" w:color="auto"/>
        <w:left w:val="none" w:sz="0" w:space="0" w:color="auto"/>
        <w:bottom w:val="none" w:sz="0" w:space="0" w:color="auto"/>
        <w:right w:val="none" w:sz="0" w:space="0" w:color="auto"/>
      </w:divBdr>
    </w:div>
    <w:div w:id="325012186">
      <w:bodyDiv w:val="1"/>
      <w:marLeft w:val="0"/>
      <w:marRight w:val="0"/>
      <w:marTop w:val="0"/>
      <w:marBottom w:val="0"/>
      <w:divBdr>
        <w:top w:val="none" w:sz="0" w:space="0" w:color="auto"/>
        <w:left w:val="none" w:sz="0" w:space="0" w:color="auto"/>
        <w:bottom w:val="none" w:sz="0" w:space="0" w:color="auto"/>
        <w:right w:val="none" w:sz="0" w:space="0" w:color="auto"/>
      </w:divBdr>
    </w:div>
    <w:div w:id="810944685">
      <w:bodyDiv w:val="1"/>
      <w:marLeft w:val="0"/>
      <w:marRight w:val="0"/>
      <w:marTop w:val="0"/>
      <w:marBottom w:val="0"/>
      <w:divBdr>
        <w:top w:val="none" w:sz="0" w:space="0" w:color="auto"/>
        <w:left w:val="none" w:sz="0" w:space="0" w:color="auto"/>
        <w:bottom w:val="none" w:sz="0" w:space="0" w:color="auto"/>
        <w:right w:val="none" w:sz="0" w:space="0" w:color="auto"/>
      </w:divBdr>
    </w:div>
    <w:div w:id="892156505">
      <w:bodyDiv w:val="1"/>
      <w:marLeft w:val="0"/>
      <w:marRight w:val="0"/>
      <w:marTop w:val="0"/>
      <w:marBottom w:val="0"/>
      <w:divBdr>
        <w:top w:val="none" w:sz="0" w:space="0" w:color="auto"/>
        <w:left w:val="none" w:sz="0" w:space="0" w:color="auto"/>
        <w:bottom w:val="none" w:sz="0" w:space="0" w:color="auto"/>
        <w:right w:val="none" w:sz="0" w:space="0" w:color="auto"/>
      </w:divBdr>
    </w:div>
    <w:div w:id="1269654206">
      <w:bodyDiv w:val="1"/>
      <w:marLeft w:val="0"/>
      <w:marRight w:val="0"/>
      <w:marTop w:val="0"/>
      <w:marBottom w:val="0"/>
      <w:divBdr>
        <w:top w:val="none" w:sz="0" w:space="0" w:color="auto"/>
        <w:left w:val="none" w:sz="0" w:space="0" w:color="auto"/>
        <w:bottom w:val="none" w:sz="0" w:space="0" w:color="auto"/>
        <w:right w:val="none" w:sz="0" w:space="0" w:color="auto"/>
      </w:divBdr>
    </w:div>
    <w:div w:id="1379668633">
      <w:bodyDiv w:val="1"/>
      <w:marLeft w:val="0"/>
      <w:marRight w:val="0"/>
      <w:marTop w:val="0"/>
      <w:marBottom w:val="0"/>
      <w:divBdr>
        <w:top w:val="none" w:sz="0" w:space="0" w:color="auto"/>
        <w:left w:val="none" w:sz="0" w:space="0" w:color="auto"/>
        <w:bottom w:val="none" w:sz="0" w:space="0" w:color="auto"/>
        <w:right w:val="none" w:sz="0" w:space="0" w:color="auto"/>
      </w:divBdr>
    </w:div>
    <w:div w:id="1831559572">
      <w:bodyDiv w:val="1"/>
      <w:marLeft w:val="0"/>
      <w:marRight w:val="0"/>
      <w:marTop w:val="0"/>
      <w:marBottom w:val="0"/>
      <w:divBdr>
        <w:top w:val="none" w:sz="0" w:space="0" w:color="auto"/>
        <w:left w:val="none" w:sz="0" w:space="0" w:color="auto"/>
        <w:bottom w:val="none" w:sz="0" w:space="0" w:color="auto"/>
        <w:right w:val="none" w:sz="0" w:space="0" w:color="auto"/>
      </w:divBdr>
    </w:div>
    <w:div w:id="18426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F37CD1788E84196FF39AF91DEE5FE" ma:contentTypeVersion="8" ma:contentTypeDescription="Create a new document." ma:contentTypeScope="" ma:versionID="c211238ab38ab65918c6dca5aff5905d">
  <xsd:schema xmlns:xsd="http://www.w3.org/2001/XMLSchema" xmlns:xs="http://www.w3.org/2001/XMLSchema" xmlns:p="http://schemas.microsoft.com/office/2006/metadata/properties" xmlns:ns3="12f83b61-333e-4e48-a9d7-e8dd01894af4" targetNamespace="http://schemas.microsoft.com/office/2006/metadata/properties" ma:root="true" ma:fieldsID="cdfc1d5952b3379536ae3ef439e51ab6" ns3:_="">
    <xsd:import namespace="12f83b61-333e-4e48-a9d7-e8dd01894a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3b61-333e-4e48-a9d7-e8dd01894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1836-4857-4A9F-A3A9-04C656DCF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B72FF-1056-40AD-A59A-35D9DD76308E}">
  <ds:schemaRefs>
    <ds:schemaRef ds:uri="http://schemas.microsoft.com/sharepoint/v3/contenttype/forms"/>
  </ds:schemaRefs>
</ds:datastoreItem>
</file>

<file path=customXml/itemProps3.xml><?xml version="1.0" encoding="utf-8"?>
<ds:datastoreItem xmlns:ds="http://schemas.openxmlformats.org/officeDocument/2006/customXml" ds:itemID="{0DE7186D-0D62-4C95-A3B9-EEBEEB15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3b61-333e-4e48-a9d7-e8dd0189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9D7F3-70F6-E541-A4BD-62DB2365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WASSENAAR, Leonard</dc:creator>
  <cp:lastModifiedBy>Misael Cruz</cp:lastModifiedBy>
  <cp:revision>2</cp:revision>
  <dcterms:created xsi:type="dcterms:W3CDTF">2021-01-09T05:25:00Z</dcterms:created>
  <dcterms:modified xsi:type="dcterms:W3CDTF">2021-01-09T05:25:00Z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0x0101005DCF37CD1788E84196FF39AF91DEE5FE</vt:lpwstr>
  </property>
</Properties>
</file>