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9EECB" w14:textId="0DC5D425" w:rsidR="00164EBC" w:rsidRDefault="00164EBC" w:rsidP="00164EBC">
      <w:pPr>
        <w:spacing w:after="0" w:line="240" w:lineRule="auto"/>
        <w:jc w:val="center"/>
        <w:rPr>
          <w:rFonts w:asciiTheme="majorBidi" w:hAnsiTheme="majorBidi" w:cstheme="majorBidi"/>
          <w:b/>
          <w:sz w:val="28"/>
        </w:rPr>
      </w:pPr>
      <w:r>
        <w:rPr>
          <w:rFonts w:asciiTheme="majorBidi" w:hAnsiTheme="majorBidi" w:cstheme="majorBidi"/>
          <w:b/>
          <w:sz w:val="28"/>
        </w:rPr>
        <w:t>Competences of Medical Dosimetrists and Radiation Therapy Technologists working in a Costa Rican Radiotherapy D</w:t>
      </w:r>
      <w:r w:rsidRPr="00164EBC">
        <w:rPr>
          <w:rFonts w:asciiTheme="majorBidi" w:hAnsiTheme="majorBidi" w:cstheme="majorBidi"/>
          <w:b/>
          <w:sz w:val="28"/>
        </w:rPr>
        <w:t>epartment: a benchmarking a</w:t>
      </w:r>
      <w:r>
        <w:rPr>
          <w:rFonts w:asciiTheme="majorBidi" w:hAnsiTheme="majorBidi" w:cstheme="majorBidi"/>
          <w:b/>
          <w:sz w:val="28"/>
        </w:rPr>
        <w:t>pproach to the recommended ESTRO Core C</w:t>
      </w:r>
      <w:r w:rsidRPr="00164EBC">
        <w:rPr>
          <w:rFonts w:asciiTheme="majorBidi" w:hAnsiTheme="majorBidi" w:cstheme="majorBidi"/>
          <w:b/>
          <w:sz w:val="28"/>
        </w:rPr>
        <w:t>urricul</w:t>
      </w:r>
      <w:r>
        <w:rPr>
          <w:rFonts w:asciiTheme="majorBidi" w:hAnsiTheme="majorBidi" w:cstheme="majorBidi"/>
          <w:b/>
          <w:sz w:val="28"/>
        </w:rPr>
        <w:t>um using a Training/Competency M</w:t>
      </w:r>
      <w:r w:rsidRPr="00164EBC">
        <w:rPr>
          <w:rFonts w:asciiTheme="majorBidi" w:hAnsiTheme="majorBidi" w:cstheme="majorBidi"/>
          <w:b/>
          <w:sz w:val="28"/>
        </w:rPr>
        <w:t>atrix</w:t>
      </w:r>
    </w:p>
    <w:p w14:paraId="324C235F" w14:textId="77777777" w:rsidR="00164EBC" w:rsidRDefault="00164EBC" w:rsidP="00152AF7">
      <w:pPr>
        <w:spacing w:after="0" w:line="240" w:lineRule="auto"/>
        <w:rPr>
          <w:rFonts w:asciiTheme="majorBidi" w:hAnsiTheme="majorBidi" w:cstheme="majorBidi"/>
          <w:b/>
          <w:sz w:val="28"/>
        </w:rPr>
      </w:pPr>
    </w:p>
    <w:p w14:paraId="714AABCF" w14:textId="0C3355B2" w:rsidR="0066000D" w:rsidRPr="004E3B37" w:rsidRDefault="00E22129" w:rsidP="0066000D">
      <w:pPr>
        <w:spacing w:after="0" w:line="240" w:lineRule="auto"/>
        <w:rPr>
          <w:rFonts w:asciiTheme="majorBidi" w:hAnsiTheme="majorBidi" w:cstheme="majorBidi"/>
          <w:sz w:val="24"/>
          <w:szCs w:val="24"/>
          <w:lang w:val="es-CR"/>
        </w:rPr>
      </w:pPr>
      <w:r w:rsidRPr="00164EBC">
        <w:rPr>
          <w:rFonts w:asciiTheme="majorBidi" w:hAnsiTheme="majorBidi" w:cstheme="majorBidi"/>
          <w:b/>
          <w:bCs/>
          <w:sz w:val="24"/>
          <w:szCs w:val="24"/>
          <w:lang w:val="es-CR"/>
        </w:rPr>
        <w:t>Primary Author</w:t>
      </w:r>
      <w:r w:rsidR="00164EBC" w:rsidRPr="00164EBC">
        <w:rPr>
          <w:rFonts w:asciiTheme="majorBidi" w:hAnsiTheme="majorBidi" w:cstheme="majorBidi"/>
          <w:b/>
          <w:bCs/>
          <w:sz w:val="24"/>
          <w:szCs w:val="24"/>
          <w:lang w:val="es-CR"/>
        </w:rPr>
        <w:t>:</w:t>
      </w:r>
      <w:r w:rsidR="00164EBC" w:rsidRPr="00164EBC">
        <w:rPr>
          <w:rFonts w:asciiTheme="majorBidi" w:hAnsiTheme="majorBidi" w:cstheme="majorBidi"/>
          <w:sz w:val="24"/>
          <w:szCs w:val="24"/>
          <w:lang w:val="es-CR"/>
        </w:rPr>
        <w:t xml:space="preserve"> </w:t>
      </w:r>
      <w:r w:rsidR="003E539F" w:rsidRPr="00164EBC">
        <w:rPr>
          <w:rFonts w:asciiTheme="majorBidi" w:hAnsiTheme="majorBidi" w:cstheme="majorBidi"/>
          <w:b/>
          <w:bCs/>
          <w:sz w:val="24"/>
          <w:szCs w:val="24"/>
          <w:lang w:val="es-CR"/>
        </w:rPr>
        <w:t>J.</w:t>
      </w:r>
      <w:r w:rsidR="00164EBC" w:rsidRPr="00164EBC">
        <w:rPr>
          <w:rFonts w:asciiTheme="majorBidi" w:hAnsiTheme="majorBidi" w:cstheme="majorBidi"/>
          <w:b/>
          <w:bCs/>
          <w:sz w:val="24"/>
          <w:szCs w:val="24"/>
          <w:lang w:val="es-CR"/>
        </w:rPr>
        <w:t>A. Villalobos-Rosales</w:t>
      </w:r>
      <w:r w:rsidR="00067515" w:rsidRPr="00164EBC">
        <w:rPr>
          <w:rFonts w:asciiTheme="majorBidi" w:hAnsiTheme="majorBidi" w:cstheme="majorBidi"/>
          <w:b/>
          <w:bCs/>
          <w:sz w:val="24"/>
          <w:szCs w:val="24"/>
          <w:vertAlign w:val="superscript"/>
          <w:lang w:val="es-CR"/>
        </w:rPr>
        <w:t>a</w:t>
      </w:r>
      <w:r w:rsidR="00164EBC" w:rsidRPr="00164EBC">
        <w:rPr>
          <w:rFonts w:asciiTheme="majorBidi" w:hAnsiTheme="majorBidi" w:cstheme="majorBidi"/>
          <w:b/>
          <w:bCs/>
          <w:sz w:val="24"/>
          <w:szCs w:val="24"/>
          <w:vertAlign w:val="superscript"/>
          <w:lang w:val="es-CR"/>
        </w:rPr>
        <w:t>,b</w:t>
      </w:r>
    </w:p>
    <w:p w14:paraId="747157C3" w14:textId="77777777" w:rsidR="004E3B37" w:rsidRDefault="004E3B37" w:rsidP="0066000D">
      <w:pPr>
        <w:spacing w:after="0" w:line="240" w:lineRule="auto"/>
        <w:rPr>
          <w:rFonts w:asciiTheme="majorBidi" w:hAnsiTheme="majorBidi" w:cstheme="majorBidi"/>
          <w:sz w:val="20"/>
          <w:szCs w:val="24"/>
          <w:vertAlign w:val="superscript"/>
          <w:lang w:val="es-CR"/>
        </w:rPr>
      </w:pPr>
    </w:p>
    <w:p w14:paraId="0B7D5630" w14:textId="613CC37B" w:rsidR="0062287D" w:rsidRPr="00174B8F" w:rsidRDefault="005F4DB6" w:rsidP="000413AA">
      <w:pPr>
        <w:spacing w:after="0" w:line="240" w:lineRule="auto"/>
        <w:jc w:val="both"/>
        <w:rPr>
          <w:rFonts w:asciiTheme="majorBidi" w:hAnsiTheme="majorBidi" w:cstheme="majorBidi"/>
          <w:szCs w:val="24"/>
          <w:lang w:val="es-CR"/>
        </w:rPr>
      </w:pPr>
      <w:r w:rsidRPr="00174B8F">
        <w:rPr>
          <w:rFonts w:asciiTheme="majorBidi" w:hAnsiTheme="majorBidi" w:cstheme="majorBidi"/>
          <w:szCs w:val="24"/>
          <w:vertAlign w:val="superscript"/>
          <w:lang w:val="es-CR"/>
        </w:rPr>
        <w:t>a</w:t>
      </w:r>
      <w:r w:rsidR="00164EBC" w:rsidRPr="00174B8F">
        <w:rPr>
          <w:rFonts w:asciiTheme="majorBidi" w:hAnsiTheme="majorBidi" w:cstheme="majorBidi"/>
          <w:szCs w:val="24"/>
          <w:lang w:val="es-CR"/>
        </w:rPr>
        <w:t>Caja Costarricense del Seguro Social, Hospital San Juan de Dios, Servicio de Radioterapia.</w:t>
      </w:r>
    </w:p>
    <w:p w14:paraId="691896F4" w14:textId="73243CF8" w:rsidR="00067515" w:rsidRPr="00174B8F" w:rsidRDefault="00067515" w:rsidP="000413AA">
      <w:pPr>
        <w:spacing w:line="240" w:lineRule="auto"/>
        <w:jc w:val="both"/>
        <w:rPr>
          <w:rFonts w:asciiTheme="majorBidi" w:hAnsiTheme="majorBidi" w:cstheme="majorBidi"/>
          <w:szCs w:val="24"/>
          <w:lang w:val="es-CR"/>
        </w:rPr>
      </w:pPr>
      <w:r w:rsidRPr="00174B8F">
        <w:rPr>
          <w:rFonts w:asciiTheme="majorBidi" w:hAnsiTheme="majorBidi" w:cstheme="majorBidi"/>
          <w:szCs w:val="24"/>
          <w:vertAlign w:val="superscript"/>
          <w:lang w:val="es-CR"/>
        </w:rPr>
        <w:t>b</w:t>
      </w:r>
      <w:r w:rsidR="00164EBC" w:rsidRPr="00174B8F">
        <w:rPr>
          <w:rFonts w:asciiTheme="majorBidi" w:hAnsiTheme="majorBidi" w:cstheme="majorBidi"/>
          <w:szCs w:val="24"/>
          <w:lang w:val="es-CR"/>
        </w:rPr>
        <w:t>Universidad de Costa Rica, Escuela de Tecnologías en Salud, Imagenología Diagnóstica y Terapéutica.</w:t>
      </w:r>
    </w:p>
    <w:p w14:paraId="679E5119" w14:textId="08AF1DBA" w:rsidR="00067515" w:rsidRPr="00D802D1" w:rsidRDefault="00067515" w:rsidP="00067515">
      <w:pPr>
        <w:spacing w:line="240" w:lineRule="auto"/>
        <w:rPr>
          <w:rFonts w:asciiTheme="majorBidi" w:hAnsiTheme="majorBidi" w:cstheme="majorBidi"/>
          <w:sz w:val="24"/>
          <w:szCs w:val="24"/>
        </w:rPr>
      </w:pPr>
      <w:r w:rsidRPr="00BD4F0B">
        <w:rPr>
          <w:rFonts w:asciiTheme="majorBidi" w:hAnsiTheme="majorBidi" w:cstheme="majorBidi"/>
          <w:sz w:val="24"/>
          <w:szCs w:val="24"/>
        </w:rPr>
        <w:t>Email address</w:t>
      </w:r>
      <w:r>
        <w:rPr>
          <w:rFonts w:asciiTheme="majorBidi" w:hAnsiTheme="majorBidi" w:cstheme="majorBidi"/>
          <w:sz w:val="24"/>
          <w:szCs w:val="24"/>
        </w:rPr>
        <w:t xml:space="preserve"> of Corresponding Author(s)</w:t>
      </w:r>
      <w:r w:rsidRPr="00BD4F0B">
        <w:rPr>
          <w:rFonts w:asciiTheme="majorBidi" w:hAnsiTheme="majorBidi" w:cstheme="majorBidi"/>
          <w:sz w:val="24"/>
          <w:szCs w:val="24"/>
        </w:rPr>
        <w:t xml:space="preserve">: </w:t>
      </w:r>
      <w:r w:rsidR="00164EBC">
        <w:rPr>
          <w:rStyle w:val="Hipervnculo"/>
          <w:rFonts w:asciiTheme="majorBidi" w:hAnsiTheme="majorBidi" w:cstheme="majorBidi"/>
          <w:sz w:val="24"/>
          <w:szCs w:val="24"/>
        </w:rPr>
        <w:t>jorgevillarosales@gmail.com</w:t>
      </w:r>
      <w:r w:rsidRPr="00D802D1">
        <w:rPr>
          <w:rStyle w:val="Hipervnculo"/>
          <w:rFonts w:asciiTheme="majorBidi" w:hAnsiTheme="majorBidi" w:cstheme="majorBidi"/>
          <w:sz w:val="24"/>
          <w:szCs w:val="24"/>
          <w:u w:val="none"/>
        </w:rPr>
        <w:t xml:space="preserve"> </w:t>
      </w:r>
    </w:p>
    <w:p w14:paraId="3B40D47E" w14:textId="77777777" w:rsidR="004E3B37" w:rsidRDefault="004E3B37" w:rsidP="004E3B37">
      <w:pPr>
        <w:rPr>
          <w:rFonts w:asciiTheme="majorBidi" w:hAnsiTheme="majorBidi" w:cstheme="majorBidi"/>
          <w:b/>
          <w:bCs/>
          <w:sz w:val="24"/>
          <w:szCs w:val="24"/>
        </w:rPr>
      </w:pPr>
    </w:p>
    <w:p w14:paraId="34442F4B" w14:textId="77777777" w:rsidR="004E3B37" w:rsidRDefault="00067515" w:rsidP="004E3B37">
      <w:pPr>
        <w:rPr>
          <w:rFonts w:asciiTheme="majorBidi" w:hAnsiTheme="majorBidi" w:cstheme="majorBidi"/>
          <w:b/>
          <w:bCs/>
          <w:sz w:val="24"/>
          <w:szCs w:val="24"/>
        </w:rPr>
      </w:pPr>
      <w:r>
        <w:rPr>
          <w:rFonts w:asciiTheme="majorBidi" w:hAnsiTheme="majorBidi" w:cstheme="majorBidi"/>
          <w:b/>
          <w:bCs/>
          <w:sz w:val="24"/>
          <w:szCs w:val="24"/>
        </w:rPr>
        <w:t>BACKGROUND</w:t>
      </w:r>
      <w:r w:rsidR="00507E87">
        <w:rPr>
          <w:rFonts w:asciiTheme="majorBidi" w:hAnsiTheme="majorBidi" w:cstheme="majorBidi"/>
          <w:b/>
          <w:bCs/>
          <w:sz w:val="24"/>
          <w:szCs w:val="24"/>
        </w:rPr>
        <w:t xml:space="preserve"> AND OBJECTIVE</w:t>
      </w:r>
    </w:p>
    <w:p w14:paraId="1F8FAE57" w14:textId="2FB305B8" w:rsidR="00071BF5" w:rsidRPr="004E3B37" w:rsidRDefault="00164EBC" w:rsidP="004E3B37">
      <w:pPr>
        <w:jc w:val="both"/>
        <w:rPr>
          <w:rFonts w:asciiTheme="majorBidi" w:hAnsiTheme="majorBidi" w:cstheme="majorBidi"/>
          <w:b/>
          <w:bCs/>
          <w:sz w:val="20"/>
          <w:szCs w:val="24"/>
        </w:rPr>
      </w:pPr>
      <w:r w:rsidRPr="004E3B37">
        <w:rPr>
          <w:rFonts w:asciiTheme="majorBidi" w:hAnsiTheme="majorBidi" w:cstheme="majorBidi"/>
          <w:sz w:val="20"/>
          <w:szCs w:val="24"/>
        </w:rPr>
        <w:t>The literature identifies various competences required for Medical Dosimetrists (CMD) and Radiat</w:t>
      </w:r>
      <w:r w:rsidR="009C1108">
        <w:rPr>
          <w:rFonts w:asciiTheme="majorBidi" w:hAnsiTheme="majorBidi" w:cstheme="majorBidi"/>
          <w:sz w:val="20"/>
          <w:szCs w:val="24"/>
        </w:rPr>
        <w:t>ion Therapy Technologists (RTT);</w:t>
      </w:r>
      <w:r w:rsidRPr="004E3B37">
        <w:rPr>
          <w:rFonts w:asciiTheme="majorBidi" w:hAnsiTheme="majorBidi" w:cstheme="majorBidi"/>
          <w:sz w:val="20"/>
          <w:szCs w:val="24"/>
        </w:rPr>
        <w:t xml:space="preserve"> however, these are varied and scatter</w:t>
      </w:r>
      <w:r w:rsidR="00F8623A">
        <w:rPr>
          <w:rFonts w:asciiTheme="majorBidi" w:hAnsiTheme="majorBidi" w:cstheme="majorBidi"/>
          <w:sz w:val="20"/>
          <w:szCs w:val="24"/>
        </w:rPr>
        <w:t xml:space="preserve">ed among different publications </w:t>
      </w:r>
      <w:r w:rsidR="00F8623A">
        <w:rPr>
          <w:rFonts w:ascii="Century Schoolbook" w:hAnsi="Century Schoolbook" w:cstheme="majorBidi"/>
          <w:sz w:val="20"/>
          <w:szCs w:val="24"/>
        </w:rPr>
        <w:t>[1].</w:t>
      </w:r>
      <w:r w:rsidRPr="004E3B37">
        <w:rPr>
          <w:rFonts w:asciiTheme="majorBidi" w:hAnsiTheme="majorBidi" w:cstheme="majorBidi"/>
          <w:sz w:val="20"/>
          <w:szCs w:val="24"/>
        </w:rPr>
        <w:t xml:space="preserve"> The aim of this study was to identify the actual competences of CMD and RTT practicing on treatment planning (TP) with tri-dimensional conformal (3DC) or intensity modulated (IM) radiation therapy (RT) and linear a</w:t>
      </w:r>
      <w:r w:rsidR="009C1108">
        <w:rPr>
          <w:rFonts w:asciiTheme="majorBidi" w:hAnsiTheme="majorBidi" w:cstheme="majorBidi"/>
          <w:sz w:val="20"/>
          <w:szCs w:val="24"/>
        </w:rPr>
        <w:t>ccelerator (LINAC) respectively</w:t>
      </w:r>
      <w:r w:rsidRPr="004E3B37">
        <w:rPr>
          <w:rFonts w:asciiTheme="majorBidi" w:hAnsiTheme="majorBidi" w:cstheme="majorBidi"/>
          <w:sz w:val="20"/>
          <w:szCs w:val="24"/>
        </w:rPr>
        <w:t xml:space="preserve"> and their future training needs in Hospital San Juan de Dios Radiotherapy Department (RT-HSJD) according to a benchmarking approach over the recommended</w:t>
      </w:r>
      <w:r w:rsidR="00A560D1">
        <w:rPr>
          <w:rFonts w:asciiTheme="majorBidi" w:hAnsiTheme="majorBidi" w:cstheme="majorBidi"/>
          <w:sz w:val="20"/>
          <w:szCs w:val="24"/>
        </w:rPr>
        <w:t xml:space="preserve"> ESTRO Core Curriculum for RTTs </w:t>
      </w:r>
      <w:r w:rsidR="00A560D1">
        <w:rPr>
          <w:rFonts w:ascii="Century Schoolbook" w:hAnsi="Century Schoolbook" w:cstheme="majorBidi"/>
          <w:sz w:val="20"/>
          <w:szCs w:val="24"/>
        </w:rPr>
        <w:t>[2],</w:t>
      </w:r>
      <w:r w:rsidR="00A560D1" w:rsidRPr="00A560D1">
        <w:rPr>
          <w:rFonts w:ascii="Century Schoolbook" w:hAnsi="Century Schoolbook" w:cstheme="majorBidi"/>
          <w:sz w:val="20"/>
          <w:szCs w:val="24"/>
        </w:rPr>
        <w:t xml:space="preserve"> </w:t>
      </w:r>
      <w:r w:rsidR="00A560D1">
        <w:rPr>
          <w:rFonts w:ascii="Century Schoolbook" w:hAnsi="Century Schoolbook" w:cstheme="majorBidi"/>
          <w:sz w:val="20"/>
          <w:szCs w:val="24"/>
        </w:rPr>
        <w:t>[3].</w:t>
      </w:r>
    </w:p>
    <w:p w14:paraId="7DAB6B5F" w14:textId="619C24D3" w:rsidR="00152AF7" w:rsidRPr="00BD4F0B" w:rsidRDefault="00856BA6" w:rsidP="00071BF5">
      <w:pPr>
        <w:spacing w:line="240" w:lineRule="auto"/>
        <w:rPr>
          <w:rFonts w:asciiTheme="majorBidi" w:hAnsiTheme="majorBidi" w:cstheme="majorBidi"/>
          <w:b/>
          <w:bCs/>
          <w:sz w:val="24"/>
          <w:szCs w:val="24"/>
        </w:rPr>
      </w:pPr>
      <w:r>
        <w:rPr>
          <w:rFonts w:asciiTheme="majorBidi" w:hAnsiTheme="majorBidi" w:cstheme="majorBidi"/>
          <w:b/>
          <w:bCs/>
          <w:sz w:val="24"/>
          <w:szCs w:val="24"/>
        </w:rPr>
        <w:t>METHOD</w:t>
      </w:r>
      <w:r w:rsidR="00152AF7" w:rsidRPr="00BD4F0B">
        <w:rPr>
          <w:rFonts w:asciiTheme="majorBidi" w:hAnsiTheme="majorBidi" w:cstheme="majorBidi"/>
          <w:b/>
          <w:bCs/>
          <w:sz w:val="24"/>
          <w:szCs w:val="24"/>
        </w:rPr>
        <w:t>S</w:t>
      </w:r>
    </w:p>
    <w:p w14:paraId="0A6F4447" w14:textId="524CC1EB" w:rsidR="00174B8F" w:rsidRDefault="00164EBC" w:rsidP="00164EBC">
      <w:pPr>
        <w:jc w:val="both"/>
        <w:rPr>
          <w:rFonts w:asciiTheme="majorBidi" w:hAnsiTheme="majorBidi" w:cstheme="majorBidi"/>
          <w:sz w:val="20"/>
          <w:szCs w:val="24"/>
        </w:rPr>
      </w:pPr>
      <w:r w:rsidRPr="004E3B37">
        <w:rPr>
          <w:rFonts w:asciiTheme="majorBidi" w:hAnsiTheme="majorBidi" w:cstheme="majorBidi"/>
          <w:sz w:val="20"/>
          <w:szCs w:val="24"/>
        </w:rPr>
        <w:t xml:space="preserve">The recommended ESTRO Core Curriculum for RTTs </w:t>
      </w:r>
      <w:r w:rsidR="00742854">
        <w:rPr>
          <w:rFonts w:ascii="Century Schoolbook" w:hAnsi="Century Schoolbook" w:cstheme="majorBidi"/>
          <w:sz w:val="20"/>
          <w:szCs w:val="24"/>
        </w:rPr>
        <w:t>[2],</w:t>
      </w:r>
      <w:r w:rsidR="00742854" w:rsidRPr="00A560D1">
        <w:rPr>
          <w:rFonts w:ascii="Century Schoolbook" w:hAnsi="Century Schoolbook" w:cstheme="majorBidi"/>
          <w:sz w:val="20"/>
          <w:szCs w:val="24"/>
        </w:rPr>
        <w:t xml:space="preserve"> </w:t>
      </w:r>
      <w:r w:rsidR="00742854">
        <w:rPr>
          <w:rFonts w:ascii="Century Schoolbook" w:hAnsi="Century Schoolbook" w:cstheme="majorBidi"/>
          <w:sz w:val="20"/>
          <w:szCs w:val="24"/>
        </w:rPr>
        <w:t xml:space="preserve">[3] </w:t>
      </w:r>
      <w:r w:rsidRPr="004E3B37">
        <w:rPr>
          <w:rFonts w:asciiTheme="majorBidi" w:hAnsiTheme="majorBidi" w:cstheme="majorBidi"/>
          <w:sz w:val="20"/>
          <w:szCs w:val="24"/>
        </w:rPr>
        <w:t xml:space="preserve">was scrutinized for competences practiced by CMD and RTT. A systematic approach was performed by direct observation of the CMD and RTT daily practices to find relevant competences and training needs. A thematic analysis was performed to organize the </w:t>
      </w:r>
      <w:r w:rsidR="00A560D1">
        <w:rPr>
          <w:rFonts w:asciiTheme="majorBidi" w:hAnsiTheme="majorBidi" w:cstheme="majorBidi"/>
          <w:sz w:val="20"/>
          <w:szCs w:val="24"/>
        </w:rPr>
        <w:t xml:space="preserve">competences according to themes </w:t>
      </w:r>
      <w:r w:rsidR="00A560D1">
        <w:rPr>
          <w:rFonts w:ascii="Century Schoolbook" w:hAnsi="Century Schoolbook" w:cstheme="majorBidi"/>
          <w:sz w:val="20"/>
          <w:szCs w:val="24"/>
        </w:rPr>
        <w:t>[1], [4].</w:t>
      </w:r>
      <w:r w:rsidRPr="004E3B37">
        <w:rPr>
          <w:rFonts w:asciiTheme="majorBidi" w:hAnsiTheme="majorBidi" w:cstheme="majorBidi"/>
          <w:sz w:val="20"/>
          <w:szCs w:val="24"/>
        </w:rPr>
        <w:t xml:space="preserve"> </w:t>
      </w:r>
    </w:p>
    <w:p w14:paraId="131CFABF" w14:textId="699AFE9B" w:rsidR="00174B8F" w:rsidRDefault="00164EBC" w:rsidP="00164EBC">
      <w:pPr>
        <w:jc w:val="both"/>
        <w:rPr>
          <w:rFonts w:asciiTheme="majorBidi" w:hAnsiTheme="majorBidi" w:cstheme="majorBidi"/>
          <w:sz w:val="20"/>
          <w:szCs w:val="24"/>
        </w:rPr>
      </w:pPr>
      <w:r w:rsidRPr="004E3B37">
        <w:rPr>
          <w:rFonts w:asciiTheme="majorBidi" w:hAnsiTheme="majorBidi" w:cstheme="majorBidi"/>
          <w:sz w:val="20"/>
          <w:szCs w:val="24"/>
        </w:rPr>
        <w:t>The themes analyzed were: 1) Non-technical competences (Quality and risk management, Decision making and critical analysis, Management and leadership, Team work and multidisciplinarity, Communication). 2) General technical competences in RT (Professionalism, Patient Care, Research, Education, Equipment quality assurance, File verification). 3) Technical competences in TP (Simulation, Contouring, 3DCRT-TP, IMRT-TP, Planning quality assurance). 4) Technical competences in LINAC (Positioning and immobilization, Delivery of treatment, Verification of patient s</w:t>
      </w:r>
      <w:r w:rsidR="004E3B37">
        <w:rPr>
          <w:rFonts w:asciiTheme="majorBidi" w:hAnsiTheme="majorBidi" w:cstheme="majorBidi"/>
          <w:sz w:val="20"/>
          <w:szCs w:val="24"/>
        </w:rPr>
        <w:t xml:space="preserve">etup, IGRT Image Verification). </w:t>
      </w:r>
    </w:p>
    <w:p w14:paraId="1819D417" w14:textId="59CC3738" w:rsidR="0066000D" w:rsidRPr="004E3B37" w:rsidRDefault="00164EBC" w:rsidP="00164EBC">
      <w:pPr>
        <w:jc w:val="both"/>
        <w:rPr>
          <w:rFonts w:asciiTheme="majorBidi" w:hAnsiTheme="majorBidi" w:cstheme="majorBidi"/>
          <w:sz w:val="20"/>
          <w:szCs w:val="24"/>
        </w:rPr>
      </w:pPr>
      <w:r w:rsidRPr="004E3B37">
        <w:rPr>
          <w:rFonts w:asciiTheme="majorBidi" w:hAnsiTheme="majorBidi" w:cstheme="majorBidi"/>
          <w:sz w:val="20"/>
          <w:szCs w:val="24"/>
        </w:rPr>
        <w:t>Then, a Training/Competency Matrix (T/C-M) was created to identify the relationship of the competences and the actual level achieved by each CMD and RTT in the RT department (Table 1). The competency level was set in the following qualifications: Great competency, autonomy and can teach others (4 points, purple color), Advanced competency and independent decision making (3 points, green color), Basic competency and dependent decision making (2 points, light blue color), In training (1 point, orange color) and Needs training (0 points, red color).</w:t>
      </w:r>
    </w:p>
    <w:p w14:paraId="30DA6807" w14:textId="2A96FEB7" w:rsidR="00152AF7" w:rsidRPr="00BD4F0B" w:rsidRDefault="00152AF7">
      <w:pPr>
        <w:rPr>
          <w:rFonts w:asciiTheme="majorBidi" w:hAnsiTheme="majorBidi" w:cstheme="majorBidi"/>
          <w:b/>
          <w:bCs/>
          <w:sz w:val="24"/>
          <w:szCs w:val="24"/>
        </w:rPr>
      </w:pPr>
      <w:r w:rsidRPr="00BD4F0B">
        <w:rPr>
          <w:rFonts w:asciiTheme="majorBidi" w:hAnsiTheme="majorBidi" w:cstheme="majorBidi"/>
          <w:b/>
          <w:bCs/>
          <w:sz w:val="24"/>
          <w:szCs w:val="24"/>
        </w:rPr>
        <w:t>RESULTS</w:t>
      </w:r>
      <w:r w:rsidR="00507E87">
        <w:rPr>
          <w:rFonts w:asciiTheme="majorBidi" w:hAnsiTheme="majorBidi" w:cstheme="majorBidi"/>
          <w:b/>
          <w:bCs/>
          <w:sz w:val="24"/>
          <w:szCs w:val="24"/>
        </w:rPr>
        <w:t xml:space="preserve"> AND DISCUSSION</w:t>
      </w:r>
    </w:p>
    <w:p w14:paraId="7FCB5FFD" w14:textId="0E008AFE" w:rsidR="00164EBC" w:rsidRPr="004E3B37" w:rsidRDefault="00164EBC" w:rsidP="00164EBC">
      <w:pPr>
        <w:jc w:val="both"/>
        <w:rPr>
          <w:rFonts w:asciiTheme="majorBidi" w:hAnsiTheme="majorBidi" w:cstheme="majorBidi"/>
          <w:sz w:val="20"/>
          <w:szCs w:val="24"/>
        </w:rPr>
      </w:pPr>
      <w:r w:rsidRPr="004E3B37">
        <w:rPr>
          <w:rFonts w:asciiTheme="majorBidi" w:hAnsiTheme="majorBidi" w:cstheme="majorBidi"/>
          <w:sz w:val="20"/>
          <w:szCs w:val="24"/>
        </w:rPr>
        <w:t xml:space="preserve">The actual level, distribution and results achieved by each CMD and RTT in RT-HSJD can be observed in Table 1. A T/C-M is a tool used to document and compare the required competences for a position with the current skill level of the employees performing the role. </w:t>
      </w:r>
      <w:r w:rsidR="009C1108">
        <w:rPr>
          <w:rFonts w:asciiTheme="majorBidi" w:hAnsiTheme="majorBidi" w:cstheme="majorBidi"/>
          <w:sz w:val="20"/>
          <w:szCs w:val="24"/>
        </w:rPr>
        <w:t>It is used in a gap analysis to determine</w:t>
      </w:r>
      <w:r w:rsidRPr="004E3B37">
        <w:rPr>
          <w:rFonts w:asciiTheme="majorBidi" w:hAnsiTheme="majorBidi" w:cstheme="majorBidi"/>
          <w:sz w:val="20"/>
          <w:szCs w:val="24"/>
        </w:rPr>
        <w:t xml:space="preserve"> where an organizat</w:t>
      </w:r>
      <w:r w:rsidR="009C1108">
        <w:rPr>
          <w:rFonts w:asciiTheme="majorBidi" w:hAnsiTheme="majorBidi" w:cstheme="majorBidi"/>
          <w:sz w:val="20"/>
          <w:szCs w:val="24"/>
        </w:rPr>
        <w:t>ion has</w:t>
      </w:r>
      <w:r w:rsidRPr="004E3B37">
        <w:rPr>
          <w:rFonts w:asciiTheme="majorBidi" w:hAnsiTheme="majorBidi" w:cstheme="majorBidi"/>
          <w:sz w:val="20"/>
          <w:szCs w:val="24"/>
        </w:rPr>
        <w:t xml:space="preserve"> critical training needs and as a tool </w:t>
      </w:r>
      <w:r w:rsidR="00742854">
        <w:rPr>
          <w:rFonts w:asciiTheme="majorBidi" w:hAnsiTheme="majorBidi" w:cstheme="majorBidi"/>
          <w:sz w:val="20"/>
          <w:szCs w:val="24"/>
        </w:rPr>
        <w:t xml:space="preserve">for managing people development </w:t>
      </w:r>
      <w:r w:rsidR="00742854">
        <w:rPr>
          <w:rFonts w:ascii="Century Schoolbook" w:hAnsi="Century Schoolbook" w:cstheme="majorBidi"/>
          <w:sz w:val="20"/>
          <w:szCs w:val="24"/>
        </w:rPr>
        <w:t>[5].</w:t>
      </w:r>
    </w:p>
    <w:p w14:paraId="4DDFB592" w14:textId="77777777" w:rsidR="000413AA" w:rsidRDefault="000413AA">
      <w:pPr>
        <w:rPr>
          <w:rFonts w:asciiTheme="majorBidi" w:hAnsiTheme="majorBidi" w:cstheme="majorBidi"/>
          <w:i/>
          <w:sz w:val="20"/>
          <w:szCs w:val="24"/>
        </w:rPr>
      </w:pPr>
      <w:r>
        <w:rPr>
          <w:rFonts w:asciiTheme="majorBidi" w:hAnsiTheme="majorBidi" w:cstheme="majorBidi"/>
          <w:i/>
          <w:sz w:val="20"/>
          <w:szCs w:val="24"/>
        </w:rPr>
        <w:br w:type="page"/>
      </w:r>
    </w:p>
    <w:p w14:paraId="2DE6A16F" w14:textId="7BFC642C" w:rsidR="007C0F54" w:rsidRPr="004E3B37" w:rsidRDefault="00D66485" w:rsidP="00071BF5">
      <w:pPr>
        <w:jc w:val="center"/>
        <w:rPr>
          <w:rFonts w:asciiTheme="majorBidi" w:hAnsiTheme="majorBidi" w:cstheme="majorBidi"/>
          <w:i/>
          <w:sz w:val="20"/>
          <w:szCs w:val="24"/>
        </w:rPr>
      </w:pPr>
      <w:r>
        <w:rPr>
          <w:noProof/>
          <w:lang w:val="es-CR" w:eastAsia="es-CR"/>
        </w:rPr>
        <w:lastRenderedPageBreak/>
        <w:drawing>
          <wp:anchor distT="0" distB="0" distL="114300" distR="114300" simplePos="0" relativeHeight="251658240" behindDoc="0" locked="0" layoutInCell="1" allowOverlap="1" wp14:anchorId="3137EC2E" wp14:editId="7457A77C">
            <wp:simplePos x="0" y="0"/>
            <wp:positionH relativeFrom="column">
              <wp:posOffset>66675</wp:posOffset>
            </wp:positionH>
            <wp:positionV relativeFrom="paragraph">
              <wp:posOffset>352425</wp:posOffset>
            </wp:positionV>
            <wp:extent cx="5600700" cy="3219450"/>
            <wp:effectExtent l="0" t="0" r="0" b="0"/>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00700" cy="3219450"/>
                    </a:xfrm>
                    <a:prstGeom prst="rect">
                      <a:avLst/>
                    </a:prstGeom>
                  </pic:spPr>
                </pic:pic>
              </a:graphicData>
            </a:graphic>
            <wp14:sizeRelH relativeFrom="page">
              <wp14:pctWidth>0</wp14:pctWidth>
            </wp14:sizeRelH>
            <wp14:sizeRelV relativeFrom="page">
              <wp14:pctHeight>0</wp14:pctHeight>
            </wp14:sizeRelV>
          </wp:anchor>
        </w:drawing>
      </w:r>
      <w:r w:rsidR="007C0F54" w:rsidRPr="004E3B37">
        <w:rPr>
          <w:rFonts w:asciiTheme="majorBidi" w:hAnsiTheme="majorBidi" w:cstheme="majorBidi"/>
          <w:i/>
          <w:sz w:val="20"/>
          <w:szCs w:val="24"/>
        </w:rPr>
        <w:t xml:space="preserve">Table 1.  </w:t>
      </w:r>
      <w:r w:rsidR="004E3B37" w:rsidRPr="004E3B37">
        <w:rPr>
          <w:rFonts w:asciiTheme="majorBidi" w:hAnsiTheme="majorBidi" w:cstheme="majorBidi"/>
          <w:i/>
          <w:sz w:val="20"/>
          <w:szCs w:val="24"/>
        </w:rPr>
        <w:t>Training/Competency Matrix for Medical Dosimetrists and Radiation Therapy Technologists in Hospital San Juan de Dios Radiotherapy Department.</w:t>
      </w:r>
    </w:p>
    <w:p w14:paraId="37AC47E6" w14:textId="040F4018" w:rsidR="007C0F54" w:rsidRPr="004E3B37" w:rsidRDefault="004E3B37" w:rsidP="004E3B37">
      <w:pPr>
        <w:jc w:val="center"/>
        <w:rPr>
          <w:rFonts w:asciiTheme="majorBidi" w:hAnsiTheme="majorBidi" w:cstheme="majorBidi"/>
          <w:i/>
          <w:sz w:val="24"/>
          <w:szCs w:val="24"/>
        </w:rPr>
      </w:pPr>
      <w:r w:rsidRPr="004E3B37">
        <w:rPr>
          <w:rFonts w:asciiTheme="majorBidi" w:hAnsiTheme="majorBidi" w:cstheme="majorBidi"/>
          <w:i/>
          <w:sz w:val="20"/>
          <w:szCs w:val="24"/>
        </w:rPr>
        <w:t>Source: Quality Management Committee RT-HSJD, 2020.</w:t>
      </w:r>
    </w:p>
    <w:p w14:paraId="6068C737" w14:textId="571A6ACD" w:rsidR="00B458AF" w:rsidRPr="00BD4F0B" w:rsidRDefault="00B458AF">
      <w:pPr>
        <w:rPr>
          <w:rFonts w:asciiTheme="majorBidi" w:hAnsiTheme="majorBidi" w:cstheme="majorBidi"/>
          <w:b/>
          <w:bCs/>
          <w:sz w:val="24"/>
          <w:szCs w:val="24"/>
        </w:rPr>
      </w:pPr>
      <w:r w:rsidRPr="00BD4F0B">
        <w:rPr>
          <w:rFonts w:asciiTheme="majorBidi" w:hAnsiTheme="majorBidi" w:cstheme="majorBidi"/>
          <w:b/>
          <w:bCs/>
          <w:sz w:val="24"/>
          <w:szCs w:val="24"/>
        </w:rPr>
        <w:t>CONCLUSIONS</w:t>
      </w:r>
    </w:p>
    <w:p w14:paraId="0F39A134" w14:textId="301090B5" w:rsidR="004E3B37" w:rsidRPr="004E3B37" w:rsidRDefault="004E3B37" w:rsidP="004E3B37">
      <w:pPr>
        <w:jc w:val="both"/>
        <w:rPr>
          <w:rFonts w:asciiTheme="majorBidi" w:hAnsiTheme="majorBidi" w:cstheme="majorBidi"/>
          <w:sz w:val="20"/>
          <w:szCs w:val="24"/>
        </w:rPr>
      </w:pPr>
      <w:r w:rsidRPr="004E3B37">
        <w:rPr>
          <w:rFonts w:asciiTheme="majorBidi" w:hAnsiTheme="majorBidi" w:cstheme="majorBidi"/>
          <w:sz w:val="20"/>
          <w:szCs w:val="24"/>
        </w:rPr>
        <w:t>The T/C-M provides a comprehensive view of all the skills and behavi</w:t>
      </w:r>
      <w:r w:rsidR="009C1108">
        <w:rPr>
          <w:rFonts w:asciiTheme="majorBidi" w:hAnsiTheme="majorBidi" w:cstheme="majorBidi"/>
          <w:sz w:val="20"/>
          <w:szCs w:val="24"/>
        </w:rPr>
        <w:t>ors needed in a RT department. It a</w:t>
      </w:r>
      <w:r w:rsidRPr="004E3B37">
        <w:rPr>
          <w:rFonts w:asciiTheme="majorBidi" w:hAnsiTheme="majorBidi" w:cstheme="majorBidi"/>
          <w:sz w:val="20"/>
          <w:szCs w:val="24"/>
        </w:rPr>
        <w:t xml:space="preserve">ids in managing the training budget because it identifies skill gaps across the organization rather than just one person at a time. </w:t>
      </w:r>
      <w:r w:rsidR="009C1108">
        <w:rPr>
          <w:rFonts w:asciiTheme="majorBidi" w:hAnsiTheme="majorBidi" w:cstheme="majorBidi"/>
          <w:sz w:val="20"/>
          <w:szCs w:val="24"/>
        </w:rPr>
        <w:t>It a</w:t>
      </w:r>
      <w:bookmarkStart w:id="0" w:name="_GoBack"/>
      <w:bookmarkEnd w:id="0"/>
      <w:r w:rsidRPr="004E3B37">
        <w:rPr>
          <w:rFonts w:asciiTheme="majorBidi" w:hAnsiTheme="majorBidi" w:cstheme="majorBidi"/>
          <w:sz w:val="20"/>
          <w:szCs w:val="24"/>
        </w:rPr>
        <w:t>ssists with planning by helping identify and target new skill areas that RT departments might</w:t>
      </w:r>
      <w:r w:rsidR="000413AA">
        <w:rPr>
          <w:rFonts w:asciiTheme="majorBidi" w:hAnsiTheme="majorBidi" w:cstheme="majorBidi"/>
          <w:sz w:val="20"/>
          <w:szCs w:val="24"/>
        </w:rPr>
        <w:t xml:space="preserve"> need for the long term </w:t>
      </w:r>
      <w:r w:rsidR="00742854">
        <w:rPr>
          <w:rFonts w:ascii="Century Schoolbook" w:hAnsi="Century Schoolbook" w:cstheme="majorBidi"/>
          <w:sz w:val="20"/>
          <w:szCs w:val="24"/>
        </w:rPr>
        <w:t>[5].</w:t>
      </w:r>
    </w:p>
    <w:p w14:paraId="6E20D12C" w14:textId="290ABC0C" w:rsidR="00174B8F" w:rsidRDefault="004E3B37" w:rsidP="004E3B37">
      <w:pPr>
        <w:jc w:val="both"/>
        <w:rPr>
          <w:rFonts w:asciiTheme="majorBidi" w:hAnsiTheme="majorBidi" w:cstheme="majorBidi"/>
          <w:sz w:val="20"/>
          <w:szCs w:val="24"/>
        </w:rPr>
      </w:pPr>
      <w:r w:rsidRPr="004E3B37">
        <w:rPr>
          <w:rFonts w:asciiTheme="majorBidi" w:hAnsiTheme="majorBidi" w:cstheme="majorBidi"/>
          <w:sz w:val="20"/>
          <w:szCs w:val="24"/>
        </w:rPr>
        <w:t>RT-HSJD has only two of nine fixed employees with professional trainin</w:t>
      </w:r>
      <w:r w:rsidR="00174B8F">
        <w:rPr>
          <w:rFonts w:asciiTheme="majorBidi" w:hAnsiTheme="majorBidi" w:cstheme="majorBidi"/>
          <w:sz w:val="20"/>
          <w:szCs w:val="24"/>
        </w:rPr>
        <w:t>g</w:t>
      </w:r>
      <w:r w:rsidR="009C1108">
        <w:rPr>
          <w:rFonts w:asciiTheme="majorBidi" w:hAnsiTheme="majorBidi" w:cstheme="majorBidi"/>
          <w:sz w:val="20"/>
          <w:szCs w:val="24"/>
        </w:rPr>
        <w:t>,</w:t>
      </w:r>
      <w:r w:rsidR="00174B8F">
        <w:rPr>
          <w:rFonts w:asciiTheme="majorBidi" w:hAnsiTheme="majorBidi" w:cstheme="majorBidi"/>
          <w:sz w:val="20"/>
          <w:szCs w:val="24"/>
        </w:rPr>
        <w:t xml:space="preserve"> and they summarize the high</w:t>
      </w:r>
      <w:r w:rsidR="000413AA">
        <w:rPr>
          <w:rFonts w:asciiTheme="majorBidi" w:hAnsiTheme="majorBidi" w:cstheme="majorBidi"/>
          <w:sz w:val="20"/>
          <w:szCs w:val="24"/>
        </w:rPr>
        <w:t>est competency levels</w:t>
      </w:r>
      <w:r w:rsidRPr="004E3B37">
        <w:rPr>
          <w:rFonts w:asciiTheme="majorBidi" w:hAnsiTheme="majorBidi" w:cstheme="majorBidi"/>
          <w:sz w:val="20"/>
          <w:szCs w:val="24"/>
        </w:rPr>
        <w:t>. Both has a Licentiate degree in Diagnostic Imaging and Radiotherapeutics from the University of Costa Rica (LIC-IDT-UCR) with specific</w:t>
      </w:r>
      <w:r w:rsidR="009C1108">
        <w:rPr>
          <w:rFonts w:asciiTheme="majorBidi" w:hAnsiTheme="majorBidi" w:cstheme="majorBidi"/>
          <w:sz w:val="20"/>
          <w:szCs w:val="24"/>
        </w:rPr>
        <w:t xml:space="preserve"> training in Radiation Oncology. T</w:t>
      </w:r>
      <w:r w:rsidRPr="004E3B37">
        <w:rPr>
          <w:rFonts w:asciiTheme="majorBidi" w:hAnsiTheme="majorBidi" w:cstheme="majorBidi"/>
          <w:sz w:val="20"/>
          <w:szCs w:val="24"/>
        </w:rPr>
        <w:t xml:space="preserve">he other team members are radiographers with empiric training in this specialized area. </w:t>
      </w:r>
    </w:p>
    <w:p w14:paraId="55D40473" w14:textId="05362C5C" w:rsidR="004E3B37" w:rsidRPr="004E3B37" w:rsidRDefault="009C1108" w:rsidP="004E3B37">
      <w:pPr>
        <w:jc w:val="both"/>
        <w:rPr>
          <w:rFonts w:asciiTheme="majorBidi" w:hAnsiTheme="majorBidi" w:cstheme="majorBidi"/>
          <w:sz w:val="20"/>
          <w:szCs w:val="24"/>
        </w:rPr>
      </w:pPr>
      <w:r>
        <w:rPr>
          <w:rFonts w:asciiTheme="majorBidi" w:hAnsiTheme="majorBidi" w:cstheme="majorBidi"/>
          <w:sz w:val="20"/>
          <w:szCs w:val="24"/>
        </w:rPr>
        <w:t>A</w:t>
      </w:r>
      <w:r w:rsidR="004E3B37" w:rsidRPr="004E3B37">
        <w:rPr>
          <w:rFonts w:asciiTheme="majorBidi" w:hAnsiTheme="majorBidi" w:cstheme="majorBidi"/>
          <w:sz w:val="20"/>
          <w:szCs w:val="24"/>
        </w:rPr>
        <w:t xml:space="preserve">ctual CMD and RTT across RT-HSJD must be formal trained to bridge the gap with professional standards or recommendations published such as the ESTRO Core Curriculum for RTTs and </w:t>
      </w:r>
      <w:r>
        <w:rPr>
          <w:rFonts w:asciiTheme="majorBidi" w:hAnsiTheme="majorBidi" w:cstheme="majorBidi"/>
          <w:sz w:val="20"/>
          <w:szCs w:val="24"/>
        </w:rPr>
        <w:t xml:space="preserve">to </w:t>
      </w:r>
      <w:r w:rsidR="004E3B37" w:rsidRPr="004E3B37">
        <w:rPr>
          <w:rFonts w:asciiTheme="majorBidi" w:hAnsiTheme="majorBidi" w:cstheme="majorBidi"/>
          <w:sz w:val="20"/>
          <w:szCs w:val="24"/>
        </w:rPr>
        <w:t>ensure the best car</w:t>
      </w:r>
      <w:r w:rsidR="00742854">
        <w:rPr>
          <w:rFonts w:asciiTheme="majorBidi" w:hAnsiTheme="majorBidi" w:cstheme="majorBidi"/>
          <w:sz w:val="20"/>
          <w:szCs w:val="24"/>
        </w:rPr>
        <w:t xml:space="preserve">e possible is given to patients </w:t>
      </w:r>
      <w:r w:rsidR="00742854">
        <w:rPr>
          <w:rFonts w:ascii="Century Schoolbook" w:hAnsi="Century Schoolbook" w:cstheme="majorBidi"/>
          <w:sz w:val="20"/>
          <w:szCs w:val="24"/>
        </w:rPr>
        <w:t>[6].</w:t>
      </w:r>
      <w:r w:rsidR="004E3B37" w:rsidRPr="004E3B37">
        <w:rPr>
          <w:rFonts w:asciiTheme="majorBidi" w:hAnsiTheme="majorBidi" w:cstheme="majorBidi"/>
          <w:sz w:val="20"/>
          <w:szCs w:val="24"/>
        </w:rPr>
        <w:t xml:space="preserve"> This study also promotes and emphasizes in the importance to incorporate professionals on CMD and RTT roles, as the ones with LIC-IDT-UCR.</w:t>
      </w:r>
    </w:p>
    <w:p w14:paraId="0EED9078" w14:textId="17DC29C6" w:rsidR="007C0F54" w:rsidRPr="009C1108" w:rsidRDefault="00152AF7" w:rsidP="00067515">
      <w:pPr>
        <w:rPr>
          <w:rFonts w:asciiTheme="majorBidi" w:hAnsiTheme="majorBidi" w:cstheme="majorBidi"/>
          <w:b/>
          <w:sz w:val="24"/>
        </w:rPr>
      </w:pPr>
      <w:r w:rsidRPr="0039072F">
        <w:rPr>
          <w:rFonts w:asciiTheme="majorBidi" w:hAnsiTheme="majorBidi" w:cstheme="majorBidi"/>
          <w:b/>
          <w:sz w:val="24"/>
        </w:rPr>
        <w:t>REFERENCES</w:t>
      </w:r>
    </w:p>
    <w:p w14:paraId="1271DFC5" w14:textId="2BB28C6B" w:rsidR="00C645F7" w:rsidRDefault="00427126" w:rsidP="00174B8F">
      <w:pPr>
        <w:pStyle w:val="EndNoteBibliography"/>
        <w:spacing w:after="0"/>
        <w:ind w:left="720" w:hanging="720"/>
        <w:jc w:val="both"/>
        <w:rPr>
          <w:rFonts w:asciiTheme="majorBidi" w:hAnsiTheme="majorBidi" w:cstheme="majorBidi"/>
          <w:sz w:val="20"/>
          <w:szCs w:val="24"/>
          <w:lang w:val="en-GB"/>
        </w:rPr>
      </w:pPr>
      <w:r w:rsidRPr="00174B8F">
        <w:rPr>
          <w:rFonts w:asciiTheme="majorBidi" w:hAnsiTheme="majorBidi" w:cstheme="majorBidi"/>
          <w:sz w:val="20"/>
        </w:rPr>
        <w:fldChar w:fldCharType="begin"/>
      </w:r>
      <w:r w:rsidRPr="00174B8F">
        <w:rPr>
          <w:rFonts w:asciiTheme="majorBidi" w:hAnsiTheme="majorBidi" w:cstheme="majorBidi"/>
          <w:sz w:val="20"/>
        </w:rPr>
        <w:instrText xml:space="preserve"> ADDIN EN.REFLIST </w:instrText>
      </w:r>
      <w:r w:rsidRPr="00174B8F">
        <w:rPr>
          <w:rFonts w:asciiTheme="majorBidi" w:hAnsiTheme="majorBidi" w:cstheme="majorBidi"/>
          <w:sz w:val="20"/>
        </w:rPr>
        <w:fldChar w:fldCharType="separate"/>
      </w:r>
      <w:r w:rsidR="00C645F7" w:rsidRPr="00174B8F">
        <w:rPr>
          <w:rFonts w:asciiTheme="majorBidi" w:hAnsiTheme="majorBidi" w:cstheme="majorBidi"/>
          <w:sz w:val="20"/>
          <w:szCs w:val="24"/>
          <w:lang w:val="en-GB"/>
        </w:rPr>
        <w:t xml:space="preserve">[1] </w:t>
      </w:r>
      <w:r w:rsidR="00C1643C" w:rsidRPr="00174B8F">
        <w:rPr>
          <w:rFonts w:asciiTheme="majorBidi" w:hAnsiTheme="majorBidi" w:cstheme="majorBidi"/>
          <w:sz w:val="20"/>
          <w:szCs w:val="24"/>
          <w:lang w:val="en-GB"/>
        </w:rPr>
        <w:tab/>
      </w:r>
      <w:r w:rsidR="00F8623A">
        <w:rPr>
          <w:rFonts w:asciiTheme="majorBidi" w:hAnsiTheme="majorBidi" w:cstheme="majorBidi"/>
          <w:sz w:val="20"/>
          <w:szCs w:val="24"/>
          <w:lang w:val="en-GB"/>
        </w:rPr>
        <w:t>COUTO, JG. et al</w:t>
      </w:r>
      <w:r w:rsidR="00C645F7" w:rsidRPr="00174B8F">
        <w:rPr>
          <w:rFonts w:asciiTheme="majorBidi" w:hAnsiTheme="majorBidi" w:cstheme="majorBidi"/>
          <w:sz w:val="20"/>
          <w:szCs w:val="24"/>
          <w:lang w:val="en-GB"/>
        </w:rPr>
        <w:t xml:space="preserve">, </w:t>
      </w:r>
      <w:r w:rsidR="00F8623A" w:rsidRPr="00F8623A">
        <w:rPr>
          <w:rFonts w:asciiTheme="majorBidi" w:hAnsiTheme="majorBidi" w:cstheme="majorBidi"/>
          <w:sz w:val="20"/>
          <w:szCs w:val="24"/>
          <w:lang w:val="en-GB"/>
        </w:rPr>
        <w:t>Competencies of therapeutic radiographers working in the linear accelerator across Europe: A systematic search of the literature and thematic analysis, Radiography,</w:t>
      </w:r>
      <w:r w:rsidR="00067515" w:rsidRPr="00174B8F">
        <w:rPr>
          <w:rFonts w:asciiTheme="majorBidi" w:hAnsiTheme="majorBidi" w:cstheme="majorBidi"/>
          <w:sz w:val="20"/>
          <w:szCs w:val="24"/>
          <w:lang w:val="en-GB"/>
        </w:rPr>
        <w:t xml:space="preserve"> </w:t>
      </w:r>
      <w:r w:rsidR="00F8623A">
        <w:rPr>
          <w:rFonts w:asciiTheme="majorBidi" w:hAnsiTheme="majorBidi" w:cstheme="majorBidi"/>
          <w:sz w:val="20"/>
          <w:szCs w:val="24"/>
          <w:lang w:val="en-GB"/>
        </w:rPr>
        <w:t>(2019</w:t>
      </w:r>
      <w:r w:rsidR="00C645F7" w:rsidRPr="00174B8F">
        <w:rPr>
          <w:rFonts w:asciiTheme="majorBidi" w:hAnsiTheme="majorBidi" w:cstheme="majorBidi"/>
          <w:sz w:val="20"/>
          <w:szCs w:val="24"/>
          <w:lang w:val="en-GB"/>
        </w:rPr>
        <w:t>).</w:t>
      </w:r>
    </w:p>
    <w:p w14:paraId="78709F73" w14:textId="7730E2C9" w:rsidR="00F8623A" w:rsidRDefault="00F8623A" w:rsidP="00F8623A">
      <w:pPr>
        <w:autoSpaceDE w:val="0"/>
        <w:autoSpaceDN w:val="0"/>
        <w:adjustRightInd w:val="0"/>
        <w:spacing w:after="0" w:line="240" w:lineRule="auto"/>
        <w:ind w:left="720" w:hanging="720"/>
        <w:jc w:val="both"/>
        <w:rPr>
          <w:rFonts w:asciiTheme="majorBidi" w:hAnsiTheme="majorBidi" w:cstheme="majorBidi"/>
          <w:sz w:val="20"/>
          <w:szCs w:val="24"/>
          <w:lang w:val="de-DE"/>
        </w:rPr>
      </w:pPr>
      <w:r w:rsidRPr="00174B8F">
        <w:rPr>
          <w:rFonts w:asciiTheme="majorBidi" w:hAnsiTheme="majorBidi" w:cstheme="majorBidi"/>
          <w:sz w:val="20"/>
          <w:szCs w:val="24"/>
          <w:lang w:val="de-DE"/>
        </w:rPr>
        <w:t xml:space="preserve">[2] </w:t>
      </w:r>
      <w:r w:rsidRPr="00174B8F">
        <w:rPr>
          <w:rFonts w:asciiTheme="majorBidi" w:hAnsiTheme="majorBidi" w:cstheme="majorBidi"/>
          <w:sz w:val="20"/>
          <w:szCs w:val="24"/>
          <w:lang w:val="de-DE"/>
        </w:rPr>
        <w:tab/>
      </w:r>
      <w:r w:rsidR="00CC4CC5">
        <w:rPr>
          <w:rFonts w:asciiTheme="majorBidi" w:hAnsiTheme="majorBidi" w:cstheme="majorBidi"/>
          <w:sz w:val="20"/>
          <w:szCs w:val="24"/>
          <w:lang w:val="de-DE"/>
        </w:rPr>
        <w:t>EUROPEAN SOCIETY FOR RADIOTHERAPY &amp; ONCOLOGY, Benchmarking document for Radiation TherapisTs, European Higher Education Area Level 6, (2014).</w:t>
      </w:r>
    </w:p>
    <w:p w14:paraId="6450C762" w14:textId="53FA4D8F" w:rsidR="00CC4CC5" w:rsidRDefault="00CC4CC5" w:rsidP="00CC4CC5">
      <w:pPr>
        <w:autoSpaceDE w:val="0"/>
        <w:autoSpaceDN w:val="0"/>
        <w:adjustRightInd w:val="0"/>
        <w:spacing w:after="0" w:line="240" w:lineRule="auto"/>
        <w:ind w:left="720" w:hanging="720"/>
        <w:jc w:val="both"/>
        <w:rPr>
          <w:rFonts w:asciiTheme="majorBidi" w:hAnsiTheme="majorBidi" w:cstheme="majorBidi"/>
          <w:sz w:val="20"/>
          <w:szCs w:val="24"/>
          <w:lang w:val="de-DE"/>
        </w:rPr>
      </w:pPr>
      <w:r>
        <w:rPr>
          <w:rFonts w:asciiTheme="majorBidi" w:hAnsiTheme="majorBidi" w:cstheme="majorBidi"/>
          <w:sz w:val="20"/>
          <w:szCs w:val="24"/>
          <w:lang w:val="de-DE"/>
        </w:rPr>
        <w:t>[3</w:t>
      </w:r>
      <w:r w:rsidRPr="00174B8F">
        <w:rPr>
          <w:rFonts w:asciiTheme="majorBidi" w:hAnsiTheme="majorBidi" w:cstheme="majorBidi"/>
          <w:sz w:val="20"/>
          <w:szCs w:val="24"/>
          <w:lang w:val="de-DE"/>
        </w:rPr>
        <w:t xml:space="preserve">] </w:t>
      </w:r>
      <w:r w:rsidRPr="00174B8F">
        <w:rPr>
          <w:rFonts w:asciiTheme="majorBidi" w:hAnsiTheme="majorBidi" w:cstheme="majorBidi"/>
          <w:sz w:val="20"/>
          <w:szCs w:val="24"/>
          <w:lang w:val="de-DE"/>
        </w:rPr>
        <w:tab/>
      </w:r>
      <w:r>
        <w:rPr>
          <w:rFonts w:asciiTheme="majorBidi" w:hAnsiTheme="majorBidi" w:cstheme="majorBidi"/>
          <w:sz w:val="20"/>
          <w:szCs w:val="24"/>
          <w:lang w:val="de-DE"/>
        </w:rPr>
        <w:t xml:space="preserve">COFFEY, M., LEECH, M., </w:t>
      </w:r>
      <w:r w:rsidRPr="00CC4CC5">
        <w:rPr>
          <w:rFonts w:asciiTheme="majorBidi" w:hAnsiTheme="majorBidi" w:cstheme="majorBidi"/>
          <w:sz w:val="20"/>
          <w:szCs w:val="24"/>
          <w:lang w:val="de-DE"/>
        </w:rPr>
        <w:t>The European Society of Radiotherapy and Oncology (ESTRO)</w:t>
      </w:r>
      <w:r>
        <w:rPr>
          <w:rFonts w:asciiTheme="majorBidi" w:hAnsiTheme="majorBidi" w:cstheme="majorBidi"/>
          <w:sz w:val="20"/>
          <w:szCs w:val="24"/>
          <w:lang w:val="de-DE"/>
        </w:rPr>
        <w:t>,</w:t>
      </w:r>
      <w:r w:rsidRPr="00CC4CC5">
        <w:rPr>
          <w:rFonts w:asciiTheme="majorBidi" w:hAnsiTheme="majorBidi" w:cstheme="majorBidi"/>
          <w:sz w:val="20"/>
          <w:szCs w:val="24"/>
          <w:lang w:val="de-DE"/>
        </w:rPr>
        <w:t xml:space="preserve"> European Higher Education Area levels 7 and 8 postgraduate benchmarking document </w:t>
      </w:r>
      <w:r>
        <w:rPr>
          <w:rFonts w:asciiTheme="majorBidi" w:hAnsiTheme="majorBidi" w:cstheme="majorBidi"/>
          <w:sz w:val="20"/>
          <w:szCs w:val="24"/>
          <w:lang w:val="de-DE"/>
        </w:rPr>
        <w:t xml:space="preserve">for Radiation TherapisTs (RTTs), </w:t>
      </w:r>
      <w:r w:rsidRPr="00CC4CC5">
        <w:rPr>
          <w:rFonts w:asciiTheme="majorBidi" w:hAnsiTheme="majorBidi" w:cstheme="majorBidi"/>
          <w:sz w:val="20"/>
          <w:szCs w:val="24"/>
          <w:lang w:val="de-DE"/>
        </w:rPr>
        <w:t>Technical Innovations &amp; Patient Support in Radiation Oncology</w:t>
      </w:r>
      <w:r>
        <w:rPr>
          <w:rFonts w:asciiTheme="majorBidi" w:hAnsiTheme="majorBidi" w:cstheme="majorBidi"/>
          <w:sz w:val="20"/>
          <w:szCs w:val="24"/>
          <w:lang w:val="de-DE"/>
        </w:rPr>
        <w:t>, 8, 22–40, (2018).</w:t>
      </w:r>
    </w:p>
    <w:p w14:paraId="5260BD73" w14:textId="394C147D" w:rsidR="00CC4CC5" w:rsidRDefault="00CC4CC5" w:rsidP="00F8623A">
      <w:pPr>
        <w:autoSpaceDE w:val="0"/>
        <w:autoSpaceDN w:val="0"/>
        <w:adjustRightInd w:val="0"/>
        <w:spacing w:after="0" w:line="240" w:lineRule="auto"/>
        <w:ind w:left="720" w:hanging="720"/>
        <w:jc w:val="both"/>
        <w:rPr>
          <w:rFonts w:asciiTheme="majorBidi" w:hAnsiTheme="majorBidi" w:cstheme="majorBidi"/>
          <w:sz w:val="20"/>
          <w:szCs w:val="24"/>
          <w:lang w:val="de-DE"/>
        </w:rPr>
      </w:pPr>
      <w:r>
        <w:rPr>
          <w:rFonts w:asciiTheme="majorBidi" w:hAnsiTheme="majorBidi" w:cstheme="majorBidi"/>
          <w:sz w:val="20"/>
          <w:szCs w:val="24"/>
          <w:lang w:val="de-DE"/>
        </w:rPr>
        <w:t>[4</w:t>
      </w:r>
      <w:r w:rsidRPr="00174B8F">
        <w:rPr>
          <w:rFonts w:asciiTheme="majorBidi" w:hAnsiTheme="majorBidi" w:cstheme="majorBidi"/>
          <w:sz w:val="20"/>
          <w:szCs w:val="24"/>
          <w:lang w:val="de-DE"/>
        </w:rPr>
        <w:t xml:space="preserve">] </w:t>
      </w:r>
      <w:r w:rsidRPr="00174B8F">
        <w:rPr>
          <w:rFonts w:asciiTheme="majorBidi" w:hAnsiTheme="majorBidi" w:cstheme="majorBidi"/>
          <w:sz w:val="20"/>
          <w:szCs w:val="24"/>
          <w:lang w:val="de-DE"/>
        </w:rPr>
        <w:tab/>
      </w:r>
      <w:r w:rsidRPr="00174B8F">
        <w:rPr>
          <w:rFonts w:asciiTheme="majorBidi" w:hAnsiTheme="majorBidi" w:cstheme="majorBidi"/>
          <w:sz w:val="20"/>
          <w:szCs w:val="24"/>
          <w:lang w:val="en-GB"/>
        </w:rPr>
        <w:t xml:space="preserve">INTERNATIONAL </w:t>
      </w:r>
      <w:r>
        <w:rPr>
          <w:rFonts w:asciiTheme="majorBidi" w:hAnsiTheme="majorBidi" w:cstheme="majorBidi"/>
          <w:sz w:val="20"/>
          <w:szCs w:val="24"/>
          <w:lang w:val="en-GB"/>
        </w:rPr>
        <w:t>ATOMIC ENERGY AGENCY</w:t>
      </w:r>
      <w:r w:rsidRPr="00174B8F">
        <w:rPr>
          <w:rFonts w:asciiTheme="majorBidi" w:hAnsiTheme="majorBidi" w:cstheme="majorBidi"/>
          <w:sz w:val="20"/>
          <w:szCs w:val="24"/>
          <w:lang w:val="en-GB"/>
        </w:rPr>
        <w:t xml:space="preserve">, </w:t>
      </w:r>
      <w:r>
        <w:rPr>
          <w:rFonts w:asciiTheme="majorBidi" w:hAnsiTheme="majorBidi" w:cstheme="majorBidi"/>
          <w:sz w:val="20"/>
          <w:szCs w:val="24"/>
          <w:lang w:val="en-GB"/>
        </w:rPr>
        <w:t>A Handbook for the Education of Radiation Therapists (RTTs)</w:t>
      </w:r>
      <w:r w:rsidRPr="00174B8F">
        <w:rPr>
          <w:rFonts w:asciiTheme="majorBidi" w:hAnsiTheme="majorBidi" w:cstheme="majorBidi"/>
          <w:sz w:val="20"/>
          <w:szCs w:val="24"/>
          <w:lang w:val="en-GB"/>
        </w:rPr>
        <w:t xml:space="preserve">, </w:t>
      </w:r>
      <w:r>
        <w:rPr>
          <w:rFonts w:asciiTheme="majorBidi" w:hAnsiTheme="majorBidi" w:cstheme="majorBidi"/>
          <w:sz w:val="20"/>
          <w:szCs w:val="24"/>
          <w:lang w:val="en-GB"/>
        </w:rPr>
        <w:t>Training Course Series 58</w:t>
      </w:r>
      <w:r w:rsidRPr="00174B8F">
        <w:rPr>
          <w:rFonts w:asciiTheme="majorBidi" w:hAnsiTheme="majorBidi" w:cstheme="majorBidi"/>
          <w:sz w:val="20"/>
          <w:szCs w:val="24"/>
          <w:lang w:val="en-GB"/>
        </w:rPr>
        <w:t xml:space="preserve">, </w:t>
      </w:r>
      <w:r>
        <w:rPr>
          <w:rFonts w:asciiTheme="majorBidi" w:hAnsiTheme="majorBidi" w:cstheme="majorBidi"/>
          <w:sz w:val="20"/>
          <w:szCs w:val="24"/>
          <w:lang w:val="en-GB"/>
        </w:rPr>
        <w:t>Vienna, Austria (2014</w:t>
      </w:r>
      <w:r w:rsidRPr="00174B8F">
        <w:rPr>
          <w:rFonts w:asciiTheme="majorBidi" w:hAnsiTheme="majorBidi" w:cstheme="majorBidi"/>
          <w:sz w:val="20"/>
          <w:szCs w:val="24"/>
          <w:lang w:val="en-GB"/>
        </w:rPr>
        <w:t>).</w:t>
      </w:r>
    </w:p>
    <w:p w14:paraId="1E9D0B75" w14:textId="0BC59EDB" w:rsidR="00EE0179" w:rsidRDefault="008E0C79" w:rsidP="00EE0179">
      <w:pPr>
        <w:autoSpaceDE w:val="0"/>
        <w:autoSpaceDN w:val="0"/>
        <w:adjustRightInd w:val="0"/>
        <w:spacing w:after="0" w:line="240" w:lineRule="auto"/>
        <w:ind w:left="720" w:hanging="720"/>
        <w:jc w:val="both"/>
        <w:rPr>
          <w:rFonts w:asciiTheme="majorBidi" w:hAnsiTheme="majorBidi" w:cstheme="majorBidi"/>
          <w:sz w:val="20"/>
        </w:rPr>
      </w:pPr>
      <w:r>
        <w:rPr>
          <w:rFonts w:asciiTheme="majorBidi" w:hAnsiTheme="majorBidi" w:cstheme="majorBidi"/>
          <w:sz w:val="20"/>
          <w:szCs w:val="24"/>
          <w:lang w:val="en-GB"/>
        </w:rPr>
        <w:t>[5]</w:t>
      </w:r>
      <w:r>
        <w:rPr>
          <w:rFonts w:asciiTheme="majorBidi" w:hAnsiTheme="majorBidi" w:cstheme="majorBidi"/>
          <w:sz w:val="20"/>
          <w:szCs w:val="24"/>
          <w:lang w:val="en-GB"/>
        </w:rPr>
        <w:tab/>
      </w:r>
      <w:r>
        <w:rPr>
          <w:rFonts w:asciiTheme="majorBidi" w:hAnsiTheme="majorBidi" w:cstheme="majorBidi"/>
          <w:sz w:val="20"/>
        </w:rPr>
        <w:t>KURUBA, M.</w:t>
      </w:r>
      <w:r w:rsidRPr="00174B8F">
        <w:rPr>
          <w:rFonts w:asciiTheme="majorBidi" w:hAnsiTheme="majorBidi" w:cstheme="majorBidi"/>
          <w:sz w:val="20"/>
          <w:szCs w:val="24"/>
          <w:lang w:val="en-GB"/>
        </w:rPr>
        <w:t xml:space="preserve">, </w:t>
      </w:r>
      <w:r w:rsidRPr="008E0C79">
        <w:rPr>
          <w:rFonts w:asciiTheme="majorBidi" w:hAnsiTheme="majorBidi" w:cstheme="majorBidi"/>
          <w:sz w:val="20"/>
        </w:rPr>
        <w:t>Role Competency Matrix: A Step-By-Step Guide to an Objective Competency Management System</w:t>
      </w:r>
      <w:r>
        <w:rPr>
          <w:rFonts w:asciiTheme="majorBidi" w:hAnsiTheme="majorBidi" w:cstheme="majorBidi"/>
          <w:sz w:val="20"/>
          <w:szCs w:val="24"/>
          <w:lang w:val="en-GB"/>
        </w:rPr>
        <w:t>, 1st</w:t>
      </w:r>
      <w:r w:rsidRPr="00174B8F">
        <w:rPr>
          <w:rFonts w:asciiTheme="majorBidi" w:hAnsiTheme="majorBidi" w:cstheme="majorBidi"/>
          <w:sz w:val="20"/>
          <w:szCs w:val="24"/>
          <w:lang w:val="en-GB"/>
        </w:rPr>
        <w:t xml:space="preserve"> edn</w:t>
      </w:r>
      <w:r>
        <w:rPr>
          <w:rFonts w:asciiTheme="majorBidi" w:hAnsiTheme="majorBidi" w:cstheme="majorBidi"/>
          <w:sz w:val="20"/>
          <w:szCs w:val="24"/>
          <w:lang w:val="en-GB"/>
        </w:rPr>
        <w:t>, Springer Nature, Singapore</w:t>
      </w:r>
      <w:r w:rsidRPr="00174B8F">
        <w:rPr>
          <w:rFonts w:asciiTheme="majorBidi" w:hAnsiTheme="majorBidi" w:cstheme="majorBidi"/>
          <w:sz w:val="20"/>
          <w:szCs w:val="24"/>
          <w:lang w:val="en-GB"/>
        </w:rPr>
        <w:t xml:space="preserve">, </w:t>
      </w:r>
      <w:r w:rsidR="00427126" w:rsidRPr="00174B8F">
        <w:rPr>
          <w:rFonts w:asciiTheme="majorBidi" w:hAnsiTheme="majorBidi" w:cstheme="majorBidi"/>
          <w:sz w:val="20"/>
        </w:rPr>
        <w:fldChar w:fldCharType="end"/>
      </w:r>
      <w:r>
        <w:rPr>
          <w:rFonts w:asciiTheme="majorBidi" w:hAnsiTheme="majorBidi" w:cstheme="majorBidi"/>
          <w:sz w:val="20"/>
        </w:rPr>
        <w:t>(2019).</w:t>
      </w:r>
    </w:p>
    <w:p w14:paraId="42722673" w14:textId="1E1C9E27" w:rsidR="008E0C79" w:rsidRPr="008E0C79" w:rsidRDefault="008E0C79" w:rsidP="008E0C79">
      <w:pPr>
        <w:autoSpaceDE w:val="0"/>
        <w:autoSpaceDN w:val="0"/>
        <w:adjustRightInd w:val="0"/>
        <w:spacing w:after="0" w:line="240" w:lineRule="auto"/>
        <w:ind w:left="720" w:hanging="720"/>
        <w:jc w:val="both"/>
        <w:rPr>
          <w:rFonts w:asciiTheme="majorBidi" w:hAnsiTheme="majorBidi" w:cstheme="majorBidi"/>
          <w:sz w:val="20"/>
          <w:lang w:val="de-DE"/>
        </w:rPr>
      </w:pPr>
      <w:r>
        <w:rPr>
          <w:rFonts w:asciiTheme="majorBidi" w:hAnsiTheme="majorBidi" w:cstheme="majorBidi"/>
          <w:sz w:val="20"/>
          <w:szCs w:val="24"/>
          <w:lang w:val="de-DE"/>
        </w:rPr>
        <w:t>[6</w:t>
      </w:r>
      <w:r w:rsidRPr="00174B8F">
        <w:rPr>
          <w:rFonts w:asciiTheme="majorBidi" w:hAnsiTheme="majorBidi" w:cstheme="majorBidi"/>
          <w:sz w:val="20"/>
          <w:szCs w:val="24"/>
          <w:lang w:val="de-DE"/>
        </w:rPr>
        <w:t xml:space="preserve">] </w:t>
      </w:r>
      <w:r w:rsidRPr="00174B8F">
        <w:rPr>
          <w:rFonts w:asciiTheme="majorBidi" w:hAnsiTheme="majorBidi" w:cstheme="majorBidi"/>
          <w:sz w:val="20"/>
          <w:szCs w:val="24"/>
          <w:lang w:val="de-DE"/>
        </w:rPr>
        <w:tab/>
      </w:r>
      <w:r>
        <w:rPr>
          <w:rFonts w:asciiTheme="majorBidi" w:hAnsiTheme="majorBidi" w:cstheme="majorBidi"/>
          <w:sz w:val="20"/>
          <w:szCs w:val="24"/>
          <w:lang w:val="de-DE"/>
        </w:rPr>
        <w:t xml:space="preserve">COFFEY, M., LEECH, M., POORTMANS, P., </w:t>
      </w:r>
      <w:r w:rsidRPr="008E0C79">
        <w:rPr>
          <w:rFonts w:asciiTheme="majorBidi" w:hAnsiTheme="majorBidi" w:cstheme="majorBidi"/>
          <w:sz w:val="20"/>
          <w:szCs w:val="24"/>
          <w:lang w:val="de-DE"/>
        </w:rPr>
        <w:t>Benchmarking Radiation TherapisT (RTT) education for</w:t>
      </w:r>
      <w:r>
        <w:rPr>
          <w:rFonts w:asciiTheme="majorBidi" w:hAnsiTheme="majorBidi" w:cstheme="majorBidi"/>
          <w:sz w:val="20"/>
          <w:szCs w:val="24"/>
          <w:lang w:val="de-DE"/>
        </w:rPr>
        <w:t xml:space="preserve"> safe practice: The time is now, </w:t>
      </w:r>
      <w:r w:rsidRPr="008E0C79">
        <w:rPr>
          <w:rFonts w:asciiTheme="majorBidi" w:hAnsiTheme="majorBidi" w:cstheme="majorBidi"/>
          <w:sz w:val="20"/>
          <w:szCs w:val="24"/>
          <w:lang w:val="de-DE"/>
        </w:rPr>
        <w:t>Radiotherapy and Oncology, 119(1), 12–13</w:t>
      </w:r>
      <w:r>
        <w:rPr>
          <w:rFonts w:asciiTheme="majorBidi" w:hAnsiTheme="majorBidi" w:cstheme="majorBidi"/>
          <w:sz w:val="20"/>
          <w:szCs w:val="24"/>
          <w:lang w:val="de-DE"/>
        </w:rPr>
        <w:t>, (2016).</w:t>
      </w:r>
    </w:p>
    <w:sectPr w:rsidR="008E0C79" w:rsidRPr="008E0C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D207C" w14:textId="77777777" w:rsidR="00CF4B7A" w:rsidRDefault="00CF4B7A" w:rsidP="00BF48E4">
      <w:pPr>
        <w:spacing w:after="0" w:line="240" w:lineRule="auto"/>
      </w:pPr>
      <w:r>
        <w:separator/>
      </w:r>
    </w:p>
  </w:endnote>
  <w:endnote w:type="continuationSeparator" w:id="0">
    <w:p w14:paraId="753C9406" w14:textId="77777777" w:rsidR="00CF4B7A" w:rsidRDefault="00CF4B7A" w:rsidP="00BF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A8E23" w14:textId="77777777" w:rsidR="00CF4B7A" w:rsidRDefault="00CF4B7A" w:rsidP="00BF48E4">
      <w:pPr>
        <w:spacing w:after="0" w:line="240" w:lineRule="auto"/>
      </w:pPr>
      <w:r>
        <w:separator/>
      </w:r>
    </w:p>
  </w:footnote>
  <w:footnote w:type="continuationSeparator" w:id="0">
    <w:p w14:paraId="31478626" w14:textId="77777777" w:rsidR="00CF4B7A" w:rsidRDefault="00CF4B7A" w:rsidP="00BF48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EE2A0E"/>
    <w:multiLevelType w:val="multilevel"/>
    <w:tmpl w:val="1D3A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Rapid Comm Mass Spectro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0p9aptev9a52yesaftvpre72z9xaffxw0ez&quot;&gt;My EndNote Library&lt;record-ids&gt;&lt;item&gt;8&lt;/item&gt;&lt;/record-ids&gt;&lt;/item&gt;&lt;/Libraries&gt;"/>
  </w:docVars>
  <w:rsids>
    <w:rsidRoot w:val="003373E5"/>
    <w:rsid w:val="000413AA"/>
    <w:rsid w:val="00052B0B"/>
    <w:rsid w:val="00067515"/>
    <w:rsid w:val="00071BF5"/>
    <w:rsid w:val="000A78B6"/>
    <w:rsid w:val="00110590"/>
    <w:rsid w:val="00111DE4"/>
    <w:rsid w:val="001443E9"/>
    <w:rsid w:val="00152AF7"/>
    <w:rsid w:val="00164EBC"/>
    <w:rsid w:val="00174B8F"/>
    <w:rsid w:val="00182AD4"/>
    <w:rsid w:val="001F2069"/>
    <w:rsid w:val="00245482"/>
    <w:rsid w:val="00276CD3"/>
    <w:rsid w:val="002953CC"/>
    <w:rsid w:val="003373E5"/>
    <w:rsid w:val="0036126E"/>
    <w:rsid w:val="0039072F"/>
    <w:rsid w:val="003E539F"/>
    <w:rsid w:val="00427126"/>
    <w:rsid w:val="004E3B37"/>
    <w:rsid w:val="00507E87"/>
    <w:rsid w:val="00512DF8"/>
    <w:rsid w:val="00540814"/>
    <w:rsid w:val="00541539"/>
    <w:rsid w:val="005C687F"/>
    <w:rsid w:val="005F4DB6"/>
    <w:rsid w:val="0062287D"/>
    <w:rsid w:val="0066000D"/>
    <w:rsid w:val="00742854"/>
    <w:rsid w:val="007C0F54"/>
    <w:rsid w:val="007F486D"/>
    <w:rsid w:val="0081035D"/>
    <w:rsid w:val="008137C6"/>
    <w:rsid w:val="00841E57"/>
    <w:rsid w:val="00844CD6"/>
    <w:rsid w:val="00856BA6"/>
    <w:rsid w:val="008840B9"/>
    <w:rsid w:val="008E0C79"/>
    <w:rsid w:val="009C1108"/>
    <w:rsid w:val="00A560D1"/>
    <w:rsid w:val="00B458AF"/>
    <w:rsid w:val="00BD4F0B"/>
    <w:rsid w:val="00BF48E4"/>
    <w:rsid w:val="00C1643C"/>
    <w:rsid w:val="00C36362"/>
    <w:rsid w:val="00C645F7"/>
    <w:rsid w:val="00C8045F"/>
    <w:rsid w:val="00CC444D"/>
    <w:rsid w:val="00CC4755"/>
    <w:rsid w:val="00CC4CC5"/>
    <w:rsid w:val="00CF4B7A"/>
    <w:rsid w:val="00D66485"/>
    <w:rsid w:val="00D802D1"/>
    <w:rsid w:val="00D97F4C"/>
    <w:rsid w:val="00E11283"/>
    <w:rsid w:val="00E22129"/>
    <w:rsid w:val="00EE0179"/>
    <w:rsid w:val="00F8623A"/>
    <w:rsid w:val="00FA65FC"/>
    <w:rsid w:val="00FC42A8"/>
    <w:rsid w:val="00FD408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D4C82B"/>
  <w15:docId w15:val="{54B0EDEB-B473-4CBC-AFC5-0FC2D4629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0F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0F54"/>
    <w:rPr>
      <w:rFonts w:ascii="Tahoma" w:hAnsi="Tahoma" w:cs="Tahoma"/>
      <w:sz w:val="16"/>
      <w:szCs w:val="16"/>
      <w:lang w:val="en-US"/>
    </w:rPr>
  </w:style>
  <w:style w:type="table" w:styleId="Tablaconcuadrcula">
    <w:name w:val="Table Grid"/>
    <w:basedOn w:val="Tablanormal"/>
    <w:uiPriority w:val="59"/>
    <w:rsid w:val="007C0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C0F54"/>
    <w:rPr>
      <w:color w:val="0000FF" w:themeColor="hyperlink"/>
      <w:u w:val="single"/>
    </w:rPr>
  </w:style>
  <w:style w:type="paragraph" w:customStyle="1" w:styleId="EndNoteBibliographyTitle">
    <w:name w:val="EndNote Bibliography Title"/>
    <w:basedOn w:val="Normal"/>
    <w:link w:val="EndNoteBibliographyTitleChar"/>
    <w:rsid w:val="00427126"/>
    <w:pPr>
      <w:spacing w:after="0"/>
      <w:jc w:val="center"/>
    </w:pPr>
    <w:rPr>
      <w:rFonts w:ascii="Calibri" w:hAnsi="Calibri"/>
      <w:noProof/>
    </w:rPr>
  </w:style>
  <w:style w:type="character" w:customStyle="1" w:styleId="EndNoteBibliographyTitleChar">
    <w:name w:val="EndNote Bibliography Title Char"/>
    <w:basedOn w:val="Fuentedeprrafopredeter"/>
    <w:link w:val="EndNoteBibliographyTitle"/>
    <w:rsid w:val="00427126"/>
    <w:rPr>
      <w:rFonts w:ascii="Calibri" w:hAnsi="Calibri"/>
      <w:noProof/>
      <w:lang w:val="en-US"/>
    </w:rPr>
  </w:style>
  <w:style w:type="paragraph" w:customStyle="1" w:styleId="EndNoteBibliography">
    <w:name w:val="EndNote Bibliography"/>
    <w:basedOn w:val="Normal"/>
    <w:link w:val="EndNoteBibliographyChar"/>
    <w:rsid w:val="00427126"/>
    <w:pPr>
      <w:spacing w:line="240" w:lineRule="auto"/>
    </w:pPr>
    <w:rPr>
      <w:rFonts w:ascii="Calibri" w:hAnsi="Calibri"/>
      <w:noProof/>
    </w:rPr>
  </w:style>
  <w:style w:type="character" w:customStyle="1" w:styleId="EndNoteBibliographyChar">
    <w:name w:val="EndNote Bibliography Char"/>
    <w:basedOn w:val="Fuentedeprrafopredeter"/>
    <w:link w:val="EndNoteBibliography"/>
    <w:rsid w:val="00427126"/>
    <w:rPr>
      <w:rFonts w:ascii="Calibri" w:hAnsi="Calibri"/>
      <w:noProof/>
      <w:lang w:val="en-US"/>
    </w:rPr>
  </w:style>
  <w:style w:type="character" w:customStyle="1" w:styleId="maintitle">
    <w:name w:val="maintitle"/>
    <w:basedOn w:val="Fuentedeprrafopredeter"/>
    <w:rsid w:val="00152AF7"/>
  </w:style>
  <w:style w:type="character" w:customStyle="1" w:styleId="UnresolvedMention">
    <w:name w:val="Unresolved Mention"/>
    <w:basedOn w:val="Fuentedeprrafopredeter"/>
    <w:uiPriority w:val="99"/>
    <w:semiHidden/>
    <w:unhideWhenUsed/>
    <w:rsid w:val="00C36362"/>
    <w:rPr>
      <w:color w:val="808080"/>
      <w:shd w:val="clear" w:color="auto" w:fill="E6E6E6"/>
    </w:rPr>
  </w:style>
  <w:style w:type="paragraph" w:styleId="Encabezado">
    <w:name w:val="header"/>
    <w:basedOn w:val="Normal"/>
    <w:link w:val="EncabezadoCar"/>
    <w:uiPriority w:val="99"/>
    <w:unhideWhenUsed/>
    <w:rsid w:val="00BF48E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BF48E4"/>
    <w:rPr>
      <w:lang w:val="en-US"/>
    </w:rPr>
  </w:style>
  <w:style w:type="paragraph" w:styleId="Piedepgina">
    <w:name w:val="footer"/>
    <w:basedOn w:val="Normal"/>
    <w:link w:val="PiedepginaCar"/>
    <w:uiPriority w:val="99"/>
    <w:unhideWhenUsed/>
    <w:rsid w:val="00BF48E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BF48E4"/>
    <w:rPr>
      <w:lang w:val="en-US"/>
    </w:rPr>
  </w:style>
  <w:style w:type="character" w:customStyle="1" w:styleId="refseries">
    <w:name w:val="ref__series"/>
    <w:basedOn w:val="Fuentedeprrafopredeter"/>
    <w:rsid w:val="00F8623A"/>
  </w:style>
  <w:style w:type="character" w:customStyle="1" w:styleId="refseriesdate">
    <w:name w:val="ref__seriesdate"/>
    <w:basedOn w:val="Fuentedeprrafopredeter"/>
    <w:rsid w:val="00F8623A"/>
  </w:style>
  <w:style w:type="character" w:customStyle="1" w:styleId="refseriesvolume">
    <w:name w:val="ref__seriesvolume"/>
    <w:basedOn w:val="Fuentedeprrafopredeter"/>
    <w:rsid w:val="00F8623A"/>
  </w:style>
  <w:style w:type="character" w:customStyle="1" w:styleId="refseriespages">
    <w:name w:val="ref__seriespages"/>
    <w:basedOn w:val="Fuentedeprrafopredeter"/>
    <w:rsid w:val="00F86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038322">
      <w:bodyDiv w:val="1"/>
      <w:marLeft w:val="0"/>
      <w:marRight w:val="0"/>
      <w:marTop w:val="0"/>
      <w:marBottom w:val="0"/>
      <w:divBdr>
        <w:top w:val="none" w:sz="0" w:space="0" w:color="auto"/>
        <w:left w:val="none" w:sz="0" w:space="0" w:color="auto"/>
        <w:bottom w:val="none" w:sz="0" w:space="0" w:color="auto"/>
        <w:right w:val="none" w:sz="0" w:space="0" w:color="auto"/>
      </w:divBdr>
    </w:div>
    <w:div w:id="204597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CF37CD1788E84196FF39AF91DEE5FE" ma:contentTypeVersion="8" ma:contentTypeDescription="Create a new document." ma:contentTypeScope="" ma:versionID="c211238ab38ab65918c6dca5aff5905d">
  <xsd:schema xmlns:xsd="http://www.w3.org/2001/XMLSchema" xmlns:xs="http://www.w3.org/2001/XMLSchema" xmlns:p="http://schemas.microsoft.com/office/2006/metadata/properties" xmlns:ns3="12f83b61-333e-4e48-a9d7-e8dd01894af4" targetNamespace="http://schemas.microsoft.com/office/2006/metadata/properties" ma:root="true" ma:fieldsID="cdfc1d5952b3379536ae3ef439e51ab6" ns3:_="">
    <xsd:import namespace="12f83b61-333e-4e48-a9d7-e8dd01894af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83b61-333e-4e48-a9d7-e8dd01894a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7186D-0D62-4C95-A3B9-EEBEEB154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83b61-333e-4e48-a9d7-e8dd01894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4B72FF-1056-40AD-A59A-35D9DD76308E}">
  <ds:schemaRefs>
    <ds:schemaRef ds:uri="http://schemas.microsoft.com/sharepoint/v3/contenttype/forms"/>
  </ds:schemaRefs>
</ds:datastoreItem>
</file>

<file path=customXml/itemProps3.xml><?xml version="1.0" encoding="utf-8"?>
<ds:datastoreItem xmlns:ds="http://schemas.openxmlformats.org/officeDocument/2006/customXml" ds:itemID="{31271836-4857-4A9F-A3A9-04C656DCF88A}">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12f83b61-333e-4e48-a9d7-e8dd01894af4"/>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0125ECA-9583-46ED-B4AB-940338628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2</Pages>
  <Words>863</Words>
  <Characters>4750</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IAEA</Company>
  <LinksUpToDate>false</LinksUpToDate>
  <CharactersWithSpaces>5602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WASSENAAR, Leonard</dc:creator>
  <cp:lastModifiedBy>Ana Carolina Jiménez Alpízar</cp:lastModifiedBy>
  <cp:revision>8</cp:revision>
  <cp:lastPrinted>2021-01-12T06:01:00Z</cp:lastPrinted>
  <dcterms:created xsi:type="dcterms:W3CDTF">2020-11-06T07:54:00Z</dcterms:created>
  <dcterms:modified xsi:type="dcterms:W3CDTF">2021-01-17T18:06:00Z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0x0101005DCF37CD1788E84196FF39AF91DEE5FE</vt:lpwstr>
  </property>
</Properties>
</file>