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D59A3" w14:textId="772EACC6" w:rsidR="00746A75" w:rsidRPr="00746A75" w:rsidRDefault="00746A75" w:rsidP="00746A75">
      <w:pPr>
        <w:suppressAutoHyphens/>
        <w:ind w:right="52"/>
        <w:jc w:val="center"/>
        <w:rPr>
          <w:b/>
          <w:sz w:val="28"/>
          <w:szCs w:val="28"/>
        </w:rPr>
      </w:pPr>
      <w:r w:rsidRPr="00746A75">
        <w:rPr>
          <w:b/>
          <w:sz w:val="28"/>
          <w:szCs w:val="28"/>
        </w:rPr>
        <w:t xml:space="preserve">IAEA International Conference on </w:t>
      </w:r>
      <w:r>
        <w:rPr>
          <w:b/>
          <w:sz w:val="28"/>
          <w:szCs w:val="28"/>
        </w:rPr>
        <w:t>Advances in Radiation Oncology</w:t>
      </w:r>
      <w:r>
        <w:rPr>
          <w:b/>
          <w:sz w:val="28"/>
          <w:szCs w:val="28"/>
        </w:rPr>
        <w:br/>
      </w:r>
      <w:r w:rsidRPr="00746A75">
        <w:rPr>
          <w:b/>
          <w:sz w:val="28"/>
          <w:szCs w:val="28"/>
        </w:rPr>
        <w:t>ICARO</w:t>
      </w:r>
      <w:r w:rsidR="002D62C5">
        <w:rPr>
          <w:b/>
          <w:sz w:val="28"/>
          <w:szCs w:val="28"/>
        </w:rPr>
        <w:t>3</w:t>
      </w:r>
    </w:p>
    <w:p w14:paraId="27BC873E" w14:textId="5DB8FA16" w:rsidR="00746A75" w:rsidRDefault="002D62C5" w:rsidP="00746A75">
      <w:pPr>
        <w:suppressAutoHyphens/>
        <w:ind w:right="52"/>
        <w:jc w:val="center"/>
        <w:rPr>
          <w:b/>
        </w:rPr>
      </w:pPr>
      <w:r>
        <w:rPr>
          <w:b/>
        </w:rPr>
        <w:t>Virtual Event</w:t>
      </w:r>
      <w:r w:rsidR="00746A75" w:rsidRPr="00CE0AC3">
        <w:rPr>
          <w:b/>
        </w:rPr>
        <w:t>,</w:t>
      </w:r>
      <w:r w:rsidR="00746A75">
        <w:rPr>
          <w:b/>
        </w:rPr>
        <w:br/>
      </w:r>
      <w:r>
        <w:rPr>
          <w:b/>
        </w:rPr>
        <w:t>16 to 19 February 2021</w:t>
      </w:r>
    </w:p>
    <w:p w14:paraId="1B320EEA" w14:textId="77777777" w:rsidR="00C00A39" w:rsidRPr="00A77FF6" w:rsidRDefault="00C00A39" w:rsidP="00C00A39">
      <w:pPr>
        <w:jc w:val="center"/>
        <w:rPr>
          <w:rFonts w:cs="Calibri"/>
          <w:b/>
          <w:sz w:val="32"/>
          <w:szCs w:val="32"/>
        </w:rPr>
      </w:pPr>
      <w:r w:rsidRPr="00A77FF6">
        <w:rPr>
          <w:rFonts w:cs="Calibri"/>
          <w:b/>
          <w:sz w:val="32"/>
          <w:szCs w:val="32"/>
        </w:rPr>
        <w:t>BIOGRAPHICAL SUMMARY FOR SPEAKERS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440"/>
      </w:tblGrid>
      <w:tr w:rsidR="004B742D" w:rsidRPr="00A77FF6" w14:paraId="5EF34CF7" w14:textId="77777777" w:rsidTr="00A36D42">
        <w:trPr>
          <w:trHeight w:val="680"/>
        </w:trPr>
        <w:tc>
          <w:tcPr>
            <w:tcW w:w="2802" w:type="dxa"/>
            <w:shd w:val="clear" w:color="auto" w:fill="auto"/>
            <w:vAlign w:val="center"/>
          </w:tcPr>
          <w:p w14:paraId="6A72D89C" w14:textId="77777777" w:rsidR="004B742D" w:rsidRPr="00A77FF6" w:rsidRDefault="004B742D" w:rsidP="00A77FF6">
            <w:pPr>
              <w:spacing w:after="0" w:line="240" w:lineRule="auto"/>
              <w:rPr>
                <w:rFonts w:cs="Calibri"/>
              </w:rPr>
            </w:pPr>
            <w:r w:rsidRPr="00A77FF6">
              <w:rPr>
                <w:rFonts w:cs="Calibri"/>
              </w:rPr>
              <w:t>NAME:</w:t>
            </w:r>
          </w:p>
        </w:tc>
        <w:tc>
          <w:tcPr>
            <w:tcW w:w="6440" w:type="dxa"/>
            <w:shd w:val="clear" w:color="auto" w:fill="auto"/>
            <w:vAlign w:val="center"/>
          </w:tcPr>
          <w:p w14:paraId="52ECBBF3" w14:textId="03483545" w:rsidR="004B742D" w:rsidRPr="00A77FF6" w:rsidRDefault="001F3AE5" w:rsidP="00A77FF6">
            <w:pPr>
              <w:spacing w:after="0" w:line="240" w:lineRule="auto"/>
              <w:rPr>
                <w:rFonts w:cs="Calibri"/>
              </w:rPr>
            </w:pPr>
            <w:r>
              <w:rPr>
                <w:rFonts w:cs="Calibri"/>
              </w:rPr>
              <w:t>Ilkka Jokelainen</w:t>
            </w:r>
          </w:p>
        </w:tc>
      </w:tr>
      <w:tr w:rsidR="00A74EB2" w:rsidRPr="00A77FF6" w14:paraId="2C6EC124" w14:textId="77777777" w:rsidTr="00A36D42">
        <w:trPr>
          <w:trHeight w:val="680"/>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14:paraId="36DC8AF4" w14:textId="77777777" w:rsidR="00A74EB2" w:rsidRPr="00A77FF6" w:rsidRDefault="00A74EB2" w:rsidP="00572A7C">
            <w:pPr>
              <w:spacing w:after="0" w:line="240" w:lineRule="auto"/>
              <w:rPr>
                <w:rFonts w:cs="Calibri"/>
              </w:rPr>
            </w:pPr>
            <w:r w:rsidRPr="00A77FF6">
              <w:rPr>
                <w:rFonts w:cs="Calibri"/>
              </w:rPr>
              <w:t>AFFILIATION</w:t>
            </w:r>
            <w:r w:rsidR="00572A7C">
              <w:rPr>
                <w:rFonts w:cs="Calibri"/>
              </w:rPr>
              <w:t xml:space="preserve"> &amp; COUNTRY</w:t>
            </w:r>
            <w:r w:rsidRPr="00A77FF6">
              <w:rPr>
                <w:rFonts w:cs="Calibri"/>
              </w:rPr>
              <w:t>:</w:t>
            </w:r>
          </w:p>
        </w:tc>
        <w:tc>
          <w:tcPr>
            <w:tcW w:w="6440" w:type="dxa"/>
            <w:tcBorders>
              <w:top w:val="single" w:sz="4" w:space="0" w:color="auto"/>
              <w:left w:val="single" w:sz="4" w:space="0" w:color="auto"/>
              <w:bottom w:val="single" w:sz="4" w:space="0" w:color="auto"/>
              <w:right w:val="single" w:sz="4" w:space="0" w:color="auto"/>
            </w:tcBorders>
            <w:shd w:val="clear" w:color="auto" w:fill="auto"/>
            <w:vAlign w:val="center"/>
          </w:tcPr>
          <w:p w14:paraId="45CB89B5" w14:textId="357996F0" w:rsidR="00A74EB2" w:rsidRPr="00A77FF6" w:rsidRDefault="001F3AE5" w:rsidP="00E22E54">
            <w:pPr>
              <w:spacing w:after="0" w:line="240" w:lineRule="auto"/>
              <w:rPr>
                <w:rFonts w:cs="Calibri"/>
              </w:rPr>
            </w:pPr>
            <w:r>
              <w:rPr>
                <w:rFonts w:cs="Calibri"/>
              </w:rPr>
              <w:t>Radiation and Nuclear Safety Authority (STUK), Finland</w:t>
            </w:r>
          </w:p>
        </w:tc>
      </w:tr>
      <w:tr w:rsidR="00032612" w:rsidRPr="00A77FF6" w14:paraId="60A85B76" w14:textId="77777777" w:rsidTr="00A36D42">
        <w:trPr>
          <w:trHeight w:val="680"/>
        </w:trPr>
        <w:tc>
          <w:tcPr>
            <w:tcW w:w="2802" w:type="dxa"/>
            <w:shd w:val="clear" w:color="auto" w:fill="auto"/>
            <w:vAlign w:val="center"/>
          </w:tcPr>
          <w:p w14:paraId="2FF45A7F" w14:textId="77777777" w:rsidR="00032612" w:rsidRPr="00A77FF6" w:rsidRDefault="00032612" w:rsidP="00A77FF6">
            <w:pPr>
              <w:spacing w:after="0" w:line="240" w:lineRule="auto"/>
              <w:rPr>
                <w:rFonts w:cs="Calibri"/>
              </w:rPr>
            </w:pPr>
            <w:r>
              <w:rPr>
                <w:rFonts w:cs="Calibri"/>
              </w:rPr>
              <w:t>SESSION #</w:t>
            </w:r>
          </w:p>
        </w:tc>
        <w:tc>
          <w:tcPr>
            <w:tcW w:w="6440" w:type="dxa"/>
            <w:shd w:val="clear" w:color="auto" w:fill="auto"/>
            <w:vAlign w:val="center"/>
          </w:tcPr>
          <w:p w14:paraId="4C407A80" w14:textId="32E94258" w:rsidR="00032612" w:rsidRPr="00A77FF6" w:rsidRDefault="008D5DF6" w:rsidP="00A77FF6">
            <w:pPr>
              <w:spacing w:after="0" w:line="240" w:lineRule="auto"/>
              <w:rPr>
                <w:rFonts w:cs="Calibri"/>
              </w:rPr>
            </w:pPr>
            <w:r>
              <w:rPr>
                <w:rFonts w:cs="Calibri"/>
              </w:rPr>
              <w:t>“</w:t>
            </w:r>
            <w:r w:rsidR="00827836">
              <w:rPr>
                <w:rFonts w:cs="Calibri"/>
              </w:rPr>
              <w:t>Audits, Quality and Safety</w:t>
            </w:r>
            <w:r>
              <w:rPr>
                <w:rFonts w:cs="Calibri"/>
              </w:rPr>
              <w:t>”</w:t>
            </w:r>
            <w:r w:rsidR="00986BDD">
              <w:rPr>
                <w:rFonts w:cs="Calibri"/>
              </w:rPr>
              <w:t xml:space="preserve">, </w:t>
            </w:r>
            <w:r w:rsidR="00986BDD">
              <w:rPr>
                <w:rFonts w:cs="Calibri"/>
              </w:rPr>
              <w:t>INDICO NUMBER 76</w:t>
            </w:r>
          </w:p>
        </w:tc>
      </w:tr>
      <w:tr w:rsidR="004B742D" w:rsidRPr="00A77FF6" w14:paraId="7B38AA56" w14:textId="77777777" w:rsidTr="00A36D42">
        <w:trPr>
          <w:trHeight w:val="680"/>
        </w:trPr>
        <w:tc>
          <w:tcPr>
            <w:tcW w:w="2802" w:type="dxa"/>
            <w:shd w:val="clear" w:color="auto" w:fill="auto"/>
            <w:vAlign w:val="center"/>
          </w:tcPr>
          <w:p w14:paraId="35C9AB57" w14:textId="77777777" w:rsidR="004B742D" w:rsidRPr="00A77FF6" w:rsidRDefault="004B742D" w:rsidP="00A77FF6">
            <w:pPr>
              <w:spacing w:after="0" w:line="240" w:lineRule="auto"/>
              <w:rPr>
                <w:rFonts w:cs="Calibri"/>
              </w:rPr>
            </w:pPr>
            <w:r w:rsidRPr="00A77FF6">
              <w:rPr>
                <w:rFonts w:cs="Calibri"/>
              </w:rPr>
              <w:t>PAPER TITLE:</w:t>
            </w:r>
          </w:p>
        </w:tc>
        <w:tc>
          <w:tcPr>
            <w:tcW w:w="6440" w:type="dxa"/>
            <w:shd w:val="clear" w:color="auto" w:fill="auto"/>
            <w:vAlign w:val="center"/>
          </w:tcPr>
          <w:p w14:paraId="14BEEA8C" w14:textId="2907D263" w:rsidR="008D5DF6" w:rsidRPr="00986BDD" w:rsidRDefault="001F3AE5" w:rsidP="00A77FF6">
            <w:pPr>
              <w:spacing w:after="0" w:line="240" w:lineRule="auto"/>
            </w:pPr>
            <w:r>
              <w:t>"Small field absorbed dose to water determinations in LINAC MV photon beams during site visit authority control of radiotherapy"</w:t>
            </w:r>
          </w:p>
        </w:tc>
      </w:tr>
      <w:tr w:rsidR="004B742D" w:rsidRPr="00A77FF6" w14:paraId="5F14CD0F" w14:textId="77777777" w:rsidTr="00A36D42">
        <w:trPr>
          <w:trHeight w:val="2268"/>
        </w:trPr>
        <w:tc>
          <w:tcPr>
            <w:tcW w:w="2802" w:type="dxa"/>
            <w:shd w:val="clear" w:color="auto" w:fill="auto"/>
            <w:vAlign w:val="center"/>
          </w:tcPr>
          <w:p w14:paraId="47EBAF43" w14:textId="77777777" w:rsidR="004B742D" w:rsidRPr="00A77FF6" w:rsidRDefault="00186C92" w:rsidP="00A77FF6">
            <w:pPr>
              <w:spacing w:after="0" w:line="240" w:lineRule="auto"/>
              <w:rPr>
                <w:rFonts w:cs="Calibri"/>
              </w:rPr>
            </w:pPr>
            <w:r>
              <w:rPr>
                <w:rFonts w:cs="Calibri"/>
              </w:rPr>
              <w:t>SHORT</w:t>
            </w:r>
            <w:r w:rsidR="004B742D" w:rsidRPr="00A77FF6">
              <w:rPr>
                <w:rFonts w:cs="Calibri"/>
              </w:rPr>
              <w:t xml:space="preserve"> BACKGROUND FOR INTRODUCTION (2-3 LINES):</w:t>
            </w:r>
          </w:p>
        </w:tc>
        <w:tc>
          <w:tcPr>
            <w:tcW w:w="6440" w:type="dxa"/>
            <w:shd w:val="clear" w:color="auto" w:fill="auto"/>
            <w:vAlign w:val="center"/>
          </w:tcPr>
          <w:p w14:paraId="37AF6725" w14:textId="59F5B66D" w:rsidR="004B742D" w:rsidRPr="00A77FF6" w:rsidRDefault="001F3AE5" w:rsidP="00A77FF6">
            <w:pPr>
              <w:spacing w:after="0" w:line="240" w:lineRule="auto"/>
              <w:rPr>
                <w:rFonts w:cs="Calibri"/>
              </w:rPr>
            </w:pPr>
            <w:r>
              <w:t>As a part of an authority control of radiation therapy the doses calculated by hospital dose planning systems for small static fields in LINAC photon beams were verified by absorbed dose to water measurements durin</w:t>
            </w:r>
            <w:bookmarkStart w:id="0" w:name="_GoBack"/>
            <w:bookmarkEnd w:id="0"/>
            <w:r>
              <w:t>g the STUK site visits inspections. The absorbed doses to water were determined by ionization measurements using ionization chambers and synthetic diamond as the detectors.</w:t>
            </w:r>
          </w:p>
        </w:tc>
      </w:tr>
    </w:tbl>
    <w:p w14:paraId="3C0B9164" w14:textId="77777777" w:rsidR="00C00A39" w:rsidRDefault="00C00A39">
      <w:pPr>
        <w:rPr>
          <w:rFonts w:cs="Calibri"/>
        </w:rPr>
      </w:pPr>
    </w:p>
    <w:p w14:paraId="22D5741C" w14:textId="77777777" w:rsidR="00186C92" w:rsidRPr="00A77FF6" w:rsidRDefault="00186C92">
      <w:pPr>
        <w:rPr>
          <w:rFonts w:cs="Calibri"/>
        </w:rPr>
      </w:pPr>
    </w:p>
    <w:p w14:paraId="71D41449" w14:textId="77777777" w:rsidR="00186C92" w:rsidRPr="00186C92" w:rsidRDefault="00A36D42" w:rsidP="00186C92">
      <w:pPr>
        <w:widowControl w:val="0"/>
        <w:tabs>
          <w:tab w:val="left" w:pos="720"/>
        </w:tabs>
        <w:spacing w:line="320" w:lineRule="exact"/>
        <w:jc w:val="center"/>
        <w:outlineLvl w:val="1"/>
        <w:rPr>
          <w:rFonts w:ascii="Times New Roman" w:eastAsia="Times New Roman" w:hAnsi="Times New Roman"/>
          <w:b/>
          <w:sz w:val="32"/>
          <w:szCs w:val="32"/>
          <w:lang w:eastAsia="en-GB"/>
        </w:rPr>
      </w:pPr>
      <w:r>
        <w:rPr>
          <w:rFonts w:ascii="Times New Roman" w:eastAsia="Times New Roman" w:hAnsi="Times New Roman"/>
          <w:b/>
          <w:sz w:val="32"/>
          <w:szCs w:val="32"/>
          <w:lang w:eastAsia="en-GB"/>
        </w:rPr>
        <w:t>Release of Electronic Contribution</w:t>
      </w:r>
    </w:p>
    <w:p w14:paraId="701B249C" w14:textId="709BB670" w:rsidR="00186C92" w:rsidRPr="00186C92" w:rsidRDefault="00186C92" w:rsidP="00186C92">
      <w:pPr>
        <w:widowControl w:val="0"/>
        <w:tabs>
          <w:tab w:val="left" w:pos="720"/>
        </w:tabs>
        <w:spacing w:line="320" w:lineRule="exact"/>
        <w:jc w:val="both"/>
        <w:outlineLvl w:val="1"/>
        <w:rPr>
          <w:rFonts w:asciiTheme="minorHAnsi" w:eastAsia="Times New Roman" w:hAnsiTheme="minorHAnsi"/>
          <w:lang w:eastAsia="en-GB"/>
        </w:rPr>
      </w:pPr>
      <w:r w:rsidRPr="00186C92">
        <w:rPr>
          <w:rFonts w:asciiTheme="minorHAnsi" w:eastAsia="Times New Roman" w:hAnsiTheme="minorHAnsi"/>
          <w:lang w:eastAsia="en-GB"/>
        </w:rPr>
        <w:t xml:space="preserve">I agree that my electronic </w:t>
      </w:r>
      <w:r w:rsidR="00A36D42">
        <w:rPr>
          <w:rFonts w:asciiTheme="minorHAnsi" w:eastAsia="Times New Roman" w:hAnsiTheme="minorHAnsi"/>
          <w:lang w:eastAsia="en-GB"/>
        </w:rPr>
        <w:t>contribution</w:t>
      </w:r>
      <w:r w:rsidRPr="00186C92">
        <w:rPr>
          <w:rFonts w:asciiTheme="minorHAnsi" w:eastAsia="Times New Roman" w:hAnsiTheme="minorHAnsi"/>
          <w:lang w:eastAsia="en-GB"/>
        </w:rPr>
        <w:t xml:space="preserve"> presented </w:t>
      </w:r>
      <w:r w:rsidRPr="00DF5973">
        <w:rPr>
          <w:rFonts w:asciiTheme="minorHAnsi" w:eastAsia="Times New Roman" w:hAnsiTheme="minorHAnsi"/>
          <w:lang w:eastAsia="en-GB"/>
        </w:rPr>
        <w:t xml:space="preserve">at </w:t>
      </w:r>
      <w:r w:rsidR="00DF5973" w:rsidRPr="00DF5973">
        <w:rPr>
          <w:rFonts w:asciiTheme="minorHAnsi" w:eastAsia="Times New Roman" w:hAnsiTheme="minorHAnsi"/>
          <w:bCs/>
          <w:lang w:eastAsia="en-GB"/>
        </w:rPr>
        <w:t xml:space="preserve">this </w:t>
      </w:r>
      <w:r w:rsidR="00462B11">
        <w:rPr>
          <w:rFonts w:asciiTheme="minorHAnsi" w:eastAsia="Times New Roman" w:hAnsiTheme="minorHAnsi"/>
          <w:bCs/>
          <w:lang w:eastAsia="en-GB"/>
        </w:rPr>
        <w:t>conference</w:t>
      </w:r>
      <w:r w:rsidRPr="00186C92">
        <w:rPr>
          <w:rFonts w:asciiTheme="minorHAnsi" w:eastAsia="Times New Roman" w:hAnsiTheme="minorHAnsi"/>
          <w:lang w:eastAsia="en-GB"/>
        </w:rPr>
        <w:t xml:space="preserve"> may be made available on the </w:t>
      </w:r>
      <w:r w:rsidR="00462B11">
        <w:rPr>
          <w:rFonts w:asciiTheme="minorHAnsi" w:eastAsia="Times New Roman" w:hAnsiTheme="minorHAnsi"/>
          <w:lang w:eastAsia="en-GB"/>
        </w:rPr>
        <w:t>conference</w:t>
      </w:r>
      <w:r w:rsidRPr="00186C92">
        <w:rPr>
          <w:rFonts w:asciiTheme="minorHAnsi" w:eastAsia="Times New Roman" w:hAnsiTheme="minorHAnsi"/>
          <w:lang w:eastAsia="en-GB"/>
        </w:rPr>
        <w:t xml:space="preserve"> </w:t>
      </w:r>
      <w:r w:rsidR="00EE45CC">
        <w:rPr>
          <w:rFonts w:asciiTheme="minorHAnsi" w:eastAsia="Times New Roman" w:hAnsiTheme="minorHAnsi"/>
          <w:lang w:eastAsia="en-GB"/>
        </w:rPr>
        <w:t>app</w:t>
      </w:r>
      <w:r w:rsidRPr="00186C92">
        <w:rPr>
          <w:rFonts w:asciiTheme="minorHAnsi" w:eastAsia="Times New Roman" w:hAnsiTheme="minorHAnsi"/>
          <w:lang w:eastAsia="en-GB"/>
        </w:rPr>
        <w:t xml:space="preserve"> as a PDF.</w:t>
      </w:r>
    </w:p>
    <w:tbl>
      <w:tblPr>
        <w:tblW w:w="9765" w:type="dxa"/>
        <w:tblLayout w:type="fixed"/>
        <w:tblLook w:val="00A0" w:firstRow="1" w:lastRow="0" w:firstColumn="1" w:lastColumn="0" w:noHBand="0" w:noVBand="0"/>
      </w:tblPr>
      <w:tblGrid>
        <w:gridCol w:w="1701"/>
        <w:gridCol w:w="8064"/>
      </w:tblGrid>
      <w:tr w:rsidR="00186C92" w:rsidRPr="00186C92" w14:paraId="256BBF98" w14:textId="77777777" w:rsidTr="004F39F4">
        <w:trPr>
          <w:trHeight w:val="890"/>
        </w:trPr>
        <w:tc>
          <w:tcPr>
            <w:tcW w:w="1701" w:type="dxa"/>
          </w:tcPr>
          <w:p w14:paraId="5C586AAF" w14:textId="77777777" w:rsidR="00186C92" w:rsidRPr="00186C92" w:rsidRDefault="00186C92" w:rsidP="00186C92">
            <w:pPr>
              <w:widowControl w:val="0"/>
              <w:autoSpaceDE w:val="0"/>
              <w:autoSpaceDN w:val="0"/>
              <w:adjustRightInd w:val="0"/>
              <w:spacing w:after="0" w:line="240" w:lineRule="auto"/>
              <w:textAlignment w:val="baseline"/>
              <w:rPr>
                <w:rFonts w:ascii="CG Times" w:eastAsia="Times New Roman" w:hAnsi="CG Times"/>
                <w:sz w:val="28"/>
                <w:szCs w:val="28"/>
                <w:lang w:val="en-US" w:eastAsia="en-GB"/>
              </w:rPr>
            </w:pPr>
          </w:p>
          <w:p w14:paraId="470198B6" w14:textId="541B5D24" w:rsidR="00186C92" w:rsidRPr="00186C92" w:rsidRDefault="00186C92" w:rsidP="00186C92">
            <w:pPr>
              <w:widowControl w:val="0"/>
              <w:autoSpaceDE w:val="0"/>
              <w:autoSpaceDN w:val="0"/>
              <w:adjustRightInd w:val="0"/>
              <w:spacing w:after="0" w:line="240" w:lineRule="auto"/>
              <w:textAlignment w:val="baseline"/>
              <w:rPr>
                <w:rFonts w:ascii="CG Times" w:eastAsia="Times New Roman" w:hAnsi="CG Times"/>
                <w:sz w:val="28"/>
                <w:szCs w:val="28"/>
                <w:lang w:val="en-US" w:eastAsia="en-GB"/>
              </w:rPr>
            </w:pPr>
            <w:r w:rsidRPr="00186C92">
              <w:rPr>
                <w:rFonts w:ascii="CG Times" w:eastAsia="Times New Roman" w:hAnsi="CG Times"/>
                <w:sz w:val="28"/>
                <w:szCs w:val="28"/>
                <w:lang w:val="en-US" w:eastAsia="en-GB"/>
              </w:rPr>
              <w:t xml:space="preserve">YES </w:t>
            </w:r>
            <w:r w:rsidR="00573A96">
              <w:rPr>
                <w:rFonts w:ascii="Times New Roman" w:eastAsia="Times New Roman" w:hAnsi="Times New Roman"/>
                <w:sz w:val="28"/>
                <w:szCs w:val="28"/>
                <w:lang w:val="en-US" w:eastAsia="en-GB"/>
              </w:rPr>
              <w:t>x</w:t>
            </w:r>
            <w:r w:rsidRPr="00186C92">
              <w:rPr>
                <w:rFonts w:ascii="CG Times" w:eastAsia="Times New Roman" w:hAnsi="CG Times"/>
                <w:sz w:val="28"/>
                <w:szCs w:val="28"/>
                <w:lang w:val="en-US" w:eastAsia="en-GB"/>
              </w:rPr>
              <w:t xml:space="preserve"> </w:t>
            </w:r>
          </w:p>
        </w:tc>
        <w:tc>
          <w:tcPr>
            <w:tcW w:w="8064" w:type="dxa"/>
          </w:tcPr>
          <w:p w14:paraId="234C4F7E" w14:textId="77777777" w:rsidR="00186C92" w:rsidRPr="00186C92" w:rsidRDefault="00186C92" w:rsidP="00186C92">
            <w:pPr>
              <w:widowControl w:val="0"/>
              <w:autoSpaceDE w:val="0"/>
              <w:autoSpaceDN w:val="0"/>
              <w:adjustRightInd w:val="0"/>
              <w:spacing w:after="0" w:line="240" w:lineRule="auto"/>
              <w:ind w:right="-6912"/>
              <w:textAlignment w:val="baseline"/>
              <w:rPr>
                <w:rFonts w:ascii="CG Times" w:eastAsia="Times New Roman" w:hAnsi="CG Times"/>
                <w:sz w:val="28"/>
                <w:szCs w:val="28"/>
                <w:lang w:val="en-US" w:eastAsia="en-GB"/>
              </w:rPr>
            </w:pPr>
          </w:p>
          <w:p w14:paraId="4192524A" w14:textId="0F4CF5B1" w:rsidR="00186C92" w:rsidRPr="00186C92" w:rsidRDefault="00186C92" w:rsidP="00186C92">
            <w:pPr>
              <w:widowControl w:val="0"/>
              <w:autoSpaceDE w:val="0"/>
              <w:autoSpaceDN w:val="0"/>
              <w:adjustRightInd w:val="0"/>
              <w:spacing w:after="0" w:line="240" w:lineRule="auto"/>
              <w:ind w:right="-6912"/>
              <w:textAlignment w:val="baseline"/>
              <w:rPr>
                <w:rFonts w:ascii="CG Times" w:eastAsia="Times New Roman" w:hAnsi="CG Times"/>
                <w:sz w:val="28"/>
                <w:szCs w:val="28"/>
                <w:lang w:val="en-US" w:eastAsia="en-GB"/>
              </w:rPr>
            </w:pPr>
            <w:r w:rsidRPr="00186C92">
              <w:rPr>
                <w:rFonts w:ascii="CG Times" w:eastAsia="Times New Roman" w:hAnsi="CG Times"/>
                <w:sz w:val="28"/>
                <w:szCs w:val="28"/>
                <w:lang w:val="en-US" w:eastAsia="en-GB"/>
              </w:rPr>
              <w:t xml:space="preserve">NO </w:t>
            </w:r>
            <w:r w:rsidRPr="00186C92">
              <w:rPr>
                <w:rFonts w:ascii="Times New Roman" w:eastAsia="Times New Roman" w:hAnsi="Times New Roman"/>
                <w:sz w:val="28"/>
                <w:szCs w:val="28"/>
                <w:lang w:val="en-US" w:eastAsia="en-GB"/>
              </w:rPr>
              <w:t></w:t>
            </w:r>
            <w:r w:rsidRPr="00186C92">
              <w:rPr>
                <w:rFonts w:ascii="CG Times" w:eastAsia="Times New Roman" w:hAnsi="CG Times"/>
                <w:sz w:val="28"/>
                <w:szCs w:val="28"/>
                <w:lang w:val="en-US" w:eastAsia="en-GB"/>
              </w:rPr>
              <w:t xml:space="preserve">                         Signature:        </w:t>
            </w:r>
            <w:r w:rsidR="00573A96">
              <w:rPr>
                <w:rFonts w:ascii="CG Times" w:eastAsia="Times New Roman" w:hAnsi="CG Times"/>
                <w:sz w:val="28"/>
                <w:szCs w:val="28"/>
                <w:lang w:val="en-US" w:eastAsia="en-GB"/>
              </w:rPr>
              <w:t>Ilkka Jokelainen</w:t>
            </w:r>
          </w:p>
        </w:tc>
      </w:tr>
    </w:tbl>
    <w:p w14:paraId="31A1F479" w14:textId="77777777" w:rsidR="00C00A39" w:rsidRPr="00A77FF6" w:rsidRDefault="00C00A39">
      <w:pPr>
        <w:rPr>
          <w:rFonts w:cs="Calibri"/>
        </w:rPr>
      </w:pPr>
    </w:p>
    <w:p w14:paraId="2D2CA006" w14:textId="19FF02C0" w:rsidR="00DF5973" w:rsidRDefault="00C00A39" w:rsidP="00116F7D">
      <w:pPr>
        <w:tabs>
          <w:tab w:val="left" w:pos="-720"/>
        </w:tabs>
        <w:suppressAutoHyphens/>
        <w:spacing w:after="0" w:line="240" w:lineRule="auto"/>
        <w:jc w:val="center"/>
        <w:rPr>
          <w:rFonts w:eastAsia="Times New Roman" w:cs="Calibri"/>
          <w:b/>
          <w:lang w:val="en-US"/>
        </w:rPr>
      </w:pPr>
      <w:r w:rsidRPr="00A77FF6">
        <w:rPr>
          <w:rFonts w:eastAsia="Times New Roman" w:cs="Calibri"/>
          <w:b/>
          <w:lang w:val="en-US"/>
        </w:rPr>
        <w:t xml:space="preserve">Please complete and return </w:t>
      </w:r>
      <w:r w:rsidR="00BD63CD" w:rsidRPr="00A77FF6">
        <w:rPr>
          <w:rFonts w:eastAsia="Times New Roman" w:cs="Calibri"/>
          <w:b/>
          <w:lang w:val="en-US"/>
        </w:rPr>
        <w:t xml:space="preserve">this form </w:t>
      </w:r>
      <w:r w:rsidRPr="00A77FF6">
        <w:rPr>
          <w:rFonts w:eastAsia="Times New Roman" w:cs="Calibri"/>
          <w:b/>
          <w:lang w:val="en-US"/>
        </w:rPr>
        <w:t xml:space="preserve">by </w:t>
      </w:r>
      <w:r w:rsidR="00BF4111">
        <w:rPr>
          <w:rFonts w:eastAsia="Times New Roman" w:cs="Calibri"/>
          <w:b/>
          <w:color w:val="FF0000"/>
          <w:u w:val="single"/>
          <w:lang w:val="en-US"/>
        </w:rPr>
        <w:t>30</w:t>
      </w:r>
      <w:r w:rsidR="002D62C5">
        <w:rPr>
          <w:rFonts w:eastAsia="Times New Roman" w:cs="Calibri"/>
          <w:b/>
          <w:color w:val="FF0000"/>
          <w:u w:val="single"/>
          <w:lang w:val="en-US"/>
        </w:rPr>
        <w:t xml:space="preserve"> November 2020</w:t>
      </w:r>
      <w:r w:rsidR="00116BB3" w:rsidRPr="00A36D42">
        <w:rPr>
          <w:rFonts w:eastAsia="Times New Roman" w:cs="Calibri"/>
          <w:b/>
          <w:color w:val="FF0000"/>
          <w:lang w:val="en-US"/>
        </w:rPr>
        <w:t xml:space="preserve"> </w:t>
      </w:r>
      <w:r w:rsidR="00116BB3">
        <w:rPr>
          <w:rFonts w:eastAsia="Times New Roman" w:cs="Calibri"/>
          <w:b/>
          <w:lang w:val="en-US"/>
        </w:rPr>
        <w:t>to</w:t>
      </w:r>
      <w:r w:rsidRPr="00A77FF6">
        <w:rPr>
          <w:rFonts w:eastAsia="Times New Roman" w:cs="Calibri"/>
          <w:b/>
          <w:lang w:val="en-US"/>
        </w:rPr>
        <w:t>:</w:t>
      </w:r>
    </w:p>
    <w:p w14:paraId="3A8737A4" w14:textId="77777777" w:rsidR="00746A75" w:rsidRDefault="00746A75" w:rsidP="00116F7D">
      <w:pPr>
        <w:tabs>
          <w:tab w:val="left" w:pos="-720"/>
        </w:tabs>
        <w:suppressAutoHyphens/>
        <w:spacing w:after="0" w:line="240" w:lineRule="auto"/>
        <w:jc w:val="center"/>
        <w:rPr>
          <w:rFonts w:eastAsia="Times New Roman" w:cs="Calibri"/>
          <w:b/>
          <w:lang w:val="en-US"/>
        </w:rPr>
      </w:pPr>
    </w:p>
    <w:p w14:paraId="2403C665" w14:textId="1C069260" w:rsidR="00DF5973" w:rsidRDefault="00827836" w:rsidP="004A61ED">
      <w:pPr>
        <w:tabs>
          <w:tab w:val="left" w:pos="-720"/>
        </w:tabs>
        <w:suppressAutoHyphens/>
        <w:spacing w:after="0" w:line="240" w:lineRule="auto"/>
        <w:jc w:val="center"/>
        <w:rPr>
          <w:rFonts w:ascii="Times New Roman" w:eastAsia="Times New Roman" w:hAnsi="Times New Roman"/>
          <w:color w:val="0000FF" w:themeColor="hyperlink"/>
          <w:u w:val="single"/>
        </w:rPr>
      </w:pPr>
      <w:hyperlink r:id="rId10" w:history="1">
        <w:r w:rsidR="00746A75">
          <w:rPr>
            <w:rFonts w:ascii="Times New Roman" w:eastAsia="Times New Roman" w:hAnsi="Times New Roman"/>
            <w:color w:val="0000FF" w:themeColor="hyperlink"/>
            <w:u w:val="single"/>
          </w:rPr>
          <w:t>icaro@iaea.org</w:t>
        </w:r>
      </w:hyperlink>
    </w:p>
    <w:p w14:paraId="3FDEDDB8" w14:textId="77777777" w:rsidR="004A61ED" w:rsidRDefault="004A61ED" w:rsidP="004A61ED">
      <w:pPr>
        <w:tabs>
          <w:tab w:val="left" w:pos="-720"/>
        </w:tabs>
        <w:suppressAutoHyphens/>
        <w:spacing w:after="0" w:line="240" w:lineRule="auto"/>
        <w:jc w:val="center"/>
        <w:rPr>
          <w:rFonts w:eastAsia="Times New Roman" w:cs="Calibri"/>
          <w:b/>
          <w:lang w:val="en-US"/>
        </w:rPr>
      </w:pPr>
    </w:p>
    <w:sectPr w:rsidR="004A61ED" w:rsidSect="008A4C7C">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1843E9" w14:textId="77777777" w:rsidR="006C3EFF" w:rsidRDefault="006C3EFF" w:rsidP="008A4C7C">
      <w:pPr>
        <w:spacing w:after="0" w:line="240" w:lineRule="auto"/>
      </w:pPr>
      <w:r>
        <w:separator/>
      </w:r>
    </w:p>
  </w:endnote>
  <w:endnote w:type="continuationSeparator" w:id="0">
    <w:p w14:paraId="4A20E0B6" w14:textId="77777777" w:rsidR="006C3EFF" w:rsidRDefault="006C3EFF" w:rsidP="008A4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ECAB31" w14:textId="77777777" w:rsidR="006C3EFF" w:rsidRDefault="006C3EFF" w:rsidP="008A4C7C">
      <w:pPr>
        <w:spacing w:after="0" w:line="240" w:lineRule="auto"/>
      </w:pPr>
      <w:r>
        <w:separator/>
      </w:r>
    </w:p>
  </w:footnote>
  <w:footnote w:type="continuationSeparator" w:id="0">
    <w:p w14:paraId="36E07D96" w14:textId="77777777" w:rsidR="006C3EFF" w:rsidRDefault="006C3EFF" w:rsidP="008A4C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A39"/>
    <w:rsid w:val="00032612"/>
    <w:rsid w:val="00116BB3"/>
    <w:rsid w:val="00116F7D"/>
    <w:rsid w:val="00141ED1"/>
    <w:rsid w:val="0018407B"/>
    <w:rsid w:val="00186C92"/>
    <w:rsid w:val="001F3AE5"/>
    <w:rsid w:val="00226F45"/>
    <w:rsid w:val="00261447"/>
    <w:rsid w:val="002D62C5"/>
    <w:rsid w:val="003F1B4C"/>
    <w:rsid w:val="00416662"/>
    <w:rsid w:val="0043227A"/>
    <w:rsid w:val="00462B11"/>
    <w:rsid w:val="004A61ED"/>
    <w:rsid w:val="004B742D"/>
    <w:rsid w:val="004D065B"/>
    <w:rsid w:val="00572A7C"/>
    <w:rsid w:val="00573A96"/>
    <w:rsid w:val="005B04C2"/>
    <w:rsid w:val="005B6B43"/>
    <w:rsid w:val="005C0A00"/>
    <w:rsid w:val="006170AE"/>
    <w:rsid w:val="00645E89"/>
    <w:rsid w:val="00685498"/>
    <w:rsid w:val="006C3EFF"/>
    <w:rsid w:val="006E4F8B"/>
    <w:rsid w:val="006E6952"/>
    <w:rsid w:val="007100AD"/>
    <w:rsid w:val="00734FC8"/>
    <w:rsid w:val="00746A75"/>
    <w:rsid w:val="0075790B"/>
    <w:rsid w:val="007A592F"/>
    <w:rsid w:val="008167BD"/>
    <w:rsid w:val="00827836"/>
    <w:rsid w:val="008330DA"/>
    <w:rsid w:val="00872962"/>
    <w:rsid w:val="008966D2"/>
    <w:rsid w:val="008A4C7C"/>
    <w:rsid w:val="008D5DF6"/>
    <w:rsid w:val="008F3130"/>
    <w:rsid w:val="00986BDD"/>
    <w:rsid w:val="009F6F1E"/>
    <w:rsid w:val="00A36D42"/>
    <w:rsid w:val="00A74EB2"/>
    <w:rsid w:val="00A77FF6"/>
    <w:rsid w:val="00AD72FF"/>
    <w:rsid w:val="00B56CBE"/>
    <w:rsid w:val="00B71D66"/>
    <w:rsid w:val="00BB70A0"/>
    <w:rsid w:val="00BD63CD"/>
    <w:rsid w:val="00BF4111"/>
    <w:rsid w:val="00C00A39"/>
    <w:rsid w:val="00D603AA"/>
    <w:rsid w:val="00DA4F14"/>
    <w:rsid w:val="00DE1F87"/>
    <w:rsid w:val="00DF5973"/>
    <w:rsid w:val="00ED2223"/>
    <w:rsid w:val="00EE45CC"/>
    <w:rsid w:val="00F1324C"/>
    <w:rsid w:val="00F35335"/>
    <w:rsid w:val="00F83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23FC2"/>
  <w15:docId w15:val="{D3C83EE8-E0FC-466F-BA2B-4D7667C4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C00A39"/>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rsid w:val="00C00A39"/>
    <w:rPr>
      <w:rFonts w:ascii="Tahoma" w:hAnsi="Tahoma" w:cs="Tahoma"/>
      <w:sz w:val="16"/>
      <w:szCs w:val="16"/>
    </w:rPr>
  </w:style>
  <w:style w:type="character" w:styleId="Hyperlinkki">
    <w:name w:val="Hyperlink"/>
    <w:uiPriority w:val="99"/>
    <w:unhideWhenUsed/>
    <w:rsid w:val="008330DA"/>
    <w:rPr>
      <w:color w:val="0000FF"/>
      <w:u w:val="single"/>
    </w:rPr>
  </w:style>
  <w:style w:type="paragraph" w:styleId="Yltunniste">
    <w:name w:val="header"/>
    <w:basedOn w:val="Normaali"/>
    <w:link w:val="YltunnisteChar"/>
    <w:uiPriority w:val="99"/>
    <w:unhideWhenUsed/>
    <w:rsid w:val="008A4C7C"/>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8A4C7C"/>
  </w:style>
  <w:style w:type="paragraph" w:styleId="Alatunniste">
    <w:name w:val="footer"/>
    <w:basedOn w:val="Normaali"/>
    <w:link w:val="AlatunnisteChar"/>
    <w:uiPriority w:val="99"/>
    <w:unhideWhenUsed/>
    <w:rsid w:val="008A4C7C"/>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8A4C7C"/>
  </w:style>
  <w:style w:type="table" w:styleId="TaulukkoRuudukko">
    <w:name w:val="Table Grid"/>
    <w:basedOn w:val="Normaalitaulukko"/>
    <w:uiPriority w:val="59"/>
    <w:rsid w:val="004B7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EPR-Conference-2015.Contact-Point@iaea.org"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1E401AFFBF04DB150B794AD611144" ma:contentTypeVersion="12" ma:contentTypeDescription="Create a new document." ma:contentTypeScope="" ma:versionID="418917da8f4abda766f8a4a272b8c121">
  <xsd:schema xmlns:xsd="http://www.w3.org/2001/XMLSchema" xmlns:xs="http://www.w3.org/2001/XMLSchema" xmlns:p="http://schemas.microsoft.com/office/2006/metadata/properties" xmlns:ns3="e94dbfd2-c053-49a0-b7d4-7e081f70ec79" xmlns:ns4="89b2f931-a905-4dec-9985-b4f47312a122" targetNamespace="http://schemas.microsoft.com/office/2006/metadata/properties" ma:root="true" ma:fieldsID="42013ef306c795fc146df1aeef30fca0" ns3:_="" ns4:_="">
    <xsd:import namespace="e94dbfd2-c053-49a0-b7d4-7e081f70ec79"/>
    <xsd:import namespace="89b2f931-a905-4dec-9985-b4f47312a1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4dbfd2-c053-49a0-b7d4-7e081f70ec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b2f931-a905-4dec-9985-b4f47312a12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64C7A-76DE-45E8-9CD9-C702EBEC0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4dbfd2-c053-49a0-b7d4-7e081f70ec79"/>
    <ds:schemaRef ds:uri="89b2f931-a905-4dec-9985-b4f47312a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D6F5FA-ADD7-49BB-A3FD-15A39DF8910F}">
  <ds:schemaRefs>
    <ds:schemaRef ds:uri="http://schemas.microsoft.com/sharepoint/v3/contenttype/forms"/>
  </ds:schemaRefs>
</ds:datastoreItem>
</file>

<file path=customXml/itemProps3.xml><?xml version="1.0" encoding="utf-8"?>
<ds:datastoreItem xmlns:ds="http://schemas.openxmlformats.org/officeDocument/2006/customXml" ds:itemID="{207E22DB-0FC2-4E34-B3A3-DC434D7524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88CB05-C81D-4DA6-A56C-9F139394C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138</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IAEA</Company>
  <LinksUpToDate>false</LinksUpToDate>
  <CharactersWithSpaces>1259</CharactersWithSpaces>
  <SharedDoc>false</SharedDoc>
  <HLinks>
    <vt:vector size="6" baseType="variant">
      <vt:variant>
        <vt:i4>5701691</vt:i4>
      </vt:variant>
      <vt:variant>
        <vt:i4>0</vt:i4>
      </vt:variant>
      <vt:variant>
        <vt:i4>0</vt:i4>
      </vt:variant>
      <vt:variant>
        <vt:i4>5</vt:i4>
      </vt:variant>
      <vt:variant>
        <vt:lpwstr>mailto:CN204@iaea.org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IAEA</dc:creator>
  <cp:lastModifiedBy>Jokelainen Ilkka (STUK)</cp:lastModifiedBy>
  <cp:revision>6</cp:revision>
  <cp:lastPrinted>2013-10-10T13:37:00Z</cp:lastPrinted>
  <dcterms:created xsi:type="dcterms:W3CDTF">2020-12-16T11:32:00Z</dcterms:created>
  <dcterms:modified xsi:type="dcterms:W3CDTF">2020-12-17T15:03:00Z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0x010100F5A1E401AFFBF04DB150B794AD611144</vt:lpwstr>
  </property>
</Properties>
</file>