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71F7B" w14:textId="77777777" w:rsidR="00741202" w:rsidRPr="00741202" w:rsidRDefault="00741202" w:rsidP="00741202">
      <w:pPr>
        <w:spacing w:after="0" w:line="240" w:lineRule="auto"/>
        <w:rPr>
          <w:rFonts w:asciiTheme="majorBidi" w:hAnsiTheme="majorBidi" w:cstheme="majorBidi"/>
          <w:b/>
          <w:sz w:val="28"/>
        </w:rPr>
      </w:pPr>
      <w:r w:rsidRPr="00741202">
        <w:rPr>
          <w:rFonts w:asciiTheme="majorBidi" w:hAnsiTheme="majorBidi" w:cstheme="majorBidi"/>
          <w:b/>
          <w:sz w:val="28"/>
        </w:rPr>
        <w:t>Characterization of helical tomotherapy plans complexity</w:t>
      </w:r>
    </w:p>
    <w:p w14:paraId="2B784E36" w14:textId="2FD97238" w:rsidR="00152AF7" w:rsidRPr="00BB6E76" w:rsidRDefault="00741202" w:rsidP="00152AF7">
      <w:pPr>
        <w:spacing w:after="0" w:line="240" w:lineRule="auto"/>
        <w:rPr>
          <w:rFonts w:asciiTheme="majorBidi" w:hAnsiTheme="majorBidi" w:cstheme="majorBidi"/>
          <w:sz w:val="24"/>
          <w:szCs w:val="24"/>
          <w:lang w:val="pt-PT"/>
        </w:rPr>
      </w:pPr>
      <w:r w:rsidRPr="00BB6E76">
        <w:rPr>
          <w:rFonts w:asciiTheme="majorBidi" w:hAnsiTheme="majorBidi" w:cstheme="majorBidi"/>
          <w:b/>
          <w:bCs/>
          <w:sz w:val="24"/>
          <w:szCs w:val="24"/>
          <w:lang w:val="pt-PT"/>
        </w:rPr>
        <w:t xml:space="preserve">T. Santos </w:t>
      </w:r>
      <w:r w:rsidRPr="00BB6E76">
        <w:rPr>
          <w:rFonts w:asciiTheme="majorBidi" w:hAnsiTheme="majorBidi" w:cstheme="majorBidi"/>
          <w:b/>
          <w:bCs/>
          <w:sz w:val="24"/>
          <w:szCs w:val="24"/>
          <w:vertAlign w:val="superscript"/>
          <w:lang w:val="pt-PT"/>
        </w:rPr>
        <w:t>a,b</w:t>
      </w:r>
      <w:r w:rsidRPr="00BB6E76">
        <w:rPr>
          <w:rFonts w:asciiTheme="majorBidi" w:hAnsiTheme="majorBidi" w:cstheme="majorBidi"/>
          <w:b/>
          <w:bCs/>
          <w:sz w:val="24"/>
          <w:szCs w:val="24"/>
          <w:lang w:val="pt-PT"/>
        </w:rPr>
        <w:t xml:space="preserve"> </w:t>
      </w:r>
    </w:p>
    <w:p w14:paraId="23BC6591" w14:textId="1EC9424B" w:rsidR="00067515" w:rsidRPr="00741202" w:rsidRDefault="00741202" w:rsidP="0066000D">
      <w:pPr>
        <w:spacing w:after="0" w:line="240" w:lineRule="auto"/>
        <w:rPr>
          <w:rFonts w:asciiTheme="majorBidi" w:hAnsiTheme="majorBidi" w:cstheme="majorBidi"/>
          <w:b/>
          <w:bCs/>
          <w:sz w:val="24"/>
          <w:szCs w:val="24"/>
          <w:lang w:val="pt-PT"/>
        </w:rPr>
      </w:pPr>
      <w:r w:rsidRPr="00741202">
        <w:rPr>
          <w:rFonts w:asciiTheme="majorBidi" w:hAnsiTheme="majorBidi" w:cstheme="majorBidi"/>
          <w:b/>
          <w:bCs/>
          <w:sz w:val="24"/>
          <w:szCs w:val="24"/>
          <w:lang w:val="pt-PT"/>
        </w:rPr>
        <w:t>T</w:t>
      </w:r>
      <w:r>
        <w:rPr>
          <w:rFonts w:asciiTheme="majorBidi" w:hAnsiTheme="majorBidi" w:cstheme="majorBidi"/>
          <w:b/>
          <w:bCs/>
          <w:sz w:val="24"/>
          <w:szCs w:val="24"/>
          <w:lang w:val="pt-PT"/>
        </w:rPr>
        <w:t>.</w:t>
      </w:r>
      <w:r w:rsidRPr="00741202">
        <w:rPr>
          <w:rFonts w:asciiTheme="majorBidi" w:hAnsiTheme="majorBidi" w:cstheme="majorBidi"/>
          <w:b/>
          <w:bCs/>
          <w:sz w:val="24"/>
          <w:szCs w:val="24"/>
          <w:lang w:val="pt-PT"/>
        </w:rPr>
        <w:t xml:space="preserve"> Ventura</w:t>
      </w:r>
      <w:r w:rsidR="00067515" w:rsidRPr="00741202">
        <w:rPr>
          <w:rFonts w:asciiTheme="majorBidi" w:hAnsiTheme="majorBidi" w:cstheme="majorBidi"/>
          <w:b/>
          <w:bCs/>
          <w:sz w:val="24"/>
          <w:szCs w:val="24"/>
          <w:vertAlign w:val="superscript"/>
          <w:lang w:val="pt-PT"/>
        </w:rPr>
        <w:t>b</w:t>
      </w:r>
      <w:r w:rsidR="00E22129" w:rsidRPr="00741202">
        <w:rPr>
          <w:rFonts w:asciiTheme="majorBidi" w:hAnsiTheme="majorBidi" w:cstheme="majorBidi"/>
          <w:b/>
          <w:bCs/>
          <w:sz w:val="24"/>
          <w:szCs w:val="24"/>
          <w:lang w:val="pt-PT"/>
        </w:rPr>
        <w:t xml:space="preserve">, </w:t>
      </w:r>
      <w:r w:rsidRPr="00741202">
        <w:rPr>
          <w:rFonts w:asciiTheme="majorBidi" w:hAnsiTheme="majorBidi" w:cstheme="majorBidi"/>
          <w:b/>
          <w:bCs/>
          <w:sz w:val="24"/>
          <w:szCs w:val="24"/>
          <w:lang w:val="pt-PT"/>
        </w:rPr>
        <w:t>J. Mateus</w:t>
      </w:r>
      <w:r w:rsidRPr="00741202">
        <w:rPr>
          <w:rFonts w:asciiTheme="majorBidi" w:hAnsiTheme="majorBidi" w:cstheme="majorBidi"/>
          <w:b/>
          <w:bCs/>
          <w:sz w:val="24"/>
          <w:szCs w:val="24"/>
          <w:vertAlign w:val="superscript"/>
          <w:lang w:val="pt-PT"/>
        </w:rPr>
        <w:t>b</w:t>
      </w:r>
      <w:r w:rsidR="00276CD3" w:rsidRPr="00741202">
        <w:rPr>
          <w:rFonts w:asciiTheme="majorBidi" w:hAnsiTheme="majorBidi" w:cstheme="majorBidi"/>
          <w:b/>
          <w:bCs/>
          <w:sz w:val="24"/>
          <w:szCs w:val="24"/>
          <w:lang w:val="pt-PT"/>
        </w:rPr>
        <w:t xml:space="preserve">, </w:t>
      </w:r>
      <w:r w:rsidRPr="00741202">
        <w:rPr>
          <w:rFonts w:asciiTheme="majorBidi" w:hAnsiTheme="majorBidi" w:cstheme="majorBidi"/>
          <w:b/>
          <w:bCs/>
          <w:sz w:val="24"/>
          <w:szCs w:val="24"/>
          <w:lang w:val="pt-PT"/>
        </w:rPr>
        <w:t>M. Capela</w:t>
      </w:r>
      <w:r w:rsidRPr="00741202">
        <w:rPr>
          <w:rFonts w:asciiTheme="majorBidi" w:hAnsiTheme="majorBidi" w:cstheme="majorBidi"/>
          <w:b/>
          <w:bCs/>
          <w:sz w:val="24"/>
          <w:szCs w:val="24"/>
          <w:vertAlign w:val="superscript"/>
          <w:lang w:val="pt-PT"/>
        </w:rPr>
        <w:t>b</w:t>
      </w:r>
      <w:r w:rsidRPr="00741202">
        <w:rPr>
          <w:rFonts w:asciiTheme="majorBidi" w:hAnsiTheme="majorBidi" w:cstheme="majorBidi"/>
          <w:b/>
          <w:bCs/>
          <w:sz w:val="24"/>
          <w:szCs w:val="24"/>
          <w:lang w:val="pt-PT"/>
        </w:rPr>
        <w:t>, M.C. Lopes</w:t>
      </w:r>
      <w:r w:rsidRPr="00741202">
        <w:rPr>
          <w:rFonts w:asciiTheme="majorBidi" w:hAnsiTheme="majorBidi" w:cstheme="majorBidi"/>
          <w:b/>
          <w:bCs/>
          <w:sz w:val="24"/>
          <w:szCs w:val="24"/>
          <w:vertAlign w:val="superscript"/>
          <w:lang w:val="pt-PT"/>
        </w:rPr>
        <w:t>b</w:t>
      </w:r>
      <w:r w:rsidRPr="00741202">
        <w:rPr>
          <w:rFonts w:asciiTheme="majorBidi" w:hAnsiTheme="majorBidi" w:cstheme="majorBidi"/>
          <w:b/>
          <w:bCs/>
          <w:sz w:val="24"/>
          <w:szCs w:val="24"/>
          <w:lang w:val="pt-PT"/>
        </w:rPr>
        <w:t xml:space="preserve"> </w:t>
      </w:r>
    </w:p>
    <w:p w14:paraId="714AABCF" w14:textId="77777777" w:rsidR="0066000D" w:rsidRPr="00741202" w:rsidRDefault="0066000D" w:rsidP="0066000D">
      <w:pPr>
        <w:spacing w:after="0" w:line="240" w:lineRule="auto"/>
        <w:rPr>
          <w:rFonts w:asciiTheme="majorBidi" w:hAnsiTheme="majorBidi" w:cstheme="majorBidi"/>
          <w:b/>
          <w:bCs/>
          <w:sz w:val="24"/>
          <w:szCs w:val="24"/>
          <w:lang w:val="pt-PT"/>
        </w:rPr>
      </w:pPr>
    </w:p>
    <w:p w14:paraId="69BC43BE" w14:textId="77777777" w:rsidR="00741202" w:rsidRPr="00BB6E76" w:rsidRDefault="005F4DB6" w:rsidP="00741202">
      <w:pPr>
        <w:spacing w:after="0" w:line="240" w:lineRule="auto"/>
        <w:rPr>
          <w:rFonts w:asciiTheme="majorBidi" w:hAnsiTheme="majorBidi" w:cstheme="majorBidi"/>
          <w:sz w:val="24"/>
          <w:szCs w:val="24"/>
          <w:lang w:val="pt-PT"/>
        </w:rPr>
      </w:pPr>
      <w:r w:rsidRPr="00BB6E76">
        <w:rPr>
          <w:rFonts w:asciiTheme="majorBidi" w:hAnsiTheme="majorBidi" w:cstheme="majorBidi"/>
          <w:sz w:val="24"/>
          <w:szCs w:val="24"/>
          <w:vertAlign w:val="superscript"/>
          <w:lang w:val="pt-PT"/>
        </w:rPr>
        <w:t>a</w:t>
      </w:r>
      <w:r w:rsidR="00741202" w:rsidRPr="00BB6E76">
        <w:rPr>
          <w:lang w:val="pt-PT"/>
        </w:rPr>
        <w:t xml:space="preserve"> </w:t>
      </w:r>
      <w:r w:rsidR="00741202" w:rsidRPr="00BB6E76">
        <w:rPr>
          <w:rFonts w:asciiTheme="majorBidi" w:hAnsiTheme="majorBidi" w:cstheme="majorBidi"/>
          <w:sz w:val="24"/>
          <w:szCs w:val="24"/>
          <w:lang w:val="pt-PT"/>
        </w:rPr>
        <w:t xml:space="preserve">Physics Department, University of Coimbra, Coimbra, Portugal </w:t>
      </w:r>
    </w:p>
    <w:p w14:paraId="527B0352" w14:textId="77777777" w:rsidR="00741202" w:rsidRDefault="00067515" w:rsidP="00741202">
      <w:pPr>
        <w:spacing w:after="0" w:line="240" w:lineRule="auto"/>
        <w:rPr>
          <w:rFonts w:asciiTheme="majorBidi" w:hAnsiTheme="majorBidi" w:cstheme="majorBidi"/>
          <w:sz w:val="24"/>
          <w:szCs w:val="24"/>
          <w:lang w:val="pt-PT"/>
        </w:rPr>
      </w:pPr>
      <w:r w:rsidRPr="00741202">
        <w:rPr>
          <w:rFonts w:asciiTheme="majorBidi" w:hAnsiTheme="majorBidi" w:cstheme="majorBidi"/>
          <w:sz w:val="24"/>
          <w:szCs w:val="24"/>
          <w:vertAlign w:val="superscript"/>
          <w:lang w:val="pt-PT"/>
        </w:rPr>
        <w:t>b</w:t>
      </w:r>
      <w:r w:rsidR="00741202" w:rsidRPr="00741202">
        <w:rPr>
          <w:lang w:val="pt-PT"/>
        </w:rPr>
        <w:t xml:space="preserve"> </w:t>
      </w:r>
      <w:r w:rsidR="00741202" w:rsidRPr="00741202">
        <w:rPr>
          <w:rFonts w:asciiTheme="majorBidi" w:hAnsiTheme="majorBidi" w:cstheme="majorBidi"/>
          <w:sz w:val="24"/>
          <w:szCs w:val="24"/>
          <w:lang w:val="pt-PT"/>
        </w:rPr>
        <w:t xml:space="preserve">Medical Physics Department, IPOCFG, E.P.E., Coimbra, Portugal </w:t>
      </w:r>
    </w:p>
    <w:p w14:paraId="2E2FCEBA" w14:textId="77777777" w:rsidR="00741202" w:rsidRPr="00741202" w:rsidRDefault="00741202" w:rsidP="00741202">
      <w:pPr>
        <w:spacing w:after="0" w:line="240" w:lineRule="auto"/>
        <w:rPr>
          <w:rFonts w:asciiTheme="majorBidi" w:hAnsiTheme="majorBidi" w:cstheme="majorBidi"/>
          <w:sz w:val="24"/>
          <w:szCs w:val="24"/>
          <w:lang w:val="pt-PT"/>
        </w:rPr>
      </w:pPr>
    </w:p>
    <w:p w14:paraId="679E5119" w14:textId="2149FB06" w:rsidR="00067515" w:rsidRPr="00BB6E76" w:rsidRDefault="00067515" w:rsidP="00741202">
      <w:pPr>
        <w:spacing w:after="0" w:line="240" w:lineRule="auto"/>
        <w:rPr>
          <w:rFonts w:asciiTheme="majorBidi" w:hAnsiTheme="majorBidi" w:cstheme="majorBidi"/>
          <w:sz w:val="24"/>
          <w:szCs w:val="24"/>
          <w:lang w:val="pt-PT"/>
        </w:rPr>
      </w:pPr>
      <w:r w:rsidRPr="00BB6E76">
        <w:rPr>
          <w:rFonts w:asciiTheme="majorBidi" w:hAnsiTheme="majorBidi" w:cstheme="majorBidi"/>
          <w:sz w:val="24"/>
          <w:szCs w:val="24"/>
          <w:lang w:val="pt-PT"/>
        </w:rPr>
        <w:t xml:space="preserve">Email address of Corresponding Author(s): </w:t>
      </w:r>
      <w:r w:rsidR="00741202" w:rsidRPr="00BB6E76">
        <w:rPr>
          <w:rStyle w:val="Hiperligao"/>
          <w:rFonts w:asciiTheme="majorBidi" w:hAnsiTheme="majorBidi" w:cstheme="majorBidi"/>
          <w:sz w:val="24"/>
          <w:szCs w:val="24"/>
          <w:lang w:val="pt-PT"/>
        </w:rPr>
        <w:t>taniafssantos@gmail.com</w:t>
      </w:r>
    </w:p>
    <w:p w14:paraId="15CD8DFF" w14:textId="77777777" w:rsidR="00507E87" w:rsidRPr="00BB6E76" w:rsidRDefault="00507E87">
      <w:pPr>
        <w:rPr>
          <w:rFonts w:asciiTheme="majorBidi" w:hAnsiTheme="majorBidi" w:cstheme="majorBidi"/>
          <w:b/>
          <w:bCs/>
          <w:sz w:val="24"/>
          <w:szCs w:val="24"/>
          <w:lang w:val="pt-PT"/>
        </w:rPr>
      </w:pPr>
    </w:p>
    <w:p w14:paraId="6F44F946" w14:textId="42D8E4C7" w:rsidR="00152AF7" w:rsidRPr="00BD4F0B" w:rsidRDefault="00067515">
      <w:pPr>
        <w:rPr>
          <w:rFonts w:asciiTheme="majorBidi" w:hAnsiTheme="majorBidi" w:cstheme="majorBidi"/>
          <w:b/>
          <w:bCs/>
          <w:sz w:val="24"/>
          <w:szCs w:val="24"/>
        </w:rPr>
      </w:pPr>
      <w:r>
        <w:rPr>
          <w:rFonts w:asciiTheme="majorBidi" w:hAnsiTheme="majorBidi" w:cstheme="majorBidi"/>
          <w:b/>
          <w:bCs/>
          <w:sz w:val="24"/>
          <w:szCs w:val="24"/>
        </w:rPr>
        <w:t>BACKGROUND</w:t>
      </w:r>
      <w:r w:rsidR="00507E87">
        <w:rPr>
          <w:rFonts w:asciiTheme="majorBidi" w:hAnsiTheme="majorBidi" w:cstheme="majorBidi"/>
          <w:b/>
          <w:bCs/>
          <w:sz w:val="24"/>
          <w:szCs w:val="24"/>
        </w:rPr>
        <w:t xml:space="preserve"> AND OBJECTIVE</w:t>
      </w:r>
    </w:p>
    <w:p w14:paraId="33A41B94" w14:textId="4E7E759A" w:rsidR="00CF05E5" w:rsidRDefault="00741202" w:rsidP="004B5C22">
      <w:pPr>
        <w:spacing w:after="0"/>
        <w:jc w:val="both"/>
        <w:rPr>
          <w:rFonts w:asciiTheme="majorBidi" w:hAnsiTheme="majorBidi" w:cstheme="majorBidi"/>
          <w:sz w:val="24"/>
          <w:szCs w:val="24"/>
        </w:rPr>
      </w:pPr>
      <w:r w:rsidRPr="00741202">
        <w:rPr>
          <w:rFonts w:asciiTheme="majorBidi" w:hAnsiTheme="majorBidi" w:cstheme="majorBidi"/>
          <w:sz w:val="24"/>
          <w:szCs w:val="24"/>
        </w:rPr>
        <w:t xml:space="preserve">Complexity analysis has proven to be an important tool for treatment plans characterization and comparison, contributing to improve the quality, efficiency and safety of the planning and delivery processes [1]. The purpose of this work is to evaluate the complexity of helical tomotherapy (HT) plans using some indicators recently proposed [2] and assess their potential to predict the plan deliverability. </w:t>
      </w:r>
    </w:p>
    <w:p w14:paraId="797B2A23" w14:textId="77777777" w:rsidR="004B5C22" w:rsidRPr="00741202" w:rsidRDefault="004B5C22" w:rsidP="004B5C22">
      <w:pPr>
        <w:spacing w:after="0"/>
        <w:jc w:val="both"/>
        <w:rPr>
          <w:rFonts w:asciiTheme="majorBidi" w:hAnsiTheme="majorBidi" w:cstheme="majorBidi"/>
          <w:sz w:val="24"/>
          <w:szCs w:val="24"/>
        </w:rPr>
      </w:pPr>
    </w:p>
    <w:p w14:paraId="7DAB6B5F" w14:textId="619C24D3" w:rsidR="00152AF7" w:rsidRPr="00BD4F0B" w:rsidRDefault="00856BA6" w:rsidP="00071BF5">
      <w:pPr>
        <w:spacing w:line="240" w:lineRule="auto"/>
        <w:rPr>
          <w:rFonts w:asciiTheme="majorBidi" w:hAnsiTheme="majorBidi" w:cstheme="majorBidi"/>
          <w:b/>
          <w:bCs/>
          <w:sz w:val="24"/>
          <w:szCs w:val="24"/>
        </w:rPr>
      </w:pPr>
      <w:r>
        <w:rPr>
          <w:rFonts w:asciiTheme="majorBidi" w:hAnsiTheme="majorBidi" w:cstheme="majorBidi"/>
          <w:b/>
          <w:bCs/>
          <w:sz w:val="24"/>
          <w:szCs w:val="24"/>
        </w:rPr>
        <w:t>METHOD</w:t>
      </w:r>
      <w:r w:rsidR="00152AF7" w:rsidRPr="00BD4F0B">
        <w:rPr>
          <w:rFonts w:asciiTheme="majorBidi" w:hAnsiTheme="majorBidi" w:cstheme="majorBidi"/>
          <w:b/>
          <w:bCs/>
          <w:sz w:val="24"/>
          <w:szCs w:val="24"/>
        </w:rPr>
        <w:t>S</w:t>
      </w:r>
    </w:p>
    <w:p w14:paraId="602B1620" w14:textId="77777777" w:rsidR="00741202" w:rsidRPr="00741202" w:rsidRDefault="00741202" w:rsidP="00741202">
      <w:pPr>
        <w:jc w:val="both"/>
        <w:rPr>
          <w:rFonts w:asciiTheme="majorBidi" w:hAnsiTheme="majorBidi" w:cstheme="majorBidi"/>
          <w:sz w:val="24"/>
          <w:szCs w:val="24"/>
        </w:rPr>
      </w:pPr>
      <w:r w:rsidRPr="00741202">
        <w:rPr>
          <w:rFonts w:asciiTheme="majorBidi" w:hAnsiTheme="majorBidi" w:cstheme="majorBidi"/>
          <w:sz w:val="24"/>
          <w:szCs w:val="24"/>
        </w:rPr>
        <w:t xml:space="preserve">100 head and neck HT clinical treatment plans generated with simultaneously integrated boost for two and three dose levels were retrospectively analysed. The prescribed dose per fraction to the high-risk planning target volume was either 2 or 2.12 Gy. All plans were created in the Tomotherapy treatment planning system v.5.1.1.6 and delivered by a Tomotherapy HD unit (Accuray Inc., Sunnyvale, CA, USA). For each plan, six complexity indicators have been calculated from the planned sinogram saved in the corresponding DICOM RT file, using a home-made MATLAB program (Mathworks, Natick, MA, USA). The computed parameters and indices included: the modulation factor (MF), the percentage of leaves with an opening time below 100 ms (%LOT &lt; 100 ms), the percentage of leaves with an opening time close to the projection duration (%LOT &gt; pT-20 ms), leaf open time variability (LOTV), plan sinogram time variability (PSTV) and modulation index (MI) recently adapted for HT [2]. </w:t>
      </w:r>
    </w:p>
    <w:p w14:paraId="6FFCA57C" w14:textId="77777777" w:rsidR="00741202" w:rsidRPr="00741202" w:rsidRDefault="00741202" w:rsidP="00741202">
      <w:pPr>
        <w:jc w:val="both"/>
        <w:rPr>
          <w:rFonts w:asciiTheme="majorBidi" w:hAnsiTheme="majorBidi" w:cstheme="majorBidi"/>
          <w:sz w:val="24"/>
          <w:szCs w:val="24"/>
        </w:rPr>
      </w:pPr>
      <w:r w:rsidRPr="00741202">
        <w:rPr>
          <w:rFonts w:asciiTheme="majorBidi" w:hAnsiTheme="majorBidi" w:cstheme="majorBidi"/>
          <w:sz w:val="24"/>
          <w:szCs w:val="24"/>
        </w:rPr>
        <w:t xml:space="preserve">To assess the plans deliverability, pre-treatment quality assurance (QA) verifications were performed. Plans were recalculated in the Tomotherapy phantom (Cheese phantom) and delivered in the HT unit with the couch out of the bore. Dosimetry Check software v.5.5 (LifeLine Software Inc., Austin, TX, USA) was used to reconstruct the measured dose distribution from the acquired sinogram. The agreement between the planned and reconstructed dose, was evaluated using 3D global gamma analysis. The passing rate acceptance limit was 95% for a 3%/3 mm and 10% dose threshold (TH) criterion. In this work, more stringent criteria were also adopted, namely 3%/2 mm 10% TH, 2%/2 mm 10% TH and 2%/1 mm 10% TH. </w:t>
      </w:r>
    </w:p>
    <w:p w14:paraId="1819D417" w14:textId="0F240B9E" w:rsidR="0066000D" w:rsidRDefault="00741202" w:rsidP="004B5C22">
      <w:pPr>
        <w:spacing w:after="0"/>
        <w:jc w:val="both"/>
        <w:rPr>
          <w:rFonts w:asciiTheme="majorBidi" w:hAnsiTheme="majorBidi" w:cstheme="majorBidi"/>
          <w:sz w:val="24"/>
          <w:szCs w:val="24"/>
        </w:rPr>
      </w:pPr>
      <w:r w:rsidRPr="00741202">
        <w:rPr>
          <w:rFonts w:asciiTheme="majorBidi" w:hAnsiTheme="majorBidi" w:cstheme="majorBidi"/>
          <w:sz w:val="24"/>
          <w:szCs w:val="24"/>
        </w:rPr>
        <w:t>The correlation between the complexity metrics and the pre-treatment verification results was investigated using Spearman’s rank correlation coefficients r</w:t>
      </w:r>
      <w:r w:rsidRPr="00741202">
        <w:rPr>
          <w:rFonts w:asciiTheme="majorBidi" w:hAnsiTheme="majorBidi" w:cstheme="majorBidi"/>
          <w:sz w:val="24"/>
          <w:szCs w:val="24"/>
          <w:vertAlign w:val="subscript"/>
        </w:rPr>
        <w:t>s</w:t>
      </w:r>
      <w:r w:rsidRPr="00741202">
        <w:rPr>
          <w:rFonts w:asciiTheme="majorBidi" w:hAnsiTheme="majorBidi" w:cstheme="majorBidi"/>
          <w:sz w:val="24"/>
          <w:szCs w:val="24"/>
        </w:rPr>
        <w:t>. The identified dependencies were classified as: |r</w:t>
      </w:r>
      <w:r w:rsidRPr="00741202">
        <w:rPr>
          <w:rFonts w:asciiTheme="majorBidi" w:hAnsiTheme="majorBidi" w:cstheme="majorBidi"/>
          <w:sz w:val="24"/>
          <w:szCs w:val="24"/>
          <w:vertAlign w:val="subscript"/>
        </w:rPr>
        <w:t>s</w:t>
      </w:r>
      <w:r w:rsidRPr="00741202">
        <w:rPr>
          <w:rFonts w:asciiTheme="majorBidi" w:hAnsiTheme="majorBidi" w:cstheme="majorBidi"/>
          <w:sz w:val="24"/>
          <w:szCs w:val="24"/>
        </w:rPr>
        <w:t>| &lt; 0.4 “weak”, 0.4 ≤ |r</w:t>
      </w:r>
      <w:r w:rsidRPr="00741202">
        <w:rPr>
          <w:rFonts w:asciiTheme="majorBidi" w:hAnsiTheme="majorBidi" w:cstheme="majorBidi"/>
          <w:sz w:val="24"/>
          <w:szCs w:val="24"/>
          <w:vertAlign w:val="subscript"/>
        </w:rPr>
        <w:t>s</w:t>
      </w:r>
      <w:r w:rsidRPr="00741202">
        <w:rPr>
          <w:rFonts w:asciiTheme="majorBidi" w:hAnsiTheme="majorBidi" w:cstheme="majorBidi"/>
          <w:sz w:val="24"/>
          <w:szCs w:val="24"/>
        </w:rPr>
        <w:t>| &lt; 0.6 “moderate” and |r</w:t>
      </w:r>
      <w:r w:rsidRPr="00741202">
        <w:rPr>
          <w:rFonts w:asciiTheme="majorBidi" w:hAnsiTheme="majorBidi" w:cstheme="majorBidi"/>
          <w:sz w:val="24"/>
          <w:szCs w:val="24"/>
          <w:vertAlign w:val="subscript"/>
        </w:rPr>
        <w:t>s</w:t>
      </w:r>
      <w:r w:rsidRPr="00741202">
        <w:rPr>
          <w:rFonts w:asciiTheme="majorBidi" w:hAnsiTheme="majorBidi" w:cstheme="majorBidi"/>
          <w:sz w:val="24"/>
          <w:szCs w:val="24"/>
        </w:rPr>
        <w:t xml:space="preserve">| ≥ 0.6 “strong”, for a significance level of 5%. </w:t>
      </w:r>
    </w:p>
    <w:p w14:paraId="5ECF9F5E" w14:textId="77777777" w:rsidR="004B5C22" w:rsidRDefault="004B5C22" w:rsidP="004B5C22">
      <w:pPr>
        <w:spacing w:after="0"/>
        <w:jc w:val="both"/>
        <w:rPr>
          <w:rFonts w:asciiTheme="majorBidi" w:hAnsiTheme="majorBidi" w:cstheme="majorBidi"/>
          <w:sz w:val="24"/>
          <w:szCs w:val="24"/>
        </w:rPr>
      </w:pPr>
    </w:p>
    <w:p w14:paraId="30DA6807" w14:textId="2A96FEB7" w:rsidR="00152AF7" w:rsidRPr="00BD4F0B" w:rsidRDefault="00152AF7">
      <w:pPr>
        <w:rPr>
          <w:rFonts w:asciiTheme="majorBidi" w:hAnsiTheme="majorBidi" w:cstheme="majorBidi"/>
          <w:b/>
          <w:bCs/>
          <w:sz w:val="24"/>
          <w:szCs w:val="24"/>
        </w:rPr>
      </w:pPr>
      <w:r w:rsidRPr="00BD4F0B">
        <w:rPr>
          <w:rFonts w:asciiTheme="majorBidi" w:hAnsiTheme="majorBidi" w:cstheme="majorBidi"/>
          <w:b/>
          <w:bCs/>
          <w:sz w:val="24"/>
          <w:szCs w:val="24"/>
        </w:rPr>
        <w:lastRenderedPageBreak/>
        <w:t>RESULTS</w:t>
      </w:r>
      <w:r w:rsidR="00507E87">
        <w:rPr>
          <w:rFonts w:asciiTheme="majorBidi" w:hAnsiTheme="majorBidi" w:cstheme="majorBidi"/>
          <w:b/>
          <w:bCs/>
          <w:sz w:val="24"/>
          <w:szCs w:val="24"/>
        </w:rPr>
        <w:t xml:space="preserve"> AND DISCUSSION</w:t>
      </w:r>
    </w:p>
    <w:p w14:paraId="44D0C0BC" w14:textId="77777777" w:rsidR="00741202" w:rsidRPr="00741202" w:rsidRDefault="00741202" w:rsidP="00741202">
      <w:pPr>
        <w:rPr>
          <w:rFonts w:asciiTheme="majorBidi" w:hAnsiTheme="majorBidi" w:cstheme="majorBidi"/>
          <w:sz w:val="24"/>
          <w:szCs w:val="24"/>
        </w:rPr>
      </w:pPr>
      <w:r w:rsidRPr="00741202">
        <w:rPr>
          <w:rFonts w:asciiTheme="majorBidi" w:hAnsiTheme="majorBidi" w:cstheme="majorBidi"/>
          <w:sz w:val="24"/>
          <w:szCs w:val="24"/>
        </w:rPr>
        <w:t xml:space="preserve">The average values of the complexity indicators and corresponding standard deviation for the head and neck HT plans were: MF 2.096 ± 0.175, %LOT&lt; 100 ms 27.792 ± 3.571, %LOT &gt; pT-20 ms 8.658 ± 3.746, LOTV 0.931 ± 0.010, PSTV 5.406 ± 0.729 and MI 10.726 ± 0.895. </w:t>
      </w:r>
    </w:p>
    <w:p w14:paraId="177EBE32" w14:textId="77777777" w:rsidR="00741202" w:rsidRPr="00741202" w:rsidRDefault="00741202" w:rsidP="00741202">
      <w:pPr>
        <w:rPr>
          <w:rFonts w:asciiTheme="majorBidi" w:hAnsiTheme="majorBidi" w:cstheme="majorBidi"/>
          <w:sz w:val="24"/>
          <w:szCs w:val="24"/>
        </w:rPr>
      </w:pPr>
      <w:r w:rsidRPr="00741202">
        <w:rPr>
          <w:rFonts w:asciiTheme="majorBidi" w:hAnsiTheme="majorBidi" w:cstheme="majorBidi"/>
          <w:sz w:val="24"/>
          <w:szCs w:val="24"/>
        </w:rPr>
        <w:t xml:space="preserve">All plans were considered clinically deliverable, with an average passing rate of 98.6 ± 1.0 % (3%/3 mm, 10% TH) for the entire group. The use of more stringent criteria for gamma analysis, resulted in a wider spread in the obtained passing rates, as expected. </w:t>
      </w:r>
    </w:p>
    <w:p w14:paraId="3A9B1CF2" w14:textId="308B0073" w:rsidR="00741202" w:rsidRPr="00741202" w:rsidRDefault="00741202" w:rsidP="00741202">
      <w:pPr>
        <w:rPr>
          <w:rFonts w:asciiTheme="majorBidi" w:hAnsiTheme="majorBidi" w:cstheme="majorBidi"/>
          <w:sz w:val="24"/>
          <w:szCs w:val="24"/>
        </w:rPr>
      </w:pPr>
      <w:r w:rsidRPr="00741202">
        <w:rPr>
          <w:rFonts w:asciiTheme="majorBidi" w:hAnsiTheme="majorBidi" w:cstheme="majorBidi"/>
          <w:sz w:val="24"/>
          <w:szCs w:val="24"/>
        </w:rPr>
        <w:t xml:space="preserve">Only weak associations have been identified between the complexity indicators and the verification results, regardless the adopted criteria, as can be seen in Table 1. </w:t>
      </w:r>
    </w:p>
    <w:p w14:paraId="6BB23CDD" w14:textId="77777777" w:rsidR="00741202" w:rsidRPr="00CF05E5" w:rsidRDefault="00741202" w:rsidP="00741202">
      <w:pPr>
        <w:rPr>
          <w:rFonts w:asciiTheme="majorBidi" w:hAnsiTheme="majorBidi" w:cstheme="majorBidi"/>
          <w:i/>
          <w:sz w:val="24"/>
          <w:szCs w:val="24"/>
        </w:rPr>
      </w:pPr>
      <w:r w:rsidRPr="00CF05E5">
        <w:rPr>
          <w:rFonts w:asciiTheme="majorBidi" w:hAnsiTheme="majorBidi" w:cstheme="majorBidi"/>
          <w:i/>
          <w:sz w:val="24"/>
          <w:szCs w:val="24"/>
        </w:rPr>
        <w:t>Table 1 – Correlation coefficients (r</w:t>
      </w:r>
      <w:r w:rsidRPr="00CF05E5">
        <w:rPr>
          <w:rFonts w:asciiTheme="majorBidi" w:hAnsiTheme="majorBidi" w:cstheme="majorBidi"/>
          <w:i/>
          <w:sz w:val="24"/>
          <w:szCs w:val="24"/>
          <w:vertAlign w:val="subscript"/>
        </w:rPr>
        <w:t>s</w:t>
      </w:r>
      <w:r w:rsidRPr="00CF05E5">
        <w:rPr>
          <w:rFonts w:asciiTheme="majorBidi" w:hAnsiTheme="majorBidi" w:cstheme="majorBidi"/>
          <w:i/>
          <w:sz w:val="24"/>
          <w:szCs w:val="24"/>
        </w:rPr>
        <w:t xml:space="preserve">) between the gamma passing rates for various criteria and the complexity indicators for the HT plans. Correlations were considered statistically significant for a p-value (p-val) &lt; 0.05, in bold. </w:t>
      </w:r>
    </w:p>
    <w:tbl>
      <w:tblPr>
        <w:tblStyle w:val="TabelaSimples2"/>
        <w:tblW w:w="8984" w:type="dxa"/>
        <w:tblLayout w:type="fixed"/>
        <w:tblLook w:val="04A0" w:firstRow="1" w:lastRow="0" w:firstColumn="1" w:lastColumn="0" w:noHBand="0" w:noVBand="1"/>
      </w:tblPr>
      <w:tblGrid>
        <w:gridCol w:w="1757"/>
        <w:gridCol w:w="868"/>
        <w:gridCol w:w="875"/>
        <w:gridCol w:w="953"/>
        <w:gridCol w:w="875"/>
        <w:gridCol w:w="953"/>
        <w:gridCol w:w="875"/>
        <w:gridCol w:w="953"/>
        <w:gridCol w:w="875"/>
      </w:tblGrid>
      <w:tr w:rsidR="004250A2" w:rsidRPr="00CF05E5" w14:paraId="5B8CD369" w14:textId="77777777" w:rsidTr="004250A2">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757" w:type="dxa"/>
            <w:noWrap/>
            <w:vAlign w:val="center"/>
            <w:hideMark/>
          </w:tcPr>
          <w:p w14:paraId="03748C38" w14:textId="77777777" w:rsidR="0087765E" w:rsidRPr="004250A2" w:rsidRDefault="0087765E" w:rsidP="00EF11F0">
            <w:pPr>
              <w:jc w:val="center"/>
              <w:rPr>
                <w:rFonts w:ascii="Times New Roman" w:eastAsia="Times New Roman" w:hAnsi="Times New Roman" w:cs="Times New Roman"/>
                <w:sz w:val="20"/>
                <w:szCs w:val="20"/>
                <w:lang w:eastAsia="pt-PT"/>
              </w:rPr>
            </w:pPr>
          </w:p>
        </w:tc>
        <w:tc>
          <w:tcPr>
            <w:tcW w:w="1743" w:type="dxa"/>
            <w:gridSpan w:val="2"/>
            <w:noWrap/>
            <w:vAlign w:val="center"/>
            <w:hideMark/>
          </w:tcPr>
          <w:p w14:paraId="2933FB64" w14:textId="77777777" w:rsidR="0087765E" w:rsidRPr="004250A2" w:rsidRDefault="0087765E" w:rsidP="00EF11F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3%3 mm 10%TH</w:t>
            </w:r>
          </w:p>
        </w:tc>
        <w:tc>
          <w:tcPr>
            <w:tcW w:w="1828" w:type="dxa"/>
            <w:gridSpan w:val="2"/>
            <w:noWrap/>
            <w:vAlign w:val="center"/>
            <w:hideMark/>
          </w:tcPr>
          <w:p w14:paraId="4A3FE3E6" w14:textId="77777777" w:rsidR="0087765E" w:rsidRPr="004250A2" w:rsidRDefault="0087765E" w:rsidP="00EF11F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3%2 mm 10%TH</w:t>
            </w:r>
          </w:p>
        </w:tc>
        <w:tc>
          <w:tcPr>
            <w:tcW w:w="1828" w:type="dxa"/>
            <w:gridSpan w:val="2"/>
            <w:noWrap/>
            <w:vAlign w:val="center"/>
            <w:hideMark/>
          </w:tcPr>
          <w:p w14:paraId="1016CDB8" w14:textId="77777777" w:rsidR="0087765E" w:rsidRPr="004250A2" w:rsidRDefault="0087765E" w:rsidP="00EF11F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2%2 mm 10%TH</w:t>
            </w:r>
          </w:p>
        </w:tc>
        <w:tc>
          <w:tcPr>
            <w:tcW w:w="1828" w:type="dxa"/>
            <w:gridSpan w:val="2"/>
            <w:noWrap/>
            <w:vAlign w:val="center"/>
            <w:hideMark/>
          </w:tcPr>
          <w:p w14:paraId="55DEB32E" w14:textId="77777777" w:rsidR="0087765E" w:rsidRPr="004250A2" w:rsidRDefault="0087765E" w:rsidP="00EF11F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2%1 mm 10%TH</w:t>
            </w:r>
          </w:p>
        </w:tc>
      </w:tr>
      <w:tr w:rsidR="0087765E" w:rsidRPr="00CF05E5" w14:paraId="3DD4553C" w14:textId="77777777" w:rsidTr="004250A2">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757" w:type="dxa"/>
            <w:noWrap/>
            <w:vAlign w:val="center"/>
            <w:hideMark/>
          </w:tcPr>
          <w:p w14:paraId="44974BF8" w14:textId="77777777" w:rsidR="0087765E" w:rsidRPr="004250A2" w:rsidRDefault="0087765E" w:rsidP="00EF11F0">
            <w:pPr>
              <w:jc w:val="center"/>
              <w:rPr>
                <w:rFonts w:ascii="Times New Roman" w:eastAsia="Times New Roman" w:hAnsi="Times New Roman" w:cs="Times New Roman"/>
                <w:color w:val="000000"/>
                <w:sz w:val="20"/>
                <w:szCs w:val="20"/>
                <w:lang w:eastAsia="pt-PT"/>
              </w:rPr>
            </w:pPr>
          </w:p>
        </w:tc>
        <w:tc>
          <w:tcPr>
            <w:tcW w:w="868" w:type="dxa"/>
            <w:noWrap/>
            <w:vAlign w:val="center"/>
            <w:hideMark/>
          </w:tcPr>
          <w:p w14:paraId="7B4A475A" w14:textId="77777777" w:rsidR="0087765E" w:rsidRPr="004250A2" w:rsidRDefault="0087765E" w:rsidP="00EF11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pt-PT"/>
              </w:rPr>
            </w:pPr>
            <w:r w:rsidRPr="004250A2">
              <w:rPr>
                <w:rFonts w:ascii="Times New Roman" w:eastAsia="Arial" w:hAnsi="Times New Roman" w:cs="Times New Roman"/>
                <w:color w:val="000000" w:themeColor="text1"/>
                <w:sz w:val="20"/>
                <w:szCs w:val="20"/>
              </w:rPr>
              <w:t>r</w:t>
            </w:r>
            <w:r w:rsidRPr="004250A2">
              <w:rPr>
                <w:rFonts w:ascii="Times New Roman" w:eastAsia="Arial" w:hAnsi="Times New Roman" w:cs="Times New Roman"/>
                <w:color w:val="000000" w:themeColor="text1"/>
                <w:sz w:val="20"/>
                <w:szCs w:val="20"/>
                <w:vertAlign w:val="subscript"/>
              </w:rPr>
              <w:t>s</w:t>
            </w:r>
          </w:p>
        </w:tc>
        <w:tc>
          <w:tcPr>
            <w:tcW w:w="875" w:type="dxa"/>
            <w:noWrap/>
            <w:vAlign w:val="center"/>
            <w:hideMark/>
          </w:tcPr>
          <w:p w14:paraId="6BA034DD" w14:textId="77777777" w:rsidR="0087765E" w:rsidRPr="004250A2" w:rsidRDefault="0087765E" w:rsidP="00EF11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p-val</w:t>
            </w:r>
          </w:p>
        </w:tc>
        <w:tc>
          <w:tcPr>
            <w:tcW w:w="953" w:type="dxa"/>
            <w:noWrap/>
            <w:vAlign w:val="center"/>
            <w:hideMark/>
          </w:tcPr>
          <w:p w14:paraId="7C18F526" w14:textId="77777777" w:rsidR="0087765E" w:rsidRPr="004250A2" w:rsidRDefault="0087765E" w:rsidP="00EF11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Arial" w:hAnsi="Times New Roman" w:cs="Times New Roman"/>
                <w:color w:val="000000" w:themeColor="text1"/>
                <w:sz w:val="20"/>
                <w:szCs w:val="20"/>
              </w:rPr>
              <w:t>r</w:t>
            </w:r>
            <w:r w:rsidRPr="004250A2">
              <w:rPr>
                <w:rFonts w:ascii="Times New Roman" w:eastAsia="Arial" w:hAnsi="Times New Roman" w:cs="Times New Roman"/>
                <w:color w:val="000000" w:themeColor="text1"/>
                <w:sz w:val="20"/>
                <w:szCs w:val="20"/>
                <w:vertAlign w:val="subscript"/>
              </w:rPr>
              <w:t>s</w:t>
            </w:r>
          </w:p>
        </w:tc>
        <w:tc>
          <w:tcPr>
            <w:tcW w:w="875" w:type="dxa"/>
            <w:noWrap/>
            <w:vAlign w:val="center"/>
            <w:hideMark/>
          </w:tcPr>
          <w:p w14:paraId="64819E2D" w14:textId="77777777" w:rsidR="0087765E" w:rsidRPr="004250A2" w:rsidRDefault="0087765E" w:rsidP="00EF11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p-val</w:t>
            </w:r>
          </w:p>
        </w:tc>
        <w:tc>
          <w:tcPr>
            <w:tcW w:w="953" w:type="dxa"/>
            <w:noWrap/>
            <w:vAlign w:val="center"/>
            <w:hideMark/>
          </w:tcPr>
          <w:p w14:paraId="5B9E096D" w14:textId="77777777" w:rsidR="0087765E" w:rsidRPr="004250A2" w:rsidRDefault="0087765E" w:rsidP="00EF11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Arial" w:hAnsi="Times New Roman" w:cs="Times New Roman"/>
                <w:color w:val="000000" w:themeColor="text1"/>
                <w:sz w:val="20"/>
                <w:szCs w:val="20"/>
              </w:rPr>
              <w:t>r</w:t>
            </w:r>
            <w:r w:rsidRPr="004250A2">
              <w:rPr>
                <w:rFonts w:ascii="Times New Roman" w:eastAsia="Arial" w:hAnsi="Times New Roman" w:cs="Times New Roman"/>
                <w:color w:val="000000" w:themeColor="text1"/>
                <w:sz w:val="20"/>
                <w:szCs w:val="20"/>
                <w:vertAlign w:val="subscript"/>
              </w:rPr>
              <w:t>s</w:t>
            </w:r>
          </w:p>
        </w:tc>
        <w:tc>
          <w:tcPr>
            <w:tcW w:w="875" w:type="dxa"/>
            <w:noWrap/>
            <w:vAlign w:val="center"/>
            <w:hideMark/>
          </w:tcPr>
          <w:p w14:paraId="58DC75B6" w14:textId="77777777" w:rsidR="0087765E" w:rsidRPr="004250A2" w:rsidRDefault="0087765E" w:rsidP="00EF11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p-val</w:t>
            </w:r>
          </w:p>
        </w:tc>
        <w:tc>
          <w:tcPr>
            <w:tcW w:w="953" w:type="dxa"/>
            <w:noWrap/>
            <w:vAlign w:val="center"/>
            <w:hideMark/>
          </w:tcPr>
          <w:p w14:paraId="1C9C9C2A" w14:textId="77777777" w:rsidR="0087765E" w:rsidRPr="004250A2" w:rsidRDefault="0087765E" w:rsidP="00EF11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Arial" w:hAnsi="Times New Roman" w:cs="Times New Roman"/>
                <w:color w:val="000000" w:themeColor="text1"/>
                <w:sz w:val="20"/>
                <w:szCs w:val="20"/>
              </w:rPr>
              <w:t>r</w:t>
            </w:r>
            <w:r w:rsidRPr="004250A2">
              <w:rPr>
                <w:rFonts w:ascii="Times New Roman" w:eastAsia="Arial" w:hAnsi="Times New Roman" w:cs="Times New Roman"/>
                <w:color w:val="000000" w:themeColor="text1"/>
                <w:sz w:val="20"/>
                <w:szCs w:val="20"/>
                <w:vertAlign w:val="subscript"/>
              </w:rPr>
              <w:t>s</w:t>
            </w:r>
          </w:p>
        </w:tc>
        <w:tc>
          <w:tcPr>
            <w:tcW w:w="875" w:type="dxa"/>
            <w:noWrap/>
            <w:vAlign w:val="center"/>
            <w:hideMark/>
          </w:tcPr>
          <w:p w14:paraId="3F1FB0F4" w14:textId="77777777" w:rsidR="0087765E" w:rsidRPr="004250A2" w:rsidRDefault="0087765E" w:rsidP="00EF11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p-val</w:t>
            </w:r>
          </w:p>
        </w:tc>
      </w:tr>
      <w:tr w:rsidR="0087765E" w:rsidRPr="00CF05E5" w14:paraId="3BE9220F" w14:textId="77777777" w:rsidTr="004250A2">
        <w:trPr>
          <w:trHeight w:val="327"/>
        </w:trPr>
        <w:tc>
          <w:tcPr>
            <w:cnfStyle w:val="001000000000" w:firstRow="0" w:lastRow="0" w:firstColumn="1" w:lastColumn="0" w:oddVBand="0" w:evenVBand="0" w:oddHBand="0" w:evenHBand="0" w:firstRowFirstColumn="0" w:firstRowLastColumn="0" w:lastRowFirstColumn="0" w:lastRowLastColumn="0"/>
            <w:tcW w:w="1757" w:type="dxa"/>
            <w:noWrap/>
            <w:vAlign w:val="center"/>
            <w:hideMark/>
          </w:tcPr>
          <w:p w14:paraId="15D6BB69" w14:textId="77777777" w:rsidR="0087765E" w:rsidRPr="004250A2" w:rsidRDefault="0087765E" w:rsidP="00EF11F0">
            <w:pPr>
              <w:rPr>
                <w:rFonts w:ascii="Times New Roman" w:eastAsia="Times New Roman" w:hAnsi="Times New Roman" w:cs="Times New Roman"/>
                <w:b w:val="0"/>
                <w:color w:val="000000"/>
                <w:sz w:val="20"/>
                <w:szCs w:val="20"/>
                <w:lang w:eastAsia="pt-PT"/>
              </w:rPr>
            </w:pPr>
            <w:r w:rsidRPr="004250A2">
              <w:rPr>
                <w:rFonts w:ascii="Times New Roman" w:eastAsia="Times New Roman" w:hAnsi="Times New Roman" w:cs="Times New Roman"/>
                <w:b w:val="0"/>
                <w:color w:val="000000"/>
                <w:sz w:val="20"/>
                <w:szCs w:val="20"/>
                <w:lang w:eastAsia="pt-PT"/>
              </w:rPr>
              <w:t>MF</w:t>
            </w:r>
          </w:p>
        </w:tc>
        <w:tc>
          <w:tcPr>
            <w:tcW w:w="868" w:type="dxa"/>
            <w:noWrap/>
            <w:vAlign w:val="center"/>
            <w:hideMark/>
          </w:tcPr>
          <w:p w14:paraId="69E07219" w14:textId="77777777" w:rsidR="0087765E" w:rsidRPr="004250A2" w:rsidRDefault="0087765E" w:rsidP="00EF11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0.102</w:t>
            </w:r>
          </w:p>
        </w:tc>
        <w:tc>
          <w:tcPr>
            <w:tcW w:w="875" w:type="dxa"/>
            <w:noWrap/>
            <w:vAlign w:val="center"/>
            <w:hideMark/>
          </w:tcPr>
          <w:p w14:paraId="628629CF" w14:textId="77777777" w:rsidR="0087765E" w:rsidRPr="004250A2" w:rsidRDefault="0087765E" w:rsidP="00EF11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0.312</w:t>
            </w:r>
          </w:p>
        </w:tc>
        <w:tc>
          <w:tcPr>
            <w:tcW w:w="953" w:type="dxa"/>
            <w:noWrap/>
            <w:vAlign w:val="center"/>
            <w:hideMark/>
          </w:tcPr>
          <w:p w14:paraId="4FFEC649" w14:textId="77777777" w:rsidR="0087765E" w:rsidRPr="004250A2" w:rsidRDefault="0087765E" w:rsidP="00EF11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0.059</w:t>
            </w:r>
          </w:p>
        </w:tc>
        <w:tc>
          <w:tcPr>
            <w:tcW w:w="875" w:type="dxa"/>
            <w:noWrap/>
            <w:vAlign w:val="center"/>
            <w:hideMark/>
          </w:tcPr>
          <w:p w14:paraId="7C09C16C" w14:textId="77777777" w:rsidR="0087765E" w:rsidRPr="004250A2" w:rsidRDefault="0087765E" w:rsidP="00EF11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0.562</w:t>
            </w:r>
          </w:p>
        </w:tc>
        <w:tc>
          <w:tcPr>
            <w:tcW w:w="953" w:type="dxa"/>
            <w:noWrap/>
            <w:vAlign w:val="center"/>
          </w:tcPr>
          <w:p w14:paraId="1D4E4373" w14:textId="77777777" w:rsidR="0087765E" w:rsidRPr="004250A2" w:rsidRDefault="0087765E" w:rsidP="00EF11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-0.072</w:t>
            </w:r>
          </w:p>
        </w:tc>
        <w:tc>
          <w:tcPr>
            <w:tcW w:w="875" w:type="dxa"/>
            <w:noWrap/>
            <w:vAlign w:val="center"/>
            <w:hideMark/>
          </w:tcPr>
          <w:p w14:paraId="5E7E45F4" w14:textId="77777777" w:rsidR="0087765E" w:rsidRPr="004250A2" w:rsidRDefault="0087765E" w:rsidP="00EF11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0.474</w:t>
            </w:r>
          </w:p>
        </w:tc>
        <w:tc>
          <w:tcPr>
            <w:tcW w:w="953" w:type="dxa"/>
            <w:noWrap/>
            <w:vAlign w:val="center"/>
            <w:hideMark/>
          </w:tcPr>
          <w:p w14:paraId="2D4E7DCE" w14:textId="77777777" w:rsidR="0087765E" w:rsidRPr="004250A2" w:rsidRDefault="0087765E" w:rsidP="00EF11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-0.111</w:t>
            </w:r>
          </w:p>
        </w:tc>
        <w:tc>
          <w:tcPr>
            <w:tcW w:w="875" w:type="dxa"/>
            <w:noWrap/>
            <w:vAlign w:val="center"/>
          </w:tcPr>
          <w:p w14:paraId="373D0B59" w14:textId="77777777" w:rsidR="0087765E" w:rsidRPr="004250A2" w:rsidRDefault="0087765E" w:rsidP="00EF11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0.271</w:t>
            </w:r>
          </w:p>
        </w:tc>
      </w:tr>
      <w:tr w:rsidR="0087765E" w:rsidRPr="00CF05E5" w14:paraId="0DD4C12D" w14:textId="77777777" w:rsidTr="004250A2">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757" w:type="dxa"/>
            <w:noWrap/>
            <w:vAlign w:val="center"/>
            <w:hideMark/>
          </w:tcPr>
          <w:p w14:paraId="79CC7349" w14:textId="77777777" w:rsidR="0087765E" w:rsidRPr="004250A2" w:rsidRDefault="0087765E" w:rsidP="00EF11F0">
            <w:pPr>
              <w:rPr>
                <w:rFonts w:ascii="Times New Roman" w:eastAsia="Times New Roman" w:hAnsi="Times New Roman" w:cs="Times New Roman"/>
                <w:b w:val="0"/>
                <w:color w:val="000000"/>
                <w:sz w:val="20"/>
                <w:szCs w:val="20"/>
                <w:lang w:eastAsia="pt-PT"/>
              </w:rPr>
            </w:pPr>
            <w:r w:rsidRPr="004250A2">
              <w:rPr>
                <w:rFonts w:ascii="Times New Roman" w:eastAsia="Times New Roman" w:hAnsi="Times New Roman" w:cs="Times New Roman"/>
                <w:b w:val="0"/>
                <w:color w:val="000000"/>
                <w:sz w:val="20"/>
                <w:szCs w:val="20"/>
                <w:lang w:eastAsia="pt-PT"/>
              </w:rPr>
              <w:t>%LOT &lt; 100 ms</w:t>
            </w:r>
          </w:p>
        </w:tc>
        <w:tc>
          <w:tcPr>
            <w:tcW w:w="868" w:type="dxa"/>
            <w:noWrap/>
            <w:vAlign w:val="center"/>
            <w:hideMark/>
          </w:tcPr>
          <w:p w14:paraId="336FAF8E" w14:textId="77777777" w:rsidR="0087765E" w:rsidRPr="004250A2" w:rsidRDefault="0087765E" w:rsidP="00EF11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-0.193</w:t>
            </w:r>
          </w:p>
        </w:tc>
        <w:tc>
          <w:tcPr>
            <w:tcW w:w="875" w:type="dxa"/>
            <w:noWrap/>
            <w:vAlign w:val="center"/>
          </w:tcPr>
          <w:p w14:paraId="5EAEB420" w14:textId="77777777" w:rsidR="0087765E" w:rsidRPr="004250A2" w:rsidRDefault="0087765E" w:rsidP="00EF11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0.054</w:t>
            </w:r>
          </w:p>
        </w:tc>
        <w:tc>
          <w:tcPr>
            <w:tcW w:w="953" w:type="dxa"/>
            <w:noWrap/>
            <w:vAlign w:val="center"/>
          </w:tcPr>
          <w:p w14:paraId="6F410BC9" w14:textId="77777777" w:rsidR="0087765E" w:rsidRPr="004250A2" w:rsidRDefault="0087765E" w:rsidP="00EF11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-0.193</w:t>
            </w:r>
          </w:p>
        </w:tc>
        <w:tc>
          <w:tcPr>
            <w:tcW w:w="875" w:type="dxa"/>
            <w:noWrap/>
            <w:vAlign w:val="center"/>
          </w:tcPr>
          <w:p w14:paraId="2D6E07E5" w14:textId="77777777" w:rsidR="0087765E" w:rsidRPr="004250A2" w:rsidRDefault="0087765E" w:rsidP="00EF11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0.055</w:t>
            </w:r>
          </w:p>
        </w:tc>
        <w:tc>
          <w:tcPr>
            <w:tcW w:w="953" w:type="dxa"/>
            <w:noWrap/>
            <w:vAlign w:val="center"/>
          </w:tcPr>
          <w:p w14:paraId="7131A8FD" w14:textId="77777777" w:rsidR="0087765E" w:rsidRPr="004250A2" w:rsidRDefault="0087765E" w:rsidP="00EF11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-0.003</w:t>
            </w:r>
          </w:p>
        </w:tc>
        <w:tc>
          <w:tcPr>
            <w:tcW w:w="875" w:type="dxa"/>
            <w:noWrap/>
            <w:vAlign w:val="center"/>
          </w:tcPr>
          <w:p w14:paraId="192CF915" w14:textId="77777777" w:rsidR="0087765E" w:rsidRPr="004250A2" w:rsidRDefault="0087765E" w:rsidP="00EF11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0.973</w:t>
            </w:r>
          </w:p>
        </w:tc>
        <w:tc>
          <w:tcPr>
            <w:tcW w:w="953" w:type="dxa"/>
            <w:noWrap/>
            <w:vAlign w:val="center"/>
          </w:tcPr>
          <w:p w14:paraId="6D5C682D" w14:textId="77777777" w:rsidR="0087765E" w:rsidRPr="004250A2" w:rsidRDefault="0087765E" w:rsidP="00EF11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-0.022</w:t>
            </w:r>
          </w:p>
        </w:tc>
        <w:tc>
          <w:tcPr>
            <w:tcW w:w="875" w:type="dxa"/>
            <w:noWrap/>
            <w:vAlign w:val="center"/>
          </w:tcPr>
          <w:p w14:paraId="0D15867A" w14:textId="77777777" w:rsidR="0087765E" w:rsidRPr="004250A2" w:rsidRDefault="0087765E" w:rsidP="00EF11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0.831</w:t>
            </w:r>
          </w:p>
        </w:tc>
      </w:tr>
      <w:tr w:rsidR="0087765E" w:rsidRPr="00CF05E5" w14:paraId="51BE0D93" w14:textId="77777777" w:rsidTr="004250A2">
        <w:trPr>
          <w:trHeight w:val="327"/>
        </w:trPr>
        <w:tc>
          <w:tcPr>
            <w:cnfStyle w:val="001000000000" w:firstRow="0" w:lastRow="0" w:firstColumn="1" w:lastColumn="0" w:oddVBand="0" w:evenVBand="0" w:oddHBand="0" w:evenHBand="0" w:firstRowFirstColumn="0" w:firstRowLastColumn="0" w:lastRowFirstColumn="0" w:lastRowLastColumn="0"/>
            <w:tcW w:w="1757" w:type="dxa"/>
            <w:noWrap/>
            <w:vAlign w:val="center"/>
            <w:hideMark/>
          </w:tcPr>
          <w:p w14:paraId="3603A06F" w14:textId="105B5F15" w:rsidR="0087765E" w:rsidRPr="004250A2" w:rsidRDefault="004250A2" w:rsidP="00EF11F0">
            <w:pPr>
              <w:rPr>
                <w:rFonts w:ascii="Times New Roman" w:eastAsia="Times New Roman" w:hAnsi="Times New Roman" w:cs="Times New Roman"/>
                <w:b w:val="0"/>
                <w:color w:val="000000"/>
                <w:sz w:val="20"/>
                <w:szCs w:val="20"/>
                <w:lang w:eastAsia="pt-PT"/>
              </w:rPr>
            </w:pPr>
            <w:r>
              <w:rPr>
                <w:rFonts w:ascii="Times New Roman" w:eastAsia="Times New Roman" w:hAnsi="Times New Roman" w:cs="Times New Roman"/>
                <w:b w:val="0"/>
                <w:color w:val="000000"/>
                <w:sz w:val="20"/>
                <w:szCs w:val="20"/>
                <w:lang w:eastAsia="pt-PT"/>
              </w:rPr>
              <w:t xml:space="preserve">%LOT &gt; </w:t>
            </w:r>
            <w:r w:rsidR="0087765E" w:rsidRPr="004250A2">
              <w:rPr>
                <w:rFonts w:ascii="Times New Roman" w:eastAsia="Times New Roman" w:hAnsi="Times New Roman" w:cs="Times New Roman"/>
                <w:b w:val="0"/>
                <w:color w:val="000000"/>
                <w:sz w:val="20"/>
                <w:szCs w:val="20"/>
                <w:lang w:eastAsia="pt-PT"/>
              </w:rPr>
              <w:t>pT-20 ms</w:t>
            </w:r>
          </w:p>
        </w:tc>
        <w:tc>
          <w:tcPr>
            <w:tcW w:w="868" w:type="dxa"/>
            <w:noWrap/>
            <w:vAlign w:val="center"/>
            <w:hideMark/>
          </w:tcPr>
          <w:p w14:paraId="442E87EF" w14:textId="77777777" w:rsidR="0087765E" w:rsidRPr="004250A2" w:rsidRDefault="0087765E" w:rsidP="00EF11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-0.272</w:t>
            </w:r>
          </w:p>
        </w:tc>
        <w:tc>
          <w:tcPr>
            <w:tcW w:w="875" w:type="dxa"/>
            <w:noWrap/>
            <w:vAlign w:val="center"/>
          </w:tcPr>
          <w:p w14:paraId="4821ABD9" w14:textId="77777777" w:rsidR="0087765E" w:rsidRPr="004250A2" w:rsidRDefault="0087765E" w:rsidP="00EF11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pt-PT"/>
              </w:rPr>
            </w:pPr>
            <w:r w:rsidRPr="004250A2">
              <w:rPr>
                <w:rFonts w:ascii="Times New Roman" w:eastAsia="Times New Roman" w:hAnsi="Times New Roman" w:cs="Times New Roman"/>
                <w:b/>
                <w:color w:val="000000"/>
                <w:sz w:val="20"/>
                <w:szCs w:val="20"/>
                <w:lang w:eastAsia="pt-PT"/>
              </w:rPr>
              <w:t>0.006</w:t>
            </w:r>
          </w:p>
        </w:tc>
        <w:tc>
          <w:tcPr>
            <w:tcW w:w="953" w:type="dxa"/>
            <w:noWrap/>
            <w:vAlign w:val="center"/>
          </w:tcPr>
          <w:p w14:paraId="4ECA7D5F" w14:textId="77777777" w:rsidR="0087765E" w:rsidRPr="004250A2" w:rsidRDefault="0087765E" w:rsidP="00EF11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-0.245</w:t>
            </w:r>
          </w:p>
        </w:tc>
        <w:tc>
          <w:tcPr>
            <w:tcW w:w="875" w:type="dxa"/>
            <w:noWrap/>
            <w:vAlign w:val="center"/>
          </w:tcPr>
          <w:p w14:paraId="493881AC" w14:textId="77777777" w:rsidR="0087765E" w:rsidRPr="004250A2" w:rsidRDefault="0087765E" w:rsidP="00EF11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pt-PT"/>
              </w:rPr>
            </w:pPr>
            <w:r w:rsidRPr="004250A2">
              <w:rPr>
                <w:rFonts w:ascii="Times New Roman" w:eastAsia="Times New Roman" w:hAnsi="Times New Roman" w:cs="Times New Roman"/>
                <w:b/>
                <w:color w:val="000000"/>
                <w:sz w:val="20"/>
                <w:szCs w:val="20"/>
                <w:lang w:eastAsia="pt-PT"/>
              </w:rPr>
              <w:t>0.014</w:t>
            </w:r>
          </w:p>
        </w:tc>
        <w:tc>
          <w:tcPr>
            <w:tcW w:w="953" w:type="dxa"/>
            <w:noWrap/>
            <w:vAlign w:val="center"/>
          </w:tcPr>
          <w:p w14:paraId="17D38D5C" w14:textId="77777777" w:rsidR="0087765E" w:rsidRPr="004250A2" w:rsidRDefault="0087765E" w:rsidP="00EF11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-0.075</w:t>
            </w:r>
          </w:p>
        </w:tc>
        <w:tc>
          <w:tcPr>
            <w:tcW w:w="875" w:type="dxa"/>
            <w:noWrap/>
            <w:vAlign w:val="center"/>
          </w:tcPr>
          <w:p w14:paraId="29E2CF26" w14:textId="77777777" w:rsidR="0087765E" w:rsidRPr="004250A2" w:rsidRDefault="0087765E" w:rsidP="00EF11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0.459</w:t>
            </w:r>
          </w:p>
        </w:tc>
        <w:tc>
          <w:tcPr>
            <w:tcW w:w="953" w:type="dxa"/>
            <w:noWrap/>
            <w:vAlign w:val="center"/>
          </w:tcPr>
          <w:p w14:paraId="7D31BEA4" w14:textId="77777777" w:rsidR="0087765E" w:rsidRPr="004250A2" w:rsidRDefault="0087765E" w:rsidP="00EF11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-0.044</w:t>
            </w:r>
          </w:p>
        </w:tc>
        <w:tc>
          <w:tcPr>
            <w:tcW w:w="875" w:type="dxa"/>
            <w:noWrap/>
            <w:vAlign w:val="center"/>
          </w:tcPr>
          <w:p w14:paraId="786B919C" w14:textId="77777777" w:rsidR="0087765E" w:rsidRPr="004250A2" w:rsidRDefault="0087765E" w:rsidP="00EF11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0.661</w:t>
            </w:r>
          </w:p>
        </w:tc>
      </w:tr>
      <w:tr w:rsidR="0087765E" w:rsidRPr="00CF05E5" w14:paraId="48B37395" w14:textId="77777777" w:rsidTr="004250A2">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757" w:type="dxa"/>
            <w:noWrap/>
            <w:vAlign w:val="center"/>
            <w:hideMark/>
          </w:tcPr>
          <w:p w14:paraId="031B9CA5" w14:textId="77777777" w:rsidR="0087765E" w:rsidRPr="004250A2" w:rsidRDefault="0087765E" w:rsidP="00EF11F0">
            <w:pPr>
              <w:rPr>
                <w:rFonts w:ascii="Times New Roman" w:eastAsia="Times New Roman" w:hAnsi="Times New Roman" w:cs="Times New Roman"/>
                <w:b w:val="0"/>
                <w:color w:val="000000"/>
                <w:sz w:val="20"/>
                <w:szCs w:val="20"/>
                <w:lang w:eastAsia="pt-PT"/>
              </w:rPr>
            </w:pPr>
            <w:r w:rsidRPr="004250A2">
              <w:rPr>
                <w:rFonts w:ascii="Times New Roman" w:eastAsia="Times New Roman" w:hAnsi="Times New Roman" w:cs="Times New Roman"/>
                <w:b w:val="0"/>
                <w:color w:val="000000"/>
                <w:sz w:val="20"/>
                <w:szCs w:val="20"/>
                <w:lang w:eastAsia="pt-PT"/>
              </w:rPr>
              <w:t>LOTV</w:t>
            </w:r>
          </w:p>
        </w:tc>
        <w:tc>
          <w:tcPr>
            <w:tcW w:w="868" w:type="dxa"/>
            <w:noWrap/>
            <w:vAlign w:val="center"/>
            <w:hideMark/>
          </w:tcPr>
          <w:p w14:paraId="55550A0E" w14:textId="77777777" w:rsidR="0087765E" w:rsidRPr="004250A2" w:rsidRDefault="0087765E" w:rsidP="00EF11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0.366</w:t>
            </w:r>
          </w:p>
        </w:tc>
        <w:tc>
          <w:tcPr>
            <w:tcW w:w="875" w:type="dxa"/>
            <w:noWrap/>
            <w:vAlign w:val="center"/>
          </w:tcPr>
          <w:p w14:paraId="3A6FAA0F" w14:textId="77777777" w:rsidR="0087765E" w:rsidRPr="004250A2" w:rsidRDefault="0087765E" w:rsidP="00EF11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pt-PT"/>
              </w:rPr>
            </w:pPr>
            <w:r w:rsidRPr="004250A2">
              <w:rPr>
                <w:rFonts w:ascii="Times New Roman" w:eastAsia="Times New Roman" w:hAnsi="Times New Roman" w:cs="Times New Roman"/>
                <w:b/>
                <w:color w:val="000000"/>
                <w:sz w:val="20"/>
                <w:szCs w:val="20"/>
                <w:lang w:eastAsia="pt-PT"/>
              </w:rPr>
              <w:t>0.000</w:t>
            </w:r>
          </w:p>
        </w:tc>
        <w:tc>
          <w:tcPr>
            <w:tcW w:w="953" w:type="dxa"/>
            <w:noWrap/>
            <w:vAlign w:val="center"/>
          </w:tcPr>
          <w:p w14:paraId="68DBCC4D" w14:textId="77777777" w:rsidR="0087765E" w:rsidRPr="004250A2" w:rsidRDefault="0087765E" w:rsidP="00EF11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0.346</w:t>
            </w:r>
          </w:p>
        </w:tc>
        <w:tc>
          <w:tcPr>
            <w:tcW w:w="875" w:type="dxa"/>
            <w:noWrap/>
            <w:vAlign w:val="center"/>
          </w:tcPr>
          <w:p w14:paraId="5339916B" w14:textId="77777777" w:rsidR="0087765E" w:rsidRPr="004250A2" w:rsidRDefault="0087765E" w:rsidP="00EF11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pt-PT"/>
              </w:rPr>
            </w:pPr>
            <w:r w:rsidRPr="004250A2">
              <w:rPr>
                <w:rFonts w:ascii="Times New Roman" w:eastAsia="Times New Roman" w:hAnsi="Times New Roman" w:cs="Times New Roman"/>
                <w:b/>
                <w:color w:val="000000"/>
                <w:sz w:val="20"/>
                <w:szCs w:val="20"/>
                <w:lang w:eastAsia="pt-PT"/>
              </w:rPr>
              <w:t>0.000</w:t>
            </w:r>
          </w:p>
        </w:tc>
        <w:tc>
          <w:tcPr>
            <w:tcW w:w="953" w:type="dxa"/>
            <w:noWrap/>
            <w:vAlign w:val="center"/>
          </w:tcPr>
          <w:p w14:paraId="628CA1D7" w14:textId="77777777" w:rsidR="0087765E" w:rsidRPr="004250A2" w:rsidRDefault="0087765E" w:rsidP="00EF11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0.178</w:t>
            </w:r>
          </w:p>
        </w:tc>
        <w:tc>
          <w:tcPr>
            <w:tcW w:w="875" w:type="dxa"/>
            <w:noWrap/>
            <w:vAlign w:val="center"/>
          </w:tcPr>
          <w:p w14:paraId="4829AB7E" w14:textId="77777777" w:rsidR="0087765E" w:rsidRPr="004250A2" w:rsidRDefault="0087765E" w:rsidP="00EF11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0.076</w:t>
            </w:r>
          </w:p>
        </w:tc>
        <w:tc>
          <w:tcPr>
            <w:tcW w:w="953" w:type="dxa"/>
            <w:noWrap/>
            <w:vAlign w:val="center"/>
          </w:tcPr>
          <w:p w14:paraId="01A4DA51" w14:textId="77777777" w:rsidR="0087765E" w:rsidRPr="004250A2" w:rsidRDefault="0087765E" w:rsidP="00EF11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0.154</w:t>
            </w:r>
          </w:p>
        </w:tc>
        <w:tc>
          <w:tcPr>
            <w:tcW w:w="875" w:type="dxa"/>
            <w:noWrap/>
            <w:vAlign w:val="center"/>
          </w:tcPr>
          <w:p w14:paraId="2C580B3A" w14:textId="77777777" w:rsidR="0087765E" w:rsidRPr="004250A2" w:rsidRDefault="0087765E" w:rsidP="00EF11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0.125</w:t>
            </w:r>
          </w:p>
        </w:tc>
      </w:tr>
      <w:tr w:rsidR="0087765E" w:rsidRPr="00CF05E5" w14:paraId="1DDE12BA" w14:textId="77777777" w:rsidTr="004250A2">
        <w:trPr>
          <w:trHeight w:val="327"/>
        </w:trPr>
        <w:tc>
          <w:tcPr>
            <w:cnfStyle w:val="001000000000" w:firstRow="0" w:lastRow="0" w:firstColumn="1" w:lastColumn="0" w:oddVBand="0" w:evenVBand="0" w:oddHBand="0" w:evenHBand="0" w:firstRowFirstColumn="0" w:firstRowLastColumn="0" w:lastRowFirstColumn="0" w:lastRowLastColumn="0"/>
            <w:tcW w:w="1757" w:type="dxa"/>
            <w:noWrap/>
            <w:vAlign w:val="center"/>
          </w:tcPr>
          <w:p w14:paraId="2765F35C" w14:textId="77777777" w:rsidR="0087765E" w:rsidRPr="004250A2" w:rsidRDefault="0087765E" w:rsidP="00EF11F0">
            <w:pPr>
              <w:rPr>
                <w:rFonts w:ascii="Times New Roman" w:eastAsia="Times New Roman" w:hAnsi="Times New Roman" w:cs="Times New Roman"/>
                <w:b w:val="0"/>
                <w:color w:val="000000"/>
                <w:sz w:val="20"/>
                <w:szCs w:val="20"/>
                <w:lang w:eastAsia="pt-PT"/>
              </w:rPr>
            </w:pPr>
            <w:r w:rsidRPr="004250A2">
              <w:rPr>
                <w:rFonts w:ascii="Times New Roman" w:eastAsia="Times New Roman" w:hAnsi="Times New Roman" w:cs="Times New Roman"/>
                <w:b w:val="0"/>
                <w:color w:val="000000"/>
                <w:sz w:val="20"/>
                <w:szCs w:val="20"/>
                <w:lang w:eastAsia="pt-PT"/>
              </w:rPr>
              <w:t>PSTV</w:t>
            </w:r>
          </w:p>
        </w:tc>
        <w:tc>
          <w:tcPr>
            <w:tcW w:w="868" w:type="dxa"/>
            <w:noWrap/>
            <w:vAlign w:val="center"/>
          </w:tcPr>
          <w:p w14:paraId="0D35D283" w14:textId="77777777" w:rsidR="0087765E" w:rsidRPr="004250A2" w:rsidRDefault="0087765E" w:rsidP="00EF11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-0.347</w:t>
            </w:r>
          </w:p>
        </w:tc>
        <w:tc>
          <w:tcPr>
            <w:tcW w:w="875" w:type="dxa"/>
            <w:noWrap/>
            <w:vAlign w:val="center"/>
          </w:tcPr>
          <w:p w14:paraId="64D9A702" w14:textId="77777777" w:rsidR="0087765E" w:rsidRPr="004250A2" w:rsidRDefault="0087765E" w:rsidP="00EF11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pt-PT"/>
              </w:rPr>
            </w:pPr>
            <w:r w:rsidRPr="004250A2">
              <w:rPr>
                <w:rFonts w:ascii="Times New Roman" w:eastAsia="Times New Roman" w:hAnsi="Times New Roman" w:cs="Times New Roman"/>
                <w:b/>
                <w:color w:val="000000"/>
                <w:sz w:val="20"/>
                <w:szCs w:val="20"/>
                <w:lang w:eastAsia="pt-PT"/>
              </w:rPr>
              <w:t>0.000</w:t>
            </w:r>
          </w:p>
        </w:tc>
        <w:tc>
          <w:tcPr>
            <w:tcW w:w="953" w:type="dxa"/>
            <w:noWrap/>
            <w:vAlign w:val="center"/>
          </w:tcPr>
          <w:p w14:paraId="0CE8D324" w14:textId="77777777" w:rsidR="0087765E" w:rsidRPr="004250A2" w:rsidRDefault="0087765E" w:rsidP="00EF11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-0.337</w:t>
            </w:r>
          </w:p>
        </w:tc>
        <w:tc>
          <w:tcPr>
            <w:tcW w:w="875" w:type="dxa"/>
            <w:noWrap/>
            <w:vAlign w:val="center"/>
          </w:tcPr>
          <w:p w14:paraId="5AF8D6A1" w14:textId="77777777" w:rsidR="0087765E" w:rsidRPr="004250A2" w:rsidRDefault="0087765E" w:rsidP="00EF11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pt-PT"/>
              </w:rPr>
            </w:pPr>
            <w:r w:rsidRPr="004250A2">
              <w:rPr>
                <w:rFonts w:ascii="Times New Roman" w:eastAsia="Times New Roman" w:hAnsi="Times New Roman" w:cs="Times New Roman"/>
                <w:b/>
                <w:color w:val="000000"/>
                <w:sz w:val="20"/>
                <w:szCs w:val="20"/>
                <w:lang w:eastAsia="pt-PT"/>
              </w:rPr>
              <w:t>0.001</w:t>
            </w:r>
          </w:p>
        </w:tc>
        <w:tc>
          <w:tcPr>
            <w:tcW w:w="953" w:type="dxa"/>
            <w:noWrap/>
            <w:vAlign w:val="center"/>
          </w:tcPr>
          <w:p w14:paraId="174ED46E" w14:textId="77777777" w:rsidR="0087765E" w:rsidRPr="004250A2" w:rsidRDefault="0087765E" w:rsidP="00EF11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-0.139</w:t>
            </w:r>
          </w:p>
        </w:tc>
        <w:tc>
          <w:tcPr>
            <w:tcW w:w="875" w:type="dxa"/>
            <w:noWrap/>
            <w:vAlign w:val="center"/>
          </w:tcPr>
          <w:p w14:paraId="46382FB1" w14:textId="77777777" w:rsidR="0087765E" w:rsidRPr="004250A2" w:rsidRDefault="0087765E" w:rsidP="00EF11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0.169</w:t>
            </w:r>
          </w:p>
        </w:tc>
        <w:tc>
          <w:tcPr>
            <w:tcW w:w="953" w:type="dxa"/>
            <w:noWrap/>
            <w:vAlign w:val="center"/>
          </w:tcPr>
          <w:p w14:paraId="748A67D3" w14:textId="77777777" w:rsidR="0087765E" w:rsidRPr="004250A2" w:rsidRDefault="0087765E" w:rsidP="00EF11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-0.128</w:t>
            </w:r>
          </w:p>
        </w:tc>
        <w:tc>
          <w:tcPr>
            <w:tcW w:w="875" w:type="dxa"/>
            <w:noWrap/>
            <w:vAlign w:val="center"/>
          </w:tcPr>
          <w:p w14:paraId="7CBDF146" w14:textId="77777777" w:rsidR="0087765E" w:rsidRPr="004250A2" w:rsidRDefault="0087765E" w:rsidP="00EF11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0.206</w:t>
            </w:r>
          </w:p>
        </w:tc>
      </w:tr>
      <w:tr w:rsidR="0087765E" w:rsidRPr="00CF05E5" w14:paraId="4942F7C9" w14:textId="77777777" w:rsidTr="004250A2">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757" w:type="dxa"/>
            <w:noWrap/>
            <w:vAlign w:val="center"/>
          </w:tcPr>
          <w:p w14:paraId="6B812CA1" w14:textId="77777777" w:rsidR="0087765E" w:rsidRPr="004250A2" w:rsidRDefault="0087765E" w:rsidP="00EF11F0">
            <w:pPr>
              <w:rPr>
                <w:rFonts w:ascii="Times New Roman" w:eastAsia="Times New Roman" w:hAnsi="Times New Roman" w:cs="Times New Roman"/>
                <w:b w:val="0"/>
                <w:color w:val="000000"/>
                <w:sz w:val="20"/>
                <w:szCs w:val="20"/>
                <w:lang w:eastAsia="pt-PT"/>
              </w:rPr>
            </w:pPr>
            <w:r w:rsidRPr="004250A2">
              <w:rPr>
                <w:rFonts w:ascii="Times New Roman" w:eastAsia="Times New Roman" w:hAnsi="Times New Roman" w:cs="Times New Roman"/>
                <w:b w:val="0"/>
                <w:color w:val="000000"/>
                <w:sz w:val="20"/>
                <w:szCs w:val="20"/>
                <w:lang w:eastAsia="pt-PT"/>
              </w:rPr>
              <w:t>MI</w:t>
            </w:r>
          </w:p>
        </w:tc>
        <w:tc>
          <w:tcPr>
            <w:tcW w:w="868" w:type="dxa"/>
            <w:noWrap/>
            <w:vAlign w:val="center"/>
          </w:tcPr>
          <w:p w14:paraId="559A0C21" w14:textId="77777777" w:rsidR="0087765E" w:rsidRPr="004250A2" w:rsidRDefault="0087765E" w:rsidP="00EF11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-0.157</w:t>
            </w:r>
          </w:p>
        </w:tc>
        <w:tc>
          <w:tcPr>
            <w:tcW w:w="875" w:type="dxa"/>
            <w:noWrap/>
            <w:vAlign w:val="center"/>
          </w:tcPr>
          <w:p w14:paraId="11D040B5" w14:textId="77777777" w:rsidR="0087765E" w:rsidRPr="004250A2" w:rsidRDefault="0087765E" w:rsidP="00EF11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0.119</w:t>
            </w:r>
          </w:p>
        </w:tc>
        <w:tc>
          <w:tcPr>
            <w:tcW w:w="953" w:type="dxa"/>
            <w:noWrap/>
            <w:vAlign w:val="center"/>
          </w:tcPr>
          <w:p w14:paraId="7D4F16BF" w14:textId="77777777" w:rsidR="0087765E" w:rsidRPr="004250A2" w:rsidRDefault="0087765E" w:rsidP="00EF11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-0.162</w:t>
            </w:r>
          </w:p>
        </w:tc>
        <w:tc>
          <w:tcPr>
            <w:tcW w:w="875" w:type="dxa"/>
            <w:noWrap/>
            <w:vAlign w:val="center"/>
          </w:tcPr>
          <w:p w14:paraId="5E28AA07" w14:textId="77777777" w:rsidR="0087765E" w:rsidRPr="004250A2" w:rsidRDefault="0087765E" w:rsidP="00EF11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0.108</w:t>
            </w:r>
          </w:p>
        </w:tc>
        <w:tc>
          <w:tcPr>
            <w:tcW w:w="953" w:type="dxa"/>
            <w:noWrap/>
            <w:vAlign w:val="center"/>
          </w:tcPr>
          <w:p w14:paraId="590FA622" w14:textId="77777777" w:rsidR="0087765E" w:rsidRPr="004250A2" w:rsidRDefault="0087765E" w:rsidP="00EF11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-0.070</w:t>
            </w:r>
          </w:p>
        </w:tc>
        <w:tc>
          <w:tcPr>
            <w:tcW w:w="875" w:type="dxa"/>
            <w:noWrap/>
            <w:vAlign w:val="center"/>
          </w:tcPr>
          <w:p w14:paraId="48654D27" w14:textId="77777777" w:rsidR="0087765E" w:rsidRPr="004250A2" w:rsidRDefault="0087765E" w:rsidP="00EF11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0.487</w:t>
            </w:r>
          </w:p>
        </w:tc>
        <w:tc>
          <w:tcPr>
            <w:tcW w:w="953" w:type="dxa"/>
            <w:noWrap/>
            <w:vAlign w:val="center"/>
          </w:tcPr>
          <w:p w14:paraId="714DB319" w14:textId="77777777" w:rsidR="0087765E" w:rsidRPr="004250A2" w:rsidRDefault="0087765E" w:rsidP="00EF11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-0.103</w:t>
            </w:r>
          </w:p>
        </w:tc>
        <w:tc>
          <w:tcPr>
            <w:tcW w:w="875" w:type="dxa"/>
            <w:noWrap/>
            <w:vAlign w:val="center"/>
          </w:tcPr>
          <w:p w14:paraId="4CDCAF6E" w14:textId="77777777" w:rsidR="0087765E" w:rsidRPr="004250A2" w:rsidRDefault="0087765E" w:rsidP="00EF11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PT"/>
              </w:rPr>
            </w:pPr>
            <w:r w:rsidRPr="004250A2">
              <w:rPr>
                <w:rFonts w:ascii="Times New Roman" w:eastAsia="Times New Roman" w:hAnsi="Times New Roman" w:cs="Times New Roman"/>
                <w:color w:val="000000"/>
                <w:sz w:val="20"/>
                <w:szCs w:val="20"/>
                <w:lang w:eastAsia="pt-PT"/>
              </w:rPr>
              <w:t>0.306</w:t>
            </w:r>
          </w:p>
        </w:tc>
      </w:tr>
    </w:tbl>
    <w:p w14:paraId="58ED29D8" w14:textId="64ECF99D" w:rsidR="0087765E" w:rsidRDefault="00741202" w:rsidP="004B5C22">
      <w:pPr>
        <w:spacing w:before="200" w:after="0"/>
        <w:jc w:val="both"/>
        <w:rPr>
          <w:rFonts w:asciiTheme="majorBidi" w:hAnsiTheme="majorBidi" w:cstheme="majorBidi"/>
          <w:sz w:val="24"/>
          <w:szCs w:val="24"/>
        </w:rPr>
      </w:pPr>
      <w:r w:rsidRPr="00741202">
        <w:rPr>
          <w:rFonts w:asciiTheme="majorBidi" w:hAnsiTheme="majorBidi" w:cstheme="majorBidi"/>
          <w:sz w:val="24"/>
          <w:szCs w:val="24"/>
        </w:rPr>
        <w:t xml:space="preserve">The lack of correlations may be explained by the homogeneity of the considered set of plans, which led to a limited variation of both the complexity indicators and the deliverability results. </w:t>
      </w:r>
    </w:p>
    <w:p w14:paraId="0FF6DBB1" w14:textId="77777777" w:rsidR="00CF05E5" w:rsidRPr="00741202" w:rsidRDefault="00CF05E5" w:rsidP="004B5C22">
      <w:pPr>
        <w:spacing w:after="0"/>
        <w:jc w:val="both"/>
        <w:rPr>
          <w:rFonts w:asciiTheme="majorBidi" w:hAnsiTheme="majorBidi" w:cstheme="majorBidi"/>
          <w:sz w:val="24"/>
          <w:szCs w:val="24"/>
        </w:rPr>
      </w:pPr>
    </w:p>
    <w:p w14:paraId="6068C737" w14:textId="571A6ACD" w:rsidR="00B458AF" w:rsidRPr="00BD4F0B" w:rsidRDefault="00B458AF">
      <w:pPr>
        <w:rPr>
          <w:rFonts w:asciiTheme="majorBidi" w:hAnsiTheme="majorBidi" w:cstheme="majorBidi"/>
          <w:b/>
          <w:bCs/>
          <w:sz w:val="24"/>
          <w:szCs w:val="24"/>
        </w:rPr>
      </w:pPr>
      <w:r w:rsidRPr="00BD4F0B">
        <w:rPr>
          <w:rFonts w:asciiTheme="majorBidi" w:hAnsiTheme="majorBidi" w:cstheme="majorBidi"/>
          <w:b/>
          <w:bCs/>
          <w:sz w:val="24"/>
          <w:szCs w:val="24"/>
        </w:rPr>
        <w:t>CONCLUSIONS</w:t>
      </w:r>
    </w:p>
    <w:p w14:paraId="58CE69EC" w14:textId="66A62FBE" w:rsidR="00CF05E5" w:rsidRDefault="00741202" w:rsidP="004B5C22">
      <w:pPr>
        <w:spacing w:after="0"/>
        <w:jc w:val="both"/>
        <w:rPr>
          <w:rFonts w:ascii="Times New Roman" w:hAnsi="Times New Roman" w:cs="Times New Roman"/>
          <w:color w:val="000000" w:themeColor="text1"/>
          <w:sz w:val="24"/>
          <w:szCs w:val="24"/>
        </w:rPr>
      </w:pPr>
      <w:r w:rsidRPr="00CF05E5">
        <w:rPr>
          <w:rFonts w:ascii="Times New Roman" w:hAnsi="Times New Roman" w:cs="Times New Roman"/>
          <w:color w:val="000000" w:themeColor="text1"/>
          <w:sz w:val="24"/>
          <w:szCs w:val="24"/>
        </w:rPr>
        <w:t xml:space="preserve">Despite the reported lack of correlations, the complexity indicators values can be taken as reference in our clinic to evaluate future plans, given that the pre-treatment QA results of the entire set included in this study were all clinically acceptable. Treatment plans with a complexity out of these limits for any of the computed metrics should be further evaluated and eventually be subjected to a more rigorous QA. </w:t>
      </w:r>
    </w:p>
    <w:p w14:paraId="726CFF6D" w14:textId="77777777" w:rsidR="004B5C22" w:rsidRDefault="004B5C22" w:rsidP="004B5C22">
      <w:pPr>
        <w:spacing w:after="0"/>
        <w:jc w:val="both"/>
        <w:rPr>
          <w:rFonts w:ascii="Times New Roman" w:hAnsi="Times New Roman" w:cs="Times New Roman"/>
          <w:color w:val="000000" w:themeColor="text1"/>
          <w:sz w:val="24"/>
          <w:szCs w:val="24"/>
        </w:rPr>
      </w:pPr>
    </w:p>
    <w:p w14:paraId="69399A03" w14:textId="77777777" w:rsidR="003D0D33" w:rsidRPr="003D0D33" w:rsidRDefault="003D0D33" w:rsidP="003D0D33">
      <w:pPr>
        <w:rPr>
          <w:rFonts w:asciiTheme="majorBidi" w:hAnsiTheme="majorBidi" w:cstheme="majorBidi"/>
          <w:b/>
          <w:bCs/>
          <w:sz w:val="24"/>
          <w:szCs w:val="24"/>
        </w:rPr>
      </w:pPr>
      <w:r w:rsidRPr="003D0D33">
        <w:rPr>
          <w:rFonts w:asciiTheme="majorBidi" w:hAnsiTheme="majorBidi" w:cstheme="majorBidi"/>
          <w:b/>
          <w:bCs/>
          <w:sz w:val="24"/>
          <w:szCs w:val="24"/>
        </w:rPr>
        <w:t>REFERENCES</w:t>
      </w:r>
    </w:p>
    <w:p w14:paraId="61D661B2" w14:textId="77777777" w:rsidR="003D0D33" w:rsidRPr="003D0D33" w:rsidRDefault="003D0D33" w:rsidP="003D0D33">
      <w:pPr>
        <w:spacing w:after="0"/>
        <w:jc w:val="both"/>
        <w:rPr>
          <w:rFonts w:ascii="Times New Roman" w:hAnsi="Times New Roman" w:cs="Times New Roman"/>
          <w:color w:val="000000" w:themeColor="text1"/>
          <w:sz w:val="24"/>
          <w:szCs w:val="24"/>
        </w:rPr>
      </w:pPr>
      <w:r w:rsidRPr="003D0D33">
        <w:rPr>
          <w:rFonts w:ascii="Times New Roman" w:hAnsi="Times New Roman" w:cs="Times New Roman"/>
          <w:color w:val="000000" w:themeColor="text1"/>
          <w:sz w:val="24"/>
          <w:szCs w:val="24"/>
        </w:rPr>
        <w:t xml:space="preserve"> [1] SANTOS, T., VENTURA, T., LOPES, M.C., Evaluation of the complexity of treatment </w:t>
      </w:r>
      <w:bookmarkStart w:id="0" w:name="_GoBack"/>
      <w:bookmarkEnd w:id="0"/>
      <w:r w:rsidRPr="003D0D33">
        <w:rPr>
          <w:rFonts w:ascii="Times New Roman" w:hAnsi="Times New Roman" w:cs="Times New Roman"/>
          <w:color w:val="000000" w:themeColor="text1"/>
          <w:sz w:val="24"/>
          <w:szCs w:val="24"/>
        </w:rPr>
        <w:t>plans from a national IMRT/VMAT audit – Towards a plan complexity score, Phys. Med. 70 (2020) 75-84.</w:t>
      </w:r>
    </w:p>
    <w:p w14:paraId="6640C8D6" w14:textId="786EC61F" w:rsidR="003D0D33" w:rsidRPr="004B5C22" w:rsidRDefault="003D0D33" w:rsidP="003D0D33">
      <w:pPr>
        <w:spacing w:after="0"/>
        <w:jc w:val="both"/>
        <w:rPr>
          <w:rFonts w:ascii="Times New Roman" w:hAnsi="Times New Roman" w:cs="Times New Roman"/>
          <w:color w:val="000000" w:themeColor="text1"/>
          <w:sz w:val="24"/>
          <w:szCs w:val="24"/>
        </w:rPr>
      </w:pPr>
      <w:r w:rsidRPr="003D0D33">
        <w:rPr>
          <w:rFonts w:ascii="Times New Roman" w:hAnsi="Times New Roman" w:cs="Times New Roman"/>
          <w:color w:val="000000" w:themeColor="text1"/>
          <w:sz w:val="24"/>
          <w:szCs w:val="24"/>
        </w:rPr>
        <w:t>[2] SANTOS, T., VENTURA, T., MATEUS, J., CAPELA, M., LOPES, M.C., On the complexity of helical tomotherapy treatment plans, J. Appl. Clin. Med. Phys. 21:7 (2020) 107-118.</w:t>
      </w:r>
    </w:p>
    <w:sectPr w:rsidR="003D0D33" w:rsidRPr="004B5C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09DBF" w14:textId="77777777" w:rsidR="00650749" w:rsidRDefault="00650749" w:rsidP="00BF48E4">
      <w:pPr>
        <w:spacing w:after="0" w:line="240" w:lineRule="auto"/>
      </w:pPr>
      <w:r>
        <w:separator/>
      </w:r>
    </w:p>
  </w:endnote>
  <w:endnote w:type="continuationSeparator" w:id="0">
    <w:p w14:paraId="4F5288E6" w14:textId="77777777" w:rsidR="00650749" w:rsidRDefault="00650749" w:rsidP="00BF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0043A" w14:textId="77777777" w:rsidR="00650749" w:rsidRDefault="00650749" w:rsidP="00BF48E4">
      <w:pPr>
        <w:spacing w:after="0" w:line="240" w:lineRule="auto"/>
      </w:pPr>
      <w:r>
        <w:separator/>
      </w:r>
    </w:p>
  </w:footnote>
  <w:footnote w:type="continuationSeparator" w:id="0">
    <w:p w14:paraId="5FA04293" w14:textId="77777777" w:rsidR="00650749" w:rsidRDefault="00650749" w:rsidP="00BF48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752DA"/>
    <w:multiLevelType w:val="hybridMultilevel"/>
    <w:tmpl w:val="20AA9396"/>
    <w:lvl w:ilvl="0" w:tplc="C1B00E2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42270EE5"/>
    <w:multiLevelType w:val="hybridMultilevel"/>
    <w:tmpl w:val="ABF8FD94"/>
    <w:lvl w:ilvl="0" w:tplc="C1B00E2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apid Comm Mass Spectro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0p9aptev9a52yesaftvpre72z9xaffxw0ez&quot;&gt;My EndNote Library&lt;record-ids&gt;&lt;item&gt;8&lt;/item&gt;&lt;/record-ids&gt;&lt;/item&gt;&lt;/Libraries&gt;"/>
  </w:docVars>
  <w:rsids>
    <w:rsidRoot w:val="003373E5"/>
    <w:rsid w:val="00052B0B"/>
    <w:rsid w:val="00067515"/>
    <w:rsid w:val="00071BF5"/>
    <w:rsid w:val="000A78B6"/>
    <w:rsid w:val="00110590"/>
    <w:rsid w:val="00111DE4"/>
    <w:rsid w:val="001443E9"/>
    <w:rsid w:val="00152AF7"/>
    <w:rsid w:val="00182AD4"/>
    <w:rsid w:val="001F2069"/>
    <w:rsid w:val="00245482"/>
    <w:rsid w:val="00276CD3"/>
    <w:rsid w:val="002853C1"/>
    <w:rsid w:val="002953CC"/>
    <w:rsid w:val="003373E5"/>
    <w:rsid w:val="0036126E"/>
    <w:rsid w:val="0039072F"/>
    <w:rsid w:val="003B315E"/>
    <w:rsid w:val="003D0D33"/>
    <w:rsid w:val="003E539F"/>
    <w:rsid w:val="004250A2"/>
    <w:rsid w:val="00427126"/>
    <w:rsid w:val="004B5C22"/>
    <w:rsid w:val="00507E87"/>
    <w:rsid w:val="00512DF8"/>
    <w:rsid w:val="00540814"/>
    <w:rsid w:val="00541539"/>
    <w:rsid w:val="005C687F"/>
    <w:rsid w:val="005F4DB6"/>
    <w:rsid w:val="0062287D"/>
    <w:rsid w:val="00650749"/>
    <w:rsid w:val="0066000D"/>
    <w:rsid w:val="00741202"/>
    <w:rsid w:val="007C0F54"/>
    <w:rsid w:val="007C488D"/>
    <w:rsid w:val="007E36D6"/>
    <w:rsid w:val="007F486D"/>
    <w:rsid w:val="0081035D"/>
    <w:rsid w:val="008137C6"/>
    <w:rsid w:val="00841E57"/>
    <w:rsid w:val="00844CD6"/>
    <w:rsid w:val="00856BA6"/>
    <w:rsid w:val="0087765E"/>
    <w:rsid w:val="008840B9"/>
    <w:rsid w:val="00B458AF"/>
    <w:rsid w:val="00BB6E76"/>
    <w:rsid w:val="00BD4F0B"/>
    <w:rsid w:val="00BF48E4"/>
    <w:rsid w:val="00C1643C"/>
    <w:rsid w:val="00C36362"/>
    <w:rsid w:val="00C645F7"/>
    <w:rsid w:val="00C8045F"/>
    <w:rsid w:val="00CC444D"/>
    <w:rsid w:val="00CD0ADE"/>
    <w:rsid w:val="00CF05E5"/>
    <w:rsid w:val="00CF4B7A"/>
    <w:rsid w:val="00D802D1"/>
    <w:rsid w:val="00D97F4C"/>
    <w:rsid w:val="00E11283"/>
    <w:rsid w:val="00E22129"/>
    <w:rsid w:val="00F2344C"/>
    <w:rsid w:val="00FA65FC"/>
    <w:rsid w:val="00FC42A8"/>
    <w:rsid w:val="00FD40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4C82B"/>
  <w15:docId w15:val="{54B0EDEB-B473-4CBC-AFC5-0FC2D462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7C0F54"/>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7C0F54"/>
    <w:rPr>
      <w:rFonts w:ascii="Tahoma" w:hAnsi="Tahoma" w:cs="Tahoma"/>
      <w:sz w:val="16"/>
      <w:szCs w:val="16"/>
      <w:lang w:val="en-US"/>
    </w:rPr>
  </w:style>
  <w:style w:type="table" w:styleId="Tabelacomgrelha">
    <w:name w:val="Table Grid"/>
    <w:basedOn w:val="Tabelanormal"/>
    <w:uiPriority w:val="59"/>
    <w:rsid w:val="007C0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7C0F54"/>
    <w:rPr>
      <w:color w:val="0000FF" w:themeColor="hyperlink"/>
      <w:u w:val="single"/>
    </w:rPr>
  </w:style>
  <w:style w:type="paragraph" w:customStyle="1" w:styleId="EndNoteBibliographyTitle">
    <w:name w:val="EndNote Bibliography Title"/>
    <w:basedOn w:val="Normal"/>
    <w:link w:val="EndNoteBibliographyTitleChar"/>
    <w:rsid w:val="00427126"/>
    <w:pPr>
      <w:spacing w:after="0"/>
      <w:jc w:val="center"/>
    </w:pPr>
    <w:rPr>
      <w:rFonts w:ascii="Calibri" w:hAnsi="Calibri"/>
      <w:noProof/>
    </w:rPr>
  </w:style>
  <w:style w:type="character" w:customStyle="1" w:styleId="EndNoteBibliographyTitleChar">
    <w:name w:val="EndNote Bibliography Title Char"/>
    <w:basedOn w:val="Tipodeletrapredefinidodopargrafo"/>
    <w:link w:val="EndNoteBibliographyTitle"/>
    <w:rsid w:val="00427126"/>
    <w:rPr>
      <w:rFonts w:ascii="Calibri" w:hAnsi="Calibri"/>
      <w:noProof/>
      <w:lang w:val="en-US"/>
    </w:rPr>
  </w:style>
  <w:style w:type="paragraph" w:customStyle="1" w:styleId="EndNoteBibliography">
    <w:name w:val="EndNote Bibliography"/>
    <w:basedOn w:val="Normal"/>
    <w:link w:val="EndNoteBibliographyChar"/>
    <w:rsid w:val="00427126"/>
    <w:pPr>
      <w:spacing w:line="240" w:lineRule="auto"/>
    </w:pPr>
    <w:rPr>
      <w:rFonts w:ascii="Calibri" w:hAnsi="Calibri"/>
      <w:noProof/>
    </w:rPr>
  </w:style>
  <w:style w:type="character" w:customStyle="1" w:styleId="EndNoteBibliographyChar">
    <w:name w:val="EndNote Bibliography Char"/>
    <w:basedOn w:val="Tipodeletrapredefinidodopargrafo"/>
    <w:link w:val="EndNoteBibliography"/>
    <w:rsid w:val="00427126"/>
    <w:rPr>
      <w:rFonts w:ascii="Calibri" w:hAnsi="Calibri"/>
      <w:noProof/>
      <w:lang w:val="en-US"/>
    </w:rPr>
  </w:style>
  <w:style w:type="character" w:customStyle="1" w:styleId="maintitle">
    <w:name w:val="maintitle"/>
    <w:basedOn w:val="Tipodeletrapredefinidodopargrafo"/>
    <w:rsid w:val="00152AF7"/>
  </w:style>
  <w:style w:type="character" w:customStyle="1" w:styleId="UnresolvedMention">
    <w:name w:val="Unresolved Mention"/>
    <w:basedOn w:val="Tipodeletrapredefinidodopargrafo"/>
    <w:uiPriority w:val="99"/>
    <w:semiHidden/>
    <w:unhideWhenUsed/>
    <w:rsid w:val="00C36362"/>
    <w:rPr>
      <w:color w:val="808080"/>
      <w:shd w:val="clear" w:color="auto" w:fill="E6E6E6"/>
    </w:rPr>
  </w:style>
  <w:style w:type="paragraph" w:styleId="Cabealho">
    <w:name w:val="header"/>
    <w:basedOn w:val="Normal"/>
    <w:link w:val="CabealhoCarter"/>
    <w:uiPriority w:val="99"/>
    <w:unhideWhenUsed/>
    <w:rsid w:val="00BF48E4"/>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BF48E4"/>
    <w:rPr>
      <w:lang w:val="en-US"/>
    </w:rPr>
  </w:style>
  <w:style w:type="paragraph" w:styleId="Rodap">
    <w:name w:val="footer"/>
    <w:basedOn w:val="Normal"/>
    <w:link w:val="RodapCarter"/>
    <w:uiPriority w:val="99"/>
    <w:unhideWhenUsed/>
    <w:rsid w:val="00BF48E4"/>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BF48E4"/>
    <w:rPr>
      <w:lang w:val="en-US"/>
    </w:rPr>
  </w:style>
  <w:style w:type="table" w:styleId="TabelaSimples2">
    <w:name w:val="Plain Table 2"/>
    <w:basedOn w:val="Tabelanormal"/>
    <w:uiPriority w:val="42"/>
    <w:rsid w:val="0074120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comGrelhaClara">
    <w:name w:val="Grid Table Light"/>
    <w:basedOn w:val="Tabelanormal"/>
    <w:uiPriority w:val="40"/>
    <w:rsid w:val="0074120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grafodaLista">
    <w:name w:val="List Paragraph"/>
    <w:basedOn w:val="Normal"/>
    <w:uiPriority w:val="34"/>
    <w:qFormat/>
    <w:rsid w:val="004B5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EF1FAD869DDF41B9E196FB0E37D4E1" ma:contentTypeVersion="10" ma:contentTypeDescription="Create a new document." ma:contentTypeScope="" ma:versionID="365fcc21c47d01c753d949b87ea5ddfa">
  <xsd:schema xmlns:xsd="http://www.w3.org/2001/XMLSchema" xmlns:xs="http://www.w3.org/2001/XMLSchema" xmlns:p="http://schemas.microsoft.com/office/2006/metadata/properties" xmlns:ns3="bec8fc7b-5ae4-48dc-9a51-93ba6ddee142" targetNamespace="http://schemas.microsoft.com/office/2006/metadata/properties" ma:root="true" ma:fieldsID="5eabfaa3c2e9035fd5de2606379603a6" ns3:_="">
    <xsd:import namespace="bec8fc7b-5ae4-48dc-9a51-93ba6ddee1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8fc7b-5ae4-48dc-9a51-93ba6ddee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71836-4857-4A9F-A3A9-04C656DCF8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4B72FF-1056-40AD-A59A-35D9DD76308E}">
  <ds:schemaRefs>
    <ds:schemaRef ds:uri="http://schemas.microsoft.com/sharepoint/v3/contenttype/forms"/>
  </ds:schemaRefs>
</ds:datastoreItem>
</file>

<file path=customXml/itemProps3.xml><?xml version="1.0" encoding="utf-8"?>
<ds:datastoreItem xmlns:ds="http://schemas.openxmlformats.org/officeDocument/2006/customXml" ds:itemID="{E28BC755-CC88-4181-84F5-ED8BD3AAD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8fc7b-5ae4-48dc-9a51-93ba6ddee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56E037-165C-478F-9F69-E70E93AAC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804</Words>
  <Characters>4347</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IAEA</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WASSENAAR, Leonard</dc:creator>
  <cp:lastModifiedBy>Utilizador do Windows</cp:lastModifiedBy>
  <cp:revision>9</cp:revision>
  <dcterms:created xsi:type="dcterms:W3CDTF">2020-11-11T12:11:00Z</dcterms:created>
  <dcterms:modified xsi:type="dcterms:W3CDTF">2020-12-17T14:50:00Z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0x010100A9EF1FAD869DDF41B9E196FB0E37D4E1</vt:lpwstr>
  </property>
</Properties>
</file>