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1C440C" w14:textId="77777777" w:rsidR="00332A0D" w:rsidRDefault="00332A0D" w:rsidP="00332A0D">
      <w:pPr>
        <w:pStyle w:val="BodyText"/>
        <w:ind w:firstLine="0"/>
        <w:jc w:val="center"/>
        <w:rPr>
          <w:b/>
          <w:sz w:val="22"/>
        </w:rPr>
      </w:pPr>
      <w:r w:rsidRPr="00F05BD7">
        <w:rPr>
          <w:b/>
          <w:sz w:val="22"/>
        </w:rPr>
        <w:t>Sample Abstracts from IPET 2015</w:t>
      </w:r>
    </w:p>
    <w:p w14:paraId="2C6B7805" w14:textId="77777777" w:rsidR="00332A0D" w:rsidRPr="00C34DA2" w:rsidRDefault="00332A0D" w:rsidP="00332A0D">
      <w:pPr>
        <w:pStyle w:val="BodyText"/>
        <w:ind w:firstLine="0"/>
        <w:jc w:val="center"/>
        <w:rPr>
          <w:sz w:val="22"/>
        </w:rPr>
      </w:pPr>
    </w:p>
    <w:p w14:paraId="31E834BB" w14:textId="77777777" w:rsidR="00332A0D" w:rsidRPr="00C34DA2" w:rsidRDefault="00332A0D" w:rsidP="00332A0D">
      <w:pPr>
        <w:pStyle w:val="BodyText"/>
        <w:ind w:firstLine="0"/>
        <w:rPr>
          <w:sz w:val="22"/>
          <w:szCs w:val="22"/>
        </w:rPr>
      </w:pPr>
      <w:r w:rsidRPr="00C34DA2">
        <w:rPr>
          <w:sz w:val="22"/>
          <w:szCs w:val="22"/>
        </w:rPr>
        <w:t>The Book of Abstracts from IPET 2015 can be found at the link below. Please feel free to browse the content:</w:t>
      </w:r>
    </w:p>
    <w:p w14:paraId="343BA667" w14:textId="77777777" w:rsidR="00332A0D" w:rsidRPr="00C34DA2" w:rsidRDefault="00332A0D" w:rsidP="00332A0D">
      <w:hyperlink r:id="rId11" w:history="1">
        <w:r w:rsidRPr="00C34DA2">
          <w:rPr>
            <w:rStyle w:val="Hyperlink"/>
          </w:rPr>
          <w:t>https://humanhealth.iaea.org/HHW/NuclearMedicine/Conferences/IPET2015/IPET2015_Book_of_Abstracts.pdf</w:t>
        </w:r>
      </w:hyperlink>
    </w:p>
    <w:p w14:paraId="6F6B874B" w14:textId="77777777" w:rsidR="00332A0D" w:rsidRPr="00C34DA2" w:rsidRDefault="00332A0D" w:rsidP="00332A0D">
      <w:pPr>
        <w:pStyle w:val="BodyText"/>
        <w:ind w:firstLine="0"/>
        <w:jc w:val="center"/>
        <w:rPr>
          <w:b/>
          <w:i/>
          <w:sz w:val="22"/>
        </w:rPr>
      </w:pPr>
    </w:p>
    <w:p w14:paraId="0B324C33" w14:textId="77777777" w:rsidR="00332A0D" w:rsidRDefault="00332A0D" w:rsidP="00332A0D">
      <w:pPr>
        <w:pStyle w:val="BodyText"/>
        <w:ind w:firstLine="0"/>
        <w:jc w:val="left"/>
      </w:pPr>
    </w:p>
    <w:p w14:paraId="23A1EF0F" w14:textId="77777777" w:rsidR="00332A0D" w:rsidRDefault="00332A0D" w:rsidP="00332A0D">
      <w:pPr>
        <w:pStyle w:val="BodyText"/>
        <w:ind w:firstLine="0"/>
        <w:jc w:val="left"/>
      </w:pPr>
      <w:bookmarkStart w:id="0" w:name="_GoBack"/>
      <w:bookmarkEnd w:id="0"/>
    </w:p>
    <w:p w14:paraId="165CE493" w14:textId="77777777" w:rsidR="00332A0D" w:rsidRDefault="00332A0D" w:rsidP="00332A0D">
      <w:pPr>
        <w:pStyle w:val="BodyText"/>
        <w:ind w:firstLine="0"/>
        <w:jc w:val="left"/>
      </w:pPr>
      <w:r>
        <w:t>Example 1:</w:t>
      </w:r>
    </w:p>
    <w:p w14:paraId="04B991E1" w14:textId="77777777" w:rsidR="00332A0D" w:rsidRDefault="00332A0D" w:rsidP="00332A0D">
      <w:pPr>
        <w:pStyle w:val="BodyText"/>
        <w:ind w:firstLine="0"/>
        <w:jc w:val="left"/>
      </w:pPr>
    </w:p>
    <w:p w14:paraId="5E1E1A3C" w14:textId="77777777" w:rsidR="00332A0D" w:rsidRPr="00F05BD7" w:rsidRDefault="00332A0D" w:rsidP="00332A0D">
      <w:pPr>
        <w:pStyle w:val="BodyText"/>
        <w:ind w:left="851" w:firstLine="0"/>
        <w:rPr>
          <w:sz w:val="24"/>
        </w:rPr>
      </w:pPr>
      <w:r w:rsidRPr="00F05BD7">
        <w:rPr>
          <w:sz w:val="24"/>
        </w:rPr>
        <w:t>Optimization of Site Planning of PET Cyclotrons Using Monte</w:t>
      </w:r>
    </w:p>
    <w:p w14:paraId="43E16429" w14:textId="77777777" w:rsidR="00332A0D" w:rsidRPr="007B14CC" w:rsidRDefault="00332A0D" w:rsidP="00332A0D">
      <w:pPr>
        <w:pStyle w:val="BodyText"/>
        <w:ind w:left="851" w:firstLine="0"/>
        <w:rPr>
          <w:sz w:val="24"/>
          <w:lang w:val="es-CO"/>
        </w:rPr>
      </w:pPr>
      <w:r w:rsidRPr="007B14CC">
        <w:rPr>
          <w:sz w:val="24"/>
          <w:lang w:val="es-CO"/>
        </w:rPr>
        <w:t xml:space="preserve">Carlo </w:t>
      </w:r>
      <w:proofErr w:type="spellStart"/>
      <w:r w:rsidRPr="007B14CC">
        <w:rPr>
          <w:sz w:val="24"/>
          <w:lang w:val="es-CO"/>
        </w:rPr>
        <w:t>Simulations</w:t>
      </w:r>
      <w:proofErr w:type="spellEnd"/>
    </w:p>
    <w:p w14:paraId="38CC561B" w14:textId="77777777" w:rsidR="00332A0D" w:rsidRPr="007B14CC" w:rsidRDefault="00332A0D" w:rsidP="00332A0D">
      <w:pPr>
        <w:pStyle w:val="BodyText"/>
        <w:ind w:left="851" w:firstLine="0"/>
        <w:rPr>
          <w:lang w:val="es-CO"/>
        </w:rPr>
      </w:pPr>
      <w:r w:rsidRPr="007B14CC">
        <w:rPr>
          <w:lang w:val="es-CO"/>
        </w:rPr>
        <w:t xml:space="preserve">M. Marengo, A. Infantino, G. Cicoria1, D. </w:t>
      </w:r>
      <w:proofErr w:type="spellStart"/>
      <w:r w:rsidRPr="007B14CC">
        <w:rPr>
          <w:lang w:val="es-CO"/>
        </w:rPr>
        <w:t>Mostacci</w:t>
      </w:r>
      <w:proofErr w:type="spellEnd"/>
    </w:p>
    <w:p w14:paraId="12102227" w14:textId="77777777" w:rsidR="00332A0D" w:rsidRPr="007B14CC" w:rsidRDefault="00332A0D" w:rsidP="00332A0D">
      <w:pPr>
        <w:pStyle w:val="BodyText"/>
        <w:ind w:left="851" w:firstLine="0"/>
        <w:rPr>
          <w:lang w:val="es-CO"/>
        </w:rPr>
      </w:pPr>
    </w:p>
    <w:p w14:paraId="0FFAEB91" w14:textId="77777777" w:rsidR="00332A0D" w:rsidRDefault="00332A0D" w:rsidP="00332A0D">
      <w:pPr>
        <w:pStyle w:val="BodyText"/>
        <w:ind w:firstLine="0"/>
      </w:pPr>
      <w:r w:rsidRPr="00F05BD7">
        <w:rPr>
          <w:b/>
        </w:rPr>
        <w:t>Background:</w:t>
      </w:r>
      <w:r>
        <w:t xml:space="preserve"> The extraordinary growth of PET during the last 10 -15 years has determined the diffusion</w:t>
      </w:r>
    </w:p>
    <w:p w14:paraId="282BD266" w14:textId="77777777" w:rsidR="00332A0D" w:rsidRDefault="00332A0D" w:rsidP="00332A0D">
      <w:pPr>
        <w:pStyle w:val="BodyText"/>
        <w:ind w:firstLine="0"/>
      </w:pPr>
      <w:r>
        <w:t>of cyclotrons for production of PET radionuclides, with still increasing number of installations and new</w:t>
      </w:r>
    </w:p>
    <w:p w14:paraId="343359CA" w14:textId="77777777" w:rsidR="00332A0D" w:rsidRDefault="00332A0D" w:rsidP="00332A0D">
      <w:pPr>
        <w:pStyle w:val="BodyText"/>
        <w:ind w:firstLine="0"/>
      </w:pPr>
      <w:r>
        <w:t>models introduced into the market. The established documents giving guidance on proper site planning,</w:t>
      </w:r>
    </w:p>
    <w:p w14:paraId="31085FD8" w14:textId="77777777" w:rsidR="00332A0D" w:rsidRDefault="00332A0D" w:rsidP="00332A0D">
      <w:pPr>
        <w:pStyle w:val="BodyText"/>
        <w:ind w:firstLine="0"/>
      </w:pPr>
      <w:r>
        <w:t>shielding and risk assessment typically refer to analytical methods for the calculation of both shielding</w:t>
      </w:r>
    </w:p>
    <w:p w14:paraId="2951A38F" w14:textId="77777777" w:rsidR="00332A0D" w:rsidRDefault="00332A0D" w:rsidP="00332A0D">
      <w:pPr>
        <w:pStyle w:val="BodyText"/>
        <w:ind w:firstLine="0"/>
      </w:pPr>
      <w:r>
        <w:t>and materials activation, considering an approximate or idealized geometry set up. These valuable but</w:t>
      </w:r>
    </w:p>
    <w:p w14:paraId="3BFC605E" w14:textId="77777777" w:rsidR="00332A0D" w:rsidRDefault="00332A0D" w:rsidP="00332A0D">
      <w:pPr>
        <w:pStyle w:val="BodyText"/>
        <w:ind w:firstLine="0"/>
      </w:pPr>
      <w:r>
        <w:t>outdated approaches can be nowadays integrated or replaced by the use of Monte Carlo (MC) simulations.</w:t>
      </w:r>
    </w:p>
    <w:p w14:paraId="5C09D18F" w14:textId="77777777" w:rsidR="00332A0D" w:rsidRDefault="00332A0D" w:rsidP="00332A0D">
      <w:pPr>
        <w:pStyle w:val="BodyText"/>
        <w:ind w:firstLine="0"/>
      </w:pPr>
      <w:r>
        <w:t>Up-to-date MC codes have now accurate libraries for transport and interactions of neutrons and charged</w:t>
      </w:r>
    </w:p>
    <w:p w14:paraId="7FB94BDD" w14:textId="77777777" w:rsidR="00332A0D" w:rsidRDefault="00332A0D" w:rsidP="00332A0D">
      <w:pPr>
        <w:pStyle w:val="BodyText"/>
        <w:ind w:firstLine="0"/>
      </w:pPr>
      <w:r>
        <w:t>particles at energies below 250 MeV, and recent computers allow the systematic use of simulations with</w:t>
      </w:r>
    </w:p>
    <w:p w14:paraId="02A0533A" w14:textId="77777777" w:rsidR="00332A0D" w:rsidRDefault="00332A0D" w:rsidP="00332A0D">
      <w:pPr>
        <w:pStyle w:val="BodyText"/>
        <w:ind w:firstLine="0"/>
      </w:pPr>
      <w:r>
        <w:t>realistic geometries and high statistical accuracy in acceptable</w:t>
      </w:r>
    </w:p>
    <w:p w14:paraId="5BA587F3" w14:textId="77777777" w:rsidR="00332A0D" w:rsidRDefault="00332A0D" w:rsidP="00332A0D">
      <w:pPr>
        <w:pStyle w:val="BodyText"/>
        <w:ind w:firstLine="0"/>
      </w:pPr>
      <w:r>
        <w:t>computational time.</w:t>
      </w:r>
    </w:p>
    <w:p w14:paraId="785D51BD" w14:textId="77777777" w:rsidR="00332A0D" w:rsidRDefault="00332A0D" w:rsidP="00332A0D">
      <w:pPr>
        <w:pStyle w:val="BodyText"/>
        <w:ind w:firstLine="0"/>
      </w:pPr>
    </w:p>
    <w:p w14:paraId="2F15B60C" w14:textId="77777777" w:rsidR="00332A0D" w:rsidRDefault="00332A0D" w:rsidP="00332A0D">
      <w:pPr>
        <w:pStyle w:val="BodyText"/>
        <w:ind w:firstLine="0"/>
      </w:pPr>
      <w:r w:rsidRPr="00F05BD7">
        <w:rPr>
          <w:b/>
        </w:rPr>
        <w:t>Methodology:</w:t>
      </w:r>
      <w:r>
        <w:t xml:space="preserve"> In our work, the MC code FLUKA has been extensively used in order to model several</w:t>
      </w:r>
    </w:p>
    <w:p w14:paraId="6EF5C3E5" w14:textId="77777777" w:rsidR="00332A0D" w:rsidRDefault="00332A0D" w:rsidP="00332A0D">
      <w:pPr>
        <w:pStyle w:val="BodyText"/>
        <w:ind w:firstLine="0"/>
      </w:pPr>
      <w:r>
        <w:t>types of cyclotron for radionuclides production; a) the General Electric PET trace (16.5 MeV); b) the ACSI</w:t>
      </w:r>
    </w:p>
    <w:p w14:paraId="65692AB7" w14:textId="77777777" w:rsidR="00332A0D" w:rsidRDefault="00332A0D" w:rsidP="00332A0D">
      <w:pPr>
        <w:pStyle w:val="BodyText"/>
        <w:ind w:firstLine="0"/>
      </w:pPr>
      <w:r>
        <w:t xml:space="preserve">TR19 (19 MeV); and c) the IBA Cyclone 70, including their </w:t>
      </w:r>
      <w:proofErr w:type="spellStart"/>
      <w:r>
        <w:t>targetry</w:t>
      </w:r>
      <w:proofErr w:type="spellEnd"/>
      <w:r>
        <w:t>. Simulations allow for accurate</w:t>
      </w:r>
    </w:p>
    <w:p w14:paraId="0E989882" w14:textId="77777777" w:rsidR="00332A0D" w:rsidRDefault="00332A0D" w:rsidP="00332A0D">
      <w:pPr>
        <w:pStyle w:val="BodyText"/>
        <w:ind w:firstLine="0"/>
      </w:pPr>
      <w:r>
        <w:t>estimation of the source term, in particular the effective dose rate distribution during irradiation of each</w:t>
      </w:r>
    </w:p>
    <w:p w14:paraId="0F1F6788" w14:textId="77777777" w:rsidR="00332A0D" w:rsidRDefault="00332A0D" w:rsidP="00332A0D">
      <w:pPr>
        <w:pStyle w:val="BodyText"/>
        <w:ind w:firstLine="0"/>
      </w:pPr>
      <w:r>
        <w:t>specific type of target material, the effective number of neutrons produced per incident proton and</w:t>
      </w:r>
    </w:p>
    <w:p w14:paraId="42D377A4" w14:textId="77777777" w:rsidR="00332A0D" w:rsidRDefault="00332A0D" w:rsidP="00332A0D">
      <w:pPr>
        <w:pStyle w:val="BodyText"/>
        <w:ind w:firstLine="0"/>
      </w:pPr>
      <w:r>
        <w:t>neutron spectral distribution; parameters that are fundamental in order to properly calculate shielding.</w:t>
      </w:r>
    </w:p>
    <w:p w14:paraId="45A1A100" w14:textId="77777777" w:rsidR="00332A0D" w:rsidRDefault="00332A0D" w:rsidP="00332A0D">
      <w:pPr>
        <w:pStyle w:val="BodyText"/>
        <w:ind w:firstLine="0"/>
      </w:pPr>
      <w:r>
        <w:t>Moreover, simulations make it possible to assess specific components of the shielding (local shielding or</w:t>
      </w:r>
    </w:p>
    <w:p w14:paraId="64AA4F58" w14:textId="77777777" w:rsidR="00332A0D" w:rsidRDefault="00332A0D" w:rsidP="00332A0D">
      <w:pPr>
        <w:pStyle w:val="BodyText"/>
        <w:ind w:firstLine="0"/>
      </w:pPr>
      <w:r>
        <w:t>additional on-purpose barriers) and the transmission of dose in ducts, mazes and doors. The activation of</w:t>
      </w:r>
    </w:p>
    <w:p w14:paraId="74B2D4B5" w14:textId="77777777" w:rsidR="00332A0D" w:rsidRDefault="00332A0D" w:rsidP="00332A0D">
      <w:pPr>
        <w:pStyle w:val="BodyText"/>
        <w:ind w:firstLine="0"/>
      </w:pPr>
      <w:r>
        <w:t>the structure of the cyclotron, of the ambient air, in particular for the production of 41Ar; of the structural</w:t>
      </w:r>
    </w:p>
    <w:p w14:paraId="0B97199F" w14:textId="77777777" w:rsidR="00332A0D" w:rsidRDefault="00332A0D" w:rsidP="00332A0D">
      <w:pPr>
        <w:pStyle w:val="BodyText"/>
        <w:ind w:firstLine="0"/>
      </w:pPr>
      <w:r>
        <w:t>walls and of the underground soil and water can be prospectively studied.</w:t>
      </w:r>
    </w:p>
    <w:p w14:paraId="3EBE9199" w14:textId="77777777" w:rsidR="00332A0D" w:rsidRDefault="00332A0D" w:rsidP="00332A0D">
      <w:pPr>
        <w:pStyle w:val="BodyText"/>
        <w:ind w:firstLine="0"/>
      </w:pPr>
    </w:p>
    <w:p w14:paraId="2FE47433" w14:textId="77777777" w:rsidR="00332A0D" w:rsidRDefault="00332A0D" w:rsidP="00332A0D">
      <w:pPr>
        <w:pStyle w:val="BodyText"/>
        <w:ind w:firstLine="0"/>
      </w:pPr>
      <w:r w:rsidRPr="00F05BD7">
        <w:rPr>
          <w:b/>
        </w:rPr>
        <w:t>Results:</w:t>
      </w:r>
      <w:r>
        <w:t xml:space="preserve"> Validation of the dose distribution around the cyclotrons PET trace and TR19 has been made</w:t>
      </w:r>
    </w:p>
    <w:p w14:paraId="6A4A854B" w14:textId="77777777" w:rsidR="00332A0D" w:rsidRDefault="00332A0D" w:rsidP="00332A0D">
      <w:pPr>
        <w:pStyle w:val="BodyText"/>
        <w:ind w:firstLine="0"/>
      </w:pPr>
      <w:r>
        <w:t>comparing predictions from the simulations with experimental measurements of neutron environmental</w:t>
      </w:r>
    </w:p>
    <w:p w14:paraId="47E87400" w14:textId="77777777" w:rsidR="00332A0D" w:rsidRDefault="00332A0D" w:rsidP="00332A0D">
      <w:pPr>
        <w:pStyle w:val="BodyText"/>
        <w:ind w:firstLine="0"/>
      </w:pPr>
      <w:r>
        <w:t>dose equivalent with TLD, bubble detectors and rem-meter. The comparison sows an excellent</w:t>
      </w:r>
    </w:p>
    <w:p w14:paraId="3BB6F11A" w14:textId="77777777" w:rsidR="00332A0D" w:rsidRDefault="00332A0D" w:rsidP="00332A0D">
      <w:pPr>
        <w:pStyle w:val="BodyText"/>
        <w:ind w:firstLine="0"/>
      </w:pPr>
      <w:r>
        <w:t>agreement, within the interval of statistical fluctuations and experimental uncertainties. The study of the</w:t>
      </w:r>
    </w:p>
    <w:p w14:paraId="744C48C3" w14:textId="77777777" w:rsidR="00332A0D" w:rsidRDefault="00332A0D" w:rsidP="00332A0D">
      <w:pPr>
        <w:pStyle w:val="BodyText"/>
        <w:ind w:firstLine="0"/>
      </w:pPr>
      <w:r>
        <w:t>dose distribution around cyclotrons was fundamental in planning new installations, in particular as</w:t>
      </w:r>
    </w:p>
    <w:p w14:paraId="2D904445" w14:textId="77777777" w:rsidR="00332A0D" w:rsidRDefault="00332A0D" w:rsidP="00332A0D">
      <w:pPr>
        <w:pStyle w:val="BodyText"/>
        <w:ind w:firstLine="0"/>
      </w:pPr>
      <w:r>
        <w:t>regards to “bad geometry” items, like ducts and wall penetrations. The estimates of 41Ar in air were</w:t>
      </w:r>
    </w:p>
    <w:p w14:paraId="1297E668" w14:textId="77777777" w:rsidR="00332A0D" w:rsidRDefault="00332A0D" w:rsidP="00332A0D">
      <w:pPr>
        <w:pStyle w:val="BodyText"/>
        <w:ind w:firstLine="0"/>
      </w:pPr>
      <w:r>
        <w:t>validated against experimental sampling and analysis by high resolution gamma ray spectrometry. Target</w:t>
      </w:r>
    </w:p>
    <w:p w14:paraId="686EE75D" w14:textId="77777777" w:rsidR="00332A0D" w:rsidRDefault="00332A0D" w:rsidP="00332A0D">
      <w:pPr>
        <w:pStyle w:val="BodyText"/>
        <w:ind w:firstLine="0"/>
      </w:pPr>
      <w:r>
        <w:t>activation studies for 18F, 89Zr and 99mTc gave results in agreement with experimental measurements</w:t>
      </w:r>
    </w:p>
    <w:p w14:paraId="01AED4D9" w14:textId="77777777" w:rsidR="00332A0D" w:rsidRDefault="00332A0D" w:rsidP="00332A0D">
      <w:pPr>
        <w:pStyle w:val="BodyText"/>
        <w:ind w:firstLine="0"/>
      </w:pPr>
      <w:r>
        <w:t>and theoretical yields.</w:t>
      </w:r>
    </w:p>
    <w:p w14:paraId="2B283830" w14:textId="77777777" w:rsidR="00332A0D" w:rsidRDefault="00332A0D" w:rsidP="00332A0D">
      <w:pPr>
        <w:pStyle w:val="BodyText"/>
        <w:ind w:firstLine="0"/>
      </w:pPr>
    </w:p>
    <w:p w14:paraId="41005B7D" w14:textId="77777777" w:rsidR="00332A0D" w:rsidRDefault="00332A0D" w:rsidP="00332A0D">
      <w:pPr>
        <w:pStyle w:val="BodyText"/>
        <w:ind w:firstLine="0"/>
      </w:pPr>
      <w:r w:rsidRPr="00F05BD7">
        <w:rPr>
          <w:b/>
        </w:rPr>
        <w:t>Conclusion:</w:t>
      </w:r>
      <w:r>
        <w:t xml:space="preserve"> MC simulations represent an up-to-date solution for relatively complex problems of</w:t>
      </w:r>
    </w:p>
    <w:p w14:paraId="45C290EB" w14:textId="77777777" w:rsidR="00332A0D" w:rsidRDefault="00332A0D" w:rsidP="00332A0D">
      <w:pPr>
        <w:pStyle w:val="BodyText"/>
        <w:ind w:firstLine="0"/>
      </w:pPr>
      <w:r>
        <w:t>estimation of the source term, in particular in the case of accelerators, assessment of shielding and</w:t>
      </w:r>
    </w:p>
    <w:p w14:paraId="543E5E49" w14:textId="77777777" w:rsidR="00332A0D" w:rsidRDefault="00332A0D" w:rsidP="00332A0D">
      <w:pPr>
        <w:pStyle w:val="BodyText"/>
        <w:ind w:firstLine="0"/>
        <w:jc w:val="left"/>
      </w:pPr>
      <w:r>
        <w:t xml:space="preserve">conditions of “bad geometry”. Computational time is affordable, with modern workstation or clusters, </w:t>
      </w:r>
      <w:r w:rsidRPr="00F05BD7">
        <w:t>giving scientists in the biomedical field a powerful tool for optimization of radiation protection.</w:t>
      </w:r>
    </w:p>
    <w:p w14:paraId="77B40B54" w14:textId="77777777" w:rsidR="00332A0D" w:rsidRDefault="00332A0D" w:rsidP="00332A0D">
      <w:pPr>
        <w:pStyle w:val="BodyText"/>
        <w:ind w:firstLine="0"/>
        <w:jc w:val="left"/>
      </w:pPr>
    </w:p>
    <w:p w14:paraId="51239C89" w14:textId="77777777" w:rsidR="00332A0D" w:rsidRDefault="00332A0D" w:rsidP="00332A0D">
      <w:pPr>
        <w:pStyle w:val="BodyText"/>
        <w:ind w:firstLine="0"/>
        <w:jc w:val="left"/>
      </w:pPr>
    </w:p>
    <w:p w14:paraId="5E3919E5" w14:textId="77777777" w:rsidR="00332A0D" w:rsidRDefault="00332A0D" w:rsidP="00332A0D">
      <w:pPr>
        <w:pStyle w:val="BodyText"/>
        <w:ind w:firstLine="0"/>
        <w:jc w:val="left"/>
      </w:pPr>
      <w:r>
        <w:lastRenderedPageBreak/>
        <w:t>Example 2:</w:t>
      </w:r>
    </w:p>
    <w:p w14:paraId="4FA35622" w14:textId="77777777" w:rsidR="00332A0D" w:rsidRDefault="00332A0D" w:rsidP="00332A0D">
      <w:pPr>
        <w:pStyle w:val="BodyText"/>
        <w:ind w:firstLine="0"/>
        <w:jc w:val="left"/>
      </w:pPr>
    </w:p>
    <w:p w14:paraId="482C3E6D" w14:textId="77777777" w:rsidR="00332A0D" w:rsidRPr="00322169" w:rsidRDefault="00332A0D" w:rsidP="00332A0D">
      <w:pPr>
        <w:pStyle w:val="BodyText"/>
        <w:rPr>
          <w:sz w:val="24"/>
        </w:rPr>
      </w:pPr>
      <w:r w:rsidRPr="00322169">
        <w:rPr>
          <w:sz w:val="24"/>
        </w:rPr>
        <w:t>Incremental Value of Routinely Including Brain as a Part of the</w:t>
      </w:r>
    </w:p>
    <w:p w14:paraId="6463C0E6" w14:textId="77777777" w:rsidR="00332A0D" w:rsidRPr="00322169" w:rsidRDefault="00332A0D" w:rsidP="00332A0D">
      <w:pPr>
        <w:pStyle w:val="BodyText"/>
        <w:rPr>
          <w:sz w:val="24"/>
        </w:rPr>
      </w:pPr>
      <w:r w:rsidRPr="00322169">
        <w:rPr>
          <w:sz w:val="24"/>
        </w:rPr>
        <w:t>Whole Body 18F-FDG PET/CT and Use of Contrast for Staging</w:t>
      </w:r>
    </w:p>
    <w:p w14:paraId="61EC2792" w14:textId="77777777" w:rsidR="00332A0D" w:rsidRPr="00322169" w:rsidRDefault="00332A0D" w:rsidP="00332A0D">
      <w:pPr>
        <w:pStyle w:val="BodyText"/>
        <w:rPr>
          <w:sz w:val="24"/>
        </w:rPr>
      </w:pPr>
      <w:r w:rsidRPr="00322169">
        <w:rPr>
          <w:sz w:val="24"/>
        </w:rPr>
        <w:t>NSCLC - Its Efficacy and Comparison with MR Imaging of Brain</w:t>
      </w:r>
    </w:p>
    <w:p w14:paraId="3BB6FB15" w14:textId="77777777" w:rsidR="00332A0D" w:rsidRPr="00322169" w:rsidRDefault="00332A0D" w:rsidP="00332A0D">
      <w:pPr>
        <w:pStyle w:val="BodyText"/>
        <w:rPr>
          <w:sz w:val="24"/>
        </w:rPr>
      </w:pPr>
      <w:r w:rsidRPr="00322169">
        <w:rPr>
          <w:sz w:val="24"/>
        </w:rPr>
        <w:t>for Detection of Asymptomatic Brain Metastases</w:t>
      </w:r>
    </w:p>
    <w:p w14:paraId="75CB35CF" w14:textId="77777777" w:rsidR="00332A0D" w:rsidRDefault="00332A0D" w:rsidP="00332A0D">
      <w:pPr>
        <w:pStyle w:val="BodyText"/>
      </w:pPr>
      <w:r>
        <w:t xml:space="preserve">S. Ray, J. Das, A. Chandra, R. </w:t>
      </w:r>
      <w:proofErr w:type="spellStart"/>
      <w:r>
        <w:t>Shrimali</w:t>
      </w:r>
      <w:proofErr w:type="spellEnd"/>
      <w:r>
        <w:t>, S. Chatterjee</w:t>
      </w:r>
    </w:p>
    <w:p w14:paraId="0FDC3698" w14:textId="77777777" w:rsidR="00332A0D" w:rsidRDefault="00332A0D" w:rsidP="00332A0D">
      <w:pPr>
        <w:pStyle w:val="BodyText"/>
      </w:pPr>
      <w:r>
        <w:t xml:space="preserve">Tata Medical </w:t>
      </w:r>
      <w:proofErr w:type="spellStart"/>
      <w:r>
        <w:t>Center</w:t>
      </w:r>
      <w:proofErr w:type="spellEnd"/>
    </w:p>
    <w:p w14:paraId="0E272A62" w14:textId="77777777" w:rsidR="00332A0D" w:rsidRDefault="00332A0D" w:rsidP="00332A0D">
      <w:pPr>
        <w:pStyle w:val="BodyText"/>
      </w:pPr>
    </w:p>
    <w:p w14:paraId="0F9197D1" w14:textId="77777777" w:rsidR="00332A0D" w:rsidRDefault="00332A0D" w:rsidP="00332A0D">
      <w:pPr>
        <w:pStyle w:val="BodyText"/>
        <w:ind w:firstLine="0"/>
      </w:pPr>
      <w:r w:rsidRPr="00B66A27">
        <w:rPr>
          <w:b/>
        </w:rPr>
        <w:t>Background:</w:t>
      </w:r>
      <w:r>
        <w:t xml:space="preserve"> Brain MRI is the accepted standard to detect asymptomatic brain metastases (ABM)</w:t>
      </w:r>
    </w:p>
    <w:p w14:paraId="5F79F8D4" w14:textId="77777777" w:rsidR="00332A0D" w:rsidRDefault="00332A0D" w:rsidP="00332A0D">
      <w:pPr>
        <w:pStyle w:val="BodyText"/>
        <w:ind w:firstLine="0"/>
      </w:pPr>
      <w:r>
        <w:t>although some centres propose the use of contrast enhanced brain CT in staging non-small cell lung</w:t>
      </w:r>
    </w:p>
    <w:p w14:paraId="654BB6ED" w14:textId="77777777" w:rsidR="00332A0D" w:rsidRDefault="00332A0D" w:rsidP="00332A0D">
      <w:pPr>
        <w:pStyle w:val="BodyText"/>
        <w:ind w:firstLine="0"/>
      </w:pPr>
      <w:r>
        <w:t>cancers (NSCLC). In most centres, staging with fluorodeoxyglucose (FDG) PET-CT protocol for NSCLC</w:t>
      </w:r>
    </w:p>
    <w:p w14:paraId="24B5A11A" w14:textId="77777777" w:rsidR="00332A0D" w:rsidRDefault="00332A0D" w:rsidP="00332A0D">
      <w:pPr>
        <w:pStyle w:val="BodyText"/>
        <w:ind w:firstLine="0"/>
      </w:pPr>
      <w:r>
        <w:t>does not include the brain. We investigated the benefit of routinely including brain CT with contrast as a</w:t>
      </w:r>
    </w:p>
    <w:p w14:paraId="66F237B6" w14:textId="77777777" w:rsidR="00332A0D" w:rsidRDefault="00332A0D" w:rsidP="00332A0D">
      <w:pPr>
        <w:pStyle w:val="BodyText"/>
        <w:ind w:firstLine="0"/>
      </w:pPr>
      <w:r>
        <w:t>part of the PET-CT staging protocol in NSCLC and compared their asymptomatic brain metastases</w:t>
      </w:r>
    </w:p>
    <w:p w14:paraId="75503614" w14:textId="77777777" w:rsidR="00332A0D" w:rsidRDefault="00332A0D" w:rsidP="00332A0D">
      <w:pPr>
        <w:pStyle w:val="BodyText"/>
        <w:ind w:firstLine="0"/>
      </w:pPr>
      <w:r>
        <w:t>detection rates to MRI.</w:t>
      </w:r>
    </w:p>
    <w:p w14:paraId="21378BDD" w14:textId="77777777" w:rsidR="00332A0D" w:rsidRDefault="00332A0D" w:rsidP="00332A0D">
      <w:pPr>
        <w:pStyle w:val="BodyText"/>
        <w:ind w:firstLine="0"/>
      </w:pPr>
    </w:p>
    <w:p w14:paraId="6AFD54A8" w14:textId="77777777" w:rsidR="00332A0D" w:rsidRDefault="00332A0D" w:rsidP="00332A0D">
      <w:pPr>
        <w:pStyle w:val="BodyText"/>
        <w:ind w:firstLine="0"/>
      </w:pPr>
      <w:r w:rsidRPr="00B66A27">
        <w:rPr>
          <w:b/>
        </w:rPr>
        <w:t>Methodology:</w:t>
      </w:r>
      <w:r>
        <w:t xml:space="preserve"> Data from the first 100 consecutive patients was retrospectively analysed. TNM staging</w:t>
      </w:r>
    </w:p>
    <w:p w14:paraId="13A593CA" w14:textId="77777777" w:rsidR="00332A0D" w:rsidRDefault="00332A0D" w:rsidP="00332A0D">
      <w:pPr>
        <w:pStyle w:val="BodyText"/>
        <w:ind w:firstLine="0"/>
      </w:pPr>
      <w:r>
        <w:t xml:space="preserve">information was tabulated. Comparison of brain image of the </w:t>
      </w:r>
      <w:proofErr w:type="gramStart"/>
      <w:r>
        <w:t>whole body</w:t>
      </w:r>
      <w:proofErr w:type="gramEnd"/>
      <w:r>
        <w:t xml:space="preserve"> PET-CT, non-contrast plain CT</w:t>
      </w:r>
    </w:p>
    <w:p w14:paraId="52236F71" w14:textId="77777777" w:rsidR="00332A0D" w:rsidRDefault="00332A0D" w:rsidP="00332A0D">
      <w:pPr>
        <w:pStyle w:val="BodyText"/>
        <w:ind w:firstLine="0"/>
      </w:pPr>
      <w:r>
        <w:t>and contrast enhanced CT (CECT) images of the brain not fused with PET and dedicated brain PET</w:t>
      </w:r>
    </w:p>
    <w:p w14:paraId="347731B2" w14:textId="77777777" w:rsidR="00332A0D" w:rsidRDefault="00332A0D" w:rsidP="00332A0D">
      <w:pPr>
        <w:pStyle w:val="BodyText"/>
        <w:ind w:firstLine="0"/>
      </w:pPr>
      <w:r>
        <w:t xml:space="preserve">images </w:t>
      </w:r>
      <w:proofErr w:type="gramStart"/>
      <w:r>
        <w:t>was</w:t>
      </w:r>
      <w:proofErr w:type="gramEnd"/>
      <w:r>
        <w:t xml:space="preserve"> performed in correlation with brain MRI.</w:t>
      </w:r>
    </w:p>
    <w:p w14:paraId="5BBA45DD" w14:textId="77777777" w:rsidR="00332A0D" w:rsidRDefault="00332A0D" w:rsidP="00332A0D">
      <w:pPr>
        <w:pStyle w:val="BodyText"/>
        <w:ind w:firstLine="0"/>
      </w:pPr>
    </w:p>
    <w:p w14:paraId="14172513" w14:textId="77777777" w:rsidR="00332A0D" w:rsidRDefault="00332A0D" w:rsidP="00332A0D">
      <w:pPr>
        <w:pStyle w:val="BodyText"/>
        <w:ind w:firstLine="0"/>
      </w:pPr>
      <w:r w:rsidRPr="00B66A27">
        <w:rPr>
          <w:b/>
        </w:rPr>
        <w:t>Results:</w:t>
      </w:r>
      <w:r>
        <w:t xml:space="preserve"> T3/T4 primary was found in 52% patients with 89.2% having N2/N3 nodal disease on PET-CT</w:t>
      </w:r>
    </w:p>
    <w:p w14:paraId="56F6120F" w14:textId="77777777" w:rsidR="00332A0D" w:rsidRDefault="00332A0D" w:rsidP="00332A0D">
      <w:pPr>
        <w:pStyle w:val="BodyText"/>
        <w:ind w:firstLine="0"/>
      </w:pPr>
      <w:r>
        <w:t>scan. 18% had ABM on MRI, 61.1% of whom had adenocarcinoma. Amongst adenocarcinoma, 72.2%</w:t>
      </w:r>
    </w:p>
    <w:p w14:paraId="391FA038" w14:textId="77777777" w:rsidR="00332A0D" w:rsidRDefault="00332A0D" w:rsidP="00332A0D">
      <w:pPr>
        <w:pStyle w:val="BodyText"/>
        <w:ind w:firstLine="0"/>
      </w:pPr>
      <w:r>
        <w:t>and 88.9% had T3, T4 lesions or N2, N3 disease respectively in the ABM group, compared to 45.1% and</w:t>
      </w:r>
    </w:p>
    <w:p w14:paraId="0D5244DC" w14:textId="77777777" w:rsidR="00332A0D" w:rsidRDefault="00332A0D" w:rsidP="00332A0D">
      <w:pPr>
        <w:pStyle w:val="BodyText"/>
        <w:ind w:firstLine="0"/>
      </w:pPr>
      <w:r>
        <w:t>64.6% in those without ABM. Similarly, in squamous cell carcinoma 100% versus 32.3% had either</w:t>
      </w:r>
    </w:p>
    <w:p w14:paraId="28286E76" w14:textId="77777777" w:rsidR="00332A0D" w:rsidRDefault="00332A0D" w:rsidP="00332A0D">
      <w:pPr>
        <w:pStyle w:val="BodyText"/>
        <w:ind w:firstLine="0"/>
      </w:pPr>
      <w:r>
        <w:t>T3/T4 and/or N2/N3 disease respectively in the ABM versus non-ABM groups. Table 1 shows the</w:t>
      </w:r>
    </w:p>
    <w:p w14:paraId="322263BC" w14:textId="77777777" w:rsidR="00332A0D" w:rsidRDefault="00332A0D" w:rsidP="00332A0D">
      <w:pPr>
        <w:pStyle w:val="BodyText"/>
        <w:ind w:firstLine="0"/>
      </w:pPr>
      <w:r>
        <w:t>differential detection of brain metastases using the various techniques: 4 of the 14 brain metastases</w:t>
      </w:r>
    </w:p>
    <w:p w14:paraId="6C58E5FB" w14:textId="77777777" w:rsidR="00332A0D" w:rsidRDefault="00332A0D" w:rsidP="00332A0D">
      <w:pPr>
        <w:pStyle w:val="BodyText"/>
        <w:ind w:firstLine="0"/>
      </w:pPr>
      <w:r>
        <w:t xml:space="preserve">detected in PET-CT had FDG avidity and in other 10 cases it was </w:t>
      </w:r>
      <w:proofErr w:type="spellStart"/>
      <w:r>
        <w:t>photopenic</w:t>
      </w:r>
      <w:proofErr w:type="spellEnd"/>
      <w:r>
        <w:t>. MRI brain detected</w:t>
      </w:r>
    </w:p>
    <w:p w14:paraId="297BC15A" w14:textId="77777777" w:rsidR="00332A0D" w:rsidRDefault="00332A0D" w:rsidP="00332A0D">
      <w:pPr>
        <w:pStyle w:val="BodyText"/>
        <w:ind w:firstLine="0"/>
      </w:pPr>
      <w:r>
        <w:t>metastases in 4 extra cases (size range 4-8mm) compared to CECT.</w:t>
      </w:r>
    </w:p>
    <w:p w14:paraId="0BB55438" w14:textId="77777777" w:rsidR="00332A0D" w:rsidRDefault="00332A0D" w:rsidP="00332A0D">
      <w:pPr>
        <w:pStyle w:val="BodyText"/>
        <w:ind w:firstLine="0"/>
      </w:pPr>
      <w:r>
        <w:t>Brain metastasis MRI PET-CT CECT PLAIN CT DEDICATED BRAIN</w:t>
      </w:r>
    </w:p>
    <w:p w14:paraId="466C9680" w14:textId="77777777" w:rsidR="00332A0D" w:rsidRDefault="00332A0D" w:rsidP="00332A0D">
      <w:pPr>
        <w:pStyle w:val="BodyText"/>
        <w:ind w:firstLine="0"/>
      </w:pPr>
      <w:r>
        <w:t>PET</w:t>
      </w:r>
    </w:p>
    <w:p w14:paraId="4ED68224" w14:textId="77777777" w:rsidR="00332A0D" w:rsidRDefault="00332A0D" w:rsidP="00332A0D">
      <w:pPr>
        <w:pStyle w:val="BodyText"/>
        <w:ind w:firstLine="0"/>
      </w:pPr>
      <w:r>
        <w:t>Present 18 14 14 9 15</w:t>
      </w:r>
    </w:p>
    <w:p w14:paraId="164B9086" w14:textId="77777777" w:rsidR="00332A0D" w:rsidRDefault="00332A0D" w:rsidP="00332A0D">
      <w:pPr>
        <w:pStyle w:val="BodyText"/>
        <w:ind w:firstLine="0"/>
      </w:pPr>
      <w:r>
        <w:t>Absent 82 86 86 91 81</w:t>
      </w:r>
    </w:p>
    <w:p w14:paraId="6BF4184E" w14:textId="77777777" w:rsidR="00332A0D" w:rsidRDefault="00332A0D" w:rsidP="00332A0D">
      <w:pPr>
        <w:pStyle w:val="BodyText"/>
        <w:ind w:firstLine="0"/>
      </w:pPr>
      <w:r>
        <w:t>Total 100 100 100 100 96</w:t>
      </w:r>
    </w:p>
    <w:p w14:paraId="0E5547F3" w14:textId="77777777" w:rsidR="00332A0D" w:rsidRDefault="00332A0D" w:rsidP="00332A0D">
      <w:pPr>
        <w:pStyle w:val="BodyText"/>
        <w:ind w:firstLine="0"/>
      </w:pPr>
      <w:r>
        <w:t>SENSITIVITY 77.8% 77.8% 50% 83%</w:t>
      </w:r>
    </w:p>
    <w:p w14:paraId="78B5E00F" w14:textId="77777777" w:rsidR="00332A0D" w:rsidRDefault="00332A0D" w:rsidP="00332A0D">
      <w:pPr>
        <w:pStyle w:val="BodyText"/>
        <w:ind w:firstLine="0"/>
      </w:pPr>
    </w:p>
    <w:p w14:paraId="746194C9" w14:textId="77777777" w:rsidR="00332A0D" w:rsidRDefault="00332A0D" w:rsidP="00332A0D">
      <w:pPr>
        <w:pStyle w:val="BodyText"/>
        <w:ind w:firstLine="0"/>
      </w:pPr>
      <w:r w:rsidRPr="00B66A27">
        <w:rPr>
          <w:b/>
        </w:rPr>
        <w:t>Conclusion:</w:t>
      </w:r>
      <w:r>
        <w:t xml:space="preserve"> Routine inclusion of brain CECT as part of FDG PET-CT protocol could detect</w:t>
      </w:r>
    </w:p>
    <w:p w14:paraId="5E95CE3E" w14:textId="77777777" w:rsidR="00332A0D" w:rsidRDefault="00332A0D" w:rsidP="00332A0D">
      <w:pPr>
        <w:pStyle w:val="BodyText"/>
        <w:ind w:firstLine="0"/>
      </w:pPr>
      <w:r>
        <w:t>asymptomatic brain metastases in 77.8% cases therefore negating the requirement of an additional brain staging MRI in NSCLC. This could enable resource optimised use of MRI staging in more advanced T/N</w:t>
      </w:r>
    </w:p>
    <w:p w14:paraId="3415F7AB" w14:textId="77777777" w:rsidR="00332A0D" w:rsidRDefault="00332A0D" w:rsidP="00332A0D">
      <w:pPr>
        <w:pStyle w:val="BodyText"/>
        <w:ind w:firstLine="0"/>
      </w:pPr>
      <w:r>
        <w:t>stages. There is no significant difference in sensitivity between CECT brain and fused PET-CT image of</w:t>
      </w:r>
    </w:p>
    <w:p w14:paraId="49CB181D" w14:textId="77777777" w:rsidR="00332A0D" w:rsidRDefault="00332A0D" w:rsidP="00332A0D">
      <w:pPr>
        <w:pStyle w:val="BodyText"/>
        <w:ind w:firstLine="0"/>
      </w:pPr>
      <w:r>
        <w:t>the brain. Non-contrast plain CT has very poor sensitivity (only 50%) for detection of brain metastasis.</w:t>
      </w:r>
    </w:p>
    <w:p w14:paraId="0F68E4D5" w14:textId="77777777" w:rsidR="00332A0D" w:rsidRDefault="00332A0D" w:rsidP="00332A0D">
      <w:pPr>
        <w:pStyle w:val="BodyText"/>
        <w:ind w:firstLine="0"/>
      </w:pPr>
      <w:r>
        <w:t>Addition of dedicated brain PET to CECT enhances the sensitivity for identification of brain metastasis to</w:t>
      </w:r>
    </w:p>
    <w:p w14:paraId="461F801E" w14:textId="77777777" w:rsidR="00332A0D" w:rsidRDefault="00332A0D" w:rsidP="00332A0D">
      <w:pPr>
        <w:pStyle w:val="BodyText"/>
        <w:ind w:firstLine="0"/>
      </w:pPr>
      <w:r>
        <w:t>83%. We recommend routine inclusion of brain in the whole-body protocol for staging with PET-CT in</w:t>
      </w:r>
    </w:p>
    <w:p w14:paraId="4182D657" w14:textId="77777777" w:rsidR="00332A0D" w:rsidRDefault="00332A0D" w:rsidP="00332A0D">
      <w:pPr>
        <w:pStyle w:val="BodyText"/>
        <w:ind w:firstLine="0"/>
      </w:pPr>
      <w:r>
        <w:t>NSCLC along with use of iodinated contrast and preferably an additional dedicated brain PET</w:t>
      </w:r>
    </w:p>
    <w:p w14:paraId="5365A078" w14:textId="77777777" w:rsidR="00332A0D" w:rsidRDefault="00332A0D" w:rsidP="00332A0D">
      <w:pPr>
        <w:pStyle w:val="BodyText"/>
        <w:ind w:firstLine="0"/>
        <w:jc w:val="left"/>
      </w:pPr>
      <w:r>
        <w:t>acquisition.</w:t>
      </w:r>
    </w:p>
    <w:p w14:paraId="7CCA05C4" w14:textId="77777777" w:rsidR="00332A0D" w:rsidRDefault="00332A0D" w:rsidP="00332A0D">
      <w:pPr>
        <w:pStyle w:val="BodyText"/>
        <w:ind w:firstLine="0"/>
        <w:jc w:val="left"/>
      </w:pPr>
    </w:p>
    <w:p w14:paraId="6D4C18CD" w14:textId="77777777" w:rsidR="00332A0D" w:rsidRDefault="00332A0D" w:rsidP="00332A0D">
      <w:pPr>
        <w:pStyle w:val="BodyText"/>
        <w:ind w:firstLine="0"/>
        <w:jc w:val="left"/>
      </w:pPr>
    </w:p>
    <w:p w14:paraId="1B606031" w14:textId="77777777" w:rsidR="00332A0D" w:rsidRDefault="00332A0D" w:rsidP="00332A0D">
      <w:pPr>
        <w:pStyle w:val="BodyText"/>
        <w:ind w:firstLine="0"/>
        <w:jc w:val="left"/>
      </w:pPr>
      <w:r>
        <w:t>Example 3:</w:t>
      </w:r>
    </w:p>
    <w:p w14:paraId="5B570B0B" w14:textId="77777777" w:rsidR="00332A0D" w:rsidRDefault="00332A0D" w:rsidP="00332A0D">
      <w:pPr>
        <w:pStyle w:val="BodyText"/>
        <w:ind w:firstLine="0"/>
        <w:jc w:val="left"/>
      </w:pPr>
    </w:p>
    <w:p w14:paraId="354F9DA2" w14:textId="77777777" w:rsidR="00332A0D" w:rsidRPr="00152129" w:rsidRDefault="00332A0D" w:rsidP="00332A0D">
      <w:pPr>
        <w:pStyle w:val="BodyText"/>
        <w:rPr>
          <w:sz w:val="24"/>
        </w:rPr>
      </w:pPr>
      <w:r w:rsidRPr="00152129">
        <w:rPr>
          <w:sz w:val="24"/>
        </w:rPr>
        <w:t>Preparation and Preliminary Biological Evaluation of Lu-177</w:t>
      </w:r>
    </w:p>
    <w:p w14:paraId="4A5F1443" w14:textId="77777777" w:rsidR="00332A0D" w:rsidRPr="00152129" w:rsidRDefault="00332A0D" w:rsidP="00332A0D">
      <w:pPr>
        <w:pStyle w:val="BodyText"/>
        <w:rPr>
          <w:sz w:val="24"/>
        </w:rPr>
      </w:pPr>
      <w:r w:rsidRPr="00152129">
        <w:rPr>
          <w:sz w:val="24"/>
        </w:rPr>
        <w:t>Labelled Somatostatin Analogue DOTA-</w:t>
      </w:r>
      <w:proofErr w:type="spellStart"/>
      <w:r w:rsidRPr="00152129">
        <w:rPr>
          <w:sz w:val="24"/>
        </w:rPr>
        <w:t>Pasireotide</w:t>
      </w:r>
      <w:proofErr w:type="spellEnd"/>
    </w:p>
    <w:p w14:paraId="3C9921F6" w14:textId="77777777" w:rsidR="00332A0D" w:rsidRPr="00152129" w:rsidRDefault="00332A0D" w:rsidP="00332A0D">
      <w:pPr>
        <w:pStyle w:val="BodyText"/>
        <w:rPr>
          <w:sz w:val="24"/>
        </w:rPr>
      </w:pPr>
      <w:r w:rsidRPr="00152129">
        <w:rPr>
          <w:sz w:val="24"/>
        </w:rPr>
        <w:t>for Tumour Imaging</w:t>
      </w:r>
    </w:p>
    <w:p w14:paraId="59B8A91E" w14:textId="77777777" w:rsidR="00332A0D" w:rsidRDefault="00332A0D" w:rsidP="00332A0D">
      <w:pPr>
        <w:pStyle w:val="BodyText"/>
      </w:pPr>
      <w:r>
        <w:t xml:space="preserve">F. Liu1, H. Zhu1, C. </w:t>
      </w:r>
      <w:proofErr w:type="spellStart"/>
      <w:proofErr w:type="gramStart"/>
      <w:r>
        <w:t>Xiong</w:t>
      </w:r>
      <w:proofErr w:type="spellEnd"/>
      <w:r>
        <w:t xml:space="preserve"> ,</w:t>
      </w:r>
      <w:proofErr w:type="gramEnd"/>
      <w:r>
        <w:t xml:space="preserve"> C. Li, Z. Yang</w:t>
      </w:r>
    </w:p>
    <w:p w14:paraId="1C3CBA12" w14:textId="77777777" w:rsidR="00332A0D" w:rsidRDefault="00332A0D" w:rsidP="00332A0D">
      <w:pPr>
        <w:pStyle w:val="BodyText"/>
      </w:pPr>
      <w:r>
        <w:lastRenderedPageBreak/>
        <w:t>Peking University Cancer Hospital</w:t>
      </w:r>
    </w:p>
    <w:p w14:paraId="60BAF3AB" w14:textId="77777777" w:rsidR="00332A0D" w:rsidRDefault="00332A0D" w:rsidP="00332A0D">
      <w:pPr>
        <w:pStyle w:val="BodyText"/>
      </w:pPr>
      <w:r>
        <w:t xml:space="preserve">The University of Texas MD Anderson Cancer </w:t>
      </w:r>
      <w:proofErr w:type="spellStart"/>
      <w:r>
        <w:t>Center</w:t>
      </w:r>
      <w:proofErr w:type="spellEnd"/>
    </w:p>
    <w:p w14:paraId="7F22CA9F" w14:textId="77777777" w:rsidR="00332A0D" w:rsidRDefault="00332A0D" w:rsidP="00332A0D">
      <w:pPr>
        <w:pStyle w:val="BodyText"/>
      </w:pPr>
    </w:p>
    <w:p w14:paraId="74C43E5A" w14:textId="77777777" w:rsidR="00332A0D" w:rsidRDefault="00332A0D" w:rsidP="00332A0D">
      <w:pPr>
        <w:pStyle w:val="BodyText"/>
        <w:ind w:firstLine="142"/>
      </w:pPr>
      <w:r w:rsidRPr="00152129">
        <w:rPr>
          <w:b/>
        </w:rPr>
        <w:t>Background:</w:t>
      </w:r>
      <w:r>
        <w:t xml:space="preserve"> The purpose of this work was to develop a new somatostatin analogue for tumour peptide</w:t>
      </w:r>
    </w:p>
    <w:p w14:paraId="279907FF" w14:textId="77777777" w:rsidR="00332A0D" w:rsidRDefault="00332A0D" w:rsidP="00332A0D">
      <w:pPr>
        <w:pStyle w:val="BodyText"/>
        <w:ind w:firstLine="142"/>
      </w:pPr>
      <w:r>
        <w:t>receptor radionuclide therapy (PRRNT). Octreotide and its derivatives have been widely used for</w:t>
      </w:r>
    </w:p>
    <w:p w14:paraId="34D47A82" w14:textId="77777777" w:rsidR="00332A0D" w:rsidRDefault="00332A0D" w:rsidP="00332A0D">
      <w:pPr>
        <w:pStyle w:val="BodyText"/>
        <w:ind w:firstLine="142"/>
      </w:pPr>
      <w:r>
        <w:t>somatostatin receptor positive tumours therapy; however, they only have high affinity for SSTR 2 among</w:t>
      </w:r>
    </w:p>
    <w:p w14:paraId="566CA1E5" w14:textId="77777777" w:rsidR="00332A0D" w:rsidRDefault="00332A0D" w:rsidP="00332A0D">
      <w:pPr>
        <w:pStyle w:val="BodyText"/>
        <w:ind w:firstLine="142"/>
      </w:pPr>
      <w:r>
        <w:t xml:space="preserve">the five somatostatin receptors. Recently, </w:t>
      </w:r>
      <w:proofErr w:type="spellStart"/>
      <w:r>
        <w:t>Pasireotide</w:t>
      </w:r>
      <w:proofErr w:type="spellEnd"/>
      <w:r>
        <w:t xml:space="preserve"> was reported to have a better binding affinity for</w:t>
      </w:r>
    </w:p>
    <w:p w14:paraId="208BB1C6" w14:textId="77777777" w:rsidR="00332A0D" w:rsidRDefault="00332A0D" w:rsidP="00332A0D">
      <w:pPr>
        <w:pStyle w:val="BodyText"/>
        <w:ind w:firstLine="142"/>
      </w:pPr>
      <w:r>
        <w:t>SSTR 1, 3, 5 and similar affinity for SSTR 2 compared with Octreotide. As the contemporary β- and γ-</w:t>
      </w:r>
    </w:p>
    <w:p w14:paraId="2A2FBBC4" w14:textId="77777777" w:rsidR="00332A0D" w:rsidRDefault="00332A0D" w:rsidP="00332A0D">
      <w:pPr>
        <w:pStyle w:val="BodyText"/>
        <w:ind w:firstLine="142"/>
      </w:pPr>
      <w:r>
        <w:t>emission of 177Lu makes it a suitable radionuclide both for therapeutic and diagnostic purposes, herein</w:t>
      </w:r>
    </w:p>
    <w:p w14:paraId="044328F2" w14:textId="77777777" w:rsidR="00332A0D" w:rsidRDefault="00332A0D" w:rsidP="00332A0D">
      <w:pPr>
        <w:pStyle w:val="BodyText"/>
        <w:ind w:firstLine="142"/>
      </w:pPr>
      <w:r>
        <w:t xml:space="preserve">we report the new somatostatin analogue </w:t>
      </w:r>
      <w:proofErr w:type="spellStart"/>
      <w:r>
        <w:t>Pasireotide</w:t>
      </w:r>
      <w:proofErr w:type="spellEnd"/>
      <w:r>
        <w:t xml:space="preserve"> </w:t>
      </w:r>
      <w:proofErr w:type="spellStart"/>
      <w:r>
        <w:t>labeled</w:t>
      </w:r>
      <w:proofErr w:type="spellEnd"/>
      <w:r>
        <w:t xml:space="preserve"> by 177Lu to present a preliminary evaluation</w:t>
      </w:r>
    </w:p>
    <w:p w14:paraId="1F867E1E" w14:textId="77777777" w:rsidR="00332A0D" w:rsidRDefault="00332A0D" w:rsidP="00332A0D">
      <w:pPr>
        <w:pStyle w:val="BodyText"/>
        <w:ind w:firstLine="142"/>
      </w:pPr>
      <w:r>
        <w:t>of its behaviour in vivo and to explore the possibility of its usage as a diagnostic and therapeutic</w:t>
      </w:r>
    </w:p>
    <w:p w14:paraId="05A11334" w14:textId="77777777" w:rsidR="00332A0D" w:rsidRDefault="00332A0D" w:rsidP="00332A0D">
      <w:pPr>
        <w:pStyle w:val="BodyText"/>
        <w:ind w:firstLine="142"/>
      </w:pPr>
      <w:r>
        <w:t>radiopharmaceutical for neuroendocrine tumours and PRRNT.</w:t>
      </w:r>
    </w:p>
    <w:p w14:paraId="0F6A5E40" w14:textId="77777777" w:rsidR="00332A0D" w:rsidRDefault="00332A0D" w:rsidP="00332A0D">
      <w:pPr>
        <w:pStyle w:val="BodyText"/>
        <w:ind w:firstLine="142"/>
      </w:pPr>
    </w:p>
    <w:p w14:paraId="7EAE851A" w14:textId="77777777" w:rsidR="00332A0D" w:rsidRDefault="00332A0D" w:rsidP="00332A0D">
      <w:pPr>
        <w:pStyle w:val="BodyText"/>
        <w:ind w:firstLine="142"/>
      </w:pPr>
      <w:r w:rsidRPr="00152129">
        <w:rPr>
          <w:b/>
        </w:rPr>
        <w:t>Methodology:</w:t>
      </w:r>
      <w:r>
        <w:t xml:space="preserve"> Cyclic peptide amide DOTA-</w:t>
      </w:r>
      <w:proofErr w:type="spellStart"/>
      <w:r>
        <w:t>Pasireotide</w:t>
      </w:r>
      <w:proofErr w:type="spellEnd"/>
      <w:r>
        <w:t xml:space="preserve"> was synthesized and </w:t>
      </w:r>
      <w:proofErr w:type="spellStart"/>
      <w:r>
        <w:t>radiolabeled</w:t>
      </w:r>
      <w:proofErr w:type="spellEnd"/>
      <w:r>
        <w:t xml:space="preserve"> with 177Lu to</w:t>
      </w:r>
    </w:p>
    <w:p w14:paraId="08353E12" w14:textId="77777777" w:rsidR="00332A0D" w:rsidRDefault="00332A0D" w:rsidP="00332A0D">
      <w:pPr>
        <w:pStyle w:val="BodyText"/>
        <w:ind w:firstLine="142"/>
      </w:pPr>
      <w:r>
        <w:t>yield 177Lu-DOTA-Pasireotide (Figure 1). The precursor DOTA-</w:t>
      </w:r>
      <w:proofErr w:type="spellStart"/>
      <w:r>
        <w:t>Pasireotide</w:t>
      </w:r>
      <w:proofErr w:type="spellEnd"/>
      <w:r>
        <w:t xml:space="preserve"> was </w:t>
      </w:r>
      <w:proofErr w:type="spellStart"/>
      <w:r>
        <w:t>labeled</w:t>
      </w:r>
      <w:proofErr w:type="spellEnd"/>
      <w:r>
        <w:t xml:space="preserve"> with 177Lu in</w:t>
      </w:r>
    </w:p>
    <w:p w14:paraId="7D9AE352" w14:textId="77777777" w:rsidR="00332A0D" w:rsidRDefault="00332A0D" w:rsidP="00332A0D">
      <w:pPr>
        <w:pStyle w:val="BodyText"/>
        <w:ind w:firstLine="142"/>
      </w:pPr>
      <w:r>
        <w:t>sodium acetate buffer (pH 4.0) by heating at 100 °C for 15 min and the products were determined by</w:t>
      </w:r>
    </w:p>
    <w:p w14:paraId="3A0FB621" w14:textId="77777777" w:rsidR="00332A0D" w:rsidRDefault="00332A0D" w:rsidP="00332A0D">
      <w:pPr>
        <w:pStyle w:val="BodyText"/>
        <w:ind w:firstLine="142"/>
      </w:pPr>
      <w:r>
        <w:t>radio-instant thin-layer chromatography (TLC) and radio-HPLC. In vitro stability experiment was</w:t>
      </w:r>
    </w:p>
    <w:p w14:paraId="07CAD4DA" w14:textId="77777777" w:rsidR="00332A0D" w:rsidRDefault="00332A0D" w:rsidP="00332A0D">
      <w:pPr>
        <w:pStyle w:val="BodyText"/>
        <w:ind w:firstLine="142"/>
      </w:pPr>
      <w:r>
        <w:t xml:space="preserve">undertaken in 5% human serum albumin, </w:t>
      </w:r>
      <w:proofErr w:type="spellStart"/>
      <w:r>
        <w:t>NaAc</w:t>
      </w:r>
      <w:proofErr w:type="spellEnd"/>
      <w:r>
        <w:t xml:space="preserve"> (pH 5.5) and PBS (pH 7.4) at room temperature (25 °C)</w:t>
      </w:r>
    </w:p>
    <w:p w14:paraId="0B545FE7" w14:textId="77777777" w:rsidR="00332A0D" w:rsidRDefault="00332A0D" w:rsidP="00332A0D">
      <w:pPr>
        <w:pStyle w:val="BodyText"/>
        <w:ind w:firstLine="142"/>
      </w:pPr>
      <w:r>
        <w:t>for about 120 hours of incubation. After purification by Sep-</w:t>
      </w:r>
      <w:proofErr w:type="spellStart"/>
      <w:r>
        <w:t>pak</w:t>
      </w:r>
      <w:proofErr w:type="spellEnd"/>
      <w:r>
        <w:t xml:space="preserve"> C18 column, 12.95 </w:t>
      </w:r>
      <w:proofErr w:type="spellStart"/>
      <w:r>
        <w:t>MBq</w:t>
      </w:r>
      <w:proofErr w:type="spellEnd"/>
      <w:r>
        <w:t xml:space="preserve"> of 177Lu-</w:t>
      </w:r>
    </w:p>
    <w:p w14:paraId="3EEFD6F1" w14:textId="77777777" w:rsidR="00332A0D" w:rsidRDefault="00332A0D" w:rsidP="00332A0D">
      <w:pPr>
        <w:pStyle w:val="BodyText"/>
        <w:ind w:firstLine="142"/>
      </w:pPr>
      <w:r>
        <w:t>DOTA-</w:t>
      </w:r>
      <w:proofErr w:type="spellStart"/>
      <w:r>
        <w:t>Pasireotide</w:t>
      </w:r>
      <w:proofErr w:type="spellEnd"/>
      <w:r>
        <w:t xml:space="preserve"> was injected intravenously to BALB/c nude mice bearing human HT29 colon tumours</w:t>
      </w:r>
    </w:p>
    <w:p w14:paraId="1215B3F8" w14:textId="77777777" w:rsidR="00332A0D" w:rsidRDefault="00332A0D" w:rsidP="00332A0D">
      <w:pPr>
        <w:pStyle w:val="BodyText"/>
        <w:ind w:firstLine="142"/>
        <w:jc w:val="left"/>
      </w:pPr>
      <w:r>
        <w:t>via tail vein. The SPECT/CT images were taken 2 h, 4 h, 8 h after radiotracer injection.</w:t>
      </w:r>
    </w:p>
    <w:p w14:paraId="65A5F175" w14:textId="77777777" w:rsidR="00332A0D" w:rsidRDefault="00332A0D" w:rsidP="00332A0D">
      <w:pPr>
        <w:pStyle w:val="BodyText"/>
        <w:ind w:firstLine="0"/>
        <w:jc w:val="left"/>
      </w:pPr>
      <w:r>
        <w:rPr>
          <w:noProof/>
        </w:rPr>
        <w:drawing>
          <wp:inline distT="0" distB="0" distL="0" distR="0" wp14:anchorId="3D7F40E4" wp14:editId="55E93010">
            <wp:extent cx="5676900" cy="27146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676900" cy="2714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2CF078" w14:textId="77777777" w:rsidR="00332A0D" w:rsidRDefault="00332A0D" w:rsidP="00332A0D">
      <w:pPr>
        <w:pStyle w:val="BodyText"/>
        <w:ind w:firstLine="0"/>
      </w:pPr>
      <w:r w:rsidRPr="00152129">
        <w:rPr>
          <w:b/>
        </w:rPr>
        <w:t>Results:</w:t>
      </w:r>
      <w:r>
        <w:t xml:space="preserve"> DOTA-</w:t>
      </w:r>
      <w:proofErr w:type="spellStart"/>
      <w:r>
        <w:t>Pasireotide</w:t>
      </w:r>
      <w:proofErr w:type="spellEnd"/>
      <w:r>
        <w:t xml:space="preserve"> was </w:t>
      </w:r>
      <w:proofErr w:type="spellStart"/>
      <w:r>
        <w:t>radiolabeled</w:t>
      </w:r>
      <w:proofErr w:type="spellEnd"/>
      <w:r>
        <w:t xml:space="preserve"> with 177Lu in 98% radiochemical yield as determined by</w:t>
      </w:r>
    </w:p>
    <w:p w14:paraId="1911F2B4" w14:textId="77777777" w:rsidR="00332A0D" w:rsidRDefault="00332A0D" w:rsidP="00332A0D">
      <w:pPr>
        <w:pStyle w:val="BodyText"/>
        <w:ind w:firstLine="0"/>
      </w:pPr>
      <w:r>
        <w:t>radio-TLC and radio-HPLC. In vitro stability experiments showed that after 120 hours 177Lu-DOTAPasireotide</w:t>
      </w:r>
    </w:p>
    <w:p w14:paraId="6098A553" w14:textId="77777777" w:rsidR="00332A0D" w:rsidRDefault="00332A0D" w:rsidP="00332A0D">
      <w:pPr>
        <w:pStyle w:val="BodyText"/>
        <w:ind w:firstLine="0"/>
      </w:pPr>
      <w:r>
        <w:t xml:space="preserve">was stable in 5% human serum albumin, </w:t>
      </w:r>
      <w:proofErr w:type="spellStart"/>
      <w:r>
        <w:t>NaAc</w:t>
      </w:r>
      <w:proofErr w:type="spellEnd"/>
      <w:r>
        <w:t xml:space="preserve"> (pH 5.5) and PBS (pH 7.4). In vivo, the HT29</w:t>
      </w:r>
    </w:p>
    <w:p w14:paraId="5B0B5B5C" w14:textId="77777777" w:rsidR="00332A0D" w:rsidRDefault="00332A0D" w:rsidP="00332A0D">
      <w:pPr>
        <w:pStyle w:val="BodyText"/>
        <w:ind w:firstLine="0"/>
      </w:pPr>
      <w:r>
        <w:t>cell xenograft tumours uptake of 177Lu-DOTA-Pasireotide increased with time, and was clearly</w:t>
      </w:r>
    </w:p>
    <w:p w14:paraId="5DBCBC13" w14:textId="77777777" w:rsidR="00332A0D" w:rsidRDefault="00332A0D" w:rsidP="00332A0D">
      <w:pPr>
        <w:pStyle w:val="BodyText"/>
        <w:ind w:firstLine="0"/>
      </w:pPr>
      <w:r>
        <w:t xml:space="preserve">visualized at 8 h </w:t>
      </w:r>
      <w:proofErr w:type="spellStart"/>
      <w:r>
        <w:t>postinjection</w:t>
      </w:r>
      <w:proofErr w:type="spellEnd"/>
      <w:r>
        <w:t>. Biodistribution studies in KM mice demonstrated that 177Lu-DOTAPasireotide</w:t>
      </w:r>
    </w:p>
    <w:p w14:paraId="2C881512" w14:textId="77777777" w:rsidR="00332A0D" w:rsidRDefault="00332A0D" w:rsidP="00332A0D">
      <w:pPr>
        <w:pStyle w:val="BodyText"/>
        <w:ind w:firstLine="0"/>
      </w:pPr>
      <w:r>
        <w:t>was mainly excreted by kidneys.</w:t>
      </w:r>
    </w:p>
    <w:p w14:paraId="7B9D2A27" w14:textId="77777777" w:rsidR="00332A0D" w:rsidRDefault="00332A0D" w:rsidP="00332A0D">
      <w:pPr>
        <w:pStyle w:val="BodyText"/>
        <w:ind w:firstLine="0"/>
      </w:pPr>
    </w:p>
    <w:p w14:paraId="57671978" w14:textId="77777777" w:rsidR="00332A0D" w:rsidRDefault="00332A0D" w:rsidP="00332A0D">
      <w:pPr>
        <w:pStyle w:val="BodyText"/>
        <w:ind w:firstLine="0"/>
      </w:pPr>
      <w:r w:rsidRPr="00152129">
        <w:rPr>
          <w:b/>
        </w:rPr>
        <w:t>Conclusion:</w:t>
      </w:r>
      <w:r>
        <w:t xml:space="preserve"> In this study, we describe the radio-synthesis and characterization of 177Lu </w:t>
      </w:r>
      <w:proofErr w:type="spellStart"/>
      <w:r>
        <w:t>labeled</w:t>
      </w:r>
      <w:proofErr w:type="spellEnd"/>
      <w:r>
        <w:t xml:space="preserve"> cyclic</w:t>
      </w:r>
    </w:p>
    <w:p w14:paraId="294901D0" w14:textId="77777777" w:rsidR="00332A0D" w:rsidRDefault="00332A0D" w:rsidP="00332A0D">
      <w:pPr>
        <w:pStyle w:val="BodyText"/>
        <w:ind w:firstLine="0"/>
      </w:pPr>
      <w:r>
        <w:t>peptide 177Lu-DOTA-Pasireotide. We found that 177Lu-DOTA-Pasireotide could be taken up by HT29</w:t>
      </w:r>
    </w:p>
    <w:p w14:paraId="70D74DA5" w14:textId="77777777" w:rsidR="00332A0D" w:rsidRDefault="00332A0D" w:rsidP="00332A0D">
      <w:pPr>
        <w:pStyle w:val="BodyText"/>
        <w:ind w:firstLine="0"/>
      </w:pPr>
      <w:r>
        <w:t xml:space="preserve">cell </w:t>
      </w:r>
      <w:proofErr w:type="spellStart"/>
      <w:r>
        <w:t>exonograft</w:t>
      </w:r>
      <w:proofErr w:type="spellEnd"/>
      <w:r>
        <w:t xml:space="preserve"> tumours. It is found to have high </w:t>
      </w:r>
      <w:proofErr w:type="spellStart"/>
      <w:r>
        <w:t>labeling</w:t>
      </w:r>
      <w:proofErr w:type="spellEnd"/>
      <w:r>
        <w:t xml:space="preserve"> efficiencies, short </w:t>
      </w:r>
      <w:proofErr w:type="spellStart"/>
      <w:r>
        <w:t>labeling</w:t>
      </w:r>
      <w:proofErr w:type="spellEnd"/>
      <w:r>
        <w:t xml:space="preserve"> time and high tumour</w:t>
      </w:r>
    </w:p>
    <w:p w14:paraId="0ECA9EEB" w14:textId="77777777" w:rsidR="00332A0D" w:rsidRDefault="00332A0D" w:rsidP="00332A0D">
      <w:pPr>
        <w:pStyle w:val="BodyText"/>
        <w:ind w:firstLine="0"/>
      </w:pPr>
      <w:r>
        <w:t xml:space="preserve">cell uptake. In brief, the 177Lu </w:t>
      </w:r>
      <w:proofErr w:type="spellStart"/>
      <w:r>
        <w:t>labeled</w:t>
      </w:r>
      <w:proofErr w:type="spellEnd"/>
      <w:r>
        <w:t xml:space="preserve"> somatostatin analogue 177Lu-DOTA-Pasireotide may be useful</w:t>
      </w:r>
    </w:p>
    <w:p w14:paraId="0E3F471C" w14:textId="77777777" w:rsidR="00332A0D" w:rsidRDefault="00332A0D" w:rsidP="00332A0D">
      <w:pPr>
        <w:pStyle w:val="BodyText"/>
        <w:ind w:firstLine="0"/>
      </w:pPr>
      <w:r>
        <w:t>both for cancer diagnostic and therapeutic applications.</w:t>
      </w:r>
    </w:p>
    <w:p w14:paraId="2C97B751" w14:textId="77777777" w:rsidR="00332A0D" w:rsidRDefault="00332A0D" w:rsidP="00332A0D">
      <w:pPr>
        <w:pStyle w:val="BodyText"/>
        <w:ind w:firstLine="0"/>
      </w:pPr>
      <w:r>
        <w:t>Acknowledgements: Supported by grant #81172083, grant #81371592 and grant #81401467 from the</w:t>
      </w:r>
    </w:p>
    <w:p w14:paraId="53607677" w14:textId="77777777" w:rsidR="00332A0D" w:rsidRDefault="00332A0D" w:rsidP="00332A0D">
      <w:pPr>
        <w:pStyle w:val="BodyText"/>
        <w:ind w:firstLine="0"/>
      </w:pPr>
      <w:r>
        <w:t>National Natural Science Foundation of China and by #7132040 from the Beijing Municipal Natural</w:t>
      </w:r>
    </w:p>
    <w:p w14:paraId="36AD9D7B" w14:textId="77777777" w:rsidR="00332A0D" w:rsidRPr="00662532" w:rsidRDefault="00332A0D" w:rsidP="00332A0D">
      <w:pPr>
        <w:pStyle w:val="BodyText"/>
        <w:ind w:firstLine="0"/>
        <w:jc w:val="left"/>
      </w:pPr>
      <w:r>
        <w:t>Science Foundation of China.</w:t>
      </w:r>
    </w:p>
    <w:p w14:paraId="62AD3B0A" w14:textId="125907CE" w:rsidR="00F05BD7" w:rsidRPr="00D73882" w:rsidRDefault="00F05BD7" w:rsidP="00D73882"/>
    <w:sectPr w:rsidR="00F05BD7" w:rsidRPr="00D73882" w:rsidSect="0026525A">
      <w:headerReference w:type="even" r:id="rId13"/>
      <w:footerReference w:type="even" r:id="rId14"/>
      <w:footerReference w:type="default" r:id="rId15"/>
      <w:headerReference w:type="first" r:id="rId16"/>
      <w:footerReference w:type="first" r:id="rId17"/>
      <w:type w:val="oddPage"/>
      <w:pgSz w:w="11907" w:h="16840" w:code="9"/>
      <w:pgMar w:top="1440" w:right="1440" w:bottom="1440" w:left="1440" w:header="539" w:footer="964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26AC52" w14:textId="77777777" w:rsidR="00AB7918" w:rsidRDefault="00AB7918">
      <w:r>
        <w:separator/>
      </w:r>
    </w:p>
  </w:endnote>
  <w:endnote w:type="continuationSeparator" w:id="0">
    <w:p w14:paraId="23C4123C" w14:textId="77777777" w:rsidR="00AB7918" w:rsidRDefault="00AB7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3FE0C6" w14:textId="77777777" w:rsidR="00E20E70" w:rsidRDefault="00E20E70">
    <w:pPr>
      <w:pStyle w:val="zyxClassification1"/>
    </w:pPr>
    <w:r>
      <w:fldChar w:fldCharType="begin"/>
    </w:r>
    <w:r>
      <w:instrText xml:space="preserve"> DOCPROPERTY "IaeaClassification"  \* MERGEFORMAT </w:instrText>
    </w:r>
    <w:r>
      <w:fldChar w:fldCharType="end"/>
    </w:r>
  </w:p>
  <w:p w14:paraId="433FE0C7" w14:textId="77777777" w:rsidR="00E20E70" w:rsidRDefault="00E20E70">
    <w:pPr>
      <w:pStyle w:val="zyxClassification2"/>
    </w:pPr>
    <w:r>
      <w:fldChar w:fldCharType="begin"/>
    </w:r>
    <w:r>
      <w:instrText>DOCPROPERTY "IaeaClassification2"  \* MERGEFORMAT</w:instrTex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3FE0C8" w14:textId="77777777" w:rsidR="00E20E70" w:rsidRDefault="00E20E70">
    <w:pPr>
      <w:pStyle w:val="zyxClassification1"/>
    </w:pPr>
    <w:r>
      <w:fldChar w:fldCharType="begin"/>
    </w:r>
    <w:r>
      <w:instrText xml:space="preserve"> DOCPROPERTY "IaeaClassification"  \* MERGEFORMAT </w:instrText>
    </w:r>
    <w:r>
      <w:fldChar w:fldCharType="end"/>
    </w:r>
  </w:p>
  <w:p w14:paraId="433FE0C9" w14:textId="06D303C1" w:rsidR="00E20E70" w:rsidRPr="00037321" w:rsidRDefault="00E20E70">
    <w:pPr>
      <w:pStyle w:val="zyxClassification2"/>
      <w:rPr>
        <w:rFonts w:ascii="Times New Roman" w:hAnsi="Times New Roman" w:cs="Times New Roman"/>
        <w:sz w:val="20"/>
      </w:rPr>
    </w:pPr>
    <w:r w:rsidRPr="00037321">
      <w:rPr>
        <w:rFonts w:ascii="Times New Roman" w:hAnsi="Times New Roman" w:cs="Times New Roman"/>
        <w:sz w:val="20"/>
      </w:rPr>
      <w:fldChar w:fldCharType="begin"/>
    </w:r>
    <w:r w:rsidRPr="00037321">
      <w:rPr>
        <w:rFonts w:ascii="Times New Roman" w:hAnsi="Times New Roman" w:cs="Times New Roman"/>
        <w:sz w:val="20"/>
      </w:rPr>
      <w:instrText>DOCPROPERTY "IaeaClassification2"  \* MERGEFORMAT</w:instrText>
    </w:r>
    <w:r w:rsidRPr="00037321">
      <w:rPr>
        <w:rFonts w:ascii="Times New Roman" w:hAnsi="Times New Roman" w:cs="Times New Roman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vertAnchor="page" w:horzAnchor="page" w:tblpX="1390" w:tblpY="15707"/>
      <w:tblOverlap w:val="never"/>
      <w:tblW w:w="10314" w:type="dxa"/>
      <w:tblLook w:val="0000" w:firstRow="0" w:lastRow="0" w:firstColumn="0" w:lastColumn="0" w:noHBand="0" w:noVBand="0"/>
    </w:tblPr>
    <w:tblGrid>
      <w:gridCol w:w="4644"/>
      <w:gridCol w:w="5670"/>
    </w:tblGrid>
    <w:tr w:rsidR="00E20E70" w14:paraId="433FE0D8" w14:textId="77777777">
      <w:trPr>
        <w:cantSplit/>
      </w:trPr>
      <w:tc>
        <w:tcPr>
          <w:tcW w:w="4644" w:type="dxa"/>
        </w:tcPr>
        <w:p w14:paraId="433FE0D4" w14:textId="77777777" w:rsidR="00E20E70" w:rsidRDefault="00E20E70">
          <w:pPr>
            <w:pStyle w:val="zyxDistribution"/>
            <w:framePr w:wrap="auto" w:vAnchor="margin" w:hAnchor="text" w:xAlign="left" w:yAlign="inline"/>
            <w:suppressOverlap w:val="0"/>
          </w:pPr>
          <w:r>
            <w:fldChar w:fldCharType="begin"/>
          </w:r>
          <w:r>
            <w:instrText xml:space="preserve"> DOCPROPERTY "IaeaDistribution"  \* MERGEFORMAT </w:instrText>
          </w:r>
          <w:r>
            <w:fldChar w:fldCharType="end"/>
          </w:r>
        </w:p>
        <w:p w14:paraId="433FE0D5" w14:textId="77777777" w:rsidR="00E20E70" w:rsidRDefault="00E20E70">
          <w:pPr>
            <w:pStyle w:val="zyxSensitivity"/>
            <w:framePr w:wrap="auto" w:vAnchor="margin" w:hAnchor="text" w:xAlign="left" w:yAlign="inline"/>
            <w:suppressOverlap w:val="0"/>
          </w:pPr>
          <w:r>
            <w:fldChar w:fldCharType="begin"/>
          </w:r>
          <w:r>
            <w:instrText xml:space="preserve"> DOCPROPERTY "IaeaSensitivity"  \* MERGEFORMAT </w:instrText>
          </w:r>
          <w:r>
            <w:fldChar w:fldCharType="end"/>
          </w:r>
        </w:p>
      </w:tc>
      <w:bookmarkStart w:id="2" w:name="DOC_bkmClassification2"/>
      <w:tc>
        <w:tcPr>
          <w:tcW w:w="5670" w:type="dxa"/>
          <w:tcMar>
            <w:right w:w="249" w:type="dxa"/>
          </w:tcMar>
        </w:tcPr>
        <w:p w14:paraId="433FE0D6" w14:textId="77777777" w:rsidR="00E20E70" w:rsidRDefault="00E20E70">
          <w:pPr>
            <w:pStyle w:val="zyxConfidBlack"/>
            <w:framePr w:wrap="auto" w:vAnchor="margin" w:hAnchor="text" w:xAlign="left" w:yAlign="inline"/>
            <w:suppressOverlap w:val="0"/>
          </w:pPr>
          <w:r>
            <w:fldChar w:fldCharType="begin"/>
          </w:r>
          <w:r>
            <w:instrText xml:space="preserve"> DOCPROPERTY "IaeaClassification"  \* MERGEFORMAT </w:instrText>
          </w:r>
          <w:r>
            <w:fldChar w:fldCharType="end"/>
          </w:r>
        </w:p>
        <w:bookmarkEnd w:id="2"/>
        <w:p w14:paraId="433FE0D7" w14:textId="77777777" w:rsidR="00E20E70" w:rsidRDefault="00E20E70">
          <w:pPr>
            <w:spacing w:after="20" w:line="220" w:lineRule="exact"/>
            <w:jc w:val="right"/>
            <w:rPr>
              <w:rFonts w:ascii="Arial" w:hAnsi="Arial" w:cs="Arial"/>
              <w:color w:val="FF0000"/>
            </w:rPr>
          </w:pPr>
          <w:r>
            <w:rPr>
              <w:rFonts w:ascii="Arial" w:hAnsi="Arial"/>
              <w:b/>
            </w:rPr>
            <w:fldChar w:fldCharType="begin"/>
          </w:r>
          <w:r>
            <w:rPr>
              <w:rFonts w:ascii="Arial" w:hAnsi="Arial"/>
              <w:b/>
            </w:rPr>
            <w:instrText>DOCPROPERTY "IaeaConfidentialAttachments"  \* MERGEFORMAT</w:instrText>
          </w:r>
          <w:r>
            <w:rPr>
              <w:rFonts w:ascii="Arial" w:hAnsi="Arial"/>
              <w:b/>
            </w:rPr>
            <w:fldChar w:fldCharType="end"/>
          </w:r>
          <w:r>
            <w:rPr>
              <w:rFonts w:ascii="Arial" w:hAnsi="Arial" w:cs="Arial"/>
              <w:color w:val="FF0000"/>
            </w:rPr>
            <w:fldChar w:fldCharType="begin"/>
          </w:r>
          <w:r>
            <w:rPr>
              <w:rFonts w:ascii="Arial" w:hAnsi="Arial" w:cs="Arial"/>
              <w:color w:val="FF0000"/>
            </w:rPr>
            <w:instrText>DOCPROPERTY "IaeaClassification2"  \* MERGEFORMAT</w:instrText>
          </w:r>
          <w:r>
            <w:rPr>
              <w:rFonts w:ascii="Arial" w:hAnsi="Arial" w:cs="Arial"/>
              <w:color w:val="FF0000"/>
            </w:rPr>
            <w:fldChar w:fldCharType="end"/>
          </w:r>
        </w:p>
      </w:tc>
    </w:tr>
  </w:tbl>
  <w:bookmarkStart w:id="3" w:name="DOC_bkmFileName"/>
  <w:p w14:paraId="433FE0D9" w14:textId="77777777" w:rsidR="00E20E70" w:rsidRDefault="00E20E70">
    <w:r>
      <w:rPr>
        <w:sz w:val="16"/>
      </w:rPr>
      <w:fldChar w:fldCharType="begin"/>
    </w:r>
    <w:r>
      <w:rPr>
        <w:sz w:val="16"/>
      </w:rPr>
      <w:instrText xml:space="preserve"> FILENAME \* MERGEFORMAT </w:instrText>
    </w:r>
    <w:r>
      <w:rPr>
        <w:sz w:val="16"/>
      </w:rPr>
      <w:fldChar w:fldCharType="separate"/>
    </w:r>
    <w:r w:rsidR="00EC10FC">
      <w:rPr>
        <w:noProof/>
        <w:sz w:val="16"/>
      </w:rPr>
      <w:t>Example paper.docx</w:t>
    </w:r>
    <w:r>
      <w:rPr>
        <w:sz w:val="16"/>
      </w:rPr>
      <w:fldChar w:fldCharType="end"/>
    </w:r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1596C5" w14:textId="77777777" w:rsidR="00AB7918" w:rsidRDefault="00AB7918">
      <w:r>
        <w:t>___________________________________________________________________________</w:t>
      </w:r>
    </w:p>
  </w:footnote>
  <w:footnote w:type="continuationSeparator" w:id="0">
    <w:p w14:paraId="6D3D2596" w14:textId="77777777" w:rsidR="00AB7918" w:rsidRDefault="00AB7918">
      <w:r>
        <w:t>___________________________________________________________________________</w:t>
      </w:r>
    </w:p>
  </w:footnote>
  <w:footnote w:type="continuationNotice" w:id="1">
    <w:p w14:paraId="3F461FBD" w14:textId="77777777" w:rsidR="00AB7918" w:rsidRDefault="00AB791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3FE0C0" w14:textId="610E656A" w:rsidR="00CF7AF3" w:rsidRDefault="00CF7AF3" w:rsidP="00CF7AF3">
    <w:pPr>
      <w:pStyle w:val="Runninghead"/>
    </w:pPr>
    <w:r>
      <w:tab/>
      <w:t>IAEA-CN-</w:t>
    </w:r>
    <w:r w:rsidR="00254D15">
      <w:t>285</w:t>
    </w:r>
  </w:p>
  <w:p w14:paraId="433FE0C1" w14:textId="77777777" w:rsidR="00CF7AF3" w:rsidRPr="009E1558" w:rsidRDefault="00CF7AF3" w:rsidP="00CF7AF3">
    <w:pPr>
      <w:jc w:val="center"/>
      <w:rPr>
        <w:color w:val="BFBFBF" w:themeColor="background1" w:themeShade="BF"/>
        <w:sz w:val="16"/>
        <w:szCs w:val="16"/>
      </w:rPr>
    </w:pPr>
    <w:r>
      <w:rPr>
        <w:color w:val="BFBFBF" w:themeColor="background1" w:themeShade="BF"/>
        <w:sz w:val="16"/>
        <w:szCs w:val="16"/>
      </w:rPr>
      <w:t>[Right</w:t>
    </w:r>
    <w:r w:rsidRPr="009E1558">
      <w:rPr>
        <w:color w:val="BFBFBF" w:themeColor="background1" w:themeShade="BF"/>
        <w:sz w:val="16"/>
        <w:szCs w:val="16"/>
      </w:rPr>
      <w:t xml:space="preserve"> hand page running head is</w:t>
    </w:r>
    <w:r>
      <w:rPr>
        <w:color w:val="BFBFBF" w:themeColor="background1" w:themeShade="BF"/>
        <w:sz w:val="16"/>
        <w:szCs w:val="16"/>
      </w:rPr>
      <w:t xml:space="preserve"> the</w:t>
    </w:r>
    <w:r w:rsidRPr="009E1558">
      <w:rPr>
        <w:color w:val="BFBFBF" w:themeColor="background1" w:themeShade="BF"/>
        <w:sz w:val="16"/>
        <w:szCs w:val="16"/>
      </w:rPr>
      <w:t xml:space="preserve"> </w:t>
    </w:r>
    <w:r>
      <w:rPr>
        <w:color w:val="BFBFBF" w:themeColor="background1" w:themeShade="BF"/>
        <w:sz w:val="16"/>
        <w:szCs w:val="16"/>
      </w:rPr>
      <w:t>paper number</w:t>
    </w:r>
    <w:r w:rsidRPr="009E1558">
      <w:rPr>
        <w:color w:val="BFBFBF" w:themeColor="background1" w:themeShade="BF"/>
        <w:sz w:val="16"/>
        <w:szCs w:val="16"/>
      </w:rPr>
      <w:t xml:space="preserve"> in Times New Roman 8 p</w:t>
    </w:r>
    <w:r>
      <w:rPr>
        <w:color w:val="BFBFBF" w:themeColor="background1" w:themeShade="BF"/>
        <w:sz w:val="16"/>
        <w:szCs w:val="16"/>
      </w:rPr>
      <w:t>oin</w:t>
    </w:r>
    <w:r w:rsidRPr="009E1558">
      <w:rPr>
        <w:color w:val="BFBFBF" w:themeColor="background1" w:themeShade="BF"/>
        <w:sz w:val="16"/>
        <w:szCs w:val="16"/>
      </w:rPr>
      <w:t>t bold capitals, centred</w:t>
    </w:r>
    <w:r w:rsidRPr="00AC5A3A">
      <w:rPr>
        <w:color w:val="BFBFBF" w:themeColor="background1" w:themeShade="BF"/>
        <w:sz w:val="16"/>
        <w:szCs w:val="16"/>
      </w:rPr>
      <w:t>]</w:t>
    </w:r>
  </w:p>
  <w:p w14:paraId="433FE0C2" w14:textId="77777777" w:rsidR="00E20E70" w:rsidRDefault="00CF7AF3" w:rsidP="00CF7AF3">
    <w:pPr>
      <w:pStyle w:val="zyxClassification1"/>
      <w:tabs>
        <w:tab w:val="left" w:pos="3956"/>
        <w:tab w:val="right" w:pos="9071"/>
      </w:tabs>
      <w:jc w:val="left"/>
    </w:pPr>
    <w:r>
      <w:tab/>
    </w:r>
    <w:r w:rsidR="00E20E70">
      <w:fldChar w:fldCharType="begin"/>
    </w:r>
    <w:r w:rsidR="00E20E70">
      <w:instrText xml:space="preserve"> DOCPROPERTY "IaeaClassification"  \* MERGEFORMAT </w:instrText>
    </w:r>
    <w:r w:rsidR="00E20E70">
      <w:fldChar w:fldCharType="end"/>
    </w:r>
  </w:p>
  <w:p w14:paraId="433FE0C3" w14:textId="77777777" w:rsidR="00E20E70" w:rsidRDefault="00E20E70">
    <w:pPr>
      <w:pStyle w:val="zyxClassification2"/>
    </w:pPr>
    <w:r>
      <w:fldChar w:fldCharType="begin"/>
    </w:r>
    <w:r>
      <w:instrText>DOCPROPERTY "IaeaClassification2"  \* MERGEFORMAT</w:instrTex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vertAnchor="page" w:horzAnchor="page" w:tblpX="1333" w:tblpY="228"/>
      <w:tblOverlap w:val="never"/>
      <w:tblW w:w="10319" w:type="dxa"/>
      <w:tblLayout w:type="fixed"/>
      <w:tblLook w:val="0000" w:firstRow="0" w:lastRow="0" w:firstColumn="0" w:lastColumn="0" w:noHBand="0" w:noVBand="0"/>
    </w:tblPr>
    <w:tblGrid>
      <w:gridCol w:w="979"/>
      <w:gridCol w:w="3638"/>
      <w:gridCol w:w="5702"/>
    </w:tblGrid>
    <w:tr w:rsidR="00E20E70" w14:paraId="433FE0CE" w14:textId="77777777">
      <w:trPr>
        <w:cantSplit/>
        <w:trHeight w:val="716"/>
      </w:trPr>
      <w:tc>
        <w:tcPr>
          <w:tcW w:w="979" w:type="dxa"/>
          <w:vMerge w:val="restart"/>
        </w:tcPr>
        <w:p w14:paraId="433FE0CA" w14:textId="77777777" w:rsidR="00E20E70" w:rsidRDefault="00E20E70">
          <w:pPr>
            <w:spacing w:before="180"/>
            <w:ind w:left="17"/>
          </w:pPr>
        </w:p>
      </w:tc>
      <w:tc>
        <w:tcPr>
          <w:tcW w:w="3638" w:type="dxa"/>
          <w:vAlign w:val="bottom"/>
        </w:tcPr>
        <w:p w14:paraId="433FE0CB" w14:textId="77777777" w:rsidR="00E20E70" w:rsidRDefault="00E20E70">
          <w:pPr>
            <w:spacing w:after="20"/>
          </w:pPr>
        </w:p>
      </w:tc>
      <w:bookmarkStart w:id="1" w:name="DOC_bkmClassification1"/>
      <w:tc>
        <w:tcPr>
          <w:tcW w:w="5702" w:type="dxa"/>
          <w:vMerge w:val="restart"/>
          <w:tcMar>
            <w:right w:w="193" w:type="dxa"/>
          </w:tcMar>
        </w:tcPr>
        <w:p w14:paraId="433FE0CC" w14:textId="77777777" w:rsidR="00E20E70" w:rsidRDefault="00E20E70">
          <w:pPr>
            <w:pStyle w:val="zyxConfidBlack"/>
            <w:framePr w:wrap="auto" w:vAnchor="margin" w:hAnchor="text" w:xAlign="left" w:yAlign="inline"/>
            <w:suppressOverlap w:val="0"/>
          </w:pPr>
          <w:r>
            <w:fldChar w:fldCharType="begin"/>
          </w:r>
          <w:r>
            <w:instrText xml:space="preserve"> DOCPROPERTY "IaeaClassification"  \* MERGEFORMAT </w:instrText>
          </w:r>
          <w:r>
            <w:fldChar w:fldCharType="end"/>
          </w:r>
        </w:p>
        <w:bookmarkEnd w:id="1"/>
        <w:p w14:paraId="433FE0CD" w14:textId="77777777" w:rsidR="00E20E70" w:rsidRDefault="00E20E70">
          <w:pPr>
            <w:pStyle w:val="zyxConfid2Red"/>
          </w:pPr>
          <w:r>
            <w:fldChar w:fldCharType="begin"/>
          </w:r>
          <w:r>
            <w:instrText>DOCPROPERTY "IaeaClassification2"  \* MERGEFORMAT</w:instrText>
          </w:r>
          <w:r>
            <w:fldChar w:fldCharType="end"/>
          </w:r>
        </w:p>
      </w:tc>
    </w:tr>
    <w:tr w:rsidR="00E20E70" w14:paraId="433FE0D2" w14:textId="77777777">
      <w:trPr>
        <w:cantSplit/>
        <w:trHeight w:val="167"/>
      </w:trPr>
      <w:tc>
        <w:tcPr>
          <w:tcW w:w="979" w:type="dxa"/>
          <w:vMerge/>
        </w:tcPr>
        <w:p w14:paraId="433FE0CF" w14:textId="77777777" w:rsidR="00E20E70" w:rsidRDefault="00E20E70">
          <w:pPr>
            <w:spacing w:before="57"/>
          </w:pPr>
        </w:p>
      </w:tc>
      <w:tc>
        <w:tcPr>
          <w:tcW w:w="3638" w:type="dxa"/>
          <w:vAlign w:val="bottom"/>
        </w:tcPr>
        <w:p w14:paraId="433FE0D0" w14:textId="77777777" w:rsidR="00E20E70" w:rsidRDefault="00E20E70">
          <w:pPr>
            <w:pStyle w:val="Heading9"/>
            <w:spacing w:before="0" w:after="10"/>
          </w:pPr>
        </w:p>
      </w:tc>
      <w:tc>
        <w:tcPr>
          <w:tcW w:w="5702" w:type="dxa"/>
          <w:vMerge/>
          <w:vAlign w:val="bottom"/>
        </w:tcPr>
        <w:p w14:paraId="433FE0D1" w14:textId="77777777" w:rsidR="00E20E70" w:rsidRDefault="00E20E70">
          <w:pPr>
            <w:pStyle w:val="Heading9"/>
            <w:spacing w:before="0" w:after="10"/>
          </w:pPr>
        </w:p>
      </w:tc>
    </w:tr>
  </w:tbl>
  <w:p w14:paraId="433FE0D3" w14:textId="77777777" w:rsidR="00E20E70" w:rsidRDefault="00E20E7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71E86"/>
    <w:multiLevelType w:val="multilevel"/>
    <w:tmpl w:val="A08A77CA"/>
    <w:lvl w:ilvl="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24264"/>
    <w:multiLevelType w:val="multilevel"/>
    <w:tmpl w:val="F1EC865C"/>
    <w:lvl w:ilvl="0">
      <w:start w:val="1"/>
      <w:numFmt w:val="decimal"/>
      <w:pStyle w:val="AgendaList"/>
      <w:lvlText w:val="%1."/>
      <w:lvlJc w:val="left"/>
      <w:pPr>
        <w:tabs>
          <w:tab w:val="num" w:pos="459"/>
        </w:tabs>
        <w:ind w:left="459" w:hanging="45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tabs>
          <w:tab w:val="num" w:pos="919"/>
        </w:tabs>
        <w:ind w:left="919" w:hanging="45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1378"/>
        </w:tabs>
        <w:ind w:left="1378" w:hanging="459"/>
      </w:pPr>
      <w:rPr>
        <w:rFonts w:asci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811"/>
        </w:tabs>
        <w:ind w:left="81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171"/>
        </w:tabs>
        <w:ind w:left="117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531"/>
        </w:tabs>
        <w:ind w:left="153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91"/>
        </w:tabs>
        <w:ind w:left="189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51"/>
        </w:tabs>
        <w:ind w:left="225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11"/>
        </w:tabs>
        <w:ind w:left="2611" w:hanging="360"/>
      </w:pPr>
      <w:rPr>
        <w:rFonts w:hint="default"/>
      </w:rPr>
    </w:lvl>
  </w:abstractNum>
  <w:abstractNum w:abstractNumId="2" w15:restartNumberingAfterBreak="0">
    <w:nsid w:val="179F5671"/>
    <w:multiLevelType w:val="hybridMultilevel"/>
    <w:tmpl w:val="67246400"/>
    <w:name w:val="HeadingTemplate2"/>
    <w:lvl w:ilvl="0" w:tplc="EDCE82DC">
      <w:start w:val="1"/>
      <w:numFmt w:val="bullet"/>
      <w:pStyle w:val="ListEmdash"/>
      <w:lvlText w:val="—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CE663AE"/>
    <w:multiLevelType w:val="hybridMultilevel"/>
    <w:tmpl w:val="2BB4F1C6"/>
    <w:name w:val="HeadingTemplate22"/>
    <w:lvl w:ilvl="0" w:tplc="DB862C6E">
      <w:start w:val="1"/>
      <w:numFmt w:val="lowerLetter"/>
      <w:pStyle w:val="ListNumbered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583872"/>
    <w:multiLevelType w:val="hybridMultilevel"/>
    <w:tmpl w:val="3170DCCE"/>
    <w:lvl w:ilvl="0" w:tplc="3FF29240">
      <w:start w:val="1"/>
      <w:numFmt w:val="bullet"/>
      <w:pStyle w:val="BodyTextSummar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C540B8"/>
    <w:multiLevelType w:val="hybridMultilevel"/>
    <w:tmpl w:val="EA742534"/>
    <w:lvl w:ilvl="0" w:tplc="FF68CE92">
      <w:start w:val="1"/>
      <w:numFmt w:val="bullet"/>
      <w:pStyle w:val="ListBulleted"/>
      <w:lvlText w:val=""/>
      <w:lvlJc w:val="left"/>
      <w:pPr>
        <w:tabs>
          <w:tab w:val="num" w:pos="1179"/>
        </w:tabs>
        <w:ind w:left="11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9"/>
        </w:tabs>
        <w:ind w:left="189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9"/>
        </w:tabs>
        <w:ind w:left="2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9"/>
        </w:tabs>
        <w:ind w:left="3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9"/>
        </w:tabs>
        <w:ind w:left="405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9"/>
        </w:tabs>
        <w:ind w:left="4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9"/>
        </w:tabs>
        <w:ind w:left="5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9"/>
        </w:tabs>
        <w:ind w:left="621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9"/>
        </w:tabs>
        <w:ind w:left="6939" w:hanging="360"/>
      </w:pPr>
      <w:rPr>
        <w:rFonts w:ascii="Wingdings" w:hAnsi="Wingdings" w:hint="default"/>
      </w:rPr>
    </w:lvl>
  </w:abstractNum>
  <w:abstractNum w:abstractNumId="6" w15:restartNumberingAfterBreak="0">
    <w:nsid w:val="3D18048A"/>
    <w:multiLevelType w:val="hybridMultilevel"/>
    <w:tmpl w:val="1642268C"/>
    <w:name w:val="HeadingTemplate222"/>
    <w:lvl w:ilvl="0" w:tplc="309A0324">
      <w:start w:val="1"/>
      <w:numFmt w:val="decimal"/>
      <w:pStyle w:val="Referencelist"/>
      <w:lvlText w:val="[%1]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17250B"/>
    <w:multiLevelType w:val="multilevel"/>
    <w:tmpl w:val="CC8CC4DE"/>
    <w:name w:val="MultilevelTemplate"/>
    <w:lvl w:ilvl="0">
      <w:start w:val="1"/>
      <w:numFmt w:val="decimal"/>
      <w:lvlRestart w:val="0"/>
      <w:pStyle w:val="BodyTextMultiline"/>
      <w:lvlText w:val="%1."/>
      <w:lvlJc w:val="left"/>
      <w:pPr>
        <w:tabs>
          <w:tab w:val="num" w:pos="459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918"/>
        </w:tabs>
        <w:ind w:left="459" w:firstLine="0"/>
      </w:pPr>
    </w:lvl>
    <w:lvl w:ilvl="2">
      <w:start w:val="1"/>
      <w:numFmt w:val="decimal"/>
      <w:lvlText w:val="%1.%2.%3."/>
      <w:lvlJc w:val="left"/>
      <w:pPr>
        <w:tabs>
          <w:tab w:val="num" w:pos="1378"/>
        </w:tabs>
        <w:ind w:left="918" w:firstLine="0"/>
      </w:pPr>
    </w:lvl>
    <w:lvl w:ilvl="3">
      <w:start w:val="1"/>
      <w:numFmt w:val="decimal"/>
      <w:lvlText w:val="%1.%2.%3.%4."/>
      <w:lvlJc w:val="left"/>
      <w:pPr>
        <w:tabs>
          <w:tab w:val="num" w:pos="1837"/>
        </w:tabs>
        <w:ind w:left="1378" w:firstLine="0"/>
      </w:p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</w:lvl>
  </w:abstractNum>
  <w:abstractNum w:abstractNumId="8" w15:restartNumberingAfterBreak="0">
    <w:nsid w:val="59EA217A"/>
    <w:multiLevelType w:val="hybridMultilevel"/>
    <w:tmpl w:val="7DCEBCBE"/>
    <w:lvl w:ilvl="0" w:tplc="C1DCCBEE">
      <w:start w:val="1"/>
      <w:numFmt w:val="bullet"/>
      <w:lvlText w:val="-"/>
      <w:lvlJc w:val="left"/>
      <w:pPr>
        <w:tabs>
          <w:tab w:val="num" w:pos="919"/>
        </w:tabs>
        <w:ind w:left="919" w:hanging="4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8252C9"/>
    <w:multiLevelType w:val="hybridMultilevel"/>
    <w:tmpl w:val="B43A93BA"/>
    <w:lvl w:ilvl="0" w:tplc="CFBE2F4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D51093"/>
    <w:multiLevelType w:val="multilevel"/>
    <w:tmpl w:val="D8FA943C"/>
    <w:name w:val="HeadingTemplate"/>
    <w:lvl w:ilvl="0">
      <w:start w:val="1"/>
      <w:numFmt w:val="none"/>
      <w:lvlRestart w:val="0"/>
      <w:lvlText w:val=""/>
      <w:lvlJc w:val="left"/>
      <w:pPr>
        <w:tabs>
          <w:tab w:val="num" w:pos="459"/>
        </w:tabs>
        <w:ind w:left="0" w:firstLine="0"/>
      </w:pPr>
      <w:rPr>
        <w:rFonts w:hint="default"/>
      </w:rPr>
    </w:lvl>
    <w:lvl w:ilvl="1">
      <w:start w:val="1"/>
      <w:numFmt w:val="decimal"/>
      <w:lvlRestart w:val="0"/>
      <w:pStyle w:val="Heading2"/>
      <w:suff w:val="space"/>
      <w:lvlText w:val="%1%2."/>
      <w:lvlJc w:val="left"/>
      <w:pPr>
        <w:ind w:left="0" w:firstLine="0"/>
      </w:pPr>
      <w:rPr>
        <w:rFonts w:hint="default"/>
        <w:color w:val="auto"/>
      </w:rPr>
    </w:lvl>
    <w:lvl w:ilvl="2">
      <w:start w:val="1"/>
      <w:numFmt w:val="decimal"/>
      <w:lvlRestart w:val="0"/>
      <w:pStyle w:val="Heading3"/>
      <w:lvlText w:val="%1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Restart w:val="0"/>
      <w:pStyle w:val="Heading4"/>
      <w:lvlText w:val="%2.%3.%4."/>
      <w:lvlJc w:val="left"/>
      <w:pPr>
        <w:ind w:left="1701" w:firstLine="0"/>
      </w:pPr>
      <w:rPr>
        <w:rFonts w:hint="default"/>
      </w:rPr>
    </w:lvl>
    <w:lvl w:ilvl="4">
      <w:start w:val="1"/>
      <w:numFmt w:val="lowerLetter"/>
      <w:lvlRestart w:val="0"/>
      <w:lvlText w:val="%1(%5)"/>
      <w:lvlJc w:val="left"/>
      <w:pPr>
        <w:tabs>
          <w:tab w:val="num" w:pos="3345"/>
        </w:tabs>
        <w:ind w:left="2268" w:firstLine="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3912"/>
        </w:tabs>
        <w:ind w:left="2835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32"/>
        </w:tabs>
        <w:ind w:left="2432" w:hanging="1298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16"/>
        </w:tabs>
        <w:ind w:left="2716" w:hanging="1582"/>
      </w:pPr>
      <w:rPr>
        <w:rFonts w:hint="default"/>
      </w:rPr>
    </w:lvl>
  </w:abstractNum>
  <w:abstractNum w:abstractNumId="11" w15:restartNumberingAfterBreak="0">
    <w:nsid w:val="7665634F"/>
    <w:multiLevelType w:val="hybridMultilevel"/>
    <w:tmpl w:val="34482B46"/>
    <w:lvl w:ilvl="0" w:tplc="4A587E7C">
      <w:start w:val="1"/>
      <w:numFmt w:val="decimal"/>
      <w:lvlText w:val="%1."/>
      <w:lvlJc w:val="left"/>
      <w:pPr>
        <w:tabs>
          <w:tab w:val="num" w:pos="919"/>
        </w:tabs>
        <w:ind w:left="919" w:hanging="4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10"/>
  </w:num>
  <w:num w:numId="5">
    <w:abstractNumId w:val="10"/>
  </w:num>
  <w:num w:numId="6">
    <w:abstractNumId w:val="5"/>
  </w:num>
  <w:num w:numId="7">
    <w:abstractNumId w:val="8"/>
  </w:num>
  <w:num w:numId="8">
    <w:abstractNumId w:val="11"/>
  </w:num>
  <w:num w:numId="9">
    <w:abstractNumId w:val="1"/>
  </w:num>
  <w:num w:numId="10">
    <w:abstractNumId w:val="10"/>
    <w:lvlOverride w:ilvl="0">
      <w:lvl w:ilvl="0">
        <w:start w:val="1"/>
        <w:numFmt w:val="none"/>
        <w:lvlRestart w:val="0"/>
        <w:lvlText w:val=""/>
        <w:lvlJc w:val="left"/>
        <w:pPr>
          <w:tabs>
            <w:tab w:val="num" w:pos="459"/>
          </w:tabs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Restart w:val="0"/>
        <w:pStyle w:val="Heading2"/>
        <w:lvlText w:val="%1%2."/>
        <w:lvlJc w:val="left"/>
        <w:pPr>
          <w:ind w:left="0" w:firstLine="0"/>
        </w:pPr>
        <w:rPr>
          <w:rFonts w:hint="default"/>
          <w:color w:val="auto"/>
        </w:rPr>
      </w:lvl>
    </w:lvlOverride>
    <w:lvlOverride w:ilvl="2">
      <w:lvl w:ilvl="2">
        <w:start w:val="1"/>
        <w:numFmt w:val="decimal"/>
        <w:lvlRestart w:val="0"/>
        <w:pStyle w:val="Heading3"/>
        <w:lvlText w:val="%1%2.%3.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pStyle w:val="Heading4"/>
        <w:lvlText w:val=""/>
        <w:lvlJc w:val="left"/>
        <w:pPr>
          <w:tabs>
            <w:tab w:val="num" w:pos="2058"/>
          </w:tabs>
          <w:ind w:left="1701" w:firstLine="0"/>
        </w:pPr>
        <w:rPr>
          <w:rFonts w:hint="default"/>
        </w:rPr>
      </w:lvl>
    </w:lvlOverride>
    <w:lvlOverride w:ilvl="4">
      <w:lvl w:ilvl="4">
        <w:start w:val="1"/>
        <w:numFmt w:val="lowerLetter"/>
        <w:lvlRestart w:val="0"/>
        <w:lvlText w:val="%1(%5)"/>
        <w:lvlJc w:val="left"/>
        <w:pPr>
          <w:tabs>
            <w:tab w:val="num" w:pos="3345"/>
          </w:tabs>
          <w:ind w:left="2268" w:firstLine="0"/>
        </w:pPr>
        <w:rPr>
          <w:rFonts w:hint="default"/>
          <w:sz w:val="20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3912"/>
          </w:tabs>
          <w:ind w:left="2835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2432"/>
          </w:tabs>
          <w:ind w:left="2432" w:hanging="1298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2574"/>
          </w:tabs>
          <w:ind w:left="2574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2716"/>
          </w:tabs>
          <w:ind w:left="2716" w:hanging="1582"/>
        </w:pPr>
        <w:rPr>
          <w:rFonts w:hint="default"/>
        </w:rPr>
      </w:lvl>
    </w:lvlOverride>
  </w:num>
  <w:num w:numId="11">
    <w:abstractNumId w:val="10"/>
  </w:num>
  <w:num w:numId="12">
    <w:abstractNumId w:val="10"/>
  </w:num>
  <w:num w:numId="13">
    <w:abstractNumId w:val="10"/>
  </w:num>
  <w:num w:numId="14">
    <w:abstractNumId w:val="10"/>
    <w:lvlOverride w:ilvl="0">
      <w:lvl w:ilvl="0">
        <w:start w:val="1"/>
        <w:numFmt w:val="none"/>
        <w:lvlRestart w:val="0"/>
        <w:lvlText w:val=""/>
        <w:lvlJc w:val="left"/>
        <w:pPr>
          <w:tabs>
            <w:tab w:val="num" w:pos="459"/>
          </w:tabs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Restart w:val="0"/>
        <w:pStyle w:val="Heading2"/>
        <w:suff w:val="space"/>
        <w:lvlText w:val="%1%2."/>
        <w:lvlJc w:val="left"/>
        <w:pPr>
          <w:ind w:left="0" w:firstLine="0"/>
        </w:pPr>
        <w:rPr>
          <w:rFonts w:hint="default"/>
          <w:color w:val="auto"/>
        </w:rPr>
      </w:lvl>
    </w:lvlOverride>
    <w:lvlOverride w:ilvl="2">
      <w:lvl w:ilvl="2">
        <w:start w:val="1"/>
        <w:numFmt w:val="decimal"/>
        <w:lvlRestart w:val="0"/>
        <w:pStyle w:val="Heading3"/>
        <w:suff w:val="space"/>
        <w:lvlText w:val="%1%2.%3.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Restart w:val="0"/>
        <w:pStyle w:val="Heading4"/>
        <w:lvlText w:val="%2.%3.%4"/>
        <w:lvlJc w:val="left"/>
        <w:pPr>
          <w:tabs>
            <w:tab w:val="num" w:pos="2058"/>
          </w:tabs>
          <w:ind w:left="1701" w:firstLine="0"/>
        </w:pPr>
        <w:rPr>
          <w:rFonts w:hint="default"/>
        </w:rPr>
      </w:lvl>
    </w:lvlOverride>
    <w:lvlOverride w:ilvl="4">
      <w:lvl w:ilvl="4">
        <w:start w:val="1"/>
        <w:numFmt w:val="lowerLetter"/>
        <w:lvlRestart w:val="0"/>
        <w:lvlText w:val="%1(%5)"/>
        <w:lvlJc w:val="left"/>
        <w:pPr>
          <w:tabs>
            <w:tab w:val="num" w:pos="3345"/>
          </w:tabs>
          <w:ind w:left="2268" w:firstLine="0"/>
        </w:pPr>
        <w:rPr>
          <w:rFonts w:hint="default"/>
          <w:sz w:val="20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3912"/>
          </w:tabs>
          <w:ind w:left="2835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2432"/>
          </w:tabs>
          <w:ind w:left="2432" w:hanging="1298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2574"/>
          </w:tabs>
          <w:ind w:left="2574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2716"/>
          </w:tabs>
          <w:ind w:left="2716" w:hanging="1582"/>
        </w:pPr>
        <w:rPr>
          <w:rFonts w:hint="default"/>
        </w:rPr>
      </w:lvl>
    </w:lvlOverride>
  </w:num>
  <w:num w:numId="15">
    <w:abstractNumId w:val="10"/>
  </w:num>
  <w:num w:numId="16">
    <w:abstractNumId w:val="10"/>
  </w:num>
  <w:num w:numId="17">
    <w:abstractNumId w:val="10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2"/>
  </w:num>
  <w:num w:numId="21">
    <w:abstractNumId w:val="10"/>
  </w:num>
  <w:num w:numId="22">
    <w:abstractNumId w:val="3"/>
  </w:num>
  <w:num w:numId="23">
    <w:abstractNumId w:val="0"/>
  </w:num>
  <w:num w:numId="24">
    <w:abstractNumId w:val="9"/>
  </w:num>
  <w:num w:numId="25">
    <w:abstractNumId w:val="10"/>
  </w:num>
  <w:num w:numId="26">
    <w:abstractNumId w:val="10"/>
  </w:num>
  <w:num w:numId="27">
    <w:abstractNumId w:val="10"/>
  </w:num>
  <w:num w:numId="28">
    <w:abstractNumId w:val="10"/>
  </w:num>
  <w:num w:numId="29">
    <w:abstractNumId w:val="10"/>
  </w:num>
  <w:num w:numId="30">
    <w:abstractNumId w:val="6"/>
  </w:num>
  <w:num w:numId="31">
    <w:abstractNumId w:val="6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5" w:nlCheck="1" w:checkStyle="1"/>
  <w:activeWritingStyle w:appName="MSWord" w:lang="en-US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s-CO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LG_chkAction" w:val="0"/>
    <w:docVar w:name="DLG_chkApproval" w:val="-1"/>
    <w:docVar w:name="DLG_chkClearance" w:val="0"/>
    <w:docVar w:name="DLG_chkDiscuss" w:val="0"/>
    <w:docVar w:name="DLG_chkDraft" w:val="0"/>
    <w:docVar w:name="DLG_chkFiling" w:val="0"/>
    <w:docVar w:name="DLG_chkInformation" w:val="0"/>
    <w:docVar w:name="DLG_chkPassOn" w:val="0"/>
    <w:docVar w:name="DLG_chkRCS" w:val="0"/>
    <w:docVar w:name="DLG_chkRequest" w:val="0"/>
    <w:docVar w:name="DLG_chkReturn" w:val="0"/>
    <w:docVar w:name="DLG_chkSignature" w:val="0"/>
    <w:docVar w:name="DLG_txtSubject" w:val="Subject"/>
    <w:docVar w:name="SEC_Classification" w:val="None"/>
    <w:docVar w:name="SEC_ConfidentialAttachments" w:val="False"/>
  </w:docVars>
  <w:rsids>
    <w:rsidRoot w:val="00037321"/>
    <w:rsid w:val="000229AB"/>
    <w:rsid w:val="0002569A"/>
    <w:rsid w:val="00037321"/>
    <w:rsid w:val="00074D3E"/>
    <w:rsid w:val="000A0299"/>
    <w:rsid w:val="000A2990"/>
    <w:rsid w:val="000F7E94"/>
    <w:rsid w:val="001119D6"/>
    <w:rsid w:val="001308F2"/>
    <w:rsid w:val="001313E8"/>
    <w:rsid w:val="00152129"/>
    <w:rsid w:val="00183BC4"/>
    <w:rsid w:val="00185E41"/>
    <w:rsid w:val="001C58F5"/>
    <w:rsid w:val="001D5CEE"/>
    <w:rsid w:val="002071D9"/>
    <w:rsid w:val="00254D15"/>
    <w:rsid w:val="00256822"/>
    <w:rsid w:val="0026525A"/>
    <w:rsid w:val="00274790"/>
    <w:rsid w:val="00285755"/>
    <w:rsid w:val="002A1F9C"/>
    <w:rsid w:val="002B29C2"/>
    <w:rsid w:val="002C4208"/>
    <w:rsid w:val="0031325A"/>
    <w:rsid w:val="00322169"/>
    <w:rsid w:val="00332A0D"/>
    <w:rsid w:val="00352DE1"/>
    <w:rsid w:val="003619D9"/>
    <w:rsid w:val="003728E6"/>
    <w:rsid w:val="003B5E0E"/>
    <w:rsid w:val="003D255A"/>
    <w:rsid w:val="00416949"/>
    <w:rsid w:val="004370D8"/>
    <w:rsid w:val="00472C43"/>
    <w:rsid w:val="00537496"/>
    <w:rsid w:val="00544ED3"/>
    <w:rsid w:val="0058477B"/>
    <w:rsid w:val="0058654F"/>
    <w:rsid w:val="00596ACA"/>
    <w:rsid w:val="005E39BC"/>
    <w:rsid w:val="005F00A0"/>
    <w:rsid w:val="00647F33"/>
    <w:rsid w:val="00662532"/>
    <w:rsid w:val="006B2274"/>
    <w:rsid w:val="00717C6F"/>
    <w:rsid w:val="007445DA"/>
    <w:rsid w:val="007B4FD1"/>
    <w:rsid w:val="007D567E"/>
    <w:rsid w:val="00802381"/>
    <w:rsid w:val="00883848"/>
    <w:rsid w:val="00897ED5"/>
    <w:rsid w:val="008B6BB9"/>
    <w:rsid w:val="00911543"/>
    <w:rsid w:val="009519C9"/>
    <w:rsid w:val="009D0B86"/>
    <w:rsid w:val="009E0D5B"/>
    <w:rsid w:val="009E1558"/>
    <w:rsid w:val="00A42898"/>
    <w:rsid w:val="00AB6ACE"/>
    <w:rsid w:val="00AB7918"/>
    <w:rsid w:val="00AC5A3A"/>
    <w:rsid w:val="00AF6F5E"/>
    <w:rsid w:val="00B66A27"/>
    <w:rsid w:val="00B82FA5"/>
    <w:rsid w:val="00BD1400"/>
    <w:rsid w:val="00BD605C"/>
    <w:rsid w:val="00BE2A76"/>
    <w:rsid w:val="00C34DA2"/>
    <w:rsid w:val="00C65E60"/>
    <w:rsid w:val="00CE5A52"/>
    <w:rsid w:val="00CF7AF3"/>
    <w:rsid w:val="00D26ADA"/>
    <w:rsid w:val="00D35A78"/>
    <w:rsid w:val="00D555A1"/>
    <w:rsid w:val="00D64DC2"/>
    <w:rsid w:val="00D73882"/>
    <w:rsid w:val="00DA46CA"/>
    <w:rsid w:val="00DC6FAA"/>
    <w:rsid w:val="00DF21EB"/>
    <w:rsid w:val="00E20E70"/>
    <w:rsid w:val="00E25B68"/>
    <w:rsid w:val="00E533DD"/>
    <w:rsid w:val="00E84003"/>
    <w:rsid w:val="00EC10FC"/>
    <w:rsid w:val="00ED0A99"/>
    <w:rsid w:val="00EE0041"/>
    <w:rsid w:val="00EE29B9"/>
    <w:rsid w:val="00F004EE"/>
    <w:rsid w:val="00F05BD7"/>
    <w:rsid w:val="00F42E23"/>
    <w:rsid w:val="00F45EEE"/>
    <w:rsid w:val="00F51E9C"/>
    <w:rsid w:val="00F523CA"/>
    <w:rsid w:val="00F74A9D"/>
    <w:rsid w:val="00FC569D"/>
    <w:rsid w:val="00FF3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33FE039"/>
  <w15:docId w15:val="{11E613AA-FBCC-4207-88B2-F2EE58432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1" w:defUIPriority="49" w:defSemiHidden="0" w:defUnhideWhenUsed="0" w:defQFormat="0" w:count="375">
    <w:lsdException w:name="Normal" w:locked="0"/>
    <w:lsdException w:name="heading 1" w:locked="0" w:uiPriority="0" w:qFormat="1"/>
    <w:lsdException w:name="heading 2" w:locked="0" w:uiPriority="4" w:qFormat="1"/>
    <w:lsdException w:name="heading 3" w:locked="0" w:uiPriority="4" w:qFormat="1"/>
    <w:lsdException w:name="heading 4" w:locked="0" w:uiPriority="0" w:qFormat="1"/>
    <w:lsdException w:name="heading 5" w:locked="0" w:uiPriority="0"/>
    <w:lsdException w:name="heading 6" w:locked="0" w:uiPriority="0"/>
    <w:lsdException w:name="heading 7" w:locked="0" w:semiHidden="1" w:uiPriority="0" w:unhideWhenUsed="1"/>
    <w:lsdException w:name="heading 8" w:locked="0" w:semiHidden="1" w:uiPriority="0" w:unhideWhenUsed="1"/>
    <w:lsdException w:name="heading 9" w:locked="0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0" w:semiHidden="1" w:uiPriority="0" w:unhideWhenUsed="1"/>
    <w:lsdException w:name="annotation text" w:semiHidden="1" w:unhideWhenUsed="1"/>
    <w:lsdException w:name="header" w:locked="0" w:semiHidden="1" w:uiPriority="0" w:unhideWhenUsed="1"/>
    <w:lsdException w:name="footer" w:locked="0" w:semiHidden="1" w:uiPriority="99" w:unhideWhenUsed="1"/>
    <w:lsdException w:name="index heading" w:semiHidden="1" w:unhideWhenUsed="1"/>
    <w:lsdException w:name="caption" w:locked="0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0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0"/>
    <w:lsdException w:name="Closing" w:semiHidden="1" w:unhideWhenUsed="1"/>
    <w:lsdException w:name="Signature" w:semiHidden="1" w:unhideWhenUsed="1"/>
    <w:lsdException w:name="Default Paragraph Font" w:locked="0" w:semiHidden="1" w:uiPriority="0" w:unhideWhenUsed="1"/>
    <w:lsdException w:name="Body Text" w:locked="0" w:semiHidden="1" w:uiPriority="0" w:unhideWhenUsed="1" w:qFormat="1"/>
    <w:lsdException w:name="Body Text Indent" w:locked="0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0" w:uiPriority="0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iPriority="0" w:unhideWhenUsed="1"/>
    <w:lsdException w:name="HTML Bottom of Form" w:locked="0" w:semiHidden="1" w:uiPriority="0" w:unhideWhenUsed="1"/>
    <w:lsdException w:name="Normal (Web)" w:semiHidden="1" w:unhideWhenUsed="1"/>
    <w:lsdException w:name="HTML Acronym" w:semiHidden="1" w:uiPriority="19" w:unhideWhenUsed="1"/>
    <w:lsdException w:name="HTML Address" w:semiHidden="1" w:uiPriority="19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iPriority="0" w:unhideWhenUsed="1"/>
    <w:lsdException w:name="annotation subject" w:semiHidden="1" w:unhideWhenUsed="1"/>
    <w:lsdException w:name="No List" w:locked="0" w:semiHidden="1" w:uiPriority="0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locked="0" w:semiHidden="1" w:unhideWhenUsed="1"/>
    <w:lsdException w:name="Table Grid" w:locked="0" w:uiPriority="0"/>
    <w:lsdException w:name="Table Theme" w:semiHidden="1" w:uiPriority="0" w:unhideWhenUsed="1"/>
    <w:lsdException w:name="Placeholder Text" w:semiHidden="1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</w:latentStyles>
  <w:style w:type="paragraph" w:default="1" w:styleId="Normal">
    <w:name w:val="Normal"/>
    <w:uiPriority w:val="49"/>
    <w:rsid w:val="00332A0D"/>
    <w:pPr>
      <w:overflowPunct w:val="0"/>
      <w:autoSpaceDE w:val="0"/>
      <w:autoSpaceDN w:val="0"/>
      <w:adjustRightInd w:val="0"/>
      <w:textAlignment w:val="baseline"/>
    </w:pPr>
    <w:rPr>
      <w:sz w:val="22"/>
      <w:lang w:eastAsia="en-US"/>
    </w:rPr>
  </w:style>
  <w:style w:type="paragraph" w:styleId="Heading1">
    <w:name w:val="heading 1"/>
    <w:aliases w:val="Paper title"/>
    <w:next w:val="Subtitle"/>
    <w:uiPriority w:val="4"/>
    <w:qFormat/>
    <w:rsid w:val="00EE29B9"/>
    <w:pPr>
      <w:spacing w:line="280" w:lineRule="atLeast"/>
      <w:ind w:left="567" w:right="567"/>
      <w:outlineLvl w:val="0"/>
    </w:pPr>
    <w:rPr>
      <w:rFonts w:ascii="Times New Roman Bold" w:hAnsi="Times New Roman Bold"/>
      <w:b/>
      <w:caps/>
      <w:sz w:val="24"/>
      <w:lang w:val="en-US" w:eastAsia="en-US"/>
    </w:rPr>
  </w:style>
  <w:style w:type="paragraph" w:styleId="Heading2">
    <w:name w:val="heading 2"/>
    <w:aliases w:val="1st level paper heading"/>
    <w:next w:val="BodyText"/>
    <w:uiPriority w:val="4"/>
    <w:qFormat/>
    <w:rsid w:val="00EE0041"/>
    <w:pPr>
      <w:widowControl w:val="0"/>
      <w:numPr>
        <w:ilvl w:val="1"/>
        <w:numId w:val="12"/>
      </w:numPr>
      <w:spacing w:before="100" w:beforeAutospacing="1" w:after="100" w:afterAutospacing="1" w:line="280" w:lineRule="atLeast"/>
      <w:outlineLvl w:val="1"/>
    </w:pPr>
    <w:rPr>
      <w:caps/>
      <w:lang w:eastAsia="en-US"/>
    </w:rPr>
  </w:style>
  <w:style w:type="paragraph" w:styleId="Heading3">
    <w:name w:val="heading 3"/>
    <w:aliases w:val="2nd level paper heading"/>
    <w:next w:val="BodyText"/>
    <w:uiPriority w:val="4"/>
    <w:qFormat/>
    <w:rsid w:val="00897ED5"/>
    <w:pPr>
      <w:widowControl w:val="0"/>
      <w:numPr>
        <w:ilvl w:val="2"/>
        <w:numId w:val="12"/>
      </w:numPr>
      <w:spacing w:before="240" w:after="240" w:line="240" w:lineRule="exact"/>
      <w:outlineLvl w:val="2"/>
    </w:pPr>
    <w:rPr>
      <w:b/>
      <w:lang w:eastAsia="en-US"/>
    </w:rPr>
  </w:style>
  <w:style w:type="paragraph" w:styleId="Heading4">
    <w:name w:val="heading 4"/>
    <w:aliases w:val="3rd level paper heading"/>
    <w:basedOn w:val="Normal"/>
    <w:next w:val="BodyText"/>
    <w:uiPriority w:val="4"/>
    <w:qFormat/>
    <w:rsid w:val="00897ED5"/>
    <w:pPr>
      <w:widowControl w:val="0"/>
      <w:numPr>
        <w:ilvl w:val="3"/>
        <w:numId w:val="12"/>
      </w:numPr>
      <w:spacing w:before="100" w:beforeAutospacing="1" w:after="100" w:afterAutospacing="1" w:line="240" w:lineRule="atLeast"/>
      <w:outlineLvl w:val="3"/>
    </w:pPr>
    <w:rPr>
      <w:i/>
      <w:sz w:val="20"/>
      <w:lang w:val="en-US"/>
    </w:rPr>
  </w:style>
  <w:style w:type="paragraph" w:styleId="Heading5">
    <w:name w:val="heading 5"/>
    <w:basedOn w:val="Normal"/>
    <w:next w:val="Normal"/>
    <w:uiPriority w:val="19"/>
    <w:locked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uiPriority w:val="19"/>
    <w:locked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Cs w:val="22"/>
      <w:lang w:val="en-US"/>
    </w:rPr>
  </w:style>
  <w:style w:type="paragraph" w:styleId="Heading7">
    <w:name w:val="heading 7"/>
    <w:basedOn w:val="Normal"/>
    <w:next w:val="Normal"/>
    <w:uiPriority w:val="19"/>
    <w:locked/>
    <w:pPr>
      <w:overflowPunct/>
      <w:autoSpaceDE/>
      <w:autoSpaceDN/>
      <w:adjustRightInd/>
      <w:spacing w:before="240" w:after="60"/>
      <w:textAlignment w:val="auto"/>
      <w:outlineLvl w:val="6"/>
    </w:pPr>
    <w:rPr>
      <w:szCs w:val="24"/>
      <w:lang w:val="en-US"/>
    </w:rPr>
  </w:style>
  <w:style w:type="paragraph" w:styleId="Heading8">
    <w:name w:val="heading 8"/>
    <w:basedOn w:val="Normal"/>
    <w:next w:val="Normal"/>
    <w:uiPriority w:val="19"/>
    <w:locked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en-US"/>
    </w:rPr>
  </w:style>
  <w:style w:type="paragraph" w:styleId="Heading9">
    <w:name w:val="heading 9"/>
    <w:basedOn w:val="Normal"/>
    <w:next w:val="Normal"/>
    <w:uiPriority w:val="19"/>
    <w:locked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qFormat/>
    <w:rsid w:val="00647F33"/>
    <w:pPr>
      <w:spacing w:line="260" w:lineRule="atLeast"/>
      <w:ind w:firstLine="567"/>
      <w:contextualSpacing/>
      <w:jc w:val="both"/>
    </w:pPr>
    <w:rPr>
      <w:lang w:eastAsia="en-US"/>
    </w:rPr>
  </w:style>
  <w:style w:type="paragraph" w:styleId="BodyTextIndent">
    <w:name w:val="Body Text Indent"/>
    <w:basedOn w:val="BodyText"/>
    <w:uiPriority w:val="49"/>
    <w:locked/>
    <w:pPr>
      <w:ind w:left="1134" w:hanging="675"/>
    </w:pPr>
  </w:style>
  <w:style w:type="paragraph" w:customStyle="1" w:styleId="BodyTextMultiline">
    <w:name w:val="Body Text Multiline"/>
    <w:basedOn w:val="BodyText"/>
    <w:locked/>
    <w:pPr>
      <w:numPr>
        <w:numId w:val="1"/>
      </w:numPr>
    </w:pPr>
  </w:style>
  <w:style w:type="paragraph" w:customStyle="1" w:styleId="BodyTextSummary">
    <w:name w:val="Body Text Summary"/>
    <w:uiPriority w:val="49"/>
    <w:locked/>
    <w:pPr>
      <w:numPr>
        <w:numId w:val="2"/>
      </w:numPr>
      <w:tabs>
        <w:tab w:val="clear" w:pos="720"/>
      </w:tabs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next w:val="Normal"/>
    <w:uiPriority w:val="49"/>
    <w:pPr>
      <w:spacing w:after="85"/>
    </w:pPr>
    <w:rPr>
      <w:bCs/>
      <w:sz w:val="18"/>
      <w:lang w:val="en-US" w:eastAsia="en-US"/>
    </w:rPr>
  </w:style>
  <w:style w:type="paragraph" w:styleId="Footer">
    <w:name w:val="footer"/>
    <w:basedOn w:val="Normal"/>
    <w:link w:val="FooterChar"/>
    <w:uiPriority w:val="99"/>
    <w:locked/>
    <w:pPr>
      <w:overflowPunct/>
      <w:autoSpaceDE/>
      <w:autoSpaceDN/>
      <w:adjustRightInd/>
      <w:textAlignment w:val="auto"/>
    </w:pPr>
    <w:rPr>
      <w:sz w:val="2"/>
      <w:lang w:val="en-US"/>
    </w:rPr>
  </w:style>
  <w:style w:type="paragraph" w:styleId="FootnoteText">
    <w:name w:val="footnote text"/>
    <w:semiHidden/>
    <w:locked/>
    <w:pPr>
      <w:tabs>
        <w:tab w:val="left" w:pos="459"/>
      </w:tabs>
      <w:spacing w:before="142"/>
      <w:ind w:left="459"/>
      <w:jc w:val="both"/>
    </w:pPr>
    <w:rPr>
      <w:sz w:val="18"/>
      <w:lang w:eastAsia="en-US"/>
    </w:rPr>
  </w:style>
  <w:style w:type="paragraph" w:styleId="Header">
    <w:name w:val="header"/>
    <w:next w:val="BodyText"/>
    <w:uiPriority w:val="49"/>
    <w:locked/>
    <w:pPr>
      <w:spacing w:after="85"/>
    </w:pPr>
    <w:rPr>
      <w:sz w:val="18"/>
      <w:lang w:val="en-US" w:eastAsia="en-US"/>
    </w:rPr>
  </w:style>
  <w:style w:type="paragraph" w:customStyle="1" w:styleId="ListBulleted">
    <w:name w:val="List Bulleted"/>
    <w:uiPriority w:val="7"/>
    <w:qFormat/>
    <w:locked/>
    <w:pPr>
      <w:numPr>
        <w:numId w:val="6"/>
      </w:numPr>
      <w:tabs>
        <w:tab w:val="clear" w:pos="1179"/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basedOn w:val="BodyText"/>
    <w:uiPriority w:val="6"/>
    <w:qFormat/>
    <w:rsid w:val="00717C6F"/>
    <w:pPr>
      <w:numPr>
        <w:numId w:val="20"/>
      </w:numPr>
      <w:ind w:left="709"/>
    </w:pPr>
  </w:style>
  <w:style w:type="paragraph" w:customStyle="1" w:styleId="ListNumbered">
    <w:name w:val="List Numbered"/>
    <w:basedOn w:val="BodyText"/>
    <w:uiPriority w:val="5"/>
    <w:qFormat/>
    <w:locked/>
    <w:rsid w:val="00717C6F"/>
    <w:pPr>
      <w:numPr>
        <w:numId w:val="22"/>
      </w:numPr>
    </w:pPr>
  </w:style>
  <w:style w:type="paragraph" w:styleId="Title">
    <w:name w:val="Title"/>
    <w:uiPriority w:val="2"/>
    <w:locked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uiPriority w:val="49"/>
    <w:locked/>
    <w:pPr>
      <w:spacing w:after="20" w:line="220" w:lineRule="exact"/>
      <w:jc w:val="right"/>
    </w:pPr>
    <w:rPr>
      <w:rFonts w:ascii="Arial" w:hAnsi="Arial" w:cs="Arial"/>
      <w:color w:val="FF0000"/>
    </w:rPr>
  </w:style>
  <w:style w:type="paragraph" w:customStyle="1" w:styleId="zyxConfidRed">
    <w:name w:val="zyxConfidRed"/>
    <w:uiPriority w:val="49"/>
    <w:locked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uiPriority w:val="49"/>
    <w:locked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uiPriority w:val="49"/>
    <w:locked/>
    <w:pPr>
      <w:framePr w:wrap="around" w:vAnchor="page" w:hAnchor="page" w:x="1390" w:y="15707"/>
      <w:widowControl w:val="0"/>
      <w:overflowPunct/>
      <w:autoSpaceDE/>
      <w:autoSpaceDN/>
      <w:adjustRightInd/>
      <w:spacing w:before="240" w:after="20"/>
      <w:ind w:left="142"/>
      <w:suppressOverlap/>
      <w:textAlignment w:val="auto"/>
    </w:pPr>
    <w:rPr>
      <w:rFonts w:ascii="Arial" w:hAnsi="Arial"/>
      <w:b/>
    </w:rPr>
  </w:style>
  <w:style w:type="paragraph" w:customStyle="1" w:styleId="zyxPrePrint">
    <w:name w:val="zyxPrePrint"/>
    <w:uiPriority w:val="49"/>
    <w:locked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uiPriority w:val="49"/>
    <w:locked/>
    <w:rPr>
      <w:b/>
    </w:rPr>
  </w:style>
  <w:style w:type="paragraph" w:customStyle="1" w:styleId="zyxLogo">
    <w:name w:val="zyxLogo"/>
    <w:basedOn w:val="Normal"/>
    <w:uiPriority w:val="49"/>
    <w:locked/>
    <w:pPr>
      <w:keepNext/>
      <w:spacing w:after="10"/>
    </w:pPr>
    <w:rPr>
      <w:rFonts w:ascii="Arial" w:hAnsi="Arial"/>
      <w:b/>
      <w:sz w:val="13"/>
    </w:rPr>
  </w:style>
  <w:style w:type="paragraph" w:customStyle="1" w:styleId="zyxP1Footer">
    <w:name w:val="zyxP1_Footer"/>
    <w:basedOn w:val="Normal"/>
    <w:uiPriority w:val="49"/>
    <w:locked/>
    <w:pPr>
      <w:widowControl w:val="0"/>
      <w:spacing w:line="160" w:lineRule="exact"/>
      <w:ind w:left="108"/>
    </w:pPr>
    <w:rPr>
      <w:sz w:val="14"/>
    </w:rPr>
  </w:style>
  <w:style w:type="paragraph" w:customStyle="1" w:styleId="zyxSensitivity">
    <w:name w:val="zyxSensitivity"/>
    <w:basedOn w:val="Normal"/>
    <w:uiPriority w:val="49"/>
    <w:locked/>
    <w:pPr>
      <w:framePr w:wrap="around" w:vAnchor="page" w:hAnchor="page" w:x="1390" w:y="15707"/>
      <w:widowControl w:val="0"/>
      <w:overflowPunct/>
      <w:autoSpaceDE/>
      <w:autoSpaceDN/>
      <w:adjustRightInd/>
      <w:spacing w:line="220" w:lineRule="exact"/>
      <w:ind w:left="142"/>
      <w:suppressOverlap/>
      <w:textAlignment w:val="auto"/>
    </w:pPr>
    <w:rPr>
      <w:rFonts w:ascii="Arial" w:hAnsi="Arial"/>
      <w:b/>
    </w:rPr>
  </w:style>
  <w:style w:type="paragraph" w:customStyle="1" w:styleId="zyxTitle">
    <w:name w:val="zyxTitle"/>
    <w:basedOn w:val="Normal"/>
    <w:uiPriority w:val="49"/>
    <w:locked/>
    <w:pPr>
      <w:keepNext/>
      <w:spacing w:line="420" w:lineRule="exact"/>
    </w:pPr>
    <w:rPr>
      <w:rFonts w:ascii="Arial" w:hAnsi="Arial"/>
      <w:sz w:val="40"/>
    </w:rPr>
  </w:style>
  <w:style w:type="character" w:styleId="FootnoteReference">
    <w:name w:val="footnote reference"/>
    <w:basedOn w:val="DefaultParagraphFont"/>
    <w:semiHidden/>
    <w:locked/>
    <w:rPr>
      <w:vertAlign w:val="superscript"/>
    </w:rPr>
  </w:style>
  <w:style w:type="paragraph" w:styleId="Subtitle">
    <w:name w:val="Subtitle"/>
    <w:next w:val="BodyText"/>
    <w:uiPriority w:val="3"/>
    <w:qFormat/>
    <w:rsid w:val="00B82FA5"/>
    <w:pPr>
      <w:spacing w:after="100" w:afterAutospacing="1" w:line="280" w:lineRule="atLeast"/>
      <w:ind w:left="567" w:right="567"/>
      <w:contextualSpacing/>
    </w:pPr>
    <w:rPr>
      <w:rFonts w:cs="Arial"/>
      <w:b/>
      <w:i/>
      <w:sz w:val="24"/>
      <w:szCs w:val="24"/>
      <w:lang w:val="en-US" w:eastAsia="en-US"/>
    </w:rPr>
  </w:style>
  <w:style w:type="paragraph" w:customStyle="1" w:styleId="AgendaList">
    <w:name w:val="Agenda List"/>
    <w:uiPriority w:val="49"/>
    <w:locked/>
    <w:pPr>
      <w:numPr>
        <w:numId w:val="9"/>
      </w:numPr>
      <w:tabs>
        <w:tab w:val="clear" w:pos="459"/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paragraph" w:customStyle="1" w:styleId="zyxClassification1">
    <w:name w:val="zyxClassification1"/>
    <w:basedOn w:val="BodyText"/>
    <w:uiPriority w:val="49"/>
    <w:locked/>
    <w:pPr>
      <w:spacing w:line="280" w:lineRule="exact"/>
      <w:jc w:val="right"/>
    </w:pPr>
    <w:rPr>
      <w:rFonts w:ascii="Arial" w:hAnsi="Arial" w:cs="Arial"/>
      <w:b/>
      <w:bCs/>
      <w:caps/>
      <w:sz w:val="24"/>
    </w:rPr>
  </w:style>
  <w:style w:type="paragraph" w:customStyle="1" w:styleId="zyxClassification2">
    <w:name w:val="zyxClassification2"/>
    <w:basedOn w:val="Footer"/>
    <w:uiPriority w:val="49"/>
    <w:locked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ind w:firstLine="567"/>
      <w:jc w:val="right"/>
      <w:textAlignment w:val="baseline"/>
    </w:pPr>
    <w:rPr>
      <w:rFonts w:ascii="Arial" w:hAnsi="Arial" w:cs="Arial"/>
      <w:sz w:val="16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037321"/>
    <w:rPr>
      <w:sz w:val="2"/>
      <w:lang w:val="en-US" w:eastAsia="en-US"/>
    </w:rPr>
  </w:style>
  <w:style w:type="paragraph" w:customStyle="1" w:styleId="Runninghead">
    <w:name w:val="Running head"/>
    <w:basedOn w:val="Normal"/>
    <w:link w:val="RunningheadChar"/>
    <w:uiPriority w:val="49"/>
    <w:qFormat/>
    <w:rsid w:val="00B82FA5"/>
    <w:pPr>
      <w:jc w:val="center"/>
    </w:pPr>
    <w:rPr>
      <w:b/>
      <w:sz w:val="16"/>
      <w:szCs w:val="16"/>
    </w:rPr>
  </w:style>
  <w:style w:type="paragraph" w:customStyle="1" w:styleId="Authornameandaffiliation">
    <w:name w:val="Author name and affiliation"/>
    <w:link w:val="AuthornameandaffiliationChar"/>
    <w:uiPriority w:val="49"/>
    <w:qFormat/>
    <w:rsid w:val="00647F33"/>
    <w:pPr>
      <w:ind w:left="567"/>
      <w:contextualSpacing/>
    </w:pPr>
    <w:rPr>
      <w:lang w:val="en-US" w:eastAsia="en-US"/>
    </w:rPr>
  </w:style>
  <w:style w:type="character" w:customStyle="1" w:styleId="RunningheadChar">
    <w:name w:val="Running head Char"/>
    <w:basedOn w:val="DefaultParagraphFont"/>
    <w:link w:val="Runninghead"/>
    <w:uiPriority w:val="49"/>
    <w:rsid w:val="00B82FA5"/>
    <w:rPr>
      <w:b/>
      <w:sz w:val="16"/>
      <w:szCs w:val="16"/>
      <w:lang w:eastAsia="en-US"/>
    </w:rPr>
  </w:style>
  <w:style w:type="paragraph" w:customStyle="1" w:styleId="Abstracttext">
    <w:name w:val="Abstract text"/>
    <w:basedOn w:val="Authornameandaffiliation"/>
    <w:link w:val="AbstracttextChar"/>
    <w:uiPriority w:val="49"/>
    <w:qFormat/>
    <w:rsid w:val="00BD605C"/>
    <w:pPr>
      <w:spacing w:line="240" w:lineRule="atLeast"/>
      <w:ind w:left="0" w:firstLine="567"/>
    </w:pPr>
    <w:rPr>
      <w:sz w:val="18"/>
    </w:rPr>
  </w:style>
  <w:style w:type="character" w:customStyle="1" w:styleId="BodyTextChar">
    <w:name w:val="Body Text Char"/>
    <w:basedOn w:val="DefaultParagraphFont"/>
    <w:link w:val="BodyText"/>
    <w:rsid w:val="00647F33"/>
    <w:rPr>
      <w:lang w:eastAsia="en-US"/>
    </w:rPr>
  </w:style>
  <w:style w:type="character" w:customStyle="1" w:styleId="AuthornameandaffiliationChar">
    <w:name w:val="Author name and affiliation Char"/>
    <w:basedOn w:val="BodyTextChar"/>
    <w:link w:val="Authornameandaffiliation"/>
    <w:uiPriority w:val="49"/>
    <w:rsid w:val="00647F33"/>
    <w:rPr>
      <w:lang w:val="en-US" w:eastAsia="en-US"/>
    </w:rPr>
  </w:style>
  <w:style w:type="table" w:styleId="TableGrid">
    <w:name w:val="Table Grid"/>
    <w:basedOn w:val="TableNormal"/>
    <w:locked/>
    <w:rsid w:val="00472C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stracttextChar">
    <w:name w:val="Abstract text Char"/>
    <w:basedOn w:val="AuthornameandaffiliationChar"/>
    <w:link w:val="Abstracttext"/>
    <w:uiPriority w:val="49"/>
    <w:rsid w:val="00BD605C"/>
    <w:rPr>
      <w:sz w:val="18"/>
      <w:lang w:val="en-US" w:eastAsia="en-US"/>
    </w:rPr>
  </w:style>
  <w:style w:type="paragraph" w:styleId="BalloonText">
    <w:name w:val="Balloon Text"/>
    <w:basedOn w:val="Normal"/>
    <w:link w:val="BalloonTextChar"/>
    <w:uiPriority w:val="49"/>
    <w:locked/>
    <w:rsid w:val="005F00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49"/>
    <w:rsid w:val="005F00A0"/>
    <w:rPr>
      <w:rFonts w:ascii="Tahoma" w:hAnsi="Tahoma" w:cs="Tahoma"/>
      <w:sz w:val="16"/>
      <w:szCs w:val="16"/>
      <w:lang w:eastAsia="en-US"/>
    </w:rPr>
  </w:style>
  <w:style w:type="paragraph" w:customStyle="1" w:styleId="Figurecaption">
    <w:name w:val="Figure caption"/>
    <w:basedOn w:val="BodyText"/>
    <w:link w:val="FigurecaptionChar"/>
    <w:uiPriority w:val="49"/>
    <w:qFormat/>
    <w:locked/>
    <w:rsid w:val="00717C6F"/>
    <w:pPr>
      <w:jc w:val="center"/>
    </w:pPr>
    <w:rPr>
      <w:i/>
      <w:sz w:val="18"/>
    </w:rPr>
  </w:style>
  <w:style w:type="paragraph" w:customStyle="1" w:styleId="Otherunnumberedheadings">
    <w:name w:val="Other unnumbered headings"/>
    <w:next w:val="BodyText"/>
    <w:link w:val="OtherunnumberedheadingsChar"/>
    <w:uiPriority w:val="49"/>
    <w:qFormat/>
    <w:locked/>
    <w:rsid w:val="00D26ADA"/>
    <w:pPr>
      <w:spacing w:before="100" w:beforeAutospacing="1" w:after="100" w:afterAutospacing="1" w:line="260" w:lineRule="atLeast"/>
      <w:jc w:val="center"/>
    </w:pPr>
    <w:rPr>
      <w:rFonts w:ascii="Times New Roman Bold" w:hAnsi="Times New Roman Bold"/>
      <w:b/>
      <w:caps/>
      <w:lang w:eastAsia="en-US"/>
    </w:rPr>
  </w:style>
  <w:style w:type="character" w:customStyle="1" w:styleId="FigurecaptionChar">
    <w:name w:val="Figure caption Char"/>
    <w:basedOn w:val="BodyTextChar"/>
    <w:link w:val="Figurecaption"/>
    <w:uiPriority w:val="49"/>
    <w:rsid w:val="00717C6F"/>
    <w:rPr>
      <w:i/>
      <w:sz w:val="18"/>
      <w:lang w:eastAsia="en-US"/>
    </w:rPr>
  </w:style>
  <w:style w:type="paragraph" w:customStyle="1" w:styleId="Referencelist">
    <w:name w:val="Reference list"/>
    <w:basedOn w:val="BodyText"/>
    <w:link w:val="ReferencelistChar"/>
    <w:uiPriority w:val="49"/>
    <w:qFormat/>
    <w:rsid w:val="009E0D5B"/>
    <w:pPr>
      <w:numPr>
        <w:numId w:val="30"/>
      </w:numPr>
    </w:pPr>
    <w:rPr>
      <w:sz w:val="18"/>
      <w:szCs w:val="18"/>
    </w:rPr>
  </w:style>
  <w:style w:type="character" w:customStyle="1" w:styleId="OtherunnumberedheadingsChar">
    <w:name w:val="Other unnumbered headings Char"/>
    <w:basedOn w:val="BodyTextChar"/>
    <w:link w:val="Otherunnumberedheadings"/>
    <w:uiPriority w:val="49"/>
    <w:rsid w:val="00D26ADA"/>
    <w:rPr>
      <w:rFonts w:ascii="Times New Roman Bold" w:hAnsi="Times New Roman Bold"/>
      <w:b/>
      <w:caps/>
      <w:lang w:eastAsia="en-US"/>
    </w:rPr>
  </w:style>
  <w:style w:type="character" w:customStyle="1" w:styleId="ReferencelistChar">
    <w:name w:val="Reference list Char"/>
    <w:basedOn w:val="BodyTextChar"/>
    <w:link w:val="Referencelist"/>
    <w:uiPriority w:val="49"/>
    <w:rsid w:val="009E0D5B"/>
    <w:rPr>
      <w:sz w:val="18"/>
      <w:szCs w:val="18"/>
      <w:lang w:eastAsia="en-US"/>
    </w:rPr>
  </w:style>
  <w:style w:type="paragraph" w:customStyle="1" w:styleId="Tabletext">
    <w:name w:val="Table text"/>
    <w:basedOn w:val="BodyText"/>
    <w:link w:val="TabletextChar"/>
    <w:uiPriority w:val="49"/>
    <w:qFormat/>
    <w:rsid w:val="00883848"/>
    <w:pPr>
      <w:ind w:firstLine="0"/>
    </w:pPr>
  </w:style>
  <w:style w:type="character" w:customStyle="1" w:styleId="TabletextChar">
    <w:name w:val="Table text Char"/>
    <w:basedOn w:val="BodyTextChar"/>
    <w:link w:val="Tabletext"/>
    <w:uiPriority w:val="49"/>
    <w:rsid w:val="00883848"/>
    <w:rPr>
      <w:lang w:eastAsia="en-US"/>
    </w:rPr>
  </w:style>
  <w:style w:type="character" w:styleId="Hyperlink">
    <w:name w:val="Hyperlink"/>
    <w:basedOn w:val="DefaultParagraphFont"/>
    <w:uiPriority w:val="49"/>
    <w:unhideWhenUsed/>
    <w:locked/>
    <w:rsid w:val="00F05BD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5BD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49"/>
    <w:semiHidden/>
    <w:unhideWhenUsed/>
    <w:locked/>
    <w:rsid w:val="00185E4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88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humanhealth.iaea.org/HHW/NuclearMedicine/Conferences/IPET2015/IPET2015_Book_of_Abstracts.pdf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IAEA\Templates\O365\IAEA%20Blank%20(r0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068266114A4C4B94557EA78402A557" ma:contentTypeVersion="7" ma:contentTypeDescription="Create a new document." ma:contentTypeScope="" ma:versionID="bf16689fb7c937d8ab7dfcb290ede3a3">
  <xsd:schema xmlns:xsd="http://www.w3.org/2001/XMLSchema" xmlns:xs="http://www.w3.org/2001/XMLSchema" xmlns:p="http://schemas.microsoft.com/office/2006/metadata/properties" xmlns:ns3="2401a50d-c0e4-4807-8375-920e16cb21b4" targetNamespace="http://schemas.microsoft.com/office/2006/metadata/properties" ma:root="true" ma:fieldsID="4f7b213697a9339ae466d6b06c7e46fc" ns3:_="">
    <xsd:import namespace="2401a50d-c0e4-4807-8375-920e16cb21b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1a50d-c0e4-4807-8375-920e16cb21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ISO690NmericalSquare.XSL" StyleName="ISO 690 - Numerical with Square Brackets"/>
</file>

<file path=customXml/itemProps1.xml><?xml version="1.0" encoding="utf-8"?>
<ds:datastoreItem xmlns:ds="http://schemas.openxmlformats.org/officeDocument/2006/customXml" ds:itemID="{BAA37EDD-2E1A-4759-89A8-5D2D8E84B97D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2401a50d-c0e4-4807-8375-920e16cb21b4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8806F98-CEA2-40D9-9554-BA9D4018F9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4E70BA-6E61-4D29-9AEA-2190DB03B5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01a50d-c0e4-4807-8375-920e16cb21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27B4F87-D1D8-4B99-A534-6281CA479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IAEA Blank (r01).dotx</Template>
  <TotalTime>1</TotalTime>
  <Pages>3</Pages>
  <Words>1444</Words>
  <Characters>8235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IAEA</vt:lpstr>
    </vt:vector>
  </TitlesOfParts>
  <Company>IAEA</Company>
  <LinksUpToDate>false</LinksUpToDate>
  <CharactersWithSpaces>9660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IAEA</dc:title>
  <dc:creator>Gemma Anna Ruffino</dc:creator>
  <cp:lastModifiedBy>ANGEL, Pamela</cp:lastModifiedBy>
  <cp:revision>2</cp:revision>
  <cp:lastPrinted>2015-12-01T10:27:00Z</cp:lastPrinted>
  <dcterms:created xsi:type="dcterms:W3CDTF">2020-01-13T13:32:00Z</dcterms:created>
  <dcterms:modified xsi:type="dcterms:W3CDTF">2020-01-13T13:32:00Z</dcterms:modified>
  <cp:category>IAEA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aeaClassification">
    <vt:lpwstr/>
  </property>
  <property fmtid="{D5CDD505-2E9C-101B-9397-08002B2CF9AE}" pid="3" name="IaeaSensitivity">
    <vt:lpwstr/>
  </property>
  <property fmtid="{D5CDD505-2E9C-101B-9397-08002B2CF9AE}" pid="4" name="IaeaDistribution">
    <vt:lpwstr/>
  </property>
  <property fmtid="{D5CDD505-2E9C-101B-9397-08002B2CF9AE}" pid="5" name="IaeaSecurityClassifier">
    <vt:lpwstr/>
  </property>
  <property fmtid="{D5CDD505-2E9C-101B-9397-08002B2CF9AE}" pid="6" name="IaeaClassificationDate">
    <vt:lpwstr/>
  </property>
  <property fmtid="{D5CDD505-2E9C-101B-9397-08002B2CF9AE}" pid="7" name="IaeaTransmission">
    <vt:lpwstr/>
  </property>
  <property fmtid="{D5CDD505-2E9C-101B-9397-08002B2CF9AE}" pid="8" name="IaeaConfidentialAttachments">
    <vt:lpwstr/>
  </property>
  <property fmtid="{D5CDD505-2E9C-101B-9397-08002B2CF9AE}" pid="9" name="Typist">
    <vt:lpwstr>Initials-Ext</vt:lpwstr>
  </property>
  <property fmtid="{D5CDD505-2E9C-101B-9397-08002B2CF9AE}" pid="10" name="IaeaClassification2">
    <vt:lpwstr/>
  </property>
  <property fmtid="{D5CDD505-2E9C-101B-9397-08002B2CF9AE}" pid="11" name="ContentTypeId">
    <vt:lpwstr>0x01010052068266114A4C4B94557EA78402A557</vt:lpwstr>
  </property>
  <property fmtid="{D5CDD505-2E9C-101B-9397-08002B2CF9AE}" pid="12" name="_dlc_DocIdItemGuid">
    <vt:lpwstr>624d8e63-e3f6-4681-83c2-57c583c02431</vt:lpwstr>
  </property>
</Properties>
</file>