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43" w:rsidRPr="00BB5443" w:rsidRDefault="00BB5443" w:rsidP="00BB5443">
      <w:pPr>
        <w:pStyle w:val="Rubrik1"/>
      </w:pPr>
      <w:r w:rsidRPr="00BB5443">
        <w:t>Retrieving legacy waste from the Swedish geological repository for short-lived waste</w:t>
      </w:r>
    </w:p>
    <w:p w:rsidR="00E20E70" w:rsidRPr="00EE29B9" w:rsidRDefault="00E20E70" w:rsidP="00537496">
      <w:pPr>
        <w:pStyle w:val="Rubrik1"/>
      </w:pPr>
    </w:p>
    <w:p w:rsidR="003B5E0E" w:rsidRDefault="00BB5443" w:rsidP="00537496">
      <w:pPr>
        <w:pStyle w:val="Authornameandaffiliation"/>
      </w:pPr>
      <w:r>
        <w:t>ANDERS WIEBERT</w:t>
      </w:r>
    </w:p>
    <w:p w:rsidR="00FF386F" w:rsidRDefault="00BB5443" w:rsidP="00537496">
      <w:pPr>
        <w:pStyle w:val="Authornameandaffiliation"/>
      </w:pPr>
      <w:r>
        <w:t>Swedish Radiation Safety Authority</w:t>
      </w:r>
    </w:p>
    <w:p w:rsidR="00FF386F" w:rsidRDefault="00BB5443" w:rsidP="00537496">
      <w:pPr>
        <w:pStyle w:val="Authornameandaffiliation"/>
      </w:pPr>
      <w:r>
        <w:t>Stockholm, Sweden</w:t>
      </w:r>
    </w:p>
    <w:p w:rsidR="00FF386F" w:rsidRPr="00823823" w:rsidRDefault="00FF386F" w:rsidP="00537496">
      <w:pPr>
        <w:pStyle w:val="Authornameandaffiliation"/>
      </w:pPr>
      <w:r w:rsidRPr="00823823">
        <w:t xml:space="preserve">Email: </w:t>
      </w:r>
      <w:r w:rsidR="00BB5443" w:rsidRPr="00823823">
        <w:t>anders.wiebert@ssm.se</w:t>
      </w:r>
    </w:p>
    <w:p w:rsidR="00FF386F" w:rsidRPr="00823823" w:rsidRDefault="00FF386F" w:rsidP="00537496">
      <w:pPr>
        <w:pStyle w:val="Authornameandaffiliation"/>
      </w:pPr>
    </w:p>
    <w:p w:rsidR="00FF386F" w:rsidRPr="00FF386F" w:rsidRDefault="00BB5443" w:rsidP="00537496">
      <w:pPr>
        <w:pStyle w:val="Authornameandaffiliation"/>
      </w:pPr>
      <w:r w:rsidRPr="00BB5443">
        <w:t>ELISABET HÖGE</w:t>
      </w:r>
    </w:p>
    <w:p w:rsidR="00BB5443" w:rsidRDefault="00BB5443" w:rsidP="00BB5443">
      <w:pPr>
        <w:pStyle w:val="Authornameandaffiliation"/>
      </w:pPr>
      <w:r>
        <w:t>Swedish Radiation Safety Authority</w:t>
      </w:r>
    </w:p>
    <w:p w:rsidR="00BB5443" w:rsidRDefault="00BB5443" w:rsidP="00BB5443">
      <w:pPr>
        <w:pStyle w:val="Authornameandaffiliation"/>
      </w:pPr>
      <w:r>
        <w:t>Stockholm, Sweden</w:t>
      </w:r>
    </w:p>
    <w:p w:rsidR="00FF386F" w:rsidRDefault="00FF386F" w:rsidP="00537496">
      <w:pPr>
        <w:pStyle w:val="Authornameandaffiliation"/>
      </w:pPr>
    </w:p>
    <w:p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lastRenderedPageBreak/>
        <w:t>Abstract</w:t>
      </w:r>
    </w:p>
    <w:p w:rsidR="00647F33" w:rsidRDefault="00647F33" w:rsidP="00537496">
      <w:pPr>
        <w:pStyle w:val="Authornameandaffiliation"/>
      </w:pPr>
    </w:p>
    <w:p w:rsidR="00BF6C93" w:rsidRDefault="00BB5443" w:rsidP="00537496">
      <w:pPr>
        <w:pStyle w:val="Abstracttext"/>
        <w:rPr>
          <w:lang w:val="en-GB"/>
        </w:rPr>
      </w:pPr>
      <w:r w:rsidRPr="00BB5443">
        <w:rPr>
          <w:lang w:val="en-GB"/>
        </w:rPr>
        <w:t>At the geological repository for short-lived waste (SFR) at the Forsmark NPP, radioactive operational waste from NPPs and similar waste from other</w:t>
      </w:r>
      <w:r w:rsidR="00BF6C93">
        <w:rPr>
          <w:lang w:val="en-GB"/>
        </w:rPr>
        <w:t xml:space="preserve"> Swe</w:t>
      </w:r>
      <w:r w:rsidR="00823823">
        <w:rPr>
          <w:lang w:val="en-GB"/>
        </w:rPr>
        <w:t>d</w:t>
      </w:r>
      <w:r w:rsidR="00BF6C93">
        <w:rPr>
          <w:lang w:val="en-GB"/>
        </w:rPr>
        <w:t>ish</w:t>
      </w:r>
      <w:r w:rsidRPr="00BB5443">
        <w:rPr>
          <w:lang w:val="en-GB"/>
        </w:rPr>
        <w:t xml:space="preserve"> nuclear facilities is disposed. This includes short-lived waste from e.g. research and industry </w:t>
      </w:r>
      <w:r w:rsidR="00946F44">
        <w:rPr>
          <w:lang w:val="en-GB"/>
        </w:rPr>
        <w:t xml:space="preserve">that has been </w:t>
      </w:r>
      <w:r w:rsidRPr="00BB5443">
        <w:rPr>
          <w:lang w:val="en-GB"/>
        </w:rPr>
        <w:t xml:space="preserve">treated at the facilities in Studsvik. </w:t>
      </w:r>
      <w:r>
        <w:rPr>
          <w:lang w:val="en-GB"/>
        </w:rPr>
        <w:t xml:space="preserve">SFR is operated by the Swedish Nuclear Fuel and Waste Management Co (SKB) and has been in operation since 1988. In 2012, SKB reported that it was suspected that </w:t>
      </w:r>
      <w:r w:rsidR="00946F44">
        <w:rPr>
          <w:lang w:val="en-GB"/>
        </w:rPr>
        <w:t xml:space="preserve">some </w:t>
      </w:r>
      <w:r>
        <w:rPr>
          <w:lang w:val="en-GB"/>
        </w:rPr>
        <w:t>waste</w:t>
      </w:r>
      <w:r w:rsidR="00BF6C93">
        <w:rPr>
          <w:lang w:val="en-GB"/>
        </w:rPr>
        <w:t xml:space="preserve"> </w:t>
      </w:r>
      <w:r w:rsidR="00946F44">
        <w:rPr>
          <w:lang w:val="en-GB"/>
        </w:rPr>
        <w:t xml:space="preserve">packages </w:t>
      </w:r>
      <w:r w:rsidR="00BF6C93">
        <w:rPr>
          <w:lang w:val="en-GB"/>
        </w:rPr>
        <w:t>disposed at the SFR</w:t>
      </w:r>
      <w:r w:rsidR="00823823">
        <w:rPr>
          <w:lang w:val="en-GB"/>
        </w:rPr>
        <w:t>,</w:t>
      </w:r>
      <w:r>
        <w:rPr>
          <w:lang w:val="en-GB"/>
        </w:rPr>
        <w:t xml:space="preserve"> </w:t>
      </w:r>
      <w:r w:rsidR="00230365">
        <w:rPr>
          <w:lang w:val="en-GB"/>
        </w:rPr>
        <w:t>following</w:t>
      </w:r>
      <w:r w:rsidR="00946F44">
        <w:rPr>
          <w:lang w:val="en-GB"/>
        </w:rPr>
        <w:t xml:space="preserve"> </w:t>
      </w:r>
      <w:r>
        <w:rPr>
          <w:lang w:val="en-GB"/>
        </w:rPr>
        <w:t>condition</w:t>
      </w:r>
      <w:r w:rsidR="00946F44">
        <w:rPr>
          <w:lang w:val="en-GB"/>
        </w:rPr>
        <w:t>ing</w:t>
      </w:r>
      <w:r>
        <w:rPr>
          <w:lang w:val="en-GB"/>
        </w:rPr>
        <w:t xml:space="preserve"> at the Studsvik facility</w:t>
      </w:r>
      <w:r w:rsidR="00823823">
        <w:rPr>
          <w:lang w:val="en-GB"/>
        </w:rPr>
        <w:t>,</w:t>
      </w:r>
      <w:r>
        <w:rPr>
          <w:lang w:val="en-GB"/>
        </w:rPr>
        <w:t xml:space="preserve"> might contain waste not in </w:t>
      </w:r>
      <w:r w:rsidR="00230365">
        <w:rPr>
          <w:lang w:val="en-GB"/>
        </w:rPr>
        <w:t xml:space="preserve">accordance </w:t>
      </w:r>
      <w:r>
        <w:rPr>
          <w:lang w:val="en-GB"/>
        </w:rPr>
        <w:t>with the waste acceptance criteria</w:t>
      </w:r>
      <w:r w:rsidR="00BF6C93">
        <w:rPr>
          <w:lang w:val="en-GB"/>
        </w:rPr>
        <w:t xml:space="preserve">. </w:t>
      </w:r>
      <w:r>
        <w:rPr>
          <w:lang w:val="en-GB"/>
        </w:rPr>
        <w:t xml:space="preserve">SKB planned </w:t>
      </w:r>
      <w:r w:rsidR="00946F44">
        <w:rPr>
          <w:lang w:val="en-GB"/>
        </w:rPr>
        <w:t xml:space="preserve">to </w:t>
      </w:r>
      <w:r>
        <w:rPr>
          <w:lang w:val="en-GB"/>
        </w:rPr>
        <w:t>retriev</w:t>
      </w:r>
      <w:r w:rsidR="00946F44">
        <w:rPr>
          <w:lang w:val="en-GB"/>
        </w:rPr>
        <w:t>e</w:t>
      </w:r>
      <w:r>
        <w:rPr>
          <w:lang w:val="en-GB"/>
        </w:rPr>
        <w:t xml:space="preserve"> the waste containers in the 2030s. </w:t>
      </w:r>
      <w:r w:rsidR="008C1DDE">
        <w:rPr>
          <w:lang w:val="en-GB"/>
        </w:rPr>
        <w:t>The Swedish Radiation Safety Authority (</w:t>
      </w:r>
      <w:r>
        <w:rPr>
          <w:lang w:val="en-GB"/>
        </w:rPr>
        <w:t>SSM</w:t>
      </w:r>
      <w:r w:rsidR="008C1DDE">
        <w:rPr>
          <w:lang w:val="en-GB"/>
        </w:rPr>
        <w:t xml:space="preserve">) </w:t>
      </w:r>
      <w:r>
        <w:rPr>
          <w:lang w:val="en-GB"/>
        </w:rPr>
        <w:t>has since 2012 asked for complementary information regard</w:t>
      </w:r>
      <w:r w:rsidR="00946F44">
        <w:rPr>
          <w:lang w:val="en-GB"/>
        </w:rPr>
        <w:t>ing</w:t>
      </w:r>
      <w:r>
        <w:rPr>
          <w:lang w:val="en-GB"/>
        </w:rPr>
        <w:t xml:space="preserve"> the suspected content of radioactive substances in the waste, </w:t>
      </w:r>
      <w:r w:rsidR="00946F44">
        <w:rPr>
          <w:lang w:val="en-GB"/>
        </w:rPr>
        <w:t xml:space="preserve">as well as </w:t>
      </w:r>
      <w:r>
        <w:rPr>
          <w:lang w:val="en-GB"/>
        </w:rPr>
        <w:t>a</w:t>
      </w:r>
      <w:r w:rsidR="00946F44">
        <w:rPr>
          <w:lang w:val="en-GB"/>
        </w:rPr>
        <w:t>n</w:t>
      </w:r>
      <w:r>
        <w:rPr>
          <w:lang w:val="en-GB"/>
        </w:rPr>
        <w:t xml:space="preserve"> </w:t>
      </w:r>
      <w:r w:rsidR="00622A31">
        <w:rPr>
          <w:lang w:val="en-GB"/>
        </w:rPr>
        <w:t>analysis of the risk</w:t>
      </w:r>
      <w:r w:rsidR="00946F44">
        <w:rPr>
          <w:lang w:val="en-GB"/>
        </w:rPr>
        <w:t>s</w:t>
      </w:r>
      <w:r w:rsidR="00622A31">
        <w:rPr>
          <w:lang w:val="en-GB"/>
        </w:rPr>
        <w:t xml:space="preserve"> involved in </w:t>
      </w:r>
      <w:r w:rsidR="00622A31">
        <w:rPr>
          <w:lang w:val="en-GB"/>
        </w:rPr>
        <w:lastRenderedPageBreak/>
        <w:t>retrieving the containers and the radiological risk if the containers were not to be retrieved</w:t>
      </w:r>
      <w:r>
        <w:rPr>
          <w:lang w:val="en-GB"/>
        </w:rPr>
        <w:t xml:space="preserve">. </w:t>
      </w:r>
      <w:r w:rsidR="00BF6C93">
        <w:rPr>
          <w:lang w:val="en-GB"/>
        </w:rPr>
        <w:t>In 2020, b</w:t>
      </w:r>
      <w:r w:rsidR="00622A31">
        <w:rPr>
          <w:lang w:val="en-GB"/>
        </w:rPr>
        <w:t>ased on the review of the presented studies, SSM s</w:t>
      </w:r>
      <w:r w:rsidR="008C1DDE">
        <w:rPr>
          <w:lang w:val="en-GB"/>
        </w:rPr>
        <w:t>upported SKB’s intention to</w:t>
      </w:r>
      <w:r w:rsidR="00622A31">
        <w:rPr>
          <w:lang w:val="en-GB"/>
        </w:rPr>
        <w:t xml:space="preserve"> retrie</w:t>
      </w:r>
      <w:r w:rsidR="008C1DDE">
        <w:rPr>
          <w:lang w:val="en-GB"/>
        </w:rPr>
        <w:t>ve</w:t>
      </w:r>
      <w:r w:rsidR="00622A31">
        <w:rPr>
          <w:lang w:val="en-GB"/>
        </w:rPr>
        <w:t xml:space="preserve"> the waste. </w:t>
      </w:r>
      <w:r w:rsidR="00276D7D">
        <w:rPr>
          <w:lang w:val="en-GB"/>
        </w:rPr>
        <w:t xml:space="preserve">SSM judged that </w:t>
      </w:r>
      <w:r w:rsidR="006528FF">
        <w:rPr>
          <w:lang w:val="en-GB"/>
        </w:rPr>
        <w:t>SKB</w:t>
      </w:r>
      <w:r w:rsidR="00276D7D">
        <w:rPr>
          <w:lang w:val="en-GB"/>
        </w:rPr>
        <w:t xml:space="preserve"> had</w:t>
      </w:r>
      <w:r w:rsidR="006528FF">
        <w:rPr>
          <w:lang w:val="en-GB"/>
        </w:rPr>
        <w:t xml:space="preserve"> presented a credible plan for handling containers with questionable structural integrity</w:t>
      </w:r>
      <w:r w:rsidR="00745B31">
        <w:rPr>
          <w:lang w:val="en-GB"/>
        </w:rPr>
        <w:t xml:space="preserve"> due to corrosion</w:t>
      </w:r>
      <w:r w:rsidR="006528FF">
        <w:rPr>
          <w:lang w:val="en-GB"/>
        </w:rPr>
        <w:t xml:space="preserve">. </w:t>
      </w:r>
      <w:r w:rsidR="00276D7D">
        <w:rPr>
          <w:lang w:val="en-GB"/>
        </w:rPr>
        <w:t>Furthermore, according to SSM t</w:t>
      </w:r>
      <w:r w:rsidR="006528FF">
        <w:rPr>
          <w:lang w:val="en-GB"/>
        </w:rPr>
        <w:t xml:space="preserve">he need for retrieval </w:t>
      </w:r>
      <w:r w:rsidR="00622A31">
        <w:rPr>
          <w:lang w:val="en-GB"/>
        </w:rPr>
        <w:t xml:space="preserve">is mainly due to the </w:t>
      </w:r>
      <w:r w:rsidR="001D3227">
        <w:rPr>
          <w:lang w:val="en-GB"/>
        </w:rPr>
        <w:t>potential for very high doses in the event of inadvertent intrusion into repository</w:t>
      </w:r>
      <w:r w:rsidR="008C1DDE">
        <w:rPr>
          <w:lang w:val="en-GB"/>
        </w:rPr>
        <w:t xml:space="preserve">, </w:t>
      </w:r>
      <w:r w:rsidR="00622A31">
        <w:rPr>
          <w:lang w:val="en-GB"/>
        </w:rPr>
        <w:t xml:space="preserve">combined with </w:t>
      </w:r>
      <w:r w:rsidR="00BF6C93">
        <w:rPr>
          <w:lang w:val="en-GB"/>
        </w:rPr>
        <w:t>an assessed</w:t>
      </w:r>
      <w:r w:rsidR="00622A31">
        <w:rPr>
          <w:lang w:val="en-GB"/>
        </w:rPr>
        <w:t xml:space="preserve"> non-</w:t>
      </w:r>
      <w:r w:rsidR="008C1DDE">
        <w:rPr>
          <w:lang w:val="en-GB"/>
        </w:rPr>
        <w:t>negligible</w:t>
      </w:r>
      <w:r w:rsidR="00622A31">
        <w:rPr>
          <w:lang w:val="en-GB"/>
        </w:rPr>
        <w:t xml:space="preserve"> probability </w:t>
      </w:r>
      <w:r w:rsidR="001D3227">
        <w:rPr>
          <w:lang w:val="en-GB"/>
        </w:rPr>
        <w:t xml:space="preserve">that a drinking water well could be drilled into the repository, </w:t>
      </w:r>
      <w:r w:rsidR="006528FF">
        <w:rPr>
          <w:lang w:val="en-GB"/>
        </w:rPr>
        <w:t xml:space="preserve">at a depth of </w:t>
      </w:r>
      <w:r w:rsidR="008C1DDE">
        <w:rPr>
          <w:lang w:val="en-GB"/>
        </w:rPr>
        <w:t xml:space="preserve">only 50 meters below the surface. </w:t>
      </w:r>
      <w:r w:rsidR="00276D7D">
        <w:rPr>
          <w:lang w:val="en-GB"/>
        </w:rPr>
        <w:t xml:space="preserve">The paper describes the background to the identified problem </w:t>
      </w:r>
      <w:r w:rsidR="00DF0432">
        <w:rPr>
          <w:lang w:val="en-GB"/>
        </w:rPr>
        <w:t xml:space="preserve">and </w:t>
      </w:r>
      <w:r w:rsidR="00276D7D">
        <w:rPr>
          <w:lang w:val="en-GB"/>
        </w:rPr>
        <w:t xml:space="preserve">the relevant regulatory requirements leading to the position taken by SSM. </w:t>
      </w:r>
      <w:r w:rsidR="00276D7D" w:rsidRPr="00276D7D">
        <w:rPr>
          <w:lang w:val="en-GB"/>
        </w:rPr>
        <w:t xml:space="preserve">The paper also describes the ambiguity that </w:t>
      </w:r>
      <w:r w:rsidR="00BF6C93">
        <w:rPr>
          <w:lang w:val="en-GB"/>
        </w:rPr>
        <w:t xml:space="preserve">recently </w:t>
      </w:r>
      <w:r w:rsidR="00276D7D" w:rsidRPr="00276D7D">
        <w:rPr>
          <w:lang w:val="en-GB"/>
        </w:rPr>
        <w:t xml:space="preserve">has arisen when one of the waste </w:t>
      </w:r>
      <w:r w:rsidR="0079711B">
        <w:rPr>
          <w:lang w:val="en-GB"/>
        </w:rPr>
        <w:t>consign</w:t>
      </w:r>
      <w:r w:rsidR="00C03FE5">
        <w:rPr>
          <w:lang w:val="en-GB"/>
        </w:rPr>
        <w:t>o</w:t>
      </w:r>
      <w:r w:rsidR="0079711B">
        <w:rPr>
          <w:lang w:val="en-GB"/>
        </w:rPr>
        <w:t>rs</w:t>
      </w:r>
      <w:r w:rsidR="001D3227" w:rsidRPr="00276D7D">
        <w:rPr>
          <w:lang w:val="en-GB"/>
        </w:rPr>
        <w:t xml:space="preserve"> </w:t>
      </w:r>
      <w:r w:rsidR="00276D7D" w:rsidRPr="00276D7D">
        <w:rPr>
          <w:lang w:val="en-GB"/>
        </w:rPr>
        <w:t xml:space="preserve">at Studsvik has </w:t>
      </w:r>
      <w:r w:rsidR="00BF6C93">
        <w:rPr>
          <w:lang w:val="en-GB"/>
        </w:rPr>
        <w:t xml:space="preserve">disclaimed </w:t>
      </w:r>
      <w:r w:rsidR="00276D7D" w:rsidRPr="00276D7D">
        <w:rPr>
          <w:lang w:val="en-GB"/>
        </w:rPr>
        <w:t xml:space="preserve">both nuclear and financial responsibility </w:t>
      </w:r>
      <w:r w:rsidR="00230365">
        <w:rPr>
          <w:lang w:val="en-GB"/>
        </w:rPr>
        <w:t xml:space="preserve">for </w:t>
      </w:r>
      <w:r w:rsidR="00BF6C93">
        <w:rPr>
          <w:lang w:val="en-GB"/>
        </w:rPr>
        <w:t xml:space="preserve">large quantities of Swedish legacy waste, including </w:t>
      </w:r>
      <w:r w:rsidR="00230365">
        <w:rPr>
          <w:lang w:val="en-GB"/>
        </w:rPr>
        <w:t xml:space="preserve">a </w:t>
      </w:r>
      <w:r w:rsidR="00BF6C93">
        <w:rPr>
          <w:lang w:val="en-GB"/>
        </w:rPr>
        <w:t xml:space="preserve">significant </w:t>
      </w:r>
      <w:r w:rsidR="00230365">
        <w:rPr>
          <w:lang w:val="en-GB"/>
        </w:rPr>
        <w:t xml:space="preserve">proportion of </w:t>
      </w:r>
      <w:r w:rsidR="00BF6C93">
        <w:rPr>
          <w:lang w:val="en-GB"/>
        </w:rPr>
        <w:t xml:space="preserve">the waste intended for retrieval.  </w:t>
      </w:r>
    </w:p>
    <w:p w:rsidR="00647F33" w:rsidRDefault="00F523CA" w:rsidP="00537496">
      <w:pPr>
        <w:pStyle w:val="Rubrik2"/>
        <w:numPr>
          <w:ilvl w:val="1"/>
          <w:numId w:val="10"/>
        </w:numPr>
      </w:pPr>
      <w:r>
        <w:lastRenderedPageBreak/>
        <w:t>INTRODUCTION</w:t>
      </w:r>
    </w:p>
    <w:p w:rsidR="00BF6C93" w:rsidRDefault="00BF6C93" w:rsidP="00F75DFC">
      <w:pPr>
        <w:pStyle w:val="Brdtext"/>
      </w:pPr>
      <w:r w:rsidRPr="00BF6C93">
        <w:t xml:space="preserve">At the geological final repository for short-lived low- and intermediate-level waste (SFR) at </w:t>
      </w:r>
      <w:r w:rsidR="00230365">
        <w:t xml:space="preserve">the </w:t>
      </w:r>
      <w:r w:rsidRPr="00BF6C93">
        <w:t xml:space="preserve">Forsmark NPP, operational waste from nuclear power plants </w:t>
      </w:r>
      <w:r w:rsidR="00230365">
        <w:t>as well as</w:t>
      </w:r>
      <w:r w:rsidR="00230365" w:rsidRPr="00BF6C93">
        <w:t xml:space="preserve"> </w:t>
      </w:r>
      <w:r w:rsidRPr="00BF6C93">
        <w:t xml:space="preserve">similar </w:t>
      </w:r>
      <w:r w:rsidR="00823823">
        <w:t xml:space="preserve">radioactive </w:t>
      </w:r>
      <w:r w:rsidRPr="00BF6C93">
        <w:t xml:space="preserve">waste from other nuclear facilities is disposed of. This includes short-lived waste from e.g. industry and research </w:t>
      </w:r>
      <w:r w:rsidR="00230365">
        <w:t xml:space="preserve">that has been </w:t>
      </w:r>
      <w:r w:rsidRPr="00BF6C93">
        <w:t>sent to the facilities in Studsvik</w:t>
      </w:r>
      <w:r w:rsidR="00823823">
        <w:t xml:space="preserve"> for conditioning</w:t>
      </w:r>
      <w:r w:rsidR="00230365">
        <w:t xml:space="preserve"> and packaging</w:t>
      </w:r>
      <w:r w:rsidRPr="00BF6C93">
        <w:t>. SFR is owned by SKB</w:t>
      </w:r>
      <w:r w:rsidR="00823823">
        <w:t xml:space="preserve"> and</w:t>
      </w:r>
      <w:r w:rsidRPr="00BF6C93">
        <w:t xml:space="preserve"> was </w:t>
      </w:r>
      <w:r w:rsidR="00230365">
        <w:t xml:space="preserve">taken </w:t>
      </w:r>
      <w:r w:rsidRPr="00BF6C93">
        <w:t>into operation in 1988.</w:t>
      </w:r>
    </w:p>
    <w:p w:rsidR="00BF6C93" w:rsidRDefault="00BF6C93" w:rsidP="00F75DFC">
      <w:pPr>
        <w:pStyle w:val="Brdtext"/>
      </w:pPr>
      <w:r w:rsidRPr="00BF6C93">
        <w:t xml:space="preserve">SFR is located </w:t>
      </w:r>
      <w:r w:rsidR="00B10971">
        <w:t xml:space="preserve">in crystalline rock </w:t>
      </w:r>
      <w:r w:rsidRPr="00BF6C93">
        <w:t>at a depth of about 50 met</w:t>
      </w:r>
      <w:r w:rsidR="00F65E80">
        <w:t>re</w:t>
      </w:r>
      <w:r w:rsidRPr="00BF6C93">
        <w:t>s under the</w:t>
      </w:r>
      <w:r w:rsidR="00823823">
        <w:t xml:space="preserve"> Baltic</w:t>
      </w:r>
      <w:r w:rsidRPr="00BF6C93">
        <w:t xml:space="preserve"> seabed and consists of different repository </w:t>
      </w:r>
      <w:r w:rsidR="00B10971">
        <w:t>sections</w:t>
      </w:r>
      <w:r w:rsidR="00B10971" w:rsidRPr="00BF6C93">
        <w:t xml:space="preserve"> </w:t>
      </w:r>
      <w:r w:rsidRPr="00BF6C93">
        <w:t xml:space="preserve">with different designs of barrier system. The most active waste is deposited in a </w:t>
      </w:r>
      <w:r w:rsidR="00B10971">
        <w:t>50</w:t>
      </w:r>
      <w:r w:rsidR="00F65E80">
        <w:t xml:space="preserve"> m deep </w:t>
      </w:r>
      <w:r w:rsidR="00823823">
        <w:t xml:space="preserve">cylindrical </w:t>
      </w:r>
      <w:r w:rsidR="00F75DFC">
        <w:t xml:space="preserve">concrete </w:t>
      </w:r>
      <w:r w:rsidR="00823823">
        <w:t>silo</w:t>
      </w:r>
      <w:r w:rsidRPr="00BF6C93">
        <w:t xml:space="preserve"> with </w:t>
      </w:r>
      <w:r w:rsidR="00F75DFC">
        <w:t xml:space="preserve">a </w:t>
      </w:r>
      <w:r w:rsidRPr="00BF6C93">
        <w:t xml:space="preserve">surrounding bentonite barrier in addition </w:t>
      </w:r>
      <w:r w:rsidRPr="00BF6C93">
        <w:lastRenderedPageBreak/>
        <w:t xml:space="preserve">to the geological barrier. </w:t>
      </w:r>
      <w:r w:rsidR="00F65E80">
        <w:t>W</w:t>
      </w:r>
      <w:r w:rsidRPr="00BF6C93">
        <w:t>aste with the lowest cont</w:t>
      </w:r>
      <w:r w:rsidR="00F75DFC">
        <w:t>ent of long-lived radionuclides</w:t>
      </w:r>
      <w:r w:rsidRPr="00BF6C93">
        <w:t xml:space="preserve"> </w:t>
      </w:r>
      <w:r w:rsidR="00F65E80">
        <w:t xml:space="preserve">as well as a low external dose rate </w:t>
      </w:r>
      <w:r w:rsidR="00823823">
        <w:t>is</w:t>
      </w:r>
      <w:r w:rsidRPr="00BF6C93">
        <w:t xml:space="preserve"> placed in</w:t>
      </w:r>
      <w:r w:rsidR="00823823">
        <w:t xml:space="preserve"> standard</w:t>
      </w:r>
      <w:r w:rsidRPr="00BF6C93">
        <w:t xml:space="preserve"> ISO containers that are deposited in a </w:t>
      </w:r>
      <w:r w:rsidR="00823823">
        <w:t>rock vault</w:t>
      </w:r>
      <w:r w:rsidRPr="00BF6C93">
        <w:t xml:space="preserve"> without any credible technical barriers. The protective capacity of this repository </w:t>
      </w:r>
      <w:r w:rsidR="00F65E80">
        <w:t>section</w:t>
      </w:r>
      <w:r w:rsidR="00F65E80" w:rsidRPr="00BF6C93">
        <w:t xml:space="preserve"> </w:t>
      </w:r>
      <w:r w:rsidRPr="00BF6C93">
        <w:t xml:space="preserve">is thus determined entirely by the barrier functions </w:t>
      </w:r>
      <w:r w:rsidR="00F65E80">
        <w:t xml:space="preserve">provided by </w:t>
      </w:r>
      <w:r w:rsidRPr="00BF6C93">
        <w:t xml:space="preserve">the </w:t>
      </w:r>
      <w:r w:rsidR="00F75DFC">
        <w:t>bed</w:t>
      </w:r>
      <w:r w:rsidRPr="00BF6C93">
        <w:t>rock and the repository's surroundings.</w:t>
      </w:r>
    </w:p>
    <w:p w:rsidR="00BF6C93" w:rsidRDefault="00BF6C93" w:rsidP="00537496">
      <w:pPr>
        <w:pStyle w:val="Brdtext"/>
      </w:pPr>
      <w:r w:rsidRPr="00BF6C93">
        <w:t xml:space="preserve">Since the repository is located under the seabed, </w:t>
      </w:r>
      <w:r w:rsidR="001713B0">
        <w:t xml:space="preserve">on </w:t>
      </w:r>
      <w:r w:rsidR="00D12F5A">
        <w:t>the coast</w:t>
      </w:r>
      <w:r w:rsidR="001713B0">
        <w:t>line</w:t>
      </w:r>
      <w:r w:rsidR="00D12F5A">
        <w:t xml:space="preserve"> of an extensive region of low topography, </w:t>
      </w:r>
      <w:r w:rsidRPr="00BF6C93">
        <w:t xml:space="preserve">the </w:t>
      </w:r>
      <w:r w:rsidR="00D12F5A">
        <w:t xml:space="preserve">local </w:t>
      </w:r>
      <w:r w:rsidRPr="00BF6C93">
        <w:t xml:space="preserve">groundwater flow </w:t>
      </w:r>
      <w:r w:rsidR="00D12F5A">
        <w:t>is</w:t>
      </w:r>
      <w:r w:rsidRPr="00BF6C93">
        <w:t xml:space="preserve"> low. The probability of </w:t>
      </w:r>
      <w:r w:rsidR="00823823">
        <w:t>inadvertent human</w:t>
      </w:r>
      <w:r w:rsidRPr="00BF6C93">
        <w:t xml:space="preserve"> intrusion through, for example, a drinking water well can be expected to be </w:t>
      </w:r>
      <w:r w:rsidR="00D12F5A">
        <w:t>negligible</w:t>
      </w:r>
      <w:r w:rsidRPr="00BF6C93">
        <w:t xml:space="preserve"> during the period of time the repository is covered by the sea. </w:t>
      </w:r>
      <w:r w:rsidR="00D12F5A">
        <w:t>H</w:t>
      </w:r>
      <w:r w:rsidRPr="00BF6C93">
        <w:t xml:space="preserve">owever, land uplift </w:t>
      </w:r>
      <w:r w:rsidR="00D12F5A">
        <w:t xml:space="preserve">is occurring in the area at </w:t>
      </w:r>
      <w:r w:rsidRPr="00BF6C93">
        <w:t xml:space="preserve">such a </w:t>
      </w:r>
      <w:r w:rsidR="00D12F5A">
        <w:t xml:space="preserve">rate </w:t>
      </w:r>
      <w:r w:rsidRPr="00BF6C93">
        <w:t xml:space="preserve">that the repository can be expected to be located </w:t>
      </w:r>
      <w:r w:rsidR="00823823">
        <w:t xml:space="preserve">below </w:t>
      </w:r>
      <w:r w:rsidR="00D12F5A">
        <w:t xml:space="preserve">dry land </w:t>
      </w:r>
      <w:r w:rsidRPr="00BF6C93">
        <w:t xml:space="preserve">after </w:t>
      </w:r>
      <w:r w:rsidR="00823823">
        <w:t>approximately</w:t>
      </w:r>
      <w:r w:rsidRPr="00BF6C93">
        <w:t xml:space="preserve"> </w:t>
      </w:r>
      <w:r w:rsidRPr="00BF6C93">
        <w:lastRenderedPageBreak/>
        <w:t>1000 years. After this time period, the hydraulic gradient is expected to increase</w:t>
      </w:r>
      <w:r w:rsidR="001D3227">
        <w:t xml:space="preserve"> somewhat</w:t>
      </w:r>
      <w:r w:rsidRPr="00BF6C93">
        <w:t xml:space="preserve">, which leads to an increased groundwater flow through the repository. The probability of intrusion </w:t>
      </w:r>
      <w:r w:rsidR="001E7582">
        <w:t xml:space="preserve">into the repository as a result of </w:t>
      </w:r>
      <w:r w:rsidRPr="00BF6C93">
        <w:t>wells being established in the vicinity can also be expected to increase.</w:t>
      </w:r>
    </w:p>
    <w:p w:rsidR="00BF6C93" w:rsidRDefault="00BF6C93" w:rsidP="00BF6C93">
      <w:pPr>
        <w:pStyle w:val="Rubrik2"/>
        <w:numPr>
          <w:ilvl w:val="1"/>
          <w:numId w:val="10"/>
        </w:numPr>
      </w:pPr>
      <w:r>
        <w:t>Regulatory requirements</w:t>
      </w:r>
    </w:p>
    <w:p w:rsidR="00BF6C93" w:rsidRDefault="00BF6C93" w:rsidP="00BF6C93">
      <w:pPr>
        <w:pStyle w:val="Brdtext"/>
      </w:pPr>
      <w:r w:rsidRPr="00BF6C93">
        <w:t xml:space="preserve">In addition to the overall requirements set in </w:t>
      </w:r>
      <w:r w:rsidR="001713B0">
        <w:t xml:space="preserve">relevant primary </w:t>
      </w:r>
      <w:r w:rsidRPr="00BF6C93">
        <w:t xml:space="preserve">legislation, </w:t>
      </w:r>
      <w:r w:rsidR="001713B0">
        <w:t>operations</w:t>
      </w:r>
      <w:r w:rsidRPr="00BF6C93">
        <w:t xml:space="preserve"> at S</w:t>
      </w:r>
      <w:r w:rsidR="00E51A95">
        <w:t>FR are regulated by the issued G</w:t>
      </w:r>
      <w:r w:rsidRPr="00BF6C93">
        <w:t xml:space="preserve">overnment </w:t>
      </w:r>
      <w:r w:rsidR="00823823">
        <w:t>licen</w:t>
      </w:r>
      <w:r w:rsidR="001713B0">
        <w:t>c</w:t>
      </w:r>
      <w:r w:rsidR="00823823">
        <w:t>e</w:t>
      </w:r>
      <w:r w:rsidRPr="00BF6C93">
        <w:t xml:space="preserve"> with associated </w:t>
      </w:r>
      <w:r w:rsidR="00823823">
        <w:t xml:space="preserve">radiological </w:t>
      </w:r>
      <w:r w:rsidRPr="00BF6C93">
        <w:t xml:space="preserve">conditions, </w:t>
      </w:r>
      <w:r w:rsidR="001713B0">
        <w:t>applicable</w:t>
      </w:r>
      <w:r w:rsidR="001713B0" w:rsidRPr="00BF6C93">
        <w:t xml:space="preserve"> </w:t>
      </w:r>
      <w:r w:rsidRPr="00BF6C93">
        <w:t>regulations with associated general advice</w:t>
      </w:r>
      <w:r w:rsidR="001713B0">
        <w:t xml:space="preserve">, as well as </w:t>
      </w:r>
      <w:r w:rsidRPr="00BF6C93">
        <w:t xml:space="preserve">other approvals and decisions from SSM. </w:t>
      </w:r>
      <w:r w:rsidR="001713B0">
        <w:t>Licence c</w:t>
      </w:r>
      <w:r w:rsidR="00F75DFC">
        <w:t>onditions</w:t>
      </w:r>
      <w:r w:rsidRPr="00BF6C93">
        <w:t xml:space="preserve"> and regulations have been issued with the support of both the Radiation Protection Act and the </w:t>
      </w:r>
      <w:r w:rsidR="00E51A95">
        <w:t xml:space="preserve">Act on </w:t>
      </w:r>
      <w:r w:rsidRPr="00BF6C93">
        <w:t>Nuclear Activities.</w:t>
      </w:r>
    </w:p>
    <w:p w:rsidR="00BF6C93" w:rsidRDefault="00BF6C93" w:rsidP="00BF6C93">
      <w:pPr>
        <w:pStyle w:val="Brdtext"/>
      </w:pPr>
      <w:r w:rsidRPr="00BF6C93">
        <w:lastRenderedPageBreak/>
        <w:t>In addition to requirements related to the repository</w:t>
      </w:r>
      <w:r w:rsidR="001713B0">
        <w:t>’</w:t>
      </w:r>
      <w:r w:rsidRPr="00BF6C93">
        <w:t xml:space="preserve">s location and </w:t>
      </w:r>
      <w:r w:rsidR="006A5DA2">
        <w:t>design</w:t>
      </w:r>
      <w:r w:rsidRPr="00BF6C93">
        <w:t>, SSM</w:t>
      </w:r>
      <w:r w:rsidR="001713B0">
        <w:t>’s regulations</w:t>
      </w:r>
      <w:r w:rsidRPr="00BF6C93">
        <w:t xml:space="preserve"> </w:t>
      </w:r>
      <w:r w:rsidR="00823823">
        <w:t>establish a risk criteri</w:t>
      </w:r>
      <w:r w:rsidR="001713B0">
        <w:t>on</w:t>
      </w:r>
      <w:r w:rsidRPr="00BF6C93">
        <w:t xml:space="preserve"> that ultimately regulates the undisturbed reposit</w:t>
      </w:r>
      <w:r w:rsidR="00823823">
        <w:t>ory</w:t>
      </w:r>
      <w:r w:rsidR="001713B0">
        <w:t>’</w:t>
      </w:r>
      <w:r w:rsidR="00823823">
        <w:t xml:space="preserve">s </w:t>
      </w:r>
      <w:r w:rsidR="00FC1357">
        <w:t xml:space="preserve">protective </w:t>
      </w:r>
      <w:r w:rsidR="00823823">
        <w:t>function. This risk criteri</w:t>
      </w:r>
      <w:r w:rsidR="00FC1357">
        <w:t>on</w:t>
      </w:r>
      <w:r w:rsidR="00E51A95">
        <w:t xml:space="preserve"> </w:t>
      </w:r>
      <w:r w:rsidRPr="00BF6C93">
        <w:t xml:space="preserve">has been established to ensure that the </w:t>
      </w:r>
      <w:r w:rsidR="00823823">
        <w:t xml:space="preserve">annual </w:t>
      </w:r>
      <w:r w:rsidRPr="00BF6C93">
        <w:t xml:space="preserve">dose limit of 1 mSv </w:t>
      </w:r>
      <w:r w:rsidR="00E51A95">
        <w:t>is</w:t>
      </w:r>
      <w:r w:rsidRPr="00BF6C93">
        <w:t xml:space="preserve"> met</w:t>
      </w:r>
      <w:r w:rsidR="00EC69F5">
        <w:t xml:space="preserve"> </w:t>
      </w:r>
      <w:r w:rsidR="00FC1357" w:rsidRPr="00BF6C93">
        <w:t xml:space="preserve">by a </w:t>
      </w:r>
      <w:r w:rsidR="00FC1357">
        <w:t>significant</w:t>
      </w:r>
      <w:r w:rsidR="00FC1357" w:rsidRPr="00BF6C93">
        <w:t xml:space="preserve"> margin </w:t>
      </w:r>
      <w:r w:rsidR="00AD6F24">
        <w:t>[1]</w:t>
      </w:r>
      <w:r w:rsidRPr="00BF6C93">
        <w:t>.</w:t>
      </w:r>
    </w:p>
    <w:p w:rsidR="00BF6C93" w:rsidRDefault="00FC1357" w:rsidP="00BF6C93">
      <w:pPr>
        <w:pStyle w:val="Brdtext"/>
      </w:pPr>
      <w:r>
        <w:t>The potential c</w:t>
      </w:r>
      <w:r w:rsidR="00BF6C93" w:rsidRPr="00BF6C93">
        <w:t xml:space="preserve">onsequences </w:t>
      </w:r>
      <w:r>
        <w:t xml:space="preserve">of </w:t>
      </w:r>
      <w:r w:rsidR="00BF6C93" w:rsidRPr="00BF6C93">
        <w:t xml:space="preserve">unintentional intrusion are regulated separately from the risk criterion. The regulation regarding unintentional intrusion focuses primarily on </w:t>
      </w:r>
      <w:r>
        <w:t xml:space="preserve">the need to </w:t>
      </w:r>
      <w:r w:rsidR="00BF6C93" w:rsidRPr="00BF6C93">
        <w:t>tak</w:t>
      </w:r>
      <w:r>
        <w:t>e</w:t>
      </w:r>
      <w:r w:rsidR="00BF6C93" w:rsidRPr="00BF6C93">
        <w:t xml:space="preserve"> measures aimed at limiting the probabili</w:t>
      </w:r>
      <w:r w:rsidR="00C66B4D">
        <w:t>ty of unintentional intrusion.</w:t>
      </w:r>
      <w:r w:rsidR="00BF6C93" w:rsidRPr="00BF6C93">
        <w:t xml:space="preserve"> SSM has not </w:t>
      </w:r>
      <w:r>
        <w:t>established</w:t>
      </w:r>
      <w:r w:rsidRPr="00BF6C93">
        <w:t xml:space="preserve"> </w:t>
      </w:r>
      <w:r w:rsidR="00BF6C93" w:rsidRPr="00BF6C93">
        <w:t xml:space="preserve">any </w:t>
      </w:r>
      <w:r>
        <w:t xml:space="preserve">specific </w:t>
      </w:r>
      <w:r w:rsidR="00E51A95">
        <w:t>regulatory requirements</w:t>
      </w:r>
      <w:r w:rsidR="00BF6C93" w:rsidRPr="00BF6C93">
        <w:t xml:space="preserve"> as to which doses </w:t>
      </w:r>
      <w:r>
        <w:t>would</w:t>
      </w:r>
      <w:r w:rsidR="00BF6C93" w:rsidRPr="00BF6C93">
        <w:t xml:space="preserve"> be considered </w:t>
      </w:r>
      <w:r>
        <w:t>un</w:t>
      </w:r>
      <w:r w:rsidR="00BF6C93" w:rsidRPr="00BF6C93">
        <w:t>acceptable</w:t>
      </w:r>
      <w:r>
        <w:t xml:space="preserve"> in the event of intrusion</w:t>
      </w:r>
      <w:r w:rsidR="00BF6C93" w:rsidRPr="00BF6C93">
        <w:t xml:space="preserve">, but in the permit examination for SFR accepted </w:t>
      </w:r>
      <w:r>
        <w:t xml:space="preserve">estimated </w:t>
      </w:r>
      <w:r w:rsidR="00E51A95">
        <w:t>annual</w:t>
      </w:r>
      <w:r w:rsidR="00BF6C93" w:rsidRPr="00BF6C93">
        <w:t xml:space="preserve"> doses up to </w:t>
      </w:r>
      <w:r w:rsidR="00BF6C93" w:rsidRPr="00BF6C93">
        <w:lastRenderedPageBreak/>
        <w:t xml:space="preserve">10 mSv </w:t>
      </w:r>
      <w:r>
        <w:t xml:space="preserve">in the event </w:t>
      </w:r>
      <w:r w:rsidR="00BF6C93" w:rsidRPr="00BF6C93">
        <w:t xml:space="preserve">of a drinking water well </w:t>
      </w:r>
      <w:r>
        <w:t xml:space="preserve">intercepting </w:t>
      </w:r>
      <w:r w:rsidR="00BF6C93" w:rsidRPr="00BF6C93">
        <w:t>the repository</w:t>
      </w:r>
      <w:r w:rsidR="00E51A95">
        <w:t xml:space="preserve"> </w:t>
      </w:r>
      <w:r w:rsidR="00C11376">
        <w:t>[2]</w:t>
      </w:r>
      <w:r w:rsidR="00BF6C93" w:rsidRPr="00BF6C93">
        <w:t>.</w:t>
      </w:r>
    </w:p>
    <w:p w:rsidR="000F2413" w:rsidRDefault="001D3227" w:rsidP="00BF6C93">
      <w:pPr>
        <w:pStyle w:val="Brdtext"/>
      </w:pPr>
      <w:r>
        <w:t xml:space="preserve">SSM’s general regulations regarding safety in nuclear facilities </w:t>
      </w:r>
      <w:r w:rsidR="00C11376">
        <w:t>[3]</w:t>
      </w:r>
      <w:r>
        <w:t xml:space="preserve"> were updated in 2012, which led SKB to establish </w:t>
      </w:r>
      <w:r w:rsidR="00E51A95">
        <w:t xml:space="preserve">waste </w:t>
      </w:r>
      <w:r w:rsidR="000F2413" w:rsidRPr="000F2413">
        <w:t xml:space="preserve">acceptance criteria </w:t>
      </w:r>
      <w:r w:rsidR="00E51A95">
        <w:t xml:space="preserve">(WAC) </w:t>
      </w:r>
      <w:r w:rsidR="000F2413" w:rsidRPr="000F2413">
        <w:t>for depos</w:t>
      </w:r>
      <w:r w:rsidR="00E7284B">
        <w:t>al at SFR</w:t>
      </w:r>
      <w:r w:rsidR="000F2413" w:rsidRPr="000F2413">
        <w:t xml:space="preserve">. </w:t>
      </w:r>
      <w:r w:rsidR="00AA6F0D">
        <w:t xml:space="preserve">The WAC differ between the different </w:t>
      </w:r>
      <w:r w:rsidR="00684220">
        <w:t xml:space="preserve">sections </w:t>
      </w:r>
      <w:r w:rsidR="00AA6F0D">
        <w:t xml:space="preserve">of the SFR. </w:t>
      </w:r>
      <w:r w:rsidR="007C004E">
        <w:t xml:space="preserve">Prior to </w:t>
      </w:r>
      <w:r w:rsidR="00D8490C">
        <w:t>2012</w:t>
      </w:r>
      <w:r w:rsidR="000F2413" w:rsidRPr="000F2413">
        <w:t xml:space="preserve">, </w:t>
      </w:r>
      <w:r w:rsidR="007C004E">
        <w:t>waste acceptance</w:t>
      </w:r>
      <w:r w:rsidR="007C004E" w:rsidRPr="000F2413">
        <w:t xml:space="preserve"> </w:t>
      </w:r>
      <w:r w:rsidR="000F2413" w:rsidRPr="000F2413">
        <w:t xml:space="preserve">was regulated by </w:t>
      </w:r>
      <w:r w:rsidR="00E51A95">
        <w:t>licen</w:t>
      </w:r>
      <w:r w:rsidR="007C004E">
        <w:t>c</w:t>
      </w:r>
      <w:r w:rsidR="00E51A95">
        <w:t>e</w:t>
      </w:r>
      <w:r w:rsidR="000F2413" w:rsidRPr="000F2413">
        <w:t xml:space="preserve"> conditions</w:t>
      </w:r>
      <w:r w:rsidR="00AA6F0D">
        <w:t xml:space="preserve"> </w:t>
      </w:r>
      <w:r w:rsidR="00D8490C">
        <w:t xml:space="preserve">that were </w:t>
      </w:r>
      <w:r w:rsidR="00D8490C" w:rsidRPr="000F2413">
        <w:t xml:space="preserve">issued </w:t>
      </w:r>
      <w:r w:rsidR="00D8490C">
        <w:t xml:space="preserve">in 1988 </w:t>
      </w:r>
      <w:r w:rsidR="00AA6F0D">
        <w:t xml:space="preserve">that required </w:t>
      </w:r>
      <w:r w:rsidR="00E51A95">
        <w:t xml:space="preserve">a waste </w:t>
      </w:r>
      <w:r w:rsidR="000F2413" w:rsidRPr="000F2413">
        <w:t xml:space="preserve">producer </w:t>
      </w:r>
      <w:r w:rsidR="00E51A95">
        <w:t xml:space="preserve">to present a so-called waste type description </w:t>
      </w:r>
      <w:r w:rsidR="00AA6F0D">
        <w:t xml:space="preserve">(WTD) </w:t>
      </w:r>
      <w:r w:rsidR="00F75DFC">
        <w:t xml:space="preserve">as a basis for approving the </w:t>
      </w:r>
      <w:r w:rsidR="00E51A95">
        <w:t>disposal</w:t>
      </w:r>
      <w:r w:rsidR="00F75DFC">
        <w:t xml:space="preserve"> of</w:t>
      </w:r>
      <w:r w:rsidR="000F2413" w:rsidRPr="000F2413">
        <w:t xml:space="preserve"> </w:t>
      </w:r>
      <w:r w:rsidR="00AA6F0D">
        <w:t xml:space="preserve">that </w:t>
      </w:r>
      <w:r w:rsidR="00F75DFC">
        <w:t xml:space="preserve">particular </w:t>
      </w:r>
      <w:r w:rsidR="00AA6F0D">
        <w:t xml:space="preserve">waste in </w:t>
      </w:r>
      <w:r w:rsidR="000F2413" w:rsidRPr="000F2413">
        <w:t>SFR</w:t>
      </w:r>
      <w:r w:rsidR="00C11376">
        <w:t xml:space="preserve"> [4] [5]</w:t>
      </w:r>
      <w:r w:rsidR="000F2413" w:rsidRPr="000F2413">
        <w:t>. In th</w:t>
      </w:r>
      <w:r w:rsidR="00AA6F0D">
        <w:t>e WTD</w:t>
      </w:r>
      <w:r w:rsidR="000F2413" w:rsidRPr="000F2413">
        <w:t xml:space="preserve">, the properties of the waste </w:t>
      </w:r>
      <w:r w:rsidR="00AA6F0D">
        <w:t>wer</w:t>
      </w:r>
      <w:r w:rsidR="000F2413" w:rsidRPr="000F2413">
        <w:t>e reported</w:t>
      </w:r>
      <w:r w:rsidR="007C004E">
        <w:t>,</w:t>
      </w:r>
      <w:r w:rsidR="000F2413" w:rsidRPr="000F2413">
        <w:t xml:space="preserve"> </w:t>
      </w:r>
      <w:r w:rsidR="007C004E">
        <w:t xml:space="preserve">demonstrating </w:t>
      </w:r>
      <w:r w:rsidR="000F2413" w:rsidRPr="000F2413">
        <w:t xml:space="preserve">how these meet the </w:t>
      </w:r>
      <w:r w:rsidR="00AA6F0D">
        <w:t>WAC</w:t>
      </w:r>
      <w:r w:rsidR="000F2413" w:rsidRPr="000F2413">
        <w:t xml:space="preserve">. </w:t>
      </w:r>
      <w:r w:rsidR="00AA6F0D">
        <w:t xml:space="preserve">The WTD was handed in by SKB </w:t>
      </w:r>
      <w:r w:rsidR="007C004E">
        <w:t xml:space="preserve">to the regulator </w:t>
      </w:r>
      <w:r w:rsidR="00AA6F0D">
        <w:t xml:space="preserve">together with SKB’s own assessment. </w:t>
      </w:r>
      <w:r w:rsidR="000F2413" w:rsidRPr="000F2413">
        <w:t xml:space="preserve">The </w:t>
      </w:r>
      <w:r w:rsidR="007C004E">
        <w:t>regulator’</w:t>
      </w:r>
      <w:r w:rsidR="000F2413" w:rsidRPr="000F2413">
        <w:t xml:space="preserve">s </w:t>
      </w:r>
      <w:r w:rsidR="00AA6F0D">
        <w:t xml:space="preserve">approval to dispose </w:t>
      </w:r>
      <w:r w:rsidR="007C004E">
        <w:t xml:space="preserve">of </w:t>
      </w:r>
      <w:r w:rsidR="00EC69F5">
        <w:t xml:space="preserve">a certain type of waste </w:t>
      </w:r>
      <w:r w:rsidR="00AA6F0D">
        <w:lastRenderedPageBreak/>
        <w:t>was based on the information given in the WTD</w:t>
      </w:r>
      <w:r w:rsidR="007C004E">
        <w:t xml:space="preserve">, </w:t>
      </w:r>
      <w:r w:rsidR="00C03FE5">
        <w:t xml:space="preserve">according to </w:t>
      </w:r>
      <w:r w:rsidR="00655E4E">
        <w:t xml:space="preserve">documentation </w:t>
      </w:r>
      <w:r w:rsidR="000F2413" w:rsidRPr="000F2413">
        <w:t>provided by SKB and the waste producer.</w:t>
      </w:r>
      <w:bookmarkStart w:id="0" w:name="_GoBack"/>
      <w:bookmarkEnd w:id="0"/>
    </w:p>
    <w:p w:rsidR="00E25B68" w:rsidRDefault="000F2413" w:rsidP="0026525A">
      <w:pPr>
        <w:pStyle w:val="Rubrik2"/>
        <w:numPr>
          <w:ilvl w:val="1"/>
          <w:numId w:val="10"/>
        </w:numPr>
      </w:pPr>
      <w:r>
        <w:t xml:space="preserve">Identified uncertainties </w:t>
      </w:r>
    </w:p>
    <w:p w:rsidR="000F2413" w:rsidRDefault="000F2413" w:rsidP="000A2990">
      <w:pPr>
        <w:pStyle w:val="Brdtext"/>
      </w:pPr>
      <w:r w:rsidRPr="000F2413">
        <w:t xml:space="preserve">In 1994, </w:t>
      </w:r>
      <w:r w:rsidR="00EC69F5">
        <w:t xml:space="preserve">the regulator approved the disposal </w:t>
      </w:r>
      <w:r w:rsidRPr="000F2413">
        <w:t xml:space="preserve">of </w:t>
      </w:r>
      <w:r w:rsidR="00552709">
        <w:t xml:space="preserve">certain </w:t>
      </w:r>
      <w:r w:rsidRPr="000F2413">
        <w:t>waste</w:t>
      </w:r>
      <w:r w:rsidR="00552709">
        <w:t>s</w:t>
      </w:r>
      <w:r w:rsidRPr="000F2413">
        <w:t xml:space="preserve"> that ha</w:t>
      </w:r>
      <w:r w:rsidR="00552709">
        <w:t>d</w:t>
      </w:r>
      <w:r w:rsidRPr="000F2413">
        <w:t xml:space="preserve"> been treated at the Studsvik facilities since the 1960s</w:t>
      </w:r>
      <w:r w:rsidR="00EC69F5">
        <w:t xml:space="preserve"> </w:t>
      </w:r>
      <w:r w:rsidR="00C11376">
        <w:t>[6]</w:t>
      </w:r>
      <w:r w:rsidRPr="000F2413">
        <w:t xml:space="preserve">. On the basis of </w:t>
      </w:r>
      <w:r w:rsidR="00F75DFC">
        <w:t xml:space="preserve">the </w:t>
      </w:r>
      <w:r w:rsidRPr="000F2413">
        <w:t xml:space="preserve">information </w:t>
      </w:r>
      <w:r w:rsidR="00EC69F5">
        <w:t>provided</w:t>
      </w:r>
      <w:r w:rsidRPr="000F2413">
        <w:t xml:space="preserve">, </w:t>
      </w:r>
      <w:r w:rsidR="00EC69F5">
        <w:t>approval</w:t>
      </w:r>
      <w:r w:rsidRPr="000F2413">
        <w:t xml:space="preserve"> </w:t>
      </w:r>
      <w:r w:rsidR="00552709">
        <w:t xml:space="preserve">was limited </w:t>
      </w:r>
      <w:r w:rsidRPr="000F2413">
        <w:t>to waste</w:t>
      </w:r>
      <w:r w:rsidR="00EC69F5">
        <w:t xml:space="preserve"> drums</w:t>
      </w:r>
      <w:r w:rsidRPr="000F2413">
        <w:t xml:space="preserve"> produced after 1980. Uncertainties regarding the older wastes</w:t>
      </w:r>
      <w:r w:rsidR="00552709">
        <w:t>’</w:t>
      </w:r>
      <w:r w:rsidRPr="000F2413">
        <w:t xml:space="preserve"> content of long-lived radionuclides were an important reason for </w:t>
      </w:r>
      <w:r w:rsidR="00EC69F5">
        <w:t xml:space="preserve">this </w:t>
      </w:r>
      <w:r w:rsidRPr="000F2413">
        <w:t>limit</w:t>
      </w:r>
      <w:r w:rsidR="00EC69F5">
        <w:t>ation</w:t>
      </w:r>
      <w:r w:rsidRPr="000F2413">
        <w:t xml:space="preserve">. A total of approximately 2,800 waste </w:t>
      </w:r>
      <w:r w:rsidR="00CC2ADB">
        <w:t>drums</w:t>
      </w:r>
      <w:r w:rsidRPr="000F2413">
        <w:t xml:space="preserve"> have been deposited in accordance with the </w:t>
      </w:r>
      <w:r w:rsidR="00CC2ADB">
        <w:t>approval</w:t>
      </w:r>
      <w:r w:rsidRPr="000F2413">
        <w:t>. This waste, like other waste</w:t>
      </w:r>
      <w:r w:rsidR="00552709">
        <w:t xml:space="preserve">s with low external dose rate and considered to have a low content of long-lived radionuclides, was </w:t>
      </w:r>
      <w:r w:rsidRPr="000F2413">
        <w:t xml:space="preserve">placed in </w:t>
      </w:r>
      <w:r w:rsidR="00552709">
        <w:t xml:space="preserve">a simple rock vault in </w:t>
      </w:r>
      <w:r w:rsidRPr="000F2413">
        <w:t xml:space="preserve">ISO containers. </w:t>
      </w:r>
      <w:r w:rsidR="00C70919">
        <w:t>To date, a</w:t>
      </w:r>
      <w:r w:rsidRPr="000F2413">
        <w:t xml:space="preserve"> total of about 500 </w:t>
      </w:r>
      <w:r w:rsidR="00C70919">
        <w:lastRenderedPageBreak/>
        <w:t xml:space="preserve">such </w:t>
      </w:r>
      <w:r w:rsidRPr="000F2413">
        <w:t xml:space="preserve">containers have been placed in </w:t>
      </w:r>
      <w:r w:rsidR="00C70919">
        <w:t>this section</w:t>
      </w:r>
      <w:r w:rsidR="00CC2ADB">
        <w:t xml:space="preserve"> of the </w:t>
      </w:r>
      <w:r w:rsidRPr="000F2413">
        <w:t>repository, of which just over 70 contain waste that has been treated at the facilities in Studsvik.</w:t>
      </w:r>
    </w:p>
    <w:p w:rsidR="001F5F6B" w:rsidRDefault="000F2413" w:rsidP="000A2990">
      <w:pPr>
        <w:pStyle w:val="Brdtext"/>
      </w:pPr>
      <w:r w:rsidRPr="000F2413">
        <w:t xml:space="preserve">At the end of the 1990s, the </w:t>
      </w:r>
      <w:r w:rsidR="00F75DFC">
        <w:t>regulator</w:t>
      </w:r>
      <w:r w:rsidRPr="000F2413">
        <w:t xml:space="preserve"> rejected </w:t>
      </w:r>
      <w:r w:rsidR="00C70919" w:rsidRPr="000F2413">
        <w:t xml:space="preserve">on three occasions </w:t>
      </w:r>
      <w:r w:rsidR="00CC2ADB">
        <w:t>the disposal</w:t>
      </w:r>
      <w:r w:rsidRPr="000F2413">
        <w:t xml:space="preserve"> of different fractions of </w:t>
      </w:r>
      <w:r w:rsidR="00F75DFC">
        <w:t xml:space="preserve">the remaining </w:t>
      </w:r>
      <w:r w:rsidRPr="000F2413">
        <w:t xml:space="preserve">waste </w:t>
      </w:r>
      <w:r w:rsidR="00CC2ADB">
        <w:t xml:space="preserve">drums </w:t>
      </w:r>
      <w:r w:rsidRPr="000F2413">
        <w:t xml:space="preserve">produced before 1980. After these refusals, more advanced </w:t>
      </w:r>
      <w:r w:rsidR="00CC2ADB">
        <w:t>characterization</w:t>
      </w:r>
      <w:r w:rsidRPr="000F2413">
        <w:t xml:space="preserve"> of </w:t>
      </w:r>
      <w:r w:rsidR="00CC2ADB">
        <w:t xml:space="preserve">the </w:t>
      </w:r>
      <w:r w:rsidRPr="000F2413">
        <w:t xml:space="preserve">remaining, non-deposited </w:t>
      </w:r>
      <w:r w:rsidR="001F5F6B">
        <w:t>7</w:t>
      </w:r>
      <w:r w:rsidR="00C70919">
        <w:t>,</w:t>
      </w:r>
      <w:r w:rsidR="001F5F6B">
        <w:t xml:space="preserve">500 </w:t>
      </w:r>
      <w:r w:rsidRPr="000F2413">
        <w:t xml:space="preserve">waste </w:t>
      </w:r>
      <w:r w:rsidR="00CC2ADB">
        <w:t>drums</w:t>
      </w:r>
      <w:r w:rsidRPr="000F2413">
        <w:t xml:space="preserve"> </w:t>
      </w:r>
      <w:r w:rsidR="00C70919">
        <w:t xml:space="preserve">was </w:t>
      </w:r>
      <w:r w:rsidRPr="000F2413">
        <w:t>carried out</w:t>
      </w:r>
      <w:r w:rsidR="00CC2ADB">
        <w:t xml:space="preserve"> by the company AB Svafo</w:t>
      </w:r>
      <w:r w:rsidRPr="000F2413">
        <w:t xml:space="preserve">. </w:t>
      </w:r>
      <w:r w:rsidR="00C70919">
        <w:t xml:space="preserve">This company was established following </w:t>
      </w:r>
      <w:r w:rsidR="00CC2ADB">
        <w:t>a Government decision in 1993</w:t>
      </w:r>
      <w:r w:rsidR="00C70919">
        <w:t xml:space="preserve"> as</w:t>
      </w:r>
      <w:r w:rsidR="00CC2ADB">
        <w:t xml:space="preserve"> the organisation </w:t>
      </w:r>
      <w:r w:rsidR="00C70919">
        <w:t xml:space="preserve">responsible </w:t>
      </w:r>
      <w:r w:rsidR="00CC2ADB">
        <w:t xml:space="preserve">for legacy waste </w:t>
      </w:r>
      <w:r w:rsidR="00C70919">
        <w:t xml:space="preserve">produced </w:t>
      </w:r>
      <w:r w:rsidR="00CC2ADB">
        <w:t xml:space="preserve">at the Studsvik site before </w:t>
      </w:r>
      <w:r w:rsidR="00C70919">
        <w:t>June </w:t>
      </w:r>
      <w:r w:rsidR="00CC2ADB">
        <w:t>30</w:t>
      </w:r>
      <w:r w:rsidR="00CC2ADB" w:rsidRPr="00CC2ADB">
        <w:rPr>
          <w:vertAlign w:val="superscript"/>
        </w:rPr>
        <w:t>th</w:t>
      </w:r>
      <w:r w:rsidR="00CC2ADB">
        <w:t xml:space="preserve"> 1991 </w:t>
      </w:r>
      <w:r w:rsidR="00C11376">
        <w:t>[7] [8]</w:t>
      </w:r>
      <w:r w:rsidR="00CC2ADB">
        <w:t xml:space="preserve">. The </w:t>
      </w:r>
      <w:r w:rsidR="001F5F6B">
        <w:t>characterization</w:t>
      </w:r>
      <w:r w:rsidR="00C70919">
        <w:t xml:space="preserve"> activitie</w:t>
      </w:r>
      <w:r w:rsidR="001F5F6B">
        <w:t xml:space="preserve">s, </w:t>
      </w:r>
      <w:r w:rsidR="00CC2ADB">
        <w:t>conducted between 2009 and 2011</w:t>
      </w:r>
      <w:r w:rsidR="001F5F6B">
        <w:t>,</w:t>
      </w:r>
      <w:r w:rsidRPr="000F2413">
        <w:t xml:space="preserve"> included X-ray </w:t>
      </w:r>
      <w:r w:rsidR="00C70919">
        <w:t xml:space="preserve">examination </w:t>
      </w:r>
      <w:r w:rsidRPr="000F2413">
        <w:t xml:space="preserve">and extended gamma spectrometric </w:t>
      </w:r>
      <w:r w:rsidR="00CC2ADB">
        <w:t>measurements</w:t>
      </w:r>
      <w:r w:rsidRPr="000F2413">
        <w:t xml:space="preserve">. The </w:t>
      </w:r>
      <w:r w:rsidR="00362329">
        <w:t>results</w:t>
      </w:r>
      <w:r w:rsidR="00B21FB3">
        <w:t>, reported to SSM in 2012</w:t>
      </w:r>
      <w:r w:rsidR="00362329">
        <w:t xml:space="preserve"> </w:t>
      </w:r>
      <w:r w:rsidR="00B21FB3">
        <w:t xml:space="preserve">[9], </w:t>
      </w:r>
      <w:r w:rsidRPr="000F2413">
        <w:t xml:space="preserve">showed deviations in relation to </w:t>
      </w:r>
      <w:r w:rsidR="00F75DFC">
        <w:lastRenderedPageBreak/>
        <w:t xml:space="preserve">the </w:t>
      </w:r>
      <w:r w:rsidR="001F5F6B">
        <w:t>WAC presented in the WTD</w:t>
      </w:r>
      <w:r w:rsidR="00362329">
        <w:t xml:space="preserve"> for the previously disposed wastes</w:t>
      </w:r>
      <w:r w:rsidRPr="000F2413">
        <w:t>,</w:t>
      </w:r>
      <w:r w:rsidR="001F5F6B">
        <w:t xml:space="preserve"> for instance </w:t>
      </w:r>
      <w:r w:rsidRPr="000F2413">
        <w:t>with regard to the</w:t>
      </w:r>
      <w:r w:rsidR="00362329">
        <w:t>ir</w:t>
      </w:r>
      <w:r w:rsidRPr="000F2413">
        <w:t xml:space="preserve"> content of liquids</w:t>
      </w:r>
      <w:r w:rsidR="00F75DFC">
        <w:t>, hazardous</w:t>
      </w:r>
      <w:r w:rsidRPr="000F2413">
        <w:t xml:space="preserve"> </w:t>
      </w:r>
      <w:r w:rsidR="00362329">
        <w:t xml:space="preserve">material </w:t>
      </w:r>
      <w:r w:rsidRPr="000F2413">
        <w:t xml:space="preserve">and the presence of fissile material. It had already been clarified that </w:t>
      </w:r>
      <w:r w:rsidR="00362329">
        <w:t>a fraction</w:t>
      </w:r>
      <w:r w:rsidR="00362329" w:rsidRPr="000F2413">
        <w:t xml:space="preserve"> </w:t>
      </w:r>
      <w:r w:rsidRPr="000F2413">
        <w:t xml:space="preserve">of the </w:t>
      </w:r>
      <w:r w:rsidR="00CC2ADB">
        <w:t>legacy</w:t>
      </w:r>
      <w:r w:rsidRPr="000F2413">
        <w:t xml:space="preserve"> waste </w:t>
      </w:r>
      <w:r w:rsidR="00CC2ADB">
        <w:t>drums</w:t>
      </w:r>
      <w:r w:rsidRPr="000F2413">
        <w:t xml:space="preserve"> contained fissile material from research work during the 1960s and 70s, but the investigations carried out showed that a significantly larger number of </w:t>
      </w:r>
      <w:r w:rsidR="001F5F6B">
        <w:t>the drums</w:t>
      </w:r>
      <w:r w:rsidRPr="000F2413">
        <w:t xml:space="preserve"> contained uranium and plutonium than was apparent from the documentation. </w:t>
      </w:r>
      <w:r w:rsidR="00E7284B">
        <w:t xml:space="preserve">These deviations were also present in the few remaining waste drums produced after 1980 that were examined. </w:t>
      </w:r>
    </w:p>
    <w:p w:rsidR="000F2413" w:rsidRDefault="000F2413" w:rsidP="000A2990">
      <w:pPr>
        <w:pStyle w:val="Brdtext"/>
      </w:pPr>
      <w:r w:rsidRPr="000F2413">
        <w:t xml:space="preserve">In 2015, SSM requested an assessment of the conclusions that could be drawn from these investigations regarding the presence of radioactive substances in the deposited waste </w:t>
      </w:r>
      <w:r w:rsidR="001F5F6B">
        <w:t>drums</w:t>
      </w:r>
      <w:r w:rsidR="00F75DFC">
        <w:t xml:space="preserve">. Furthermore, SSM requested an assessment </w:t>
      </w:r>
      <w:r w:rsidR="00362329">
        <w:t xml:space="preserve">of </w:t>
      </w:r>
      <w:r w:rsidR="00F75DFC">
        <w:t>the</w:t>
      </w:r>
      <w:r w:rsidRPr="000F2413">
        <w:t xml:space="preserve"> </w:t>
      </w:r>
      <w:r w:rsidR="00362329">
        <w:lastRenderedPageBreak/>
        <w:t xml:space="preserve">implications for </w:t>
      </w:r>
      <w:r w:rsidR="00F75DFC">
        <w:t>long</w:t>
      </w:r>
      <w:r w:rsidR="00362329">
        <w:t>-</w:t>
      </w:r>
      <w:r w:rsidR="00F75DFC">
        <w:t>term safety if</w:t>
      </w:r>
      <w:r w:rsidRPr="000F2413">
        <w:t xml:space="preserve"> the waste was not </w:t>
      </w:r>
      <w:r w:rsidR="001F5F6B">
        <w:t>retrieved</w:t>
      </w:r>
      <w:r w:rsidRPr="000F2413">
        <w:t xml:space="preserve"> from SFR</w:t>
      </w:r>
      <w:r w:rsidR="00C11376">
        <w:t xml:space="preserve"> [10]</w:t>
      </w:r>
      <w:r w:rsidRPr="000F2413">
        <w:t xml:space="preserve">. SSM requested this because a </w:t>
      </w:r>
      <w:r w:rsidR="001F5F6B">
        <w:t>retrieval</w:t>
      </w:r>
      <w:r w:rsidRPr="000F2413">
        <w:t xml:space="preserve"> can entail risks for the personnel </w:t>
      </w:r>
      <w:r w:rsidR="00362329">
        <w:t xml:space="preserve">since </w:t>
      </w:r>
      <w:r w:rsidR="00FF0587">
        <w:t>some</w:t>
      </w:r>
      <w:r w:rsidRPr="000F2413">
        <w:t xml:space="preserve"> of the earliest deposited containers in SFR have </w:t>
      </w:r>
      <w:r w:rsidR="00362329">
        <w:t>substantial</w:t>
      </w:r>
      <w:r w:rsidR="00362329" w:rsidRPr="000F2413">
        <w:t xml:space="preserve"> </w:t>
      </w:r>
      <w:r w:rsidRPr="000F2413">
        <w:t xml:space="preserve">corrosion damage. The </w:t>
      </w:r>
      <w:r w:rsidR="001F5F6B">
        <w:t>retrieval involves extensive work</w:t>
      </w:r>
      <w:r w:rsidRPr="000F2413">
        <w:t xml:space="preserve"> as a large number of </w:t>
      </w:r>
      <w:r w:rsidR="00362329">
        <w:t xml:space="preserve">other </w:t>
      </w:r>
      <w:r w:rsidR="001F5F6B">
        <w:t>containers</w:t>
      </w:r>
      <w:r w:rsidRPr="000F2413">
        <w:t xml:space="preserve"> need to be moved to enable access to the containers that contain the waste from the facilities in Studsvik.</w:t>
      </w:r>
    </w:p>
    <w:p w:rsidR="000F2413" w:rsidRDefault="000F2413" w:rsidP="000A2990">
      <w:pPr>
        <w:pStyle w:val="Brdtext"/>
      </w:pPr>
      <w:r w:rsidRPr="000F2413">
        <w:t xml:space="preserve">A </w:t>
      </w:r>
      <w:r w:rsidR="001F5F6B">
        <w:t xml:space="preserve">thorough </w:t>
      </w:r>
      <w:r w:rsidRPr="000F2413">
        <w:t xml:space="preserve">review of the documentation linked to the </w:t>
      </w:r>
      <w:r w:rsidR="001F5F6B">
        <w:t>disposed</w:t>
      </w:r>
      <w:r w:rsidRPr="000F2413">
        <w:t xml:space="preserve"> waste </w:t>
      </w:r>
      <w:r w:rsidR="001F5F6B">
        <w:t>drums</w:t>
      </w:r>
      <w:r w:rsidRPr="000F2413">
        <w:t xml:space="preserve"> showed</w:t>
      </w:r>
      <w:r w:rsidR="00DF20FD">
        <w:t xml:space="preserve"> </w:t>
      </w:r>
      <w:r w:rsidRPr="000F2413">
        <w:t xml:space="preserve">that they contained a very large number of Ra-226 radiation sources. </w:t>
      </w:r>
      <w:r w:rsidR="00DF20FD">
        <w:t>Based on the documentation, i</w:t>
      </w:r>
      <w:r w:rsidRPr="000F2413">
        <w:t xml:space="preserve">t is estimated that the </w:t>
      </w:r>
      <w:r w:rsidR="00DF20FD">
        <w:t>drums</w:t>
      </w:r>
      <w:r w:rsidRPr="000F2413">
        <w:t xml:space="preserve"> contain about 400,000 low-activity </w:t>
      </w:r>
      <w:r w:rsidR="00DF20FD">
        <w:t>Ra-</w:t>
      </w:r>
      <w:r w:rsidRPr="000F2413">
        <w:t>sources</w:t>
      </w:r>
      <w:r w:rsidR="00D8490C">
        <w:t xml:space="preserve"> (disused aiming devises from the Swedish military).</w:t>
      </w:r>
      <w:r w:rsidRPr="000F2413">
        <w:t xml:space="preserve"> Furthermore, there </w:t>
      </w:r>
      <w:r w:rsidR="00362329">
        <w:t xml:space="preserve">were indications </w:t>
      </w:r>
      <w:r w:rsidRPr="000F2413">
        <w:t xml:space="preserve">that the waste could contain larger amounts of Pu than </w:t>
      </w:r>
      <w:r w:rsidR="00362329">
        <w:t xml:space="preserve">is allowed by </w:t>
      </w:r>
      <w:r w:rsidRPr="000F2413">
        <w:t xml:space="preserve">the </w:t>
      </w:r>
      <w:r w:rsidR="001F5F6B">
        <w:t>licen</w:t>
      </w:r>
      <w:r w:rsidR="00362329">
        <w:t>c</w:t>
      </w:r>
      <w:r w:rsidR="001F5F6B">
        <w:t>e</w:t>
      </w:r>
      <w:r w:rsidRPr="000F2413">
        <w:t xml:space="preserve"> </w:t>
      </w:r>
      <w:r w:rsidR="00362329">
        <w:t xml:space="preserve">for SFR </w:t>
      </w:r>
      <w:r w:rsidR="00C11376">
        <w:lastRenderedPageBreak/>
        <w:t>[11]</w:t>
      </w:r>
      <w:r w:rsidRPr="000F2413">
        <w:t xml:space="preserve">. The presence of these radioactive substances is of </w:t>
      </w:r>
      <w:r w:rsidR="00B21FB3">
        <w:t>significance</w:t>
      </w:r>
      <w:r w:rsidRPr="000F2413">
        <w:t xml:space="preserve"> for </w:t>
      </w:r>
      <w:r w:rsidR="001F5F6B">
        <w:t xml:space="preserve">the long term </w:t>
      </w:r>
      <w:r w:rsidRPr="000F2413">
        <w:t>radiation safety</w:t>
      </w:r>
      <w:r w:rsidR="00C11376">
        <w:t xml:space="preserve"> [12]</w:t>
      </w:r>
      <w:r w:rsidRPr="000F2413">
        <w:t>.</w:t>
      </w:r>
    </w:p>
    <w:p w:rsidR="000F2413" w:rsidRDefault="000F2413" w:rsidP="000A2990">
      <w:pPr>
        <w:pStyle w:val="Brdtext"/>
        <w:rPr>
          <w:lang w:val="en-US"/>
        </w:rPr>
      </w:pPr>
      <w:r w:rsidRPr="000F2413">
        <w:rPr>
          <w:lang w:val="en-US"/>
        </w:rPr>
        <w:t xml:space="preserve">SKB and </w:t>
      </w:r>
      <w:r w:rsidR="00FA1083">
        <w:rPr>
          <w:lang w:val="en-US"/>
        </w:rPr>
        <w:t xml:space="preserve">the </w:t>
      </w:r>
      <w:r w:rsidRPr="000F2413">
        <w:rPr>
          <w:lang w:val="en-US"/>
        </w:rPr>
        <w:t xml:space="preserve">waste producers </w:t>
      </w:r>
      <w:r w:rsidR="001F5F6B">
        <w:rPr>
          <w:lang w:val="en-US"/>
        </w:rPr>
        <w:t xml:space="preserve">at Studsvik </w:t>
      </w:r>
      <w:r w:rsidRPr="000F2413">
        <w:rPr>
          <w:lang w:val="en-US"/>
        </w:rPr>
        <w:t xml:space="preserve">have stated that they plan to retrieve the waste. However, SKB and the waste producers have argued that the retrieval does not need to be </w:t>
      </w:r>
      <w:r w:rsidR="00B21FB3">
        <w:rPr>
          <w:lang w:val="en-US"/>
        </w:rPr>
        <w:t>undertaken for all of the waste drums</w:t>
      </w:r>
      <w:r w:rsidRPr="000F2413">
        <w:rPr>
          <w:lang w:val="en-US"/>
        </w:rPr>
        <w:t>.</w:t>
      </w:r>
      <w:r w:rsidR="00C66B4D">
        <w:rPr>
          <w:lang w:val="en-US"/>
        </w:rPr>
        <w:t xml:space="preserve"> Furthermore, </w:t>
      </w:r>
      <w:r w:rsidR="00FA1083">
        <w:rPr>
          <w:lang w:val="en-US"/>
        </w:rPr>
        <w:t xml:space="preserve">it was </w:t>
      </w:r>
      <w:r w:rsidR="00C66B4D">
        <w:rPr>
          <w:lang w:val="en-US"/>
        </w:rPr>
        <w:t>argued that the retrieval would take place in the 2030s</w:t>
      </w:r>
      <w:r w:rsidR="00C11376">
        <w:rPr>
          <w:lang w:val="en-US"/>
        </w:rPr>
        <w:t xml:space="preserve"> [13]</w:t>
      </w:r>
      <w:r w:rsidR="00C66B4D">
        <w:rPr>
          <w:lang w:val="en-US"/>
        </w:rPr>
        <w:t xml:space="preserve">.  </w:t>
      </w:r>
    </w:p>
    <w:p w:rsidR="000F2413" w:rsidRDefault="000F2413" w:rsidP="000F2413">
      <w:pPr>
        <w:pStyle w:val="Rubrik2"/>
        <w:numPr>
          <w:ilvl w:val="1"/>
          <w:numId w:val="10"/>
        </w:numPr>
      </w:pPr>
      <w:r>
        <w:t xml:space="preserve">SSm’s assessment on the need for retrieval </w:t>
      </w:r>
    </w:p>
    <w:p w:rsidR="00DF20FD" w:rsidRDefault="00C66B4D" w:rsidP="000A2990">
      <w:pPr>
        <w:pStyle w:val="Brdtext"/>
      </w:pPr>
      <w:r>
        <w:t>According to the results presented by SKB, t</w:t>
      </w:r>
      <w:r w:rsidR="000F2413" w:rsidRPr="000F2413">
        <w:t>he presence of Ra-226 and other long-lived al</w:t>
      </w:r>
      <w:r w:rsidR="00FA1083">
        <w:t>ph</w:t>
      </w:r>
      <w:r w:rsidR="000F2413" w:rsidRPr="000F2413">
        <w:t>a</w:t>
      </w:r>
      <w:r w:rsidR="00FA1083">
        <w:t>-</w:t>
      </w:r>
      <w:r w:rsidR="000F2413" w:rsidRPr="000F2413">
        <w:t xml:space="preserve">emitters increases the estimated </w:t>
      </w:r>
      <w:r w:rsidR="00FA1083">
        <w:t>maximum</w:t>
      </w:r>
      <w:r w:rsidR="00FA1083" w:rsidRPr="000F2413">
        <w:t xml:space="preserve"> </w:t>
      </w:r>
      <w:r w:rsidR="000F2413" w:rsidRPr="000F2413">
        <w:t xml:space="preserve">risk to the critical group due to releases from the SFR by </w:t>
      </w:r>
      <w:r w:rsidR="00FA1083">
        <w:t xml:space="preserve">around a </w:t>
      </w:r>
      <w:r w:rsidR="000F2413" w:rsidRPr="000F2413">
        <w:t xml:space="preserve">factor of 5. </w:t>
      </w:r>
      <w:r w:rsidR="001F5F6B">
        <w:t xml:space="preserve">Even if </w:t>
      </w:r>
      <w:r w:rsidR="00FA1083">
        <w:t xml:space="preserve">this </w:t>
      </w:r>
      <w:r w:rsidR="00B21FB3">
        <w:t>meant</w:t>
      </w:r>
      <w:r w:rsidR="00FA1083">
        <w:t xml:space="preserve"> that </w:t>
      </w:r>
      <w:r w:rsidR="00FA1083">
        <w:lastRenderedPageBreak/>
        <w:t xml:space="preserve">the estimated </w:t>
      </w:r>
      <w:r w:rsidR="001F5F6B">
        <w:t xml:space="preserve">risk </w:t>
      </w:r>
      <w:r w:rsidR="00FA1083">
        <w:t xml:space="preserve">did </w:t>
      </w:r>
      <w:r w:rsidR="001F5F6B">
        <w:t xml:space="preserve">not comply with the </w:t>
      </w:r>
      <w:r w:rsidR="00FA1083">
        <w:t xml:space="preserve">regulatory </w:t>
      </w:r>
      <w:r w:rsidR="001F5F6B">
        <w:t>criteri</w:t>
      </w:r>
      <w:r w:rsidR="00FA1083">
        <w:t>on</w:t>
      </w:r>
      <w:r w:rsidR="001F5F6B">
        <w:t>, t</w:t>
      </w:r>
      <w:r w:rsidR="000F2413" w:rsidRPr="000F2413">
        <w:t xml:space="preserve">his might not </w:t>
      </w:r>
      <w:r w:rsidR="00FF0587">
        <w:t xml:space="preserve">according to SSM </w:t>
      </w:r>
      <w:r w:rsidR="000F2413" w:rsidRPr="000F2413">
        <w:t xml:space="preserve">necessarily have justified the retrieval of the waste. </w:t>
      </w:r>
      <w:r>
        <w:t>However, t</w:t>
      </w:r>
      <w:r w:rsidR="000F2413" w:rsidRPr="000F2413">
        <w:t>he report</w:t>
      </w:r>
      <w:r>
        <w:t>ed results</w:t>
      </w:r>
      <w:r w:rsidR="000F2413" w:rsidRPr="000F2413">
        <w:t xml:space="preserve"> also showed that the </w:t>
      </w:r>
      <w:r>
        <w:t xml:space="preserve">annual </w:t>
      </w:r>
      <w:r w:rsidR="000F2413" w:rsidRPr="000F2413">
        <w:t xml:space="preserve">doses from a </w:t>
      </w:r>
      <w:r w:rsidR="00FA1083">
        <w:t xml:space="preserve">hypothetical </w:t>
      </w:r>
      <w:r w:rsidR="000F2413" w:rsidRPr="000F2413">
        <w:t xml:space="preserve">drinking water well </w:t>
      </w:r>
      <w:r w:rsidR="00FA1083">
        <w:t xml:space="preserve">drilled </w:t>
      </w:r>
      <w:r w:rsidR="000F2413" w:rsidRPr="000F2413">
        <w:t>into the rock vault where the waste is placed would be significant, in the order of 0.1 – 1 Sv.</w:t>
      </w:r>
      <w:r w:rsidR="000E73BC">
        <w:t xml:space="preserve"> </w:t>
      </w:r>
      <w:r w:rsidR="000F2413" w:rsidRPr="000F2413">
        <w:t>This is partly due to the lack of credible technical barriers surrounding the waste packages in this rock vault in SFR.</w:t>
      </w:r>
      <w:r w:rsidR="00D247E8" w:rsidRPr="00D247E8">
        <w:t xml:space="preserve"> </w:t>
      </w:r>
      <w:r w:rsidR="00D247E8">
        <w:t>According to the International Commission o</w:t>
      </w:r>
      <w:r w:rsidR="0082417D">
        <w:t>n</w:t>
      </w:r>
      <w:r w:rsidR="00D247E8">
        <w:t xml:space="preserve"> Radi</w:t>
      </w:r>
      <w:r w:rsidR="0082417D">
        <w:t>ological</w:t>
      </w:r>
      <w:r w:rsidR="00D247E8">
        <w:t xml:space="preserve"> Protection </w:t>
      </w:r>
      <w:r w:rsidR="0082417D">
        <w:t>P</w:t>
      </w:r>
      <w:r w:rsidR="00D247E8">
        <w:t xml:space="preserve">ublication 81, doses </w:t>
      </w:r>
      <w:r w:rsidR="0082417D">
        <w:t xml:space="preserve">of this magnitude </w:t>
      </w:r>
      <w:r w:rsidR="00D247E8">
        <w:t>are sufficiently high that intervention would almost always be justified an</w:t>
      </w:r>
      <w:r w:rsidR="0082417D">
        <w:t>d</w:t>
      </w:r>
      <w:r w:rsidR="00D247E8">
        <w:t xml:space="preserve"> that</w:t>
      </w:r>
      <w:r w:rsidR="0082417D">
        <w:t>, in the context of solid waste disposal,</w:t>
      </w:r>
      <w:r w:rsidR="00D247E8">
        <w:t xml:space="preserve"> reasonable efforts should be made to reduce the probability of human intrusion or to limit its consequences [14]. </w:t>
      </w:r>
    </w:p>
    <w:p w:rsidR="000F2413" w:rsidRDefault="000F2413" w:rsidP="000A2990">
      <w:pPr>
        <w:pStyle w:val="Brdtext"/>
        <w:rPr>
          <w:lang w:val="en-US"/>
        </w:rPr>
      </w:pPr>
      <w:r w:rsidRPr="000F2413">
        <w:rPr>
          <w:lang w:val="en-US"/>
        </w:rPr>
        <w:lastRenderedPageBreak/>
        <w:t xml:space="preserve">As already described, SSM’s regulations </w:t>
      </w:r>
      <w:r w:rsidR="004F7DD8">
        <w:rPr>
          <w:lang w:val="en-US"/>
        </w:rPr>
        <w:t xml:space="preserve">are </w:t>
      </w:r>
      <w:r w:rsidRPr="000F2413">
        <w:rPr>
          <w:lang w:val="en-US"/>
        </w:rPr>
        <w:t xml:space="preserve">primarily </w:t>
      </w:r>
      <w:r w:rsidR="004F7DD8">
        <w:rPr>
          <w:lang w:val="en-US"/>
        </w:rPr>
        <w:t xml:space="preserve">concerned with </w:t>
      </w:r>
      <w:r w:rsidRPr="000F2413">
        <w:rPr>
          <w:lang w:val="en-US"/>
        </w:rPr>
        <w:t>measures to limit the probability of inadvertent intrusion rather than the level of exposure</w:t>
      </w:r>
      <w:r>
        <w:rPr>
          <w:lang w:val="en-US"/>
        </w:rPr>
        <w:t xml:space="preserve"> to the intruder</w:t>
      </w:r>
      <w:r w:rsidRPr="000F2413">
        <w:rPr>
          <w:lang w:val="en-US"/>
        </w:rPr>
        <w:t>. However, the probability of inadvertent intrusion in</w:t>
      </w:r>
      <w:r w:rsidR="004F7DD8">
        <w:rPr>
          <w:lang w:val="en-US"/>
        </w:rPr>
        <w:t>to</w:t>
      </w:r>
      <w:r w:rsidRPr="000F2413">
        <w:rPr>
          <w:lang w:val="en-US"/>
        </w:rPr>
        <w:t xml:space="preserve"> a repository at </w:t>
      </w:r>
      <w:r w:rsidR="004F7DD8">
        <w:rPr>
          <w:lang w:val="en-US"/>
        </w:rPr>
        <w:t>a depth of</w:t>
      </w:r>
      <w:r w:rsidRPr="000F2413">
        <w:rPr>
          <w:lang w:val="en-US"/>
        </w:rPr>
        <w:t xml:space="preserve"> 50 m cannot be judged to be negligible. </w:t>
      </w:r>
      <w:r w:rsidR="000C3F45" w:rsidRPr="000C3F45">
        <w:rPr>
          <w:lang w:val="en-US"/>
        </w:rPr>
        <w:t xml:space="preserve">Given this, and the scale of the </w:t>
      </w:r>
      <w:r w:rsidR="000E73BC">
        <w:rPr>
          <w:lang w:val="en-US"/>
        </w:rPr>
        <w:t xml:space="preserve">very </w:t>
      </w:r>
      <w:r w:rsidR="000C3F45">
        <w:rPr>
          <w:lang w:val="en-US"/>
        </w:rPr>
        <w:t xml:space="preserve">high </w:t>
      </w:r>
      <w:r w:rsidR="000C3F45" w:rsidRPr="000C3F45">
        <w:rPr>
          <w:lang w:val="en-US"/>
        </w:rPr>
        <w:t>doses estimated for the drinking water well intrusion scenario, SSM supported</w:t>
      </w:r>
      <w:r w:rsidR="000C3F45" w:rsidRPr="000C3F45" w:rsidDel="000C3F45">
        <w:rPr>
          <w:lang w:val="en-US"/>
        </w:rPr>
        <w:t xml:space="preserve"> </w:t>
      </w:r>
      <w:r w:rsidRPr="000F2413">
        <w:rPr>
          <w:lang w:val="en-US"/>
        </w:rPr>
        <w:t>SKB's intention for retrieval</w:t>
      </w:r>
      <w:r w:rsidR="00C11376">
        <w:rPr>
          <w:lang w:val="en-US"/>
        </w:rPr>
        <w:t xml:space="preserve"> [1</w:t>
      </w:r>
      <w:r w:rsidR="00D247E8">
        <w:rPr>
          <w:lang w:val="en-US"/>
        </w:rPr>
        <w:t>5</w:t>
      </w:r>
      <w:r w:rsidR="00C11376">
        <w:rPr>
          <w:lang w:val="en-US"/>
        </w:rPr>
        <w:t>]</w:t>
      </w:r>
      <w:r w:rsidRPr="000F2413">
        <w:rPr>
          <w:lang w:val="en-US"/>
        </w:rPr>
        <w:t>.</w:t>
      </w:r>
      <w:r w:rsidR="00C66B4D">
        <w:rPr>
          <w:lang w:val="en-US"/>
        </w:rPr>
        <w:t xml:space="preserve"> </w:t>
      </w:r>
      <w:r w:rsidR="00C66B4D" w:rsidRPr="00C66B4D">
        <w:rPr>
          <w:lang w:val="en-US"/>
        </w:rPr>
        <w:t xml:space="preserve">SSM also took into account that SKB had presented </w:t>
      </w:r>
      <w:r w:rsidR="00FF0587">
        <w:rPr>
          <w:lang w:val="en-US"/>
        </w:rPr>
        <w:t xml:space="preserve">a </w:t>
      </w:r>
      <w:r w:rsidR="00C66B4D" w:rsidRPr="00C66B4D">
        <w:rPr>
          <w:lang w:val="en-US"/>
        </w:rPr>
        <w:t xml:space="preserve">credible </w:t>
      </w:r>
      <w:r w:rsidR="00B21FB3">
        <w:rPr>
          <w:lang w:val="en-US"/>
        </w:rPr>
        <w:t>plan for</w:t>
      </w:r>
      <w:r w:rsidR="00C66B4D" w:rsidRPr="00C66B4D">
        <w:rPr>
          <w:lang w:val="en-US"/>
        </w:rPr>
        <w:t xml:space="preserve"> limi</w:t>
      </w:r>
      <w:r w:rsidR="00C66B4D">
        <w:rPr>
          <w:lang w:val="en-US"/>
        </w:rPr>
        <w:t>t</w:t>
      </w:r>
      <w:r w:rsidR="00B21FB3">
        <w:rPr>
          <w:lang w:val="en-US"/>
        </w:rPr>
        <w:t>ing</w:t>
      </w:r>
      <w:r w:rsidR="00C66B4D">
        <w:rPr>
          <w:lang w:val="en-US"/>
        </w:rPr>
        <w:t xml:space="preserve"> the risks associated with the handling of the </w:t>
      </w:r>
      <w:r w:rsidR="00DF20FD">
        <w:rPr>
          <w:lang w:val="en-US"/>
        </w:rPr>
        <w:t xml:space="preserve">potentially damaged </w:t>
      </w:r>
      <w:r w:rsidR="00C66B4D">
        <w:rPr>
          <w:lang w:val="en-US"/>
        </w:rPr>
        <w:t>containers during the retrieval.</w:t>
      </w:r>
    </w:p>
    <w:p w:rsidR="00865EAE" w:rsidRDefault="00865EAE" w:rsidP="000A2990">
      <w:pPr>
        <w:pStyle w:val="Brdtext"/>
        <w:rPr>
          <w:lang w:val="en-US"/>
        </w:rPr>
      </w:pPr>
      <w:r w:rsidRPr="00865EAE">
        <w:rPr>
          <w:lang w:val="en-US"/>
        </w:rPr>
        <w:t xml:space="preserve">In </w:t>
      </w:r>
      <w:r w:rsidR="00B21FB3">
        <w:rPr>
          <w:lang w:val="en-US"/>
        </w:rPr>
        <w:t>its</w:t>
      </w:r>
      <w:r w:rsidR="00B21FB3" w:rsidRPr="00865EAE">
        <w:rPr>
          <w:lang w:val="en-US"/>
        </w:rPr>
        <w:t xml:space="preserve"> </w:t>
      </w:r>
      <w:r w:rsidRPr="00865EAE">
        <w:rPr>
          <w:lang w:val="en-US"/>
        </w:rPr>
        <w:t xml:space="preserve">review, SSM </w:t>
      </w:r>
      <w:r>
        <w:rPr>
          <w:lang w:val="en-US"/>
        </w:rPr>
        <w:t>q</w:t>
      </w:r>
      <w:r w:rsidRPr="00865EAE">
        <w:rPr>
          <w:lang w:val="en-US"/>
        </w:rPr>
        <w:t>uestion</w:t>
      </w:r>
      <w:r>
        <w:rPr>
          <w:lang w:val="en-US"/>
        </w:rPr>
        <w:t>ed the basis for</w:t>
      </w:r>
      <w:r w:rsidRPr="00865EAE">
        <w:rPr>
          <w:lang w:val="en-US"/>
        </w:rPr>
        <w:t xml:space="preserve"> limiting the </w:t>
      </w:r>
      <w:r>
        <w:rPr>
          <w:lang w:val="en-US"/>
        </w:rPr>
        <w:t>retrieval</w:t>
      </w:r>
      <w:r w:rsidRPr="00865EAE">
        <w:rPr>
          <w:lang w:val="en-US"/>
        </w:rPr>
        <w:t xml:space="preserve"> to a subset of the deposited waste. Given the </w:t>
      </w:r>
      <w:r>
        <w:rPr>
          <w:lang w:val="en-US"/>
        </w:rPr>
        <w:t>errors</w:t>
      </w:r>
      <w:r w:rsidRPr="00865EAE">
        <w:rPr>
          <w:lang w:val="en-US"/>
        </w:rPr>
        <w:t xml:space="preserve"> in documentation </w:t>
      </w:r>
      <w:r w:rsidR="00B21FB3">
        <w:rPr>
          <w:lang w:val="en-US"/>
        </w:rPr>
        <w:t xml:space="preserve">revealed by </w:t>
      </w:r>
      <w:r w:rsidRPr="00865EAE">
        <w:rPr>
          <w:lang w:val="en-US"/>
        </w:rPr>
        <w:t>Svafo</w:t>
      </w:r>
      <w:r w:rsidR="00B21FB3">
        <w:rPr>
          <w:lang w:val="en-US"/>
        </w:rPr>
        <w:t>’</w:t>
      </w:r>
      <w:r w:rsidRPr="00865EAE">
        <w:rPr>
          <w:lang w:val="en-US"/>
        </w:rPr>
        <w:t>s original investigations</w:t>
      </w:r>
      <w:r>
        <w:rPr>
          <w:lang w:val="en-US"/>
        </w:rPr>
        <w:t xml:space="preserve">, </w:t>
      </w:r>
      <w:r w:rsidR="00B21FB3">
        <w:rPr>
          <w:lang w:val="en-US"/>
        </w:rPr>
        <w:t xml:space="preserve">as </w:t>
      </w:r>
      <w:r>
        <w:rPr>
          <w:lang w:val="en-US"/>
        </w:rPr>
        <w:t>reported to SSM in 2012</w:t>
      </w:r>
      <w:r w:rsidRPr="00865EAE">
        <w:rPr>
          <w:lang w:val="en-US"/>
        </w:rPr>
        <w:t xml:space="preserve">, SSM considered that all </w:t>
      </w:r>
      <w:r w:rsidRPr="00865EAE">
        <w:rPr>
          <w:lang w:val="en-US"/>
        </w:rPr>
        <w:lastRenderedPageBreak/>
        <w:t xml:space="preserve">waste </w:t>
      </w:r>
      <w:r>
        <w:rPr>
          <w:lang w:val="en-US"/>
        </w:rPr>
        <w:t>drums</w:t>
      </w:r>
      <w:r w:rsidRPr="00865EAE">
        <w:rPr>
          <w:lang w:val="en-US"/>
        </w:rPr>
        <w:t xml:space="preserve"> need to be </w:t>
      </w:r>
      <w:r>
        <w:rPr>
          <w:lang w:val="en-US"/>
        </w:rPr>
        <w:t>retrieved for further characterization</w:t>
      </w:r>
      <w:r w:rsidRPr="00865EAE">
        <w:rPr>
          <w:lang w:val="en-US"/>
        </w:rPr>
        <w:t xml:space="preserve">. The additional work </w:t>
      </w:r>
      <w:r w:rsidR="0002319E">
        <w:rPr>
          <w:lang w:val="en-US"/>
        </w:rPr>
        <w:t xml:space="preserve">required </w:t>
      </w:r>
      <w:r w:rsidRPr="00865EAE">
        <w:rPr>
          <w:lang w:val="en-US"/>
        </w:rPr>
        <w:t xml:space="preserve">to </w:t>
      </w:r>
      <w:r>
        <w:rPr>
          <w:lang w:val="en-US"/>
        </w:rPr>
        <w:t>undertake</w:t>
      </w:r>
      <w:r w:rsidRPr="00865EAE">
        <w:rPr>
          <w:lang w:val="en-US"/>
        </w:rPr>
        <w:t xml:space="preserve"> complete </w:t>
      </w:r>
      <w:r>
        <w:rPr>
          <w:lang w:val="en-US"/>
        </w:rPr>
        <w:t>retrieval</w:t>
      </w:r>
      <w:r w:rsidRPr="00865EAE">
        <w:rPr>
          <w:lang w:val="en-US"/>
        </w:rPr>
        <w:t xml:space="preserve"> </w:t>
      </w:r>
      <w:r w:rsidR="0002319E">
        <w:rPr>
          <w:lang w:val="en-US"/>
        </w:rPr>
        <w:t>was assessed by SSM to be comparatively</w:t>
      </w:r>
      <w:r w:rsidRPr="00865EAE">
        <w:rPr>
          <w:lang w:val="en-US"/>
        </w:rPr>
        <w:t xml:space="preserve"> limited. SKB has </w:t>
      </w:r>
      <w:r w:rsidR="0002319E">
        <w:rPr>
          <w:lang w:val="en-US"/>
        </w:rPr>
        <w:t xml:space="preserve">subsequently </w:t>
      </w:r>
      <w:r>
        <w:rPr>
          <w:lang w:val="en-US"/>
        </w:rPr>
        <w:t xml:space="preserve">changed </w:t>
      </w:r>
      <w:r w:rsidR="0002319E">
        <w:rPr>
          <w:lang w:val="en-US"/>
        </w:rPr>
        <w:t xml:space="preserve">its </w:t>
      </w:r>
      <w:r>
        <w:rPr>
          <w:lang w:val="en-US"/>
        </w:rPr>
        <w:t xml:space="preserve">plans </w:t>
      </w:r>
      <w:r w:rsidRPr="00865EAE">
        <w:rPr>
          <w:lang w:val="en-US"/>
        </w:rPr>
        <w:t xml:space="preserve">on this point, and is </w:t>
      </w:r>
      <w:r>
        <w:rPr>
          <w:lang w:val="en-US"/>
        </w:rPr>
        <w:t xml:space="preserve">now </w:t>
      </w:r>
      <w:r w:rsidRPr="00865EAE">
        <w:rPr>
          <w:lang w:val="en-US"/>
        </w:rPr>
        <w:t xml:space="preserve">planning for a complete </w:t>
      </w:r>
      <w:r>
        <w:rPr>
          <w:lang w:val="en-US"/>
        </w:rPr>
        <w:t>retrieval</w:t>
      </w:r>
      <w:r w:rsidR="00C11376">
        <w:rPr>
          <w:lang w:val="en-US"/>
        </w:rPr>
        <w:t xml:space="preserve"> [1</w:t>
      </w:r>
      <w:r w:rsidR="00D247E8">
        <w:rPr>
          <w:lang w:val="en-US"/>
        </w:rPr>
        <w:t>6</w:t>
      </w:r>
      <w:r w:rsidR="00C11376">
        <w:rPr>
          <w:lang w:val="en-US"/>
        </w:rPr>
        <w:t>]</w:t>
      </w:r>
      <w:r w:rsidRPr="00865EAE">
        <w:rPr>
          <w:lang w:val="en-US"/>
        </w:rPr>
        <w:t>.</w:t>
      </w:r>
    </w:p>
    <w:p w:rsidR="00865EAE" w:rsidRDefault="00865EAE" w:rsidP="000A2990">
      <w:pPr>
        <w:pStyle w:val="Brdtext"/>
        <w:rPr>
          <w:lang w:val="en-US"/>
        </w:rPr>
      </w:pPr>
      <w:r w:rsidRPr="00865EAE">
        <w:rPr>
          <w:lang w:val="en-US"/>
        </w:rPr>
        <w:t>Furthermore, SSM questioned the argum</w:t>
      </w:r>
      <w:r>
        <w:rPr>
          <w:lang w:val="en-US"/>
        </w:rPr>
        <w:t xml:space="preserve">ents put forward </w:t>
      </w:r>
      <w:r w:rsidR="0002319E">
        <w:rPr>
          <w:lang w:val="en-US"/>
        </w:rPr>
        <w:t xml:space="preserve">for delaying </w:t>
      </w:r>
      <w:r>
        <w:rPr>
          <w:lang w:val="en-US"/>
        </w:rPr>
        <w:t xml:space="preserve">retrieval </w:t>
      </w:r>
      <w:r w:rsidR="00FF0587">
        <w:rPr>
          <w:lang w:val="en-US"/>
        </w:rPr>
        <w:t>un</w:t>
      </w:r>
      <w:r>
        <w:rPr>
          <w:lang w:val="en-US"/>
        </w:rPr>
        <w:t>til</w:t>
      </w:r>
      <w:r w:rsidRPr="00865EAE">
        <w:rPr>
          <w:lang w:val="en-US"/>
        </w:rPr>
        <w:t xml:space="preserve"> the 2030s. </w:t>
      </w:r>
      <w:r>
        <w:rPr>
          <w:lang w:val="en-US"/>
        </w:rPr>
        <w:t xml:space="preserve">SKB </w:t>
      </w:r>
      <w:r w:rsidR="0002319E">
        <w:rPr>
          <w:lang w:val="en-US"/>
        </w:rPr>
        <w:t xml:space="preserve">has </w:t>
      </w:r>
      <w:r>
        <w:rPr>
          <w:lang w:val="en-US"/>
        </w:rPr>
        <w:t xml:space="preserve">changed </w:t>
      </w:r>
      <w:r w:rsidR="0002319E">
        <w:rPr>
          <w:lang w:val="en-US"/>
        </w:rPr>
        <w:t xml:space="preserve">its </w:t>
      </w:r>
      <w:r>
        <w:rPr>
          <w:lang w:val="en-US"/>
        </w:rPr>
        <w:t>plan</w:t>
      </w:r>
      <w:r w:rsidR="0002319E">
        <w:rPr>
          <w:lang w:val="en-US"/>
        </w:rPr>
        <w:t>ning assumption</w:t>
      </w:r>
      <w:r>
        <w:rPr>
          <w:lang w:val="en-US"/>
        </w:rPr>
        <w:t>s</w:t>
      </w:r>
      <w:r w:rsidR="0002319E">
        <w:rPr>
          <w:lang w:val="en-US"/>
        </w:rPr>
        <w:t xml:space="preserve"> on this matter also</w:t>
      </w:r>
      <w:r>
        <w:rPr>
          <w:lang w:val="en-US"/>
        </w:rPr>
        <w:t xml:space="preserve">, </w:t>
      </w:r>
      <w:r w:rsidRPr="00865EAE">
        <w:rPr>
          <w:lang w:val="en-US"/>
        </w:rPr>
        <w:t xml:space="preserve">and </w:t>
      </w:r>
      <w:r w:rsidR="0002319E">
        <w:rPr>
          <w:lang w:val="en-US"/>
        </w:rPr>
        <w:t xml:space="preserve">now </w:t>
      </w:r>
      <w:r w:rsidRPr="00865EAE">
        <w:rPr>
          <w:lang w:val="en-US"/>
        </w:rPr>
        <w:t xml:space="preserve">intends to carry out </w:t>
      </w:r>
      <w:r>
        <w:rPr>
          <w:lang w:val="en-US"/>
        </w:rPr>
        <w:t>the retrieval</w:t>
      </w:r>
      <w:r w:rsidRPr="00865EAE">
        <w:rPr>
          <w:lang w:val="en-US"/>
        </w:rPr>
        <w:t xml:space="preserve"> in the next few years. A prerequisit</w:t>
      </w:r>
      <w:r>
        <w:rPr>
          <w:lang w:val="en-US"/>
        </w:rPr>
        <w:t xml:space="preserve">e for this, however, is that </w:t>
      </w:r>
      <w:r w:rsidR="0002319E">
        <w:rPr>
          <w:lang w:val="en-US"/>
        </w:rPr>
        <w:t xml:space="preserve">necessary </w:t>
      </w:r>
      <w:r>
        <w:rPr>
          <w:lang w:val="en-US"/>
        </w:rPr>
        <w:t>storage capacity</w:t>
      </w:r>
      <w:r w:rsidRPr="00865EAE">
        <w:rPr>
          <w:lang w:val="en-US"/>
        </w:rPr>
        <w:t xml:space="preserve"> for the </w:t>
      </w:r>
      <w:r>
        <w:rPr>
          <w:lang w:val="en-US"/>
        </w:rPr>
        <w:t>retrieved</w:t>
      </w:r>
      <w:r w:rsidRPr="00865EAE">
        <w:rPr>
          <w:lang w:val="en-US"/>
        </w:rPr>
        <w:t xml:space="preserve"> waste </w:t>
      </w:r>
      <w:r w:rsidR="0002319E">
        <w:rPr>
          <w:lang w:val="en-US"/>
        </w:rPr>
        <w:t>is</w:t>
      </w:r>
      <w:r w:rsidRPr="00865EAE">
        <w:rPr>
          <w:lang w:val="en-US"/>
        </w:rPr>
        <w:t xml:space="preserve"> established at the Studsvik </w:t>
      </w:r>
      <w:r w:rsidR="0002319E">
        <w:rPr>
          <w:lang w:val="en-US"/>
        </w:rPr>
        <w:t xml:space="preserve">site </w:t>
      </w:r>
      <w:r w:rsidR="00C11376">
        <w:rPr>
          <w:lang w:val="en-US"/>
        </w:rPr>
        <w:t>[1</w:t>
      </w:r>
      <w:r w:rsidR="00D247E8">
        <w:rPr>
          <w:lang w:val="en-US"/>
        </w:rPr>
        <w:t>6</w:t>
      </w:r>
      <w:r w:rsidR="00C11376">
        <w:rPr>
          <w:lang w:val="en-US"/>
        </w:rPr>
        <w:t>]</w:t>
      </w:r>
      <w:r w:rsidRPr="00865EAE">
        <w:rPr>
          <w:lang w:val="en-US"/>
        </w:rPr>
        <w:t>.</w:t>
      </w:r>
    </w:p>
    <w:p w:rsidR="00C66B4D" w:rsidRDefault="00C66B4D" w:rsidP="00C66B4D">
      <w:pPr>
        <w:pStyle w:val="Rubrik2"/>
        <w:numPr>
          <w:ilvl w:val="1"/>
          <w:numId w:val="10"/>
        </w:numPr>
        <w:rPr>
          <w:lang w:val="en-US"/>
        </w:rPr>
      </w:pPr>
      <w:r>
        <w:rPr>
          <w:lang w:val="en-US"/>
        </w:rPr>
        <w:t>Present status</w:t>
      </w:r>
    </w:p>
    <w:p w:rsidR="006512EB" w:rsidRDefault="006512EB" w:rsidP="00C66B4D">
      <w:pPr>
        <w:pStyle w:val="Brdtext"/>
        <w:rPr>
          <w:lang w:val="en-US"/>
        </w:rPr>
      </w:pPr>
      <w:r w:rsidRPr="006512EB">
        <w:rPr>
          <w:lang w:val="en-US"/>
        </w:rPr>
        <w:t xml:space="preserve">In a letter to the government in December 2020, </w:t>
      </w:r>
      <w:r w:rsidR="00AD6F24">
        <w:rPr>
          <w:lang w:val="en-US"/>
        </w:rPr>
        <w:t xml:space="preserve">AB </w:t>
      </w:r>
      <w:r w:rsidRPr="006512EB">
        <w:rPr>
          <w:lang w:val="en-US"/>
        </w:rPr>
        <w:t xml:space="preserve">Svafo disclaims responsibility for </w:t>
      </w:r>
      <w:r w:rsidR="0002319E">
        <w:rPr>
          <w:lang w:val="en-US"/>
        </w:rPr>
        <w:t xml:space="preserve">substantial components </w:t>
      </w:r>
      <w:r w:rsidRPr="006512EB">
        <w:rPr>
          <w:lang w:val="en-US"/>
        </w:rPr>
        <w:t xml:space="preserve">of the </w:t>
      </w:r>
      <w:r>
        <w:rPr>
          <w:lang w:val="en-US"/>
        </w:rPr>
        <w:lastRenderedPageBreak/>
        <w:t>legacy</w:t>
      </w:r>
      <w:r w:rsidRPr="006512EB">
        <w:rPr>
          <w:lang w:val="en-US"/>
        </w:rPr>
        <w:t xml:space="preserve"> waste</w:t>
      </w:r>
      <w:r w:rsidR="00C11376">
        <w:rPr>
          <w:lang w:val="en-US"/>
        </w:rPr>
        <w:t xml:space="preserve"> </w:t>
      </w:r>
      <w:r w:rsidR="0002319E">
        <w:rPr>
          <w:lang w:val="en-US"/>
        </w:rPr>
        <w:t xml:space="preserve">inventory </w:t>
      </w:r>
      <w:r w:rsidR="00C11376">
        <w:rPr>
          <w:lang w:val="en-US"/>
        </w:rPr>
        <w:t>[1</w:t>
      </w:r>
      <w:r w:rsidR="00D247E8">
        <w:rPr>
          <w:lang w:val="en-US"/>
        </w:rPr>
        <w:t>7</w:t>
      </w:r>
      <w:r w:rsidR="00C11376">
        <w:rPr>
          <w:lang w:val="en-US"/>
        </w:rPr>
        <w:t>]</w:t>
      </w:r>
      <w:r w:rsidRPr="006512EB">
        <w:rPr>
          <w:lang w:val="en-US"/>
        </w:rPr>
        <w:t xml:space="preserve">. This applies to </w:t>
      </w:r>
      <w:r w:rsidR="0002319E">
        <w:rPr>
          <w:lang w:val="en-US"/>
        </w:rPr>
        <w:t xml:space="preserve">radioactive </w:t>
      </w:r>
      <w:r>
        <w:rPr>
          <w:lang w:val="en-US"/>
        </w:rPr>
        <w:t>waste that does not origin</w:t>
      </w:r>
      <w:r w:rsidR="0002319E">
        <w:rPr>
          <w:lang w:val="en-US"/>
        </w:rPr>
        <w:t>ate</w:t>
      </w:r>
      <w:r w:rsidRPr="006512EB">
        <w:rPr>
          <w:lang w:val="en-US"/>
        </w:rPr>
        <w:t xml:space="preserve"> from nuclear activities, such as waste from the Armed Forces</w:t>
      </w:r>
      <w:r>
        <w:rPr>
          <w:lang w:val="en-US"/>
        </w:rPr>
        <w:t xml:space="preserve"> or other national </w:t>
      </w:r>
      <w:r w:rsidR="00AD6F24">
        <w:rPr>
          <w:lang w:val="en-US"/>
        </w:rPr>
        <w:t>institutions</w:t>
      </w:r>
      <w:r>
        <w:rPr>
          <w:lang w:val="en-US"/>
        </w:rPr>
        <w:t xml:space="preserve">. </w:t>
      </w:r>
      <w:r w:rsidR="00AD6F24">
        <w:rPr>
          <w:lang w:val="en-US"/>
        </w:rPr>
        <w:t xml:space="preserve">AB </w:t>
      </w:r>
      <w:r>
        <w:rPr>
          <w:lang w:val="en-US"/>
        </w:rPr>
        <w:t>Svafo also disclaims responsibility</w:t>
      </w:r>
      <w:r w:rsidRPr="006512EB">
        <w:rPr>
          <w:lang w:val="en-US"/>
        </w:rPr>
        <w:t xml:space="preserve"> </w:t>
      </w:r>
      <w:r w:rsidR="0002319E">
        <w:rPr>
          <w:lang w:val="en-US"/>
        </w:rPr>
        <w:t>for</w:t>
      </w:r>
      <w:r w:rsidR="0002319E" w:rsidRPr="006512EB">
        <w:rPr>
          <w:lang w:val="en-US"/>
        </w:rPr>
        <w:t xml:space="preserve"> </w:t>
      </w:r>
      <w:r w:rsidR="00AD6F24">
        <w:rPr>
          <w:lang w:val="en-US"/>
        </w:rPr>
        <w:t xml:space="preserve">nuclear </w:t>
      </w:r>
      <w:r w:rsidRPr="006512EB">
        <w:rPr>
          <w:lang w:val="en-US"/>
        </w:rPr>
        <w:t xml:space="preserve">waste that is insufficiently characterized to be sent to a final repository without further measures. </w:t>
      </w:r>
      <w:r w:rsidR="00AD6F24">
        <w:rPr>
          <w:lang w:val="en-US"/>
        </w:rPr>
        <w:t xml:space="preserve">AB </w:t>
      </w:r>
      <w:r w:rsidRPr="006512EB">
        <w:rPr>
          <w:lang w:val="en-US"/>
        </w:rPr>
        <w:t xml:space="preserve">Svafo states that </w:t>
      </w:r>
      <w:r w:rsidR="00FF0587">
        <w:rPr>
          <w:lang w:val="en-US"/>
        </w:rPr>
        <w:t>the company can ensure</w:t>
      </w:r>
      <w:r w:rsidRPr="006512EB">
        <w:rPr>
          <w:lang w:val="en-US"/>
        </w:rPr>
        <w:t xml:space="preserve"> </w:t>
      </w:r>
      <w:r w:rsidR="00A95C88">
        <w:rPr>
          <w:lang w:val="en-US"/>
        </w:rPr>
        <w:t xml:space="preserve">safe </w:t>
      </w:r>
      <w:r w:rsidRPr="006512EB">
        <w:rPr>
          <w:lang w:val="en-US"/>
        </w:rPr>
        <w:t xml:space="preserve">continued </w:t>
      </w:r>
      <w:r w:rsidR="00AD6F24">
        <w:rPr>
          <w:lang w:val="en-US"/>
        </w:rPr>
        <w:t>interim</w:t>
      </w:r>
      <w:r w:rsidRPr="006512EB">
        <w:rPr>
          <w:lang w:val="en-US"/>
        </w:rPr>
        <w:t xml:space="preserve"> storage</w:t>
      </w:r>
      <w:r w:rsidR="00C11376">
        <w:rPr>
          <w:lang w:val="en-US"/>
        </w:rPr>
        <w:t xml:space="preserve"> of</w:t>
      </w:r>
      <w:r w:rsidR="00AD6F24">
        <w:rPr>
          <w:lang w:val="en-US"/>
        </w:rPr>
        <w:t xml:space="preserve"> </w:t>
      </w:r>
      <w:r w:rsidR="00C11376">
        <w:rPr>
          <w:lang w:val="en-US"/>
        </w:rPr>
        <w:t>t</w:t>
      </w:r>
      <w:r w:rsidR="00AD6F24">
        <w:rPr>
          <w:lang w:val="en-US"/>
        </w:rPr>
        <w:t>h</w:t>
      </w:r>
      <w:r w:rsidR="00C11376">
        <w:rPr>
          <w:lang w:val="en-US"/>
        </w:rPr>
        <w:t>e</w:t>
      </w:r>
      <w:r w:rsidR="00AD6F24">
        <w:rPr>
          <w:lang w:val="en-US"/>
        </w:rPr>
        <w:t xml:space="preserve"> retrieved waste</w:t>
      </w:r>
      <w:r w:rsidRPr="006512EB">
        <w:rPr>
          <w:lang w:val="en-US"/>
        </w:rPr>
        <w:t xml:space="preserve">, provided that the state assumes responsibility for </w:t>
      </w:r>
      <w:r w:rsidR="0082417D">
        <w:rPr>
          <w:lang w:val="en-US"/>
        </w:rPr>
        <w:t xml:space="preserve">the financial </w:t>
      </w:r>
      <w:r w:rsidRPr="006512EB">
        <w:rPr>
          <w:lang w:val="en-US"/>
        </w:rPr>
        <w:t xml:space="preserve">cost. According to Svafo, the clarification of </w:t>
      </w:r>
      <w:r w:rsidR="00C11376">
        <w:rPr>
          <w:lang w:val="en-US"/>
        </w:rPr>
        <w:t>financial</w:t>
      </w:r>
      <w:r w:rsidRPr="006512EB">
        <w:rPr>
          <w:lang w:val="en-US"/>
        </w:rPr>
        <w:t xml:space="preserve"> responsibility is a prerequisite for carrying out </w:t>
      </w:r>
      <w:r w:rsidR="00AD6F24">
        <w:rPr>
          <w:lang w:val="en-US"/>
        </w:rPr>
        <w:t>the retrieval</w:t>
      </w:r>
      <w:r w:rsidRPr="006512EB">
        <w:rPr>
          <w:lang w:val="en-US"/>
        </w:rPr>
        <w:t>.</w:t>
      </w:r>
    </w:p>
    <w:p w:rsidR="006512EB" w:rsidRDefault="00FF0587" w:rsidP="00C66B4D">
      <w:pPr>
        <w:pStyle w:val="Brdtext"/>
        <w:rPr>
          <w:lang w:val="en-US"/>
        </w:rPr>
      </w:pPr>
      <w:r>
        <w:rPr>
          <w:lang w:val="en-US"/>
        </w:rPr>
        <w:t>I</w:t>
      </w:r>
      <w:r w:rsidRPr="006512EB">
        <w:rPr>
          <w:lang w:val="en-US"/>
        </w:rPr>
        <w:t xml:space="preserve">n April 2021 </w:t>
      </w:r>
      <w:r w:rsidR="006512EB" w:rsidRPr="006512EB">
        <w:rPr>
          <w:lang w:val="en-US"/>
        </w:rPr>
        <w:t>SSM r</w:t>
      </w:r>
      <w:r w:rsidR="00AD6F24">
        <w:rPr>
          <w:lang w:val="en-US"/>
        </w:rPr>
        <w:t>eceived an assignment from the G</w:t>
      </w:r>
      <w:r w:rsidR="006512EB" w:rsidRPr="006512EB">
        <w:rPr>
          <w:lang w:val="en-US"/>
        </w:rPr>
        <w:t xml:space="preserve">overnment to investigate the issue of responsibility </w:t>
      </w:r>
      <w:r w:rsidR="00A95C88">
        <w:rPr>
          <w:lang w:val="en-US"/>
        </w:rPr>
        <w:t xml:space="preserve">for </w:t>
      </w:r>
      <w:r>
        <w:rPr>
          <w:lang w:val="en-US"/>
        </w:rPr>
        <w:t>the legacy waste</w:t>
      </w:r>
      <w:r w:rsidR="00A95C88">
        <w:rPr>
          <w:lang w:val="en-US"/>
        </w:rPr>
        <w:t xml:space="preserve"> as well as</w:t>
      </w:r>
      <w:r>
        <w:rPr>
          <w:lang w:val="en-US"/>
        </w:rPr>
        <w:t xml:space="preserve"> </w:t>
      </w:r>
      <w:r w:rsidR="00AD6F24">
        <w:rPr>
          <w:lang w:val="en-US"/>
        </w:rPr>
        <w:t xml:space="preserve">its </w:t>
      </w:r>
      <w:r w:rsidR="006512EB" w:rsidRPr="006512EB">
        <w:rPr>
          <w:lang w:val="en-US"/>
        </w:rPr>
        <w:t xml:space="preserve">financing and </w:t>
      </w:r>
      <w:r w:rsidR="00AD6F24">
        <w:rPr>
          <w:lang w:val="en-US"/>
        </w:rPr>
        <w:t xml:space="preserve">to </w:t>
      </w:r>
      <w:r w:rsidR="006512EB" w:rsidRPr="006512EB">
        <w:rPr>
          <w:lang w:val="en-US"/>
        </w:rPr>
        <w:t xml:space="preserve">submit proposals for </w:t>
      </w:r>
      <w:r w:rsidR="006512EB" w:rsidRPr="006512EB">
        <w:rPr>
          <w:lang w:val="en-US"/>
        </w:rPr>
        <w:lastRenderedPageBreak/>
        <w:t>measures</w:t>
      </w:r>
      <w:r>
        <w:rPr>
          <w:lang w:val="en-US"/>
        </w:rPr>
        <w:t xml:space="preserve"> to be taken by the Government</w:t>
      </w:r>
      <w:r w:rsidR="006512EB" w:rsidRPr="006512EB">
        <w:rPr>
          <w:lang w:val="en-US"/>
        </w:rPr>
        <w:t xml:space="preserve">. SSM will present its conclusions to the government by the </w:t>
      </w:r>
      <w:r w:rsidR="00AD6F24">
        <w:rPr>
          <w:lang w:val="en-US"/>
        </w:rPr>
        <w:t>end</w:t>
      </w:r>
      <w:r w:rsidR="006512EB" w:rsidRPr="006512EB">
        <w:rPr>
          <w:lang w:val="en-US"/>
        </w:rPr>
        <w:t xml:space="preserve"> of the year</w:t>
      </w:r>
      <w:r w:rsidR="00C11376">
        <w:rPr>
          <w:lang w:val="en-US"/>
        </w:rPr>
        <w:t xml:space="preserve"> [1</w:t>
      </w:r>
      <w:r w:rsidR="00D247E8">
        <w:rPr>
          <w:lang w:val="en-US"/>
        </w:rPr>
        <w:t>8</w:t>
      </w:r>
      <w:r w:rsidR="00C11376">
        <w:rPr>
          <w:lang w:val="en-US"/>
        </w:rPr>
        <w:t>]</w:t>
      </w:r>
      <w:r w:rsidR="00AD6F24">
        <w:rPr>
          <w:lang w:val="en-US"/>
        </w:rPr>
        <w:t>.</w:t>
      </w:r>
    </w:p>
    <w:p w:rsidR="00C11376" w:rsidRPr="00285755" w:rsidRDefault="00C11376" w:rsidP="00C11376">
      <w:pPr>
        <w:pStyle w:val="Otherunnumberedheadings"/>
      </w:pPr>
      <w:r>
        <w:t>References</w:t>
      </w:r>
    </w:p>
    <w:p w:rsidR="0079005F" w:rsidRDefault="0079005F" w:rsidP="00C11376">
      <w:pPr>
        <w:pStyle w:val="Referencelist"/>
      </w:pPr>
      <w:r>
        <w:t xml:space="preserve">SWEDISH RADIATION SAFETY AUTHORITY, </w:t>
      </w:r>
      <w:r w:rsidRPr="0079005F">
        <w:t>The Swedish Radiation Safety Authority’s Regulations Concerning the Protection of Human Health and the Environment in Connection with the Final Management of Spent Nuclear Fuel and Nuclear Waste</w:t>
      </w:r>
      <w:r>
        <w:t>, SSMFS 2008:37</w:t>
      </w:r>
    </w:p>
    <w:p w:rsidR="0079005F" w:rsidRDefault="0079005F" w:rsidP="00C11376">
      <w:pPr>
        <w:pStyle w:val="Referencelist"/>
      </w:pPr>
      <w:r>
        <w:t xml:space="preserve">SWEDISH NUCLEAR POWER INSPECTORATE; SWEDISH RADIATION PROTECTION AUTHORITY,  </w:t>
      </w:r>
      <w:r w:rsidR="009C6C27" w:rsidRPr="009C6C27">
        <w:t>Granskning av SKB:s fördjupade säkerhetsanalys för S</w:t>
      </w:r>
      <w:r w:rsidR="009C6C27">
        <w:t>FR-1, SKI Teknisk Rapport 92:16</w:t>
      </w:r>
      <w:r>
        <w:t xml:space="preserve">, 1992  </w:t>
      </w:r>
    </w:p>
    <w:p w:rsidR="0079005F" w:rsidRDefault="0079005F" w:rsidP="0079005F">
      <w:pPr>
        <w:pStyle w:val="Referencelist"/>
      </w:pPr>
      <w:r w:rsidRPr="0079005F">
        <w:t>SWEDISH RADIATION SAFETY AUTHORITY The Swedish Radiation Safety Authority’s Regulations concerning Safety in Nuclear Facilities</w:t>
      </w:r>
      <w:r>
        <w:t>, SSMFS 2008:1</w:t>
      </w:r>
    </w:p>
    <w:p w:rsidR="009C6C27" w:rsidRDefault="0079005F" w:rsidP="008C170B">
      <w:pPr>
        <w:pStyle w:val="Referencelist"/>
        <w:rPr>
          <w:lang w:val="sv-SE"/>
        </w:rPr>
      </w:pPr>
      <w:r w:rsidRPr="009C6C27">
        <w:rPr>
          <w:lang w:val="sv-SE"/>
        </w:rPr>
        <w:lastRenderedPageBreak/>
        <w:t xml:space="preserve">SWEDISH RADIATION PROTECTION AUTHORITY, </w:t>
      </w:r>
      <w:r w:rsidR="009C6C27" w:rsidRPr="009C6C27">
        <w:rPr>
          <w:lang w:val="sv-SE"/>
        </w:rPr>
        <w:t>Villkor kopplade till SSI:s beslut om drifttillstånd</w:t>
      </w:r>
      <w:r w:rsidR="009C6C27">
        <w:rPr>
          <w:lang w:val="sv-SE"/>
        </w:rPr>
        <w:t>, 1988</w:t>
      </w:r>
      <w:r w:rsidR="009C6C27" w:rsidRPr="009C6C27">
        <w:rPr>
          <w:lang w:val="sv-SE"/>
        </w:rPr>
        <w:t xml:space="preserve">  </w:t>
      </w:r>
    </w:p>
    <w:p w:rsidR="009C6C27" w:rsidRPr="009C6C27" w:rsidRDefault="0079005F" w:rsidP="009C6C27">
      <w:pPr>
        <w:pStyle w:val="Referencelist"/>
        <w:rPr>
          <w:lang w:val="sv-SE"/>
        </w:rPr>
      </w:pPr>
      <w:r w:rsidRPr="009C6C27">
        <w:t>SWEDISH RADIATION PROTECTION AUTHORITY</w:t>
      </w:r>
      <w:r w:rsidR="009C6C27">
        <w:t xml:space="preserve">, </w:t>
      </w:r>
      <w:r w:rsidR="009C6C27" w:rsidRPr="009C6C27">
        <w:t>Uppdaterade driftsvillkor för SFR 1</w:t>
      </w:r>
      <w:r w:rsidR="009C6C27">
        <w:t>, 2003</w:t>
      </w:r>
    </w:p>
    <w:p w:rsidR="0079005F" w:rsidRPr="009C6C27" w:rsidRDefault="0079005F" w:rsidP="009C6C27">
      <w:pPr>
        <w:pStyle w:val="Referencelist"/>
        <w:numPr>
          <w:ilvl w:val="0"/>
          <w:numId w:val="0"/>
        </w:numPr>
        <w:ind w:left="720" w:hanging="360"/>
        <w:rPr>
          <w:lang w:val="sv-SE"/>
        </w:rPr>
      </w:pPr>
    </w:p>
    <w:p w:rsidR="009C6C27" w:rsidRPr="009C6C27" w:rsidRDefault="0079005F" w:rsidP="008C170B">
      <w:pPr>
        <w:pStyle w:val="Referencelist"/>
        <w:rPr>
          <w:lang w:val="sv-SE"/>
        </w:rPr>
      </w:pPr>
      <w:r w:rsidRPr="009C6C27">
        <w:rPr>
          <w:lang w:val="sv-SE"/>
        </w:rPr>
        <w:t xml:space="preserve">SWEDISH RADIATION PROTECTION AUTHORITY, </w:t>
      </w:r>
      <w:r w:rsidR="009C6C27" w:rsidRPr="009C6C27">
        <w:rPr>
          <w:lang w:val="sv-SE"/>
        </w:rPr>
        <w:t>Medgivande till slutförvar av viss avfallstyp i SFR-1, 1994</w:t>
      </w:r>
    </w:p>
    <w:p w:rsidR="009C6C27" w:rsidRPr="009C6C27" w:rsidRDefault="009C6C27" w:rsidP="009C6C27">
      <w:pPr>
        <w:pStyle w:val="Referencelist"/>
        <w:rPr>
          <w:lang w:val="sv-SE"/>
        </w:rPr>
      </w:pPr>
      <w:r w:rsidRPr="009C6C27">
        <w:rPr>
          <w:lang w:val="sv-SE"/>
        </w:rPr>
        <w:t>SWEDISH MINISTRY OF THE ENVIRONMENT, Ansökan om tillstånd enligt lagen (1984:3) om kärnteknisk verksamhet att inneha och driva vissa kärntekniska anläggningar i Studsvik samt att i samband därmed förvärva, inneha, överlåta, hantera, bearbeta, transportera eller på annat sätt ta befattning</w:t>
      </w:r>
      <w:r>
        <w:rPr>
          <w:lang w:val="sv-SE"/>
        </w:rPr>
        <w:t xml:space="preserve"> med kärnämne eller kärnavfall, 1993</w:t>
      </w:r>
    </w:p>
    <w:p w:rsidR="009C6C27" w:rsidRDefault="009C6C27" w:rsidP="009C6C27">
      <w:pPr>
        <w:pStyle w:val="Referencelist"/>
        <w:rPr>
          <w:lang w:val="sv-SE"/>
        </w:rPr>
      </w:pPr>
      <w:r w:rsidRPr="009C6C27">
        <w:rPr>
          <w:lang w:val="en-US"/>
        </w:rPr>
        <w:t xml:space="preserve">SWEDISH MINISTRY OF THE ENVIRONMENT. </w:t>
      </w:r>
      <w:r w:rsidRPr="009C6C27">
        <w:rPr>
          <w:lang w:val="sv-SE"/>
        </w:rPr>
        <w:t>Ansökan om återkallelse och ändring av tillstånd enligt lagen om kärnteknisk verksamhet, 1993</w:t>
      </w:r>
    </w:p>
    <w:p w:rsidR="008C170B" w:rsidRPr="008C170B" w:rsidRDefault="008C170B" w:rsidP="009C6C27">
      <w:pPr>
        <w:pStyle w:val="Referencelist"/>
        <w:rPr>
          <w:lang w:val="sv-SE"/>
        </w:rPr>
      </w:pPr>
      <w:r w:rsidRPr="008C170B">
        <w:rPr>
          <w:lang w:val="sv-SE"/>
        </w:rPr>
        <w:t xml:space="preserve">AB Svafo, Röntgenrapporten – första </w:t>
      </w:r>
      <w:r>
        <w:rPr>
          <w:lang w:val="sv-SE"/>
        </w:rPr>
        <w:t>upplaga</w:t>
      </w:r>
      <w:r w:rsidRPr="008C170B">
        <w:rPr>
          <w:lang w:val="sv-SE"/>
        </w:rPr>
        <w:t>n, 2012</w:t>
      </w:r>
    </w:p>
    <w:p w:rsidR="008C170B" w:rsidRPr="008C170B" w:rsidRDefault="008C170B" w:rsidP="008C170B">
      <w:pPr>
        <w:pStyle w:val="Referencelist"/>
        <w:rPr>
          <w:lang w:val="sv-SE"/>
        </w:rPr>
      </w:pPr>
      <w:r w:rsidRPr="008C170B">
        <w:rPr>
          <w:lang w:val="sv-SE"/>
        </w:rPr>
        <w:lastRenderedPageBreak/>
        <w:t>SWEDISH RADIATION SAFETY AUTHORITY, Föreläggande om åtgärder för feldeponerat avfall I SFR, 2015</w:t>
      </w:r>
    </w:p>
    <w:p w:rsidR="008C170B" w:rsidRDefault="008C170B" w:rsidP="008C170B">
      <w:pPr>
        <w:pStyle w:val="Referencelist"/>
        <w:rPr>
          <w:lang w:val="sv-SE"/>
        </w:rPr>
      </w:pPr>
      <w:r w:rsidRPr="008C170B">
        <w:rPr>
          <w:lang w:val="sv-SE"/>
        </w:rPr>
        <w:t xml:space="preserve"> SWEDISH NUCLEAR FUEL AND WASTE MANAGEMENT COMPANY, Uppskattning av innehållet av radioaktiva ämnen och andra</w:t>
      </w:r>
      <w:r>
        <w:rPr>
          <w:lang w:val="sv-SE"/>
        </w:rPr>
        <w:t xml:space="preserve"> </w:t>
      </w:r>
      <w:r w:rsidRPr="008C170B">
        <w:rPr>
          <w:lang w:val="sv-SE"/>
        </w:rPr>
        <w:t>miljöstörande ämnen i deponerade S.14 fat i 1BLA SFR</w:t>
      </w:r>
      <w:r>
        <w:rPr>
          <w:lang w:val="sv-SE"/>
        </w:rPr>
        <w:t>, 2015</w:t>
      </w:r>
    </w:p>
    <w:p w:rsidR="008C170B" w:rsidRDefault="008C170B" w:rsidP="008C170B">
      <w:pPr>
        <w:pStyle w:val="Referencelist"/>
        <w:rPr>
          <w:lang w:val="en-US"/>
        </w:rPr>
      </w:pPr>
      <w:r w:rsidRPr="00F75DFC">
        <w:rPr>
          <w:lang w:val="sv-SE"/>
        </w:rPr>
        <w:t xml:space="preserve"> </w:t>
      </w:r>
      <w:r w:rsidRPr="008C170B">
        <w:rPr>
          <w:lang w:val="en-US"/>
        </w:rPr>
        <w:t xml:space="preserve">SWEDISH NUCLEAR FUEL AND WASTE MANAGEMENT COMPANY, </w:t>
      </w:r>
      <w:r>
        <w:rPr>
          <w:lang w:val="en-US"/>
        </w:rPr>
        <w:t xml:space="preserve">Strålskyddskonsekvenser för S.14, 2015 </w:t>
      </w:r>
    </w:p>
    <w:p w:rsidR="008C170B" w:rsidRDefault="008C170B" w:rsidP="008C170B">
      <w:pPr>
        <w:pStyle w:val="Referencelist"/>
        <w:rPr>
          <w:lang w:val="sv-SE"/>
        </w:rPr>
      </w:pPr>
      <w:r w:rsidRPr="008C170B">
        <w:rPr>
          <w:lang w:val="sv-SE"/>
        </w:rPr>
        <w:t>SWEDISH NUCLEAR FUEL AND WASTE MANAGEMENT COMPANY, SKB - Svar på föreläggande SSM2013-2073-40 om redovisning avseende planerat återtag av feldeponerat avfall i SFR, 2020</w:t>
      </w:r>
    </w:p>
    <w:p w:rsidR="00D247E8" w:rsidRPr="00D247E8" w:rsidRDefault="00D247E8" w:rsidP="00D247E8">
      <w:pPr>
        <w:pStyle w:val="Referencelist"/>
        <w:rPr>
          <w:lang w:val="en-US"/>
        </w:rPr>
      </w:pPr>
      <w:r w:rsidRPr="00D247E8">
        <w:rPr>
          <w:lang w:val="en-US"/>
        </w:rPr>
        <w:t xml:space="preserve">International Commission on Radiation Protection, Radiation protection recommendations as applied to the disposal of long-lived solid radioactive waste, ICRP Publication 81, 1998 </w:t>
      </w:r>
    </w:p>
    <w:p w:rsidR="0079005F" w:rsidRPr="00C85408" w:rsidRDefault="008C170B" w:rsidP="00C85408">
      <w:pPr>
        <w:pStyle w:val="Referencelist"/>
        <w:rPr>
          <w:lang w:val="sv-SE"/>
        </w:rPr>
      </w:pPr>
      <w:r w:rsidRPr="00D247E8">
        <w:rPr>
          <w:lang w:val="en-US"/>
        </w:rPr>
        <w:lastRenderedPageBreak/>
        <w:t xml:space="preserve"> </w:t>
      </w:r>
      <w:r w:rsidR="00C85408" w:rsidRPr="00C85408">
        <w:rPr>
          <w:lang w:val="sv-SE"/>
        </w:rPr>
        <w:t>SWEDISH RADIATION SAFETY AUTHORITY, Granskningsrapport av SKB:s redovisning av åtgärder rörande feldeponerat avfall i SFR, 2019</w:t>
      </w:r>
      <w:r w:rsidR="0079005F" w:rsidRPr="00C85408">
        <w:rPr>
          <w:lang w:val="sv-SE"/>
        </w:rPr>
        <w:t xml:space="preserve"> </w:t>
      </w:r>
    </w:p>
    <w:p w:rsidR="00C85408" w:rsidRPr="00F75DFC" w:rsidRDefault="008C170B" w:rsidP="00693493">
      <w:pPr>
        <w:pStyle w:val="Referencelist"/>
        <w:rPr>
          <w:lang w:val="sv-SE"/>
        </w:rPr>
      </w:pPr>
      <w:r w:rsidRPr="00F75DFC">
        <w:rPr>
          <w:lang w:val="sv-SE"/>
        </w:rPr>
        <w:t>SWEDISH NUCLEAR FUEL AND WASTE MANAGEMENT COMPANY</w:t>
      </w:r>
      <w:r w:rsidR="00C85408" w:rsidRPr="00F75DFC">
        <w:rPr>
          <w:lang w:val="sv-SE"/>
        </w:rPr>
        <w:t>, SKB - Kompletterande redogörelse och ställningstagande gällande återtag av S.14-avfall, 2020</w:t>
      </w:r>
    </w:p>
    <w:p w:rsidR="00C85408" w:rsidRPr="00C85408" w:rsidRDefault="00C85408" w:rsidP="00693493">
      <w:pPr>
        <w:pStyle w:val="Referencelist"/>
        <w:rPr>
          <w:lang w:val="sv-SE"/>
        </w:rPr>
      </w:pPr>
      <w:r w:rsidRPr="00C85408">
        <w:rPr>
          <w:lang w:val="sv-SE"/>
        </w:rPr>
        <w:t xml:space="preserve"> AB Svafo, Kostnadesansvar för avfall, 2020</w:t>
      </w:r>
    </w:p>
    <w:p w:rsidR="00C85408" w:rsidRPr="00C85408" w:rsidRDefault="00C85408" w:rsidP="00C85408">
      <w:pPr>
        <w:pStyle w:val="Referencelist"/>
        <w:rPr>
          <w:lang w:val="sv-SE"/>
        </w:rPr>
      </w:pPr>
      <w:r w:rsidRPr="00C85408">
        <w:rPr>
          <w:lang w:val="sv-SE"/>
        </w:rPr>
        <w:t>SWEDISH MINISTRY OF THE ENVIRONMENT</w:t>
      </w:r>
      <w:r w:rsidR="00C11376" w:rsidRPr="00C85408">
        <w:rPr>
          <w:lang w:val="sv-SE"/>
        </w:rPr>
        <w:t xml:space="preserve">, </w:t>
      </w:r>
      <w:r w:rsidRPr="00C85408">
        <w:rPr>
          <w:lang w:val="sv-SE"/>
        </w:rPr>
        <w:t>Ändring av regleringsbrev för budgetåret 2021 avseende Strålsäkerhetsmyndigheten, 2021</w:t>
      </w:r>
    </w:p>
    <w:p w:rsidR="00CC0BB9" w:rsidRPr="00F75DFC" w:rsidRDefault="00CC0BB9" w:rsidP="000A2990">
      <w:pPr>
        <w:pStyle w:val="Brdtext"/>
        <w:rPr>
          <w:lang w:val="sv-SE"/>
        </w:rPr>
      </w:pPr>
    </w:p>
    <w:sectPr w:rsidR="00CC0BB9" w:rsidRPr="00F75DFC" w:rsidSect="00265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83" w:rsidRDefault="00BE4483">
      <w:r>
        <w:separator/>
      </w:r>
    </w:p>
  </w:endnote>
  <w:endnote w:type="continuationSeparator" w:id="0">
    <w:p w:rsidR="00BE4483" w:rsidRDefault="00B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B" w:rsidRDefault="008C170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8C170B" w:rsidRDefault="008C170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B" w:rsidRDefault="008C170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8C170B" w:rsidRPr="00037321" w:rsidRDefault="008C170B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6068C4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8C170B">
      <w:trPr>
        <w:cantSplit/>
      </w:trPr>
      <w:tc>
        <w:tcPr>
          <w:tcW w:w="4644" w:type="dxa"/>
        </w:tcPr>
        <w:p w:rsidR="008C170B" w:rsidRDefault="008C170B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8C170B" w:rsidRDefault="008C170B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8C170B" w:rsidRDefault="008C170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8C170B" w:rsidRDefault="008C170B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8C170B" w:rsidRDefault="008C170B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83" w:rsidRDefault="00BE4483">
      <w:r>
        <w:t>___________________________________________________________________________</w:t>
      </w:r>
    </w:p>
  </w:footnote>
  <w:footnote w:type="continuationSeparator" w:id="0">
    <w:p w:rsidR="00BE4483" w:rsidRDefault="00BE4483">
      <w:r>
        <w:t>___________________________________________________________________________</w:t>
      </w:r>
    </w:p>
  </w:footnote>
  <w:footnote w:type="continuationNotice" w:id="1">
    <w:p w:rsidR="00BE4483" w:rsidRDefault="00BE4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B" w:rsidRDefault="008C170B" w:rsidP="00CF7AF3">
    <w:pPr>
      <w:pStyle w:val="Runninghead"/>
    </w:pPr>
    <w:r>
      <w:tab/>
      <w:t>IAEA-CN-294</w:t>
    </w:r>
  </w:p>
  <w:p w:rsidR="008C170B" w:rsidRPr="009E1558" w:rsidRDefault="008C170B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:rsidR="008C170B" w:rsidRDefault="008C170B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:rsidR="008C170B" w:rsidRDefault="008C170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B" w:rsidRDefault="008C170B" w:rsidP="00B82FA5">
    <w:pPr>
      <w:pStyle w:val="Runninghead"/>
    </w:pPr>
    <w:r>
      <w:t>AUTHOR and OTHER-AUTHOR</w:t>
    </w:r>
  </w:p>
  <w:p w:rsidR="008C170B" w:rsidRPr="009E1558" w:rsidRDefault="008C170B" w:rsidP="00037321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</w:t>
    </w:r>
    <w:r w:rsidRPr="009E1558">
      <w:rPr>
        <w:color w:val="BFBFBF" w:themeColor="background1" w:themeShade="BF"/>
        <w:sz w:val="16"/>
        <w:szCs w:val="16"/>
      </w:rPr>
      <w:t>Left hand page running head is author’s name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>
      <w:rPr>
        <w:color w:val="BFBFBF" w:themeColor="background1" w:themeShade="BF"/>
        <w:sz w:val="16"/>
        <w:szCs w:val="16"/>
      </w:rPr>
      <w:t>. F</w:t>
    </w:r>
    <w:r w:rsidRPr="009E1558">
      <w:rPr>
        <w:color w:val="BFBFBF" w:themeColor="background1" w:themeShade="BF"/>
        <w:sz w:val="16"/>
        <w:szCs w:val="16"/>
      </w:rPr>
      <w:t xml:space="preserve">or more </w:t>
    </w:r>
    <w:r>
      <w:rPr>
        <w:color w:val="BFBFBF" w:themeColor="background1" w:themeShade="BF"/>
        <w:sz w:val="16"/>
        <w:szCs w:val="16"/>
      </w:rPr>
      <w:t xml:space="preserve">than two </w:t>
    </w:r>
    <w:r w:rsidRPr="009E1558">
      <w:rPr>
        <w:color w:val="BFBFBF" w:themeColor="background1" w:themeShade="BF"/>
        <w:sz w:val="16"/>
        <w:szCs w:val="16"/>
      </w:rPr>
      <w:t>authors</w:t>
    </w:r>
    <w:r>
      <w:rPr>
        <w:color w:val="BFBFBF" w:themeColor="background1" w:themeShade="BF"/>
        <w:sz w:val="16"/>
        <w:szCs w:val="16"/>
      </w:rPr>
      <w:t>,</w:t>
    </w:r>
    <w:r w:rsidRPr="009E1558">
      <w:rPr>
        <w:color w:val="BFBFBF" w:themeColor="background1" w:themeShade="BF"/>
        <w:sz w:val="16"/>
        <w:szCs w:val="16"/>
      </w:rPr>
      <w:t xml:space="preserve"> write </w:t>
    </w:r>
    <w:r>
      <w:rPr>
        <w:b/>
        <w:color w:val="BFBFBF" w:themeColor="background1" w:themeShade="BF"/>
        <w:sz w:val="16"/>
        <w:szCs w:val="16"/>
      </w:rPr>
      <w:t>AUTHOR</w:t>
    </w:r>
    <w:r w:rsidRPr="009E1558">
      <w:rPr>
        <w:b/>
        <w:color w:val="BFBFBF" w:themeColor="background1" w:themeShade="BF"/>
        <w:sz w:val="16"/>
        <w:szCs w:val="16"/>
      </w:rPr>
      <w:t xml:space="preserve"> et al.</w:t>
    </w:r>
    <w:r w:rsidRPr="00AC5A3A">
      <w:rPr>
        <w:color w:val="BFBFBF" w:themeColor="background1" w:themeShade="BF"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C170B">
      <w:trPr>
        <w:cantSplit/>
        <w:trHeight w:val="716"/>
      </w:trPr>
      <w:tc>
        <w:tcPr>
          <w:tcW w:w="979" w:type="dxa"/>
          <w:vMerge w:val="restart"/>
        </w:tcPr>
        <w:p w:rsidR="008C170B" w:rsidRDefault="008C170B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8C170B" w:rsidRDefault="008C170B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8C170B" w:rsidRDefault="008C170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8C170B" w:rsidRDefault="008C170B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8C170B">
      <w:trPr>
        <w:cantSplit/>
        <w:trHeight w:val="167"/>
      </w:trPr>
      <w:tc>
        <w:tcPr>
          <w:tcW w:w="979" w:type="dxa"/>
          <w:vMerge/>
        </w:tcPr>
        <w:p w:rsidR="008C170B" w:rsidRDefault="008C170B">
          <w:pPr>
            <w:spacing w:before="57"/>
          </w:pPr>
        </w:p>
      </w:tc>
      <w:tc>
        <w:tcPr>
          <w:tcW w:w="3638" w:type="dxa"/>
          <w:vAlign w:val="bottom"/>
        </w:tcPr>
        <w:p w:rsidR="008C170B" w:rsidRDefault="008C170B">
          <w:pPr>
            <w:pStyle w:val="Rubrik9"/>
            <w:spacing w:before="0" w:after="10"/>
          </w:pPr>
        </w:p>
      </w:tc>
      <w:tc>
        <w:tcPr>
          <w:tcW w:w="5702" w:type="dxa"/>
          <w:vMerge/>
          <w:vAlign w:val="bottom"/>
        </w:tcPr>
        <w:p w:rsidR="008C170B" w:rsidRDefault="008C170B">
          <w:pPr>
            <w:pStyle w:val="Rubrik9"/>
            <w:spacing w:before="0" w:after="10"/>
          </w:pPr>
        </w:p>
      </w:tc>
    </w:tr>
  </w:tbl>
  <w:p w:rsidR="008C170B" w:rsidRDefault="008C1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21AA"/>
    <w:multiLevelType w:val="hybridMultilevel"/>
    <w:tmpl w:val="7D7EB0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Rubrik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Rubrik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ubrik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Rubrik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Rubrik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Rubrik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Rubrik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Rubrik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Rubrik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1"/>
  </w:num>
  <w:num w:numId="22">
    <w:abstractNumId w:val="3"/>
  </w:num>
  <w:num w:numId="23">
    <w:abstractNumId w:val="0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1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319E"/>
    <w:rsid w:val="0002569A"/>
    <w:rsid w:val="00037321"/>
    <w:rsid w:val="000A0299"/>
    <w:rsid w:val="000A2990"/>
    <w:rsid w:val="000C3F45"/>
    <w:rsid w:val="000E73BC"/>
    <w:rsid w:val="000F2413"/>
    <w:rsid w:val="000F313B"/>
    <w:rsid w:val="000F7E94"/>
    <w:rsid w:val="001119D6"/>
    <w:rsid w:val="001232A8"/>
    <w:rsid w:val="001308F2"/>
    <w:rsid w:val="001313E8"/>
    <w:rsid w:val="001713B0"/>
    <w:rsid w:val="00183BC4"/>
    <w:rsid w:val="00185A51"/>
    <w:rsid w:val="001C58F5"/>
    <w:rsid w:val="001D3227"/>
    <w:rsid w:val="001D5CEE"/>
    <w:rsid w:val="001E7582"/>
    <w:rsid w:val="001F5F6B"/>
    <w:rsid w:val="002071D9"/>
    <w:rsid w:val="00230365"/>
    <w:rsid w:val="00256822"/>
    <w:rsid w:val="0026525A"/>
    <w:rsid w:val="00274790"/>
    <w:rsid w:val="00276D7D"/>
    <w:rsid w:val="00285755"/>
    <w:rsid w:val="002949A4"/>
    <w:rsid w:val="002A1F9C"/>
    <w:rsid w:val="002B29C2"/>
    <w:rsid w:val="002C4208"/>
    <w:rsid w:val="00352DE1"/>
    <w:rsid w:val="00362329"/>
    <w:rsid w:val="003728E6"/>
    <w:rsid w:val="003A54CB"/>
    <w:rsid w:val="003B5E0E"/>
    <w:rsid w:val="003D255A"/>
    <w:rsid w:val="00416949"/>
    <w:rsid w:val="004370D8"/>
    <w:rsid w:val="00472C43"/>
    <w:rsid w:val="004A1CAA"/>
    <w:rsid w:val="004E43BF"/>
    <w:rsid w:val="004F7DD8"/>
    <w:rsid w:val="00537496"/>
    <w:rsid w:val="00544ED3"/>
    <w:rsid w:val="00552709"/>
    <w:rsid w:val="0058477B"/>
    <w:rsid w:val="0058654F"/>
    <w:rsid w:val="00596ACA"/>
    <w:rsid w:val="005E39BC"/>
    <w:rsid w:val="005F00A0"/>
    <w:rsid w:val="006068C4"/>
    <w:rsid w:val="00622A31"/>
    <w:rsid w:val="00647F33"/>
    <w:rsid w:val="006512EB"/>
    <w:rsid w:val="006528FF"/>
    <w:rsid w:val="00655E4E"/>
    <w:rsid w:val="00662532"/>
    <w:rsid w:val="00676C34"/>
    <w:rsid w:val="00684220"/>
    <w:rsid w:val="00697C6D"/>
    <w:rsid w:val="006A5DA2"/>
    <w:rsid w:val="006A79F1"/>
    <w:rsid w:val="006A7E0A"/>
    <w:rsid w:val="006B2274"/>
    <w:rsid w:val="006C6E57"/>
    <w:rsid w:val="00717C6F"/>
    <w:rsid w:val="007445DA"/>
    <w:rsid w:val="00745B31"/>
    <w:rsid w:val="00763973"/>
    <w:rsid w:val="0079005F"/>
    <w:rsid w:val="00795369"/>
    <w:rsid w:val="0079711B"/>
    <w:rsid w:val="007B4FD1"/>
    <w:rsid w:val="007C004E"/>
    <w:rsid w:val="00802381"/>
    <w:rsid w:val="00823823"/>
    <w:rsid w:val="0082417D"/>
    <w:rsid w:val="00865EAE"/>
    <w:rsid w:val="00883848"/>
    <w:rsid w:val="00897ED5"/>
    <w:rsid w:val="008B1B7B"/>
    <w:rsid w:val="008B6BB9"/>
    <w:rsid w:val="008C170B"/>
    <w:rsid w:val="008C1DDE"/>
    <w:rsid w:val="008D507F"/>
    <w:rsid w:val="00911543"/>
    <w:rsid w:val="00922D95"/>
    <w:rsid w:val="00946F44"/>
    <w:rsid w:val="009519C9"/>
    <w:rsid w:val="00987E91"/>
    <w:rsid w:val="009A6817"/>
    <w:rsid w:val="009C6C27"/>
    <w:rsid w:val="009D0B86"/>
    <w:rsid w:val="009E0D5B"/>
    <w:rsid w:val="009E1558"/>
    <w:rsid w:val="00A42898"/>
    <w:rsid w:val="00A51807"/>
    <w:rsid w:val="00A87061"/>
    <w:rsid w:val="00A95C88"/>
    <w:rsid w:val="00AA6F0D"/>
    <w:rsid w:val="00AB6ACE"/>
    <w:rsid w:val="00AC5A3A"/>
    <w:rsid w:val="00AD6F24"/>
    <w:rsid w:val="00AF46E9"/>
    <w:rsid w:val="00B10971"/>
    <w:rsid w:val="00B21FB3"/>
    <w:rsid w:val="00B55B87"/>
    <w:rsid w:val="00B82FA5"/>
    <w:rsid w:val="00BB5443"/>
    <w:rsid w:val="00BD1400"/>
    <w:rsid w:val="00BD605C"/>
    <w:rsid w:val="00BE2A76"/>
    <w:rsid w:val="00BE4483"/>
    <w:rsid w:val="00BF6C93"/>
    <w:rsid w:val="00C03FE5"/>
    <w:rsid w:val="00C06250"/>
    <w:rsid w:val="00C11376"/>
    <w:rsid w:val="00C649BB"/>
    <w:rsid w:val="00C65E60"/>
    <w:rsid w:val="00C66B4D"/>
    <w:rsid w:val="00C70919"/>
    <w:rsid w:val="00C85408"/>
    <w:rsid w:val="00CC0BB9"/>
    <w:rsid w:val="00CC2ADB"/>
    <w:rsid w:val="00CD1E1A"/>
    <w:rsid w:val="00CE2C9A"/>
    <w:rsid w:val="00CE5A52"/>
    <w:rsid w:val="00CF7AF3"/>
    <w:rsid w:val="00D12F5A"/>
    <w:rsid w:val="00D247E8"/>
    <w:rsid w:val="00D26ADA"/>
    <w:rsid w:val="00D35A78"/>
    <w:rsid w:val="00D555A1"/>
    <w:rsid w:val="00D64DC2"/>
    <w:rsid w:val="00D8490C"/>
    <w:rsid w:val="00DA46CA"/>
    <w:rsid w:val="00DF0432"/>
    <w:rsid w:val="00DF20FD"/>
    <w:rsid w:val="00DF21EB"/>
    <w:rsid w:val="00E20E70"/>
    <w:rsid w:val="00E25B68"/>
    <w:rsid w:val="00E51A95"/>
    <w:rsid w:val="00E7284B"/>
    <w:rsid w:val="00E84003"/>
    <w:rsid w:val="00EB5717"/>
    <w:rsid w:val="00EC10FC"/>
    <w:rsid w:val="00EC69F5"/>
    <w:rsid w:val="00ED0A99"/>
    <w:rsid w:val="00EE0041"/>
    <w:rsid w:val="00EE29B9"/>
    <w:rsid w:val="00EF5A0D"/>
    <w:rsid w:val="00F004EE"/>
    <w:rsid w:val="00F42E23"/>
    <w:rsid w:val="00F45EEE"/>
    <w:rsid w:val="00F51E9C"/>
    <w:rsid w:val="00F523CA"/>
    <w:rsid w:val="00F65E80"/>
    <w:rsid w:val="00F74A9D"/>
    <w:rsid w:val="00F75DFC"/>
    <w:rsid w:val="00FA1083"/>
    <w:rsid w:val="00FC1357"/>
    <w:rsid w:val="00FD7822"/>
    <w:rsid w:val="00FF058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C6CE96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4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Rubrik1">
    <w:name w:val="heading 1"/>
    <w:aliases w:val="Paper title"/>
    <w:next w:val="Underrubrik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Rubrik2">
    <w:name w:val="heading 2"/>
    <w:aliases w:val="1st level paper heading"/>
    <w:next w:val="Brdtext"/>
    <w:link w:val="Rubrik2Char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Rubrik3">
    <w:name w:val="heading 3"/>
    <w:aliases w:val="2nd level paper heading"/>
    <w:next w:val="Brd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Rubrik4">
    <w:name w:val="heading 4"/>
    <w:aliases w:val="3rd level paper heading"/>
    <w:basedOn w:val="Normal"/>
    <w:next w:val="Brd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Rubrik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Rubrik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Rubrik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Rubrik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Rubrik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rdtextmedindrag">
    <w:name w:val="Body Text Indent"/>
    <w:basedOn w:val="Brd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rd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krivning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Sidfot">
    <w:name w:val="footer"/>
    <w:basedOn w:val="Normal"/>
    <w:link w:val="Sidfot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tnots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Sidhuvud">
    <w:name w:val="header"/>
    <w:next w:val="Brd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rd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rdtext"/>
    <w:uiPriority w:val="5"/>
    <w:qFormat/>
    <w:locked/>
    <w:rsid w:val="00717C6F"/>
    <w:pPr>
      <w:numPr>
        <w:numId w:val="22"/>
      </w:numPr>
    </w:pPr>
  </w:style>
  <w:style w:type="paragraph" w:styleId="Rubrik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tnotsreferens">
    <w:name w:val="footnote reference"/>
    <w:basedOn w:val="Standardstycketeckensnitt"/>
    <w:semiHidden/>
    <w:locked/>
    <w:rPr>
      <w:vertAlign w:val="superscript"/>
    </w:rPr>
  </w:style>
  <w:style w:type="paragraph" w:styleId="Underrubrik">
    <w:name w:val="Subtitle"/>
    <w:next w:val="Brd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rd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Sidfot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Standardstycketeckensnit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rdtextChar">
    <w:name w:val="Brödtext Char"/>
    <w:basedOn w:val="Standardstycketeckensnitt"/>
    <w:link w:val="Brd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rdtextChar"/>
    <w:link w:val="Authornameandaffiliation"/>
    <w:uiPriority w:val="49"/>
    <w:rsid w:val="00647F33"/>
    <w:rPr>
      <w:lang w:val="en-US" w:eastAsia="en-US"/>
    </w:rPr>
  </w:style>
  <w:style w:type="table" w:styleId="Tabellrutnt">
    <w:name w:val="Table Grid"/>
    <w:basedOn w:val="Normaltabel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ngtext">
    <w:name w:val="Balloon Text"/>
    <w:basedOn w:val="Normal"/>
    <w:link w:val="Ballong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rd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rd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rd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rd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rd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rd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rd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rdtextChar"/>
    <w:link w:val="Tabletext"/>
    <w:uiPriority w:val="49"/>
    <w:rsid w:val="00883848"/>
    <w:rPr>
      <w:lang w:eastAsia="en-US"/>
    </w:rPr>
  </w:style>
  <w:style w:type="character" w:customStyle="1" w:styleId="Rubrik2Char">
    <w:name w:val="Rubrik 2 Char"/>
    <w:aliases w:val="1st level paper heading Char"/>
    <w:basedOn w:val="Standardstycketeckensnitt"/>
    <w:link w:val="Rubrik2"/>
    <w:uiPriority w:val="4"/>
    <w:rsid w:val="000F2413"/>
    <w:rPr>
      <w:caps/>
      <w:lang w:eastAsia="en-US"/>
    </w:rPr>
  </w:style>
  <w:style w:type="paragraph" w:styleId="Liststycke">
    <w:name w:val="List Paragraph"/>
    <w:basedOn w:val="Normal"/>
    <w:uiPriority w:val="49"/>
    <w:locked/>
    <w:rsid w:val="009C6C2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49"/>
    <w:semiHidden/>
    <w:unhideWhenUsed/>
    <w:locked/>
    <w:rsid w:val="00946F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9"/>
    <w:semiHidden/>
    <w:unhideWhenUsed/>
    <w:locked/>
    <w:rsid w:val="00946F4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49"/>
    <w:semiHidden/>
    <w:rsid w:val="00946F44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49"/>
    <w:semiHidden/>
    <w:unhideWhenUsed/>
    <w:locked/>
    <w:rsid w:val="00946F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9"/>
    <w:semiHidden/>
    <w:rsid w:val="00946F44"/>
    <w:rPr>
      <w:b/>
      <w:bCs/>
      <w:lang w:eastAsia="en-US"/>
    </w:rPr>
  </w:style>
  <w:style w:type="paragraph" w:styleId="Revision">
    <w:name w:val="Revision"/>
    <w:hidden/>
    <w:uiPriority w:val="99"/>
    <w:semiHidden/>
    <w:rsid w:val="00D12F5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0cca68-9885-4579-a121-0ff71e341cd0">4HWPYYT6XAN2-2121337104-10298</_dlc_DocId>
    <_dlc_DocIdUrl xmlns="9a0cca68-9885-4579-a121-0ff71e341cd0">
      <Url>https://nsns-new.sg.iaea.org/meetings/_layouts/15/DocIdRedir.aspx?ID=4HWPYYT6XAN2-2121337104-10298</Url>
      <Description>4HWPYYT6XAN2-2121337104-10298</Description>
    </_dlc_DocIdUrl>
    <_Version xmlns="http://schemas.microsoft.com/sharepoint/v3/fields" xsi:nil="true"/>
    <_dlc_DocIdPersistId xmlns="9a0cca68-9885-4579-a121-0ff71e341cd0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a0cca68-9885-4579-a121-0ff71e341c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80A72-AF42-44B0-977C-4B86DAC4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81A5A-286A-4FAC-93CF-722742C62A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34A7D-863D-4E1F-8336-24E957B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</TotalTime>
  <Pages>4</Pages>
  <Words>2482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Wiebert, Anders</cp:lastModifiedBy>
  <cp:revision>2</cp:revision>
  <cp:lastPrinted>2015-12-01T10:27:00Z</cp:lastPrinted>
  <dcterms:created xsi:type="dcterms:W3CDTF">2021-08-26T06:19:00Z</dcterms:created>
  <dcterms:modified xsi:type="dcterms:W3CDTF">2021-08-26T06:19:00Z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624d8e63-e3f6-4681-83c2-57c583c02431</vt:lpwstr>
  </property>
</Properties>
</file>