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80" w:rsidRPr="006B304E" w:rsidRDefault="00F12414" w:rsidP="003C64AC">
      <w:pPr>
        <w:spacing w:line="276" w:lineRule="auto"/>
        <w:jc w:val="both"/>
        <w:rPr>
          <w:b/>
        </w:rPr>
      </w:pPr>
      <w:r w:rsidRPr="006B304E">
        <w:rPr>
          <w:b/>
        </w:rPr>
        <w:t>SAFETY AND SECURITY OF RADIOACTIVE SOURCES: THE ROLE OF THE RADIOACTIVE WASTE MANAGEMENT CENTRE OF GHANA</w:t>
      </w:r>
    </w:p>
    <w:p w:rsidR="00766780" w:rsidRPr="00F12414" w:rsidRDefault="00F12414" w:rsidP="003C64AC">
      <w:pPr>
        <w:spacing w:line="276" w:lineRule="auto"/>
        <w:jc w:val="center"/>
        <w:rPr>
          <w:sz w:val="20"/>
        </w:rPr>
      </w:pPr>
      <w:r w:rsidRPr="00F12414">
        <w:rPr>
          <w:sz w:val="20"/>
        </w:rPr>
        <w:t>A. M. A. DAWOOD</w:t>
      </w:r>
    </w:p>
    <w:p w:rsidR="008C75C9" w:rsidRPr="00F12414" w:rsidRDefault="008C75C9" w:rsidP="003C64AC">
      <w:pPr>
        <w:spacing w:line="276" w:lineRule="auto"/>
        <w:jc w:val="center"/>
        <w:rPr>
          <w:sz w:val="20"/>
        </w:rPr>
      </w:pPr>
      <w:r w:rsidRPr="00F12414">
        <w:rPr>
          <w:sz w:val="20"/>
        </w:rPr>
        <w:t>Radiation Protection Institute, Ghana Atomic Energy Commi</w:t>
      </w:r>
      <w:r w:rsidR="00CD2C7A">
        <w:rPr>
          <w:sz w:val="20"/>
        </w:rPr>
        <w:t>ssion, Kwabenya, Accra, Ghana</w:t>
      </w:r>
      <w:r w:rsidR="001D3FF0">
        <w:rPr>
          <w:sz w:val="20"/>
        </w:rPr>
        <w:t xml:space="preserve"> d</w:t>
      </w:r>
      <w:r w:rsidRPr="00F12414">
        <w:rPr>
          <w:sz w:val="20"/>
        </w:rPr>
        <w:t>awuud2000@gmail.com</w:t>
      </w:r>
    </w:p>
    <w:p w:rsidR="00766780" w:rsidRPr="00F12414" w:rsidRDefault="00766780" w:rsidP="003C64AC">
      <w:pPr>
        <w:spacing w:line="276" w:lineRule="auto"/>
        <w:jc w:val="both"/>
        <w:rPr>
          <w:b/>
          <w:sz w:val="20"/>
        </w:rPr>
      </w:pPr>
      <w:r w:rsidRPr="00F12414">
        <w:rPr>
          <w:b/>
          <w:sz w:val="20"/>
        </w:rPr>
        <w:t xml:space="preserve">Abstract </w:t>
      </w:r>
    </w:p>
    <w:p w:rsidR="00766780" w:rsidRPr="00F12414" w:rsidRDefault="00766780" w:rsidP="003C64AC">
      <w:pPr>
        <w:spacing w:line="276" w:lineRule="auto"/>
        <w:jc w:val="both"/>
        <w:rPr>
          <w:rFonts w:cs="Times New Roman"/>
          <w:sz w:val="18"/>
          <w:szCs w:val="24"/>
        </w:rPr>
      </w:pPr>
      <w:r w:rsidRPr="00F12414">
        <w:rPr>
          <w:sz w:val="18"/>
        </w:rPr>
        <w:t xml:space="preserve">Hazards associated with ionizing radiation are deleterious to all living organisms and the environment in general. Sealed radioactive sources are the major sources of anthropogenic ionizing radiation in Ghana. They are applied in hospitals </w:t>
      </w:r>
      <w:r w:rsidRPr="00F12414">
        <w:rPr>
          <w:rFonts w:cs="Times New Roman"/>
          <w:sz w:val="18"/>
          <w:szCs w:val="24"/>
        </w:rPr>
        <w:t xml:space="preserve">for x-ray imaging, cancer diagnosis and treatment; in industry and civil constructions for moisture and level gauge determination; and in agriculture for pest control and </w:t>
      </w:r>
      <w:r w:rsidR="00375F82" w:rsidRPr="00F12414">
        <w:rPr>
          <w:rFonts w:cs="Times New Roman"/>
          <w:sz w:val="18"/>
          <w:szCs w:val="24"/>
        </w:rPr>
        <w:t>extension of shelf life of food-crops</w:t>
      </w:r>
      <w:r w:rsidRPr="00F12414">
        <w:rPr>
          <w:rFonts w:cs="Times New Roman"/>
          <w:sz w:val="18"/>
          <w:szCs w:val="24"/>
        </w:rPr>
        <w:t xml:space="preserve">. Other sectors where radiation sources are used in the country include the gold mines and oil and gas exploration fields. When radioactive sources become deficient and do no longer serve the purpose for their intended manufacture, they become disused and are termed radioactive waste. Despite being disused, their activity are often high enough to cause radiation injury when mishandled or overly exposed to. </w:t>
      </w:r>
      <w:r w:rsidRPr="00F12414">
        <w:rPr>
          <w:rFonts w:cs="Times New Roman"/>
          <w:sz w:val="18"/>
        </w:rPr>
        <w:t>Aside the safety concerns, radioactive sources are subject of national security. Their theft and unauthorized use have serious security implications. In view of these, t</w:t>
      </w:r>
      <w:r w:rsidRPr="00F12414">
        <w:rPr>
          <w:rFonts w:cs="Times New Roman"/>
          <w:sz w:val="18"/>
          <w:szCs w:val="24"/>
        </w:rPr>
        <w:t xml:space="preserve">he Radioactive Waste Management Centre (RWMC) of the of the Radiation Protection Institute (RPI) of Ghana was established with a core function of retrieving all radioactive waste generated in the country for further management. The RWMC operates a licensed Centralized Radioactive Waste Management Facility (CRWMF) where pre-disposal activities such as waste characterization, waste conditioning, re-containerization (in case of leakage) and storage are carried out. The Centre also undertakes radiation safety assessment and radiation protection training for users and transporters of radioactive sources. </w:t>
      </w:r>
      <w:r w:rsidR="00375F82" w:rsidRPr="00F12414">
        <w:rPr>
          <w:rFonts w:cs="Times New Roman"/>
          <w:sz w:val="18"/>
          <w:szCs w:val="24"/>
        </w:rPr>
        <w:t>The ultimate goal is to build a robust management system for radioactive sources in Ghana.</w:t>
      </w:r>
    </w:p>
    <w:p w:rsidR="00375F82" w:rsidRPr="001D3FF0" w:rsidRDefault="00766780" w:rsidP="001D3FF0">
      <w:pPr>
        <w:spacing w:before="240" w:line="276" w:lineRule="auto"/>
        <w:jc w:val="both"/>
        <w:rPr>
          <w:rFonts w:cs="Times New Roman"/>
          <w:sz w:val="20"/>
          <w:szCs w:val="24"/>
        </w:rPr>
      </w:pPr>
      <w:r w:rsidRPr="001D3FF0">
        <w:rPr>
          <w:rFonts w:cs="Times New Roman"/>
          <w:b/>
          <w:sz w:val="20"/>
          <w:szCs w:val="24"/>
        </w:rPr>
        <w:t>Keywords</w:t>
      </w:r>
      <w:r w:rsidRPr="001D3FF0">
        <w:rPr>
          <w:rFonts w:cs="Times New Roman"/>
          <w:sz w:val="20"/>
          <w:szCs w:val="24"/>
        </w:rPr>
        <w:t xml:space="preserve">: </w:t>
      </w:r>
      <w:r w:rsidR="001D3FF0">
        <w:rPr>
          <w:rFonts w:cs="Times New Roman"/>
          <w:sz w:val="20"/>
          <w:szCs w:val="24"/>
        </w:rPr>
        <w:t>I</w:t>
      </w:r>
      <w:r w:rsidRPr="001D3FF0">
        <w:rPr>
          <w:rFonts w:cs="Times New Roman"/>
          <w:sz w:val="20"/>
          <w:szCs w:val="24"/>
        </w:rPr>
        <w:t>onizing radi</w:t>
      </w:r>
      <w:r w:rsidR="00A26294" w:rsidRPr="001D3FF0">
        <w:rPr>
          <w:rFonts w:cs="Times New Roman"/>
          <w:sz w:val="20"/>
          <w:szCs w:val="24"/>
        </w:rPr>
        <w:t xml:space="preserve">ation; radioactive source; radioactive waste; </w:t>
      </w:r>
      <w:r w:rsidRPr="001D3FF0">
        <w:rPr>
          <w:rFonts w:cs="Times New Roman"/>
          <w:sz w:val="20"/>
          <w:szCs w:val="24"/>
        </w:rPr>
        <w:t xml:space="preserve">characterization; conditioning </w:t>
      </w:r>
    </w:p>
    <w:p w:rsidR="00766780" w:rsidRPr="00F12414" w:rsidRDefault="00F12414" w:rsidP="001D3FF0">
      <w:pPr>
        <w:pStyle w:val="ListParagraph"/>
        <w:numPr>
          <w:ilvl w:val="0"/>
          <w:numId w:val="1"/>
        </w:numPr>
        <w:spacing w:before="240" w:line="276" w:lineRule="auto"/>
        <w:rPr>
          <w:sz w:val="20"/>
        </w:rPr>
      </w:pPr>
      <w:r w:rsidRPr="00F12414">
        <w:rPr>
          <w:sz w:val="20"/>
        </w:rPr>
        <w:t xml:space="preserve">INTRODUCTION </w:t>
      </w:r>
    </w:p>
    <w:p w:rsidR="00766780" w:rsidRPr="00F12414" w:rsidRDefault="00766780" w:rsidP="001D3FF0">
      <w:pPr>
        <w:spacing w:line="276" w:lineRule="auto"/>
        <w:ind w:firstLine="360"/>
        <w:jc w:val="both"/>
        <w:rPr>
          <w:sz w:val="20"/>
        </w:rPr>
      </w:pPr>
      <w:r w:rsidRPr="00F12414">
        <w:rPr>
          <w:sz w:val="20"/>
        </w:rPr>
        <w:t xml:space="preserve">The Radioactive Waste Management Centre </w:t>
      </w:r>
      <w:r w:rsidR="003E2672">
        <w:rPr>
          <w:sz w:val="20"/>
        </w:rPr>
        <w:t xml:space="preserve">(RWMC) </w:t>
      </w:r>
      <w:r w:rsidRPr="00F12414">
        <w:rPr>
          <w:sz w:val="20"/>
        </w:rPr>
        <w:t xml:space="preserve">of the Ghana Atomic Energy Commission </w:t>
      </w:r>
      <w:r w:rsidR="003E2672">
        <w:rPr>
          <w:sz w:val="20"/>
        </w:rPr>
        <w:t xml:space="preserve">(GAEC) </w:t>
      </w:r>
      <w:r w:rsidRPr="00F12414">
        <w:rPr>
          <w:sz w:val="20"/>
        </w:rPr>
        <w:t xml:space="preserve">is mandated by Act of Parliament of the Republic to retrieve and manage all radioactive waste </w:t>
      </w:r>
      <w:r w:rsidR="003D18BC" w:rsidRPr="00F12414">
        <w:rPr>
          <w:sz w:val="20"/>
        </w:rPr>
        <w:t xml:space="preserve">or disused sources </w:t>
      </w:r>
      <w:r w:rsidRPr="00F12414">
        <w:rPr>
          <w:sz w:val="20"/>
        </w:rPr>
        <w:t xml:space="preserve">generated in the country. Thus far, it is the only institution with an </w:t>
      </w:r>
      <w:r w:rsidR="00375F82" w:rsidRPr="00F12414">
        <w:rPr>
          <w:sz w:val="20"/>
        </w:rPr>
        <w:t>authorized</w:t>
      </w:r>
      <w:r w:rsidRPr="00F12414">
        <w:rPr>
          <w:sz w:val="20"/>
        </w:rPr>
        <w:t xml:space="preserve"> facility; </w:t>
      </w:r>
      <w:r w:rsidR="00375F82" w:rsidRPr="00F12414">
        <w:rPr>
          <w:sz w:val="20"/>
        </w:rPr>
        <w:t>with</w:t>
      </w:r>
      <w:r w:rsidRPr="00F12414">
        <w:rPr>
          <w:sz w:val="20"/>
        </w:rPr>
        <w:t xml:space="preserve"> logistics and expertise to manage radioactiv</w:t>
      </w:r>
      <w:r w:rsidR="00375F82" w:rsidRPr="00F12414">
        <w:rPr>
          <w:sz w:val="20"/>
        </w:rPr>
        <w:t>e waste until their final disposal</w:t>
      </w:r>
      <w:r w:rsidRPr="00F12414">
        <w:rPr>
          <w:sz w:val="20"/>
        </w:rPr>
        <w:t>.</w:t>
      </w:r>
    </w:p>
    <w:p w:rsidR="003D18BC" w:rsidRPr="00F12414" w:rsidRDefault="003E2672" w:rsidP="001D3FF0">
      <w:pPr>
        <w:spacing w:line="276" w:lineRule="auto"/>
        <w:ind w:firstLine="360"/>
        <w:jc w:val="both"/>
        <w:rPr>
          <w:sz w:val="20"/>
          <w:lang w:val="en-GB"/>
        </w:rPr>
      </w:pPr>
      <w:r>
        <w:rPr>
          <w:sz w:val="20"/>
        </w:rPr>
        <w:t xml:space="preserve">There are two </w:t>
      </w:r>
      <w:r w:rsidRPr="00F12414">
        <w:rPr>
          <w:sz w:val="20"/>
        </w:rPr>
        <w:t>major</w:t>
      </w:r>
      <w:r>
        <w:rPr>
          <w:sz w:val="20"/>
        </w:rPr>
        <w:t xml:space="preserve"> </w:t>
      </w:r>
      <w:r w:rsidRPr="00F12414">
        <w:rPr>
          <w:sz w:val="20"/>
        </w:rPr>
        <w:t>divisions</w:t>
      </w:r>
      <w:r w:rsidRPr="00F12414">
        <w:rPr>
          <w:sz w:val="20"/>
        </w:rPr>
        <w:t xml:space="preserve"> </w:t>
      </w:r>
      <w:r>
        <w:rPr>
          <w:sz w:val="20"/>
        </w:rPr>
        <w:t xml:space="preserve">in </w:t>
      </w:r>
      <w:r w:rsidR="00375F82" w:rsidRPr="00F12414">
        <w:rPr>
          <w:sz w:val="20"/>
        </w:rPr>
        <w:t xml:space="preserve">radioactive </w:t>
      </w:r>
      <w:r>
        <w:rPr>
          <w:sz w:val="20"/>
        </w:rPr>
        <w:t xml:space="preserve">waste management; </w:t>
      </w:r>
      <w:r w:rsidR="00766780" w:rsidRPr="00F12414">
        <w:rPr>
          <w:sz w:val="20"/>
        </w:rPr>
        <w:t>pre-disposal and disposal. Pre-disposal involves a</w:t>
      </w:r>
      <w:r w:rsidR="00375F82" w:rsidRPr="00F12414">
        <w:rPr>
          <w:sz w:val="20"/>
        </w:rPr>
        <w:t xml:space="preserve">ll the processes such as: </w:t>
      </w:r>
      <w:r w:rsidR="00766780" w:rsidRPr="00F12414">
        <w:rPr>
          <w:sz w:val="20"/>
        </w:rPr>
        <w:t>charac</w:t>
      </w:r>
      <w:r w:rsidR="00375F82" w:rsidRPr="00F12414">
        <w:rPr>
          <w:sz w:val="20"/>
        </w:rPr>
        <w:t xml:space="preserve">terization, processing, storage, </w:t>
      </w:r>
      <w:r w:rsidR="00766780" w:rsidRPr="00F12414">
        <w:rPr>
          <w:sz w:val="20"/>
        </w:rPr>
        <w:t xml:space="preserve">conditioning etc. </w:t>
      </w:r>
      <w:r w:rsidR="00375F82" w:rsidRPr="00F12414">
        <w:rPr>
          <w:sz w:val="20"/>
        </w:rPr>
        <w:t>D</w:t>
      </w:r>
      <w:r w:rsidR="00766780" w:rsidRPr="00F12414">
        <w:rPr>
          <w:sz w:val="20"/>
        </w:rPr>
        <w:t>isposal</w:t>
      </w:r>
      <w:r w:rsidR="00375F82" w:rsidRPr="00F12414">
        <w:rPr>
          <w:sz w:val="20"/>
        </w:rPr>
        <w:t xml:space="preserve"> is</w:t>
      </w:r>
      <w:r w:rsidR="00766780" w:rsidRPr="00F12414">
        <w:rPr>
          <w:sz w:val="20"/>
        </w:rPr>
        <w:t xml:space="preserve"> the finality o</w:t>
      </w:r>
      <w:r w:rsidR="00375F82" w:rsidRPr="00F12414">
        <w:rPr>
          <w:sz w:val="20"/>
        </w:rPr>
        <w:t>f the management process in which</w:t>
      </w:r>
      <w:r w:rsidR="00766780" w:rsidRPr="00F12414">
        <w:rPr>
          <w:sz w:val="20"/>
        </w:rPr>
        <w:t xml:space="preserve"> the conditioned waste are buried through a number of disposal methods</w:t>
      </w:r>
      <w:r w:rsidR="003D18BC" w:rsidRPr="00F12414">
        <w:rPr>
          <w:sz w:val="20"/>
        </w:rPr>
        <w:t xml:space="preserve"> including</w:t>
      </w:r>
      <w:r w:rsidR="00766780" w:rsidRPr="00F12414">
        <w:rPr>
          <w:sz w:val="20"/>
        </w:rPr>
        <w:t xml:space="preserve"> deep geological repository, near surface </w:t>
      </w:r>
      <w:r w:rsidR="003D18BC" w:rsidRPr="00F12414">
        <w:rPr>
          <w:sz w:val="20"/>
        </w:rPr>
        <w:t xml:space="preserve">burrier, underground </w:t>
      </w:r>
      <w:r w:rsidR="00766780" w:rsidRPr="00F12414">
        <w:rPr>
          <w:sz w:val="20"/>
        </w:rPr>
        <w:t xml:space="preserve">cells and in a borehole disposal system </w:t>
      </w:r>
      <w:r w:rsidR="00766780" w:rsidRPr="00F12414">
        <w:rPr>
          <w:sz w:val="20"/>
          <w:lang w:val="en-GB"/>
        </w:rPr>
        <w:t>with no intention of r</w:t>
      </w:r>
      <w:r w:rsidR="00CD2C7A">
        <w:rPr>
          <w:sz w:val="20"/>
          <w:lang w:val="en-GB"/>
        </w:rPr>
        <w:t>etrieving the waste [1, 2]</w:t>
      </w:r>
      <w:r w:rsidR="00766780" w:rsidRPr="00F12414">
        <w:rPr>
          <w:sz w:val="20"/>
        </w:rPr>
        <w:t>.</w:t>
      </w:r>
      <w:r w:rsidR="00766780" w:rsidRPr="00F12414">
        <w:rPr>
          <w:sz w:val="20"/>
          <w:lang w:val="en-GB"/>
        </w:rPr>
        <w:t xml:space="preserve"> </w:t>
      </w:r>
    </w:p>
    <w:p w:rsidR="00766780" w:rsidRPr="00F12414" w:rsidRDefault="00766780" w:rsidP="001D3FF0">
      <w:pPr>
        <w:spacing w:line="276" w:lineRule="auto"/>
        <w:ind w:firstLine="360"/>
        <w:jc w:val="both"/>
        <w:rPr>
          <w:sz w:val="20"/>
        </w:rPr>
      </w:pPr>
      <w:r w:rsidRPr="00F12414">
        <w:rPr>
          <w:sz w:val="20"/>
          <w:lang w:val="en-GB"/>
        </w:rPr>
        <w:t xml:space="preserve">The fundamental </w:t>
      </w:r>
      <w:r w:rsidR="003D18BC" w:rsidRPr="00F12414">
        <w:rPr>
          <w:sz w:val="20"/>
          <w:lang w:val="en-GB"/>
        </w:rPr>
        <w:t xml:space="preserve">objective of radioactive waste management is </w:t>
      </w:r>
      <w:r w:rsidRPr="00F12414">
        <w:rPr>
          <w:sz w:val="20"/>
          <w:lang w:val="en-GB"/>
        </w:rPr>
        <w:t xml:space="preserve">to protect people and the environment from the harmful effects of ionizing radiation </w:t>
      </w:r>
      <w:r w:rsidR="00CD2C7A">
        <w:rPr>
          <w:sz w:val="20"/>
          <w:lang w:val="en-GB"/>
        </w:rPr>
        <w:t>[1]</w:t>
      </w:r>
      <w:r w:rsidRPr="00F12414">
        <w:rPr>
          <w:sz w:val="20"/>
          <w:lang w:val="en-GB"/>
        </w:rPr>
        <w:t>.</w:t>
      </w:r>
      <w:r w:rsidRPr="00F12414">
        <w:rPr>
          <w:sz w:val="20"/>
        </w:rPr>
        <w:t xml:space="preserve"> It is important to note that, Ghana </w:t>
      </w:r>
      <w:r w:rsidR="003D18BC" w:rsidRPr="00F12414">
        <w:rPr>
          <w:sz w:val="20"/>
        </w:rPr>
        <w:t xml:space="preserve">currently </w:t>
      </w:r>
      <w:r w:rsidR="00FF2FAC" w:rsidRPr="00F12414">
        <w:rPr>
          <w:sz w:val="20"/>
        </w:rPr>
        <w:t>undertakes</w:t>
      </w:r>
      <w:r w:rsidRPr="00F12414">
        <w:rPr>
          <w:sz w:val="20"/>
        </w:rPr>
        <w:t xml:space="preserve"> only pre-disposal waste management. However, plans are advanced in building the IAEA’s approved borehole disposal system for disposal of radioactive waste in the future. It is also important to note that, Ghana does not have category 1 </w:t>
      </w:r>
      <w:r w:rsidR="003E2672">
        <w:rPr>
          <w:sz w:val="20"/>
        </w:rPr>
        <w:t xml:space="preserve">disused </w:t>
      </w:r>
      <w:r w:rsidRPr="00F12414">
        <w:rPr>
          <w:sz w:val="20"/>
        </w:rPr>
        <w:t>source in its waste inventory, therefore waste/</w:t>
      </w:r>
      <w:r w:rsidR="003D18BC" w:rsidRPr="00F12414">
        <w:rPr>
          <w:sz w:val="20"/>
        </w:rPr>
        <w:t xml:space="preserve"> disused </w:t>
      </w:r>
      <w:r w:rsidRPr="00F12414">
        <w:rPr>
          <w:sz w:val="20"/>
        </w:rPr>
        <w:t xml:space="preserve">source in this </w:t>
      </w:r>
      <w:r w:rsidR="003D18BC" w:rsidRPr="00F12414">
        <w:rPr>
          <w:sz w:val="20"/>
        </w:rPr>
        <w:t>manuscript</w:t>
      </w:r>
      <w:r w:rsidRPr="00F12414">
        <w:rPr>
          <w:sz w:val="20"/>
        </w:rPr>
        <w:t xml:space="preserve"> refers to category 2 – 5 sources</w:t>
      </w:r>
      <w:r w:rsidR="003E2672">
        <w:rPr>
          <w:sz w:val="20"/>
        </w:rPr>
        <w:t xml:space="preserve"> only</w:t>
      </w:r>
      <w:r w:rsidRPr="00F12414">
        <w:rPr>
          <w:sz w:val="20"/>
        </w:rPr>
        <w:t xml:space="preserve">. </w:t>
      </w:r>
    </w:p>
    <w:p w:rsidR="00BD4C1E" w:rsidRPr="00F12414" w:rsidRDefault="00FF2FAC" w:rsidP="001D3FF0">
      <w:pPr>
        <w:spacing w:line="276" w:lineRule="auto"/>
        <w:ind w:firstLine="360"/>
        <w:jc w:val="both"/>
        <w:rPr>
          <w:sz w:val="20"/>
          <w:lang w:val="en-GB"/>
        </w:rPr>
      </w:pPr>
      <w:r w:rsidRPr="00F12414">
        <w:rPr>
          <w:sz w:val="20"/>
          <w:lang w:val="en-GB"/>
        </w:rPr>
        <w:t>Fundamental objective of safety and security relating to radioactive source management is achieved on the backdrop of a robust quality management system</w:t>
      </w:r>
      <w:r w:rsidR="00BD4C1E" w:rsidRPr="00F12414">
        <w:rPr>
          <w:sz w:val="20"/>
          <w:lang w:val="en-GB"/>
        </w:rPr>
        <w:t xml:space="preserve">. Quality </w:t>
      </w:r>
      <w:r w:rsidR="00994EB9" w:rsidRPr="00F12414">
        <w:rPr>
          <w:sz w:val="20"/>
          <w:lang w:val="en-GB"/>
        </w:rPr>
        <w:t>management system ensures that adequate measures are in place to address tec</w:t>
      </w:r>
      <w:r w:rsidR="00BD4C1E" w:rsidRPr="00F12414">
        <w:rPr>
          <w:sz w:val="20"/>
          <w:lang w:val="en-GB"/>
        </w:rPr>
        <w:t>hnical and administrative issues relating to</w:t>
      </w:r>
      <w:r w:rsidR="00994EB9" w:rsidRPr="00F12414">
        <w:rPr>
          <w:sz w:val="20"/>
          <w:lang w:val="en-GB"/>
        </w:rPr>
        <w:t xml:space="preserve"> protection of </w:t>
      </w:r>
      <w:r w:rsidR="00BD4C1E" w:rsidRPr="00F12414">
        <w:rPr>
          <w:sz w:val="20"/>
          <w:lang w:val="en-GB"/>
        </w:rPr>
        <w:t xml:space="preserve">human </w:t>
      </w:r>
      <w:r w:rsidR="00994EB9" w:rsidRPr="00F12414">
        <w:rPr>
          <w:sz w:val="20"/>
          <w:lang w:val="en-GB"/>
        </w:rPr>
        <w:t>health, protecti</w:t>
      </w:r>
      <w:r w:rsidR="00BD4C1E" w:rsidRPr="00F12414">
        <w:rPr>
          <w:sz w:val="20"/>
          <w:lang w:val="en-GB"/>
        </w:rPr>
        <w:t>on of the environment,</w:t>
      </w:r>
      <w:r w:rsidR="00994EB9" w:rsidRPr="00F12414">
        <w:rPr>
          <w:sz w:val="20"/>
          <w:lang w:val="en-GB"/>
        </w:rPr>
        <w:t xml:space="preserve"> </w:t>
      </w:r>
      <w:r w:rsidR="00BD4C1E" w:rsidRPr="00F12414">
        <w:rPr>
          <w:sz w:val="20"/>
          <w:lang w:val="en-GB"/>
        </w:rPr>
        <w:t>protection against theft; loss, sabotage and unauthorized use of radioactive sources</w:t>
      </w:r>
      <w:r w:rsidR="00CD2C7A">
        <w:rPr>
          <w:sz w:val="20"/>
          <w:lang w:val="en-GB"/>
        </w:rPr>
        <w:t xml:space="preserve"> [3]</w:t>
      </w:r>
      <w:r w:rsidR="00BD4C1E" w:rsidRPr="00F12414">
        <w:rPr>
          <w:sz w:val="20"/>
          <w:lang w:val="en-GB"/>
        </w:rPr>
        <w:t xml:space="preserve">. </w:t>
      </w:r>
    </w:p>
    <w:p w:rsidR="00994EB9" w:rsidRPr="00F12414" w:rsidRDefault="00994EB9" w:rsidP="001D3FF0">
      <w:pPr>
        <w:spacing w:line="276" w:lineRule="auto"/>
        <w:ind w:firstLine="360"/>
        <w:jc w:val="both"/>
        <w:rPr>
          <w:sz w:val="20"/>
          <w:lang w:val="en-GB"/>
        </w:rPr>
      </w:pPr>
      <w:r w:rsidRPr="00F12414">
        <w:rPr>
          <w:sz w:val="20"/>
          <w:lang w:val="en-GB"/>
        </w:rPr>
        <w:t xml:space="preserve">The Nuclear Regulatory Authority Act, 2015 (Act 895) established the Nuclear Regulatory Authority (NRA) </w:t>
      </w:r>
      <w:r w:rsidR="00BD4C1E" w:rsidRPr="00F12414">
        <w:rPr>
          <w:sz w:val="20"/>
          <w:lang w:val="en-GB"/>
        </w:rPr>
        <w:t xml:space="preserve">as the </w:t>
      </w:r>
      <w:r w:rsidRPr="00F12414">
        <w:rPr>
          <w:sz w:val="20"/>
          <w:lang w:val="en-GB"/>
        </w:rPr>
        <w:t xml:space="preserve">nuclear regulatory body </w:t>
      </w:r>
      <w:r w:rsidR="00BD4C1E" w:rsidRPr="00F12414">
        <w:rPr>
          <w:sz w:val="20"/>
          <w:lang w:val="en-GB"/>
        </w:rPr>
        <w:t xml:space="preserve">of Ghana </w:t>
      </w:r>
      <w:r w:rsidRPr="00F12414">
        <w:rPr>
          <w:sz w:val="20"/>
          <w:lang w:val="en-GB"/>
        </w:rPr>
        <w:t xml:space="preserve">with the objectives to: </w:t>
      </w:r>
    </w:p>
    <w:p w:rsidR="00994EB9" w:rsidRPr="00F12414" w:rsidRDefault="00994EB9" w:rsidP="003C64AC">
      <w:pPr>
        <w:numPr>
          <w:ilvl w:val="0"/>
          <w:numId w:val="10"/>
        </w:numPr>
        <w:spacing w:line="276" w:lineRule="auto"/>
        <w:jc w:val="both"/>
        <w:rPr>
          <w:sz w:val="20"/>
          <w:lang w:val="en-GB"/>
        </w:rPr>
      </w:pPr>
      <w:r w:rsidRPr="00F12414">
        <w:rPr>
          <w:sz w:val="20"/>
          <w:lang w:val="en-GB"/>
        </w:rPr>
        <w:lastRenderedPageBreak/>
        <w:t>Ensure that radiation and nuclear energy are used by only persons authorized under Act 895 of 2015 for peaceful purposes.</w:t>
      </w:r>
    </w:p>
    <w:p w:rsidR="00994EB9" w:rsidRPr="00F12414" w:rsidRDefault="00994EB9" w:rsidP="003C64AC">
      <w:pPr>
        <w:numPr>
          <w:ilvl w:val="0"/>
          <w:numId w:val="10"/>
        </w:numPr>
        <w:spacing w:line="276" w:lineRule="auto"/>
        <w:jc w:val="both"/>
        <w:rPr>
          <w:sz w:val="20"/>
          <w:lang w:val="en-GB"/>
        </w:rPr>
      </w:pPr>
      <w:r w:rsidRPr="00F12414">
        <w:rPr>
          <w:sz w:val="20"/>
          <w:lang w:val="en-GB"/>
        </w:rPr>
        <w:t>Provide protection of persons and the environment against the harmful effects of radiation hazards</w:t>
      </w:r>
    </w:p>
    <w:p w:rsidR="00766780" w:rsidRDefault="00994EB9" w:rsidP="003C64AC">
      <w:pPr>
        <w:numPr>
          <w:ilvl w:val="0"/>
          <w:numId w:val="10"/>
        </w:numPr>
        <w:spacing w:line="276" w:lineRule="auto"/>
        <w:jc w:val="both"/>
        <w:rPr>
          <w:sz w:val="20"/>
          <w:lang w:val="en-GB"/>
        </w:rPr>
      </w:pPr>
      <w:r w:rsidRPr="00F12414">
        <w:rPr>
          <w:sz w:val="20"/>
          <w:lang w:val="en-GB"/>
        </w:rPr>
        <w:t>Pursue and ensure strict compliance with Act 895 of 2015 and its regulations.</w:t>
      </w:r>
      <w:r w:rsidR="004843F4" w:rsidRPr="00F12414">
        <w:rPr>
          <w:sz w:val="20"/>
          <w:lang w:val="en-GB"/>
        </w:rPr>
        <w:t xml:space="preserve"> </w:t>
      </w:r>
    </w:p>
    <w:p w:rsidR="00F12414" w:rsidRPr="00F12414" w:rsidRDefault="00F12414" w:rsidP="00F12414">
      <w:pPr>
        <w:spacing w:line="276" w:lineRule="auto"/>
        <w:jc w:val="both"/>
        <w:rPr>
          <w:sz w:val="20"/>
          <w:lang w:val="en-GB"/>
        </w:rPr>
      </w:pPr>
    </w:p>
    <w:p w:rsidR="001D3FF0" w:rsidRDefault="00F12414" w:rsidP="001D3FF0">
      <w:pPr>
        <w:pStyle w:val="ListParagraph"/>
        <w:numPr>
          <w:ilvl w:val="0"/>
          <w:numId w:val="1"/>
        </w:numPr>
        <w:spacing w:line="276" w:lineRule="auto"/>
        <w:jc w:val="both"/>
        <w:rPr>
          <w:sz w:val="20"/>
        </w:rPr>
      </w:pPr>
      <w:r w:rsidRPr="00F12414">
        <w:rPr>
          <w:sz w:val="20"/>
        </w:rPr>
        <w:t>MATERIALS AND METHOD</w:t>
      </w:r>
    </w:p>
    <w:p w:rsidR="001D3FF0" w:rsidRPr="001D3FF0" w:rsidRDefault="001D3FF0" w:rsidP="001D3FF0">
      <w:pPr>
        <w:pStyle w:val="ListParagraph"/>
        <w:spacing w:line="276" w:lineRule="auto"/>
        <w:jc w:val="both"/>
        <w:rPr>
          <w:sz w:val="20"/>
        </w:rPr>
      </w:pPr>
    </w:p>
    <w:p w:rsidR="00224D5C" w:rsidRPr="00F12414" w:rsidRDefault="00224D5C" w:rsidP="003C64AC">
      <w:pPr>
        <w:pStyle w:val="ListParagraph"/>
        <w:numPr>
          <w:ilvl w:val="1"/>
          <w:numId w:val="1"/>
        </w:numPr>
        <w:spacing w:line="276" w:lineRule="auto"/>
        <w:jc w:val="both"/>
        <w:rPr>
          <w:b/>
          <w:sz w:val="20"/>
        </w:rPr>
      </w:pPr>
      <w:r w:rsidRPr="00F12414">
        <w:rPr>
          <w:b/>
          <w:sz w:val="20"/>
        </w:rPr>
        <w:t xml:space="preserve"> Location of facility</w:t>
      </w:r>
    </w:p>
    <w:p w:rsidR="001D3FF0" w:rsidRPr="00F12414" w:rsidRDefault="003F7563" w:rsidP="001D3FF0">
      <w:pPr>
        <w:spacing w:line="276" w:lineRule="auto"/>
        <w:ind w:firstLine="360"/>
        <w:jc w:val="both"/>
        <w:rPr>
          <w:sz w:val="20"/>
        </w:rPr>
      </w:pPr>
      <w:r w:rsidRPr="00F12414">
        <w:rPr>
          <w:sz w:val="20"/>
        </w:rPr>
        <w:t>The CRWMF, sch</w:t>
      </w:r>
      <w:r w:rsidR="000A11B7">
        <w:rPr>
          <w:sz w:val="20"/>
        </w:rPr>
        <w:t>ematically illustrated in Fig.</w:t>
      </w:r>
      <w:r w:rsidRPr="00F12414">
        <w:rPr>
          <w:sz w:val="20"/>
        </w:rPr>
        <w:t xml:space="preserve"> 1 is located on the </w:t>
      </w:r>
      <w:r w:rsidR="003E2672">
        <w:rPr>
          <w:sz w:val="20"/>
        </w:rPr>
        <w:t>GAEC</w:t>
      </w:r>
      <w:r w:rsidRPr="00F12414">
        <w:rPr>
          <w:sz w:val="20"/>
        </w:rPr>
        <w:t>’s main site at Kwabenya, in the Ga East Distric</w:t>
      </w:r>
      <w:r w:rsidR="000A11B7">
        <w:rPr>
          <w:sz w:val="20"/>
        </w:rPr>
        <w:t>t of the Greater Accra R</w:t>
      </w:r>
      <w:r w:rsidRPr="00F12414">
        <w:rPr>
          <w:sz w:val="20"/>
        </w:rPr>
        <w:t xml:space="preserve">egion. </w:t>
      </w:r>
      <w:r w:rsidR="000A11B7">
        <w:rPr>
          <w:sz w:val="20"/>
        </w:rPr>
        <w:t>It lies</w:t>
      </w:r>
      <w:r w:rsidRPr="00F12414">
        <w:rPr>
          <w:sz w:val="20"/>
        </w:rPr>
        <w:t xml:space="preserve"> at </w:t>
      </w:r>
      <w:r w:rsidR="000A11B7">
        <w:rPr>
          <w:sz w:val="20"/>
        </w:rPr>
        <w:t>latitude 50 6’7”N and longitude</w:t>
      </w:r>
      <w:r w:rsidRPr="00F12414">
        <w:rPr>
          <w:sz w:val="20"/>
        </w:rPr>
        <w:t xml:space="preserve"> 00 21’ W</w:t>
      </w:r>
      <w:r w:rsidR="000A11B7">
        <w:rPr>
          <w:sz w:val="20"/>
        </w:rPr>
        <w:t>,</w:t>
      </w:r>
      <w:r w:rsidRPr="00F12414">
        <w:rPr>
          <w:sz w:val="20"/>
        </w:rPr>
        <w:t xml:space="preserve"> at elevation of 64 m</w:t>
      </w:r>
      <w:r w:rsidR="000A11B7">
        <w:rPr>
          <w:sz w:val="20"/>
        </w:rPr>
        <w:t xml:space="preserve"> above sea level</w:t>
      </w:r>
      <w:r w:rsidRPr="00F12414">
        <w:rPr>
          <w:sz w:val="20"/>
        </w:rPr>
        <w:t xml:space="preserve">. The Kwabenya Township used to be a rural area at the time of establishing the GAEC. It has, however, become urbanized since the last two decades with a lot of commercial and domestic facilities </w:t>
      </w:r>
      <w:r w:rsidR="00680131" w:rsidRPr="00F12414">
        <w:rPr>
          <w:sz w:val="20"/>
        </w:rPr>
        <w:t>found within the domain of the GAEC</w:t>
      </w:r>
      <w:r w:rsidRPr="00F12414">
        <w:rPr>
          <w:sz w:val="20"/>
        </w:rPr>
        <w:t xml:space="preserve">. </w:t>
      </w:r>
    </w:p>
    <w:p w:rsidR="00224D5C" w:rsidRDefault="00224D5C" w:rsidP="001D3FF0">
      <w:pPr>
        <w:spacing w:before="240" w:line="276" w:lineRule="auto"/>
        <w:jc w:val="center"/>
        <w:rPr>
          <w:rFonts w:cs="Times New Roman"/>
          <w:szCs w:val="24"/>
        </w:rPr>
      </w:pPr>
      <w:r>
        <w:rPr>
          <w:rFonts w:cs="Times New Roman"/>
          <w:noProof/>
          <w:szCs w:val="24"/>
        </w:rPr>
        <w:drawing>
          <wp:inline distT="0" distB="0" distL="0" distR="0" wp14:anchorId="1E2FCF55" wp14:editId="2B31C167">
            <wp:extent cx="5029200" cy="31280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3969" cy="3180773"/>
                    </a:xfrm>
                    <a:prstGeom prst="rect">
                      <a:avLst/>
                    </a:prstGeom>
                    <a:noFill/>
                    <a:ln>
                      <a:noFill/>
                    </a:ln>
                  </pic:spPr>
                </pic:pic>
              </a:graphicData>
            </a:graphic>
          </wp:inline>
        </w:drawing>
      </w:r>
    </w:p>
    <w:p w:rsidR="00224D5C" w:rsidRPr="000A11B7" w:rsidRDefault="000A11B7" w:rsidP="000A11B7">
      <w:pPr>
        <w:spacing w:after="0" w:line="276" w:lineRule="auto"/>
        <w:jc w:val="center"/>
        <w:rPr>
          <w:rFonts w:cs="Times New Roman"/>
          <w:i/>
          <w:sz w:val="18"/>
          <w:szCs w:val="24"/>
        </w:rPr>
      </w:pPr>
      <w:r w:rsidRPr="000A11B7">
        <w:rPr>
          <w:rFonts w:cs="Times New Roman"/>
          <w:i/>
          <w:sz w:val="18"/>
          <w:szCs w:val="24"/>
        </w:rPr>
        <w:t>FIG</w:t>
      </w:r>
      <w:r w:rsidR="00680131" w:rsidRPr="000A11B7">
        <w:rPr>
          <w:rFonts w:cs="Times New Roman"/>
          <w:i/>
          <w:sz w:val="18"/>
          <w:szCs w:val="24"/>
        </w:rPr>
        <w:t xml:space="preserve"> 1</w:t>
      </w:r>
      <w:r w:rsidR="00224D5C" w:rsidRPr="000A11B7">
        <w:rPr>
          <w:rFonts w:cs="Times New Roman"/>
          <w:i/>
          <w:sz w:val="18"/>
          <w:szCs w:val="24"/>
        </w:rPr>
        <w:t>. Sketch of the centralized waste storage and</w:t>
      </w:r>
      <w:r w:rsidR="003E2672">
        <w:rPr>
          <w:rFonts w:cs="Times New Roman"/>
          <w:i/>
          <w:sz w:val="18"/>
          <w:szCs w:val="24"/>
        </w:rPr>
        <w:t xml:space="preserve"> processing facility showing its</w:t>
      </w:r>
      <w:r w:rsidR="00224D5C" w:rsidRPr="000A11B7">
        <w:rPr>
          <w:rFonts w:cs="Times New Roman"/>
          <w:i/>
          <w:sz w:val="18"/>
          <w:szCs w:val="24"/>
        </w:rPr>
        <w:t xml:space="preserve"> various partitions (microenvironments)</w:t>
      </w:r>
    </w:p>
    <w:p w:rsidR="00680131" w:rsidRDefault="00680131" w:rsidP="003C64AC">
      <w:pPr>
        <w:spacing w:after="0" w:line="276" w:lineRule="auto"/>
        <w:jc w:val="center"/>
        <w:rPr>
          <w:rFonts w:cs="Times New Roman"/>
          <w:i/>
          <w:szCs w:val="24"/>
        </w:rPr>
      </w:pPr>
    </w:p>
    <w:p w:rsidR="00766780" w:rsidRPr="00F12414" w:rsidRDefault="00224D5C" w:rsidP="003C64AC">
      <w:pPr>
        <w:pStyle w:val="ListParagraph"/>
        <w:numPr>
          <w:ilvl w:val="1"/>
          <w:numId w:val="1"/>
        </w:numPr>
        <w:spacing w:line="276" w:lineRule="auto"/>
        <w:jc w:val="both"/>
        <w:rPr>
          <w:b/>
          <w:sz w:val="20"/>
        </w:rPr>
      </w:pPr>
      <w:r w:rsidRPr="00F12414">
        <w:rPr>
          <w:b/>
          <w:sz w:val="20"/>
        </w:rPr>
        <w:t xml:space="preserve"> Source </w:t>
      </w:r>
      <w:r w:rsidR="00F12414" w:rsidRPr="00F12414">
        <w:rPr>
          <w:b/>
          <w:sz w:val="20"/>
        </w:rPr>
        <w:t>c</w:t>
      </w:r>
      <w:r w:rsidR="00680131" w:rsidRPr="00F12414">
        <w:rPr>
          <w:b/>
          <w:sz w:val="20"/>
        </w:rPr>
        <w:t>haracterization</w:t>
      </w:r>
      <w:r w:rsidR="00766780" w:rsidRPr="00F12414">
        <w:rPr>
          <w:b/>
          <w:sz w:val="20"/>
        </w:rPr>
        <w:t xml:space="preserve"> </w:t>
      </w:r>
    </w:p>
    <w:p w:rsidR="00766780" w:rsidRPr="00F12414" w:rsidRDefault="00680131" w:rsidP="001D3FF0">
      <w:pPr>
        <w:spacing w:line="276" w:lineRule="auto"/>
        <w:ind w:firstLine="360"/>
        <w:jc w:val="both"/>
        <w:rPr>
          <w:sz w:val="20"/>
        </w:rPr>
      </w:pPr>
      <w:r w:rsidRPr="00F12414">
        <w:rPr>
          <w:sz w:val="20"/>
        </w:rPr>
        <w:t>Source</w:t>
      </w:r>
      <w:r w:rsidR="00766780" w:rsidRPr="00F12414">
        <w:rPr>
          <w:sz w:val="20"/>
        </w:rPr>
        <w:t xml:space="preserve"> </w:t>
      </w:r>
      <w:r w:rsidRPr="00F12414">
        <w:rPr>
          <w:sz w:val="20"/>
        </w:rPr>
        <w:t>characterization</w:t>
      </w:r>
      <w:r w:rsidR="00766780" w:rsidRPr="00F12414">
        <w:rPr>
          <w:sz w:val="20"/>
        </w:rPr>
        <w:t xml:space="preserve"> refers to full identification of the source</w:t>
      </w:r>
      <w:r w:rsidR="003E2672">
        <w:rPr>
          <w:sz w:val="20"/>
        </w:rPr>
        <w:t xml:space="preserve"> </w:t>
      </w:r>
      <w:r w:rsidR="003E2672">
        <w:rPr>
          <w:sz w:val="20"/>
        </w:rPr>
        <w:t>[4]</w:t>
      </w:r>
      <w:r w:rsidR="00766780" w:rsidRPr="00F12414">
        <w:rPr>
          <w:sz w:val="20"/>
        </w:rPr>
        <w:t>. It is an important waste management process that enables maintenance an</w:t>
      </w:r>
      <w:r w:rsidR="003E2672">
        <w:rPr>
          <w:sz w:val="20"/>
        </w:rPr>
        <w:t xml:space="preserve">d storage of source information </w:t>
      </w:r>
      <w:r w:rsidR="00071B92">
        <w:rPr>
          <w:sz w:val="20"/>
        </w:rPr>
        <w:t>for future references</w:t>
      </w:r>
      <w:r w:rsidR="00766780" w:rsidRPr="00F12414">
        <w:rPr>
          <w:sz w:val="20"/>
        </w:rPr>
        <w:t>. A combination of a source identifier (</w:t>
      </w:r>
      <w:proofErr w:type="spellStart"/>
      <w:r w:rsidR="00766780" w:rsidRPr="00F12414">
        <w:rPr>
          <w:sz w:val="20"/>
        </w:rPr>
        <w:t>Atomtext</w:t>
      </w:r>
      <w:proofErr w:type="spellEnd"/>
      <w:r w:rsidR="00766780" w:rsidRPr="00F12414">
        <w:rPr>
          <w:sz w:val="20"/>
        </w:rPr>
        <w:t>) and a radiation meter (</w:t>
      </w:r>
      <w:proofErr w:type="spellStart"/>
      <w:r w:rsidR="00766780" w:rsidRPr="00F12414">
        <w:rPr>
          <w:sz w:val="20"/>
        </w:rPr>
        <w:t>Radiagem</w:t>
      </w:r>
      <w:proofErr w:type="spellEnd"/>
      <w:r w:rsidR="00766780" w:rsidRPr="00F12414">
        <w:rPr>
          <w:sz w:val="20"/>
        </w:rPr>
        <w:t xml:space="preserve">) are used in this process. </w:t>
      </w:r>
      <w:r w:rsidR="00071B92">
        <w:rPr>
          <w:sz w:val="20"/>
        </w:rPr>
        <w:t xml:space="preserve">At the end of source characterization campaign, full information about each source are entered into the RWMC’s manual and electronic registry system. </w:t>
      </w:r>
      <w:r w:rsidR="00766780" w:rsidRPr="00F12414">
        <w:rPr>
          <w:sz w:val="20"/>
        </w:rPr>
        <w:t xml:space="preserve">The following features and measurements are recorded in both: </w:t>
      </w:r>
    </w:p>
    <w:p w:rsidR="00766780" w:rsidRPr="00F12414" w:rsidRDefault="00766780" w:rsidP="003C64AC">
      <w:pPr>
        <w:numPr>
          <w:ilvl w:val="0"/>
          <w:numId w:val="2"/>
        </w:numPr>
        <w:spacing w:line="276" w:lineRule="auto"/>
        <w:jc w:val="both"/>
        <w:rPr>
          <w:sz w:val="20"/>
        </w:rPr>
      </w:pPr>
      <w:r w:rsidRPr="00F12414">
        <w:rPr>
          <w:sz w:val="20"/>
        </w:rPr>
        <w:t>Type of source i.e. name of the device</w:t>
      </w:r>
    </w:p>
    <w:p w:rsidR="00766780" w:rsidRPr="00F12414" w:rsidRDefault="00766780" w:rsidP="003C64AC">
      <w:pPr>
        <w:numPr>
          <w:ilvl w:val="0"/>
          <w:numId w:val="2"/>
        </w:numPr>
        <w:spacing w:line="276" w:lineRule="auto"/>
        <w:jc w:val="both"/>
        <w:rPr>
          <w:sz w:val="20"/>
        </w:rPr>
      </w:pPr>
      <w:r w:rsidRPr="00F12414">
        <w:rPr>
          <w:sz w:val="20"/>
        </w:rPr>
        <w:t>Name of radionuclide</w:t>
      </w:r>
      <w:bookmarkStart w:id="0" w:name="_GoBack"/>
      <w:bookmarkEnd w:id="0"/>
    </w:p>
    <w:p w:rsidR="00766780" w:rsidRPr="00F12414" w:rsidRDefault="00766780" w:rsidP="003C64AC">
      <w:pPr>
        <w:numPr>
          <w:ilvl w:val="0"/>
          <w:numId w:val="2"/>
        </w:numPr>
        <w:spacing w:line="276" w:lineRule="auto"/>
        <w:jc w:val="both"/>
        <w:rPr>
          <w:sz w:val="20"/>
        </w:rPr>
      </w:pPr>
      <w:r w:rsidRPr="00F12414">
        <w:rPr>
          <w:sz w:val="20"/>
        </w:rPr>
        <w:lastRenderedPageBreak/>
        <w:t>Original activity</w:t>
      </w:r>
    </w:p>
    <w:p w:rsidR="00766780" w:rsidRPr="00F12414" w:rsidRDefault="00766780" w:rsidP="003C64AC">
      <w:pPr>
        <w:numPr>
          <w:ilvl w:val="0"/>
          <w:numId w:val="2"/>
        </w:numPr>
        <w:spacing w:line="276" w:lineRule="auto"/>
        <w:jc w:val="both"/>
        <w:rPr>
          <w:sz w:val="20"/>
        </w:rPr>
      </w:pPr>
      <w:r w:rsidRPr="00F12414">
        <w:rPr>
          <w:sz w:val="20"/>
        </w:rPr>
        <w:t xml:space="preserve">Current activity (at the time of </w:t>
      </w:r>
      <w:r w:rsidR="00A26294" w:rsidRPr="00F12414">
        <w:rPr>
          <w:sz w:val="20"/>
        </w:rPr>
        <w:t>characterization</w:t>
      </w:r>
      <w:r w:rsidRPr="00F12414">
        <w:rPr>
          <w:sz w:val="20"/>
        </w:rPr>
        <w:t>)</w:t>
      </w:r>
    </w:p>
    <w:p w:rsidR="00766780" w:rsidRPr="00F12414" w:rsidRDefault="00766780" w:rsidP="003C64AC">
      <w:pPr>
        <w:numPr>
          <w:ilvl w:val="0"/>
          <w:numId w:val="2"/>
        </w:numPr>
        <w:spacing w:line="276" w:lineRule="auto"/>
        <w:jc w:val="both"/>
        <w:rPr>
          <w:sz w:val="20"/>
        </w:rPr>
      </w:pPr>
      <w:r w:rsidRPr="00F12414">
        <w:rPr>
          <w:sz w:val="20"/>
        </w:rPr>
        <w:t>Name of manufacturer</w:t>
      </w:r>
    </w:p>
    <w:p w:rsidR="00766780" w:rsidRPr="00F12414" w:rsidRDefault="00766780" w:rsidP="003C64AC">
      <w:pPr>
        <w:numPr>
          <w:ilvl w:val="0"/>
          <w:numId w:val="2"/>
        </w:numPr>
        <w:spacing w:line="276" w:lineRule="auto"/>
        <w:jc w:val="both"/>
        <w:rPr>
          <w:sz w:val="20"/>
        </w:rPr>
      </w:pPr>
      <w:r w:rsidRPr="00F12414">
        <w:rPr>
          <w:sz w:val="20"/>
        </w:rPr>
        <w:t>Date of manufacture</w:t>
      </w:r>
    </w:p>
    <w:p w:rsidR="00766780" w:rsidRPr="00F12414" w:rsidRDefault="00766780" w:rsidP="003C64AC">
      <w:pPr>
        <w:numPr>
          <w:ilvl w:val="0"/>
          <w:numId w:val="2"/>
        </w:numPr>
        <w:spacing w:line="276" w:lineRule="auto"/>
        <w:jc w:val="both"/>
        <w:rPr>
          <w:sz w:val="20"/>
        </w:rPr>
      </w:pPr>
      <w:r w:rsidRPr="00F12414">
        <w:rPr>
          <w:sz w:val="20"/>
        </w:rPr>
        <w:t>Country of origin</w:t>
      </w:r>
    </w:p>
    <w:p w:rsidR="000A11B7" w:rsidRDefault="00766780" w:rsidP="000A11B7">
      <w:pPr>
        <w:numPr>
          <w:ilvl w:val="0"/>
          <w:numId w:val="2"/>
        </w:numPr>
        <w:spacing w:line="276" w:lineRule="auto"/>
        <w:jc w:val="both"/>
        <w:rPr>
          <w:sz w:val="20"/>
        </w:rPr>
      </w:pPr>
      <w:r w:rsidRPr="00F12414">
        <w:rPr>
          <w:sz w:val="20"/>
        </w:rPr>
        <w:t>Physical dimensions</w:t>
      </w:r>
    </w:p>
    <w:p w:rsidR="001D3FF0" w:rsidRPr="000A11B7" w:rsidRDefault="001D3FF0" w:rsidP="001D3FF0">
      <w:pPr>
        <w:spacing w:after="0" w:line="276" w:lineRule="auto"/>
        <w:ind w:left="720"/>
        <w:jc w:val="both"/>
        <w:rPr>
          <w:sz w:val="20"/>
        </w:rPr>
      </w:pPr>
    </w:p>
    <w:p w:rsidR="00766780" w:rsidRPr="00F12414" w:rsidRDefault="00224D5C" w:rsidP="003C64AC">
      <w:pPr>
        <w:pStyle w:val="ListParagraph"/>
        <w:numPr>
          <w:ilvl w:val="1"/>
          <w:numId w:val="1"/>
        </w:numPr>
        <w:spacing w:line="276" w:lineRule="auto"/>
        <w:jc w:val="both"/>
        <w:rPr>
          <w:b/>
          <w:sz w:val="20"/>
        </w:rPr>
      </w:pPr>
      <w:r w:rsidRPr="00F12414">
        <w:rPr>
          <w:b/>
          <w:sz w:val="20"/>
        </w:rPr>
        <w:t xml:space="preserve"> Source </w:t>
      </w:r>
      <w:r w:rsidR="000A11B7">
        <w:rPr>
          <w:b/>
          <w:sz w:val="20"/>
        </w:rPr>
        <w:t>c</w:t>
      </w:r>
      <w:r w:rsidR="00766780" w:rsidRPr="00F12414">
        <w:rPr>
          <w:b/>
          <w:sz w:val="20"/>
        </w:rPr>
        <w:t>onditioning</w:t>
      </w:r>
    </w:p>
    <w:p w:rsidR="00CE4185" w:rsidRPr="00F12414" w:rsidRDefault="00680131" w:rsidP="00071B92">
      <w:pPr>
        <w:spacing w:line="276" w:lineRule="auto"/>
        <w:jc w:val="both"/>
        <w:rPr>
          <w:sz w:val="20"/>
        </w:rPr>
      </w:pPr>
      <w:r w:rsidRPr="00F12414">
        <w:rPr>
          <w:sz w:val="20"/>
        </w:rPr>
        <w:t>Radioactive source</w:t>
      </w:r>
      <w:r w:rsidR="00766780" w:rsidRPr="00F12414">
        <w:rPr>
          <w:sz w:val="20"/>
        </w:rPr>
        <w:t xml:space="preserve"> conditioning involves recovery or removal of the bare source from its original container</w:t>
      </w:r>
      <w:r w:rsidRPr="00F12414">
        <w:rPr>
          <w:sz w:val="20"/>
        </w:rPr>
        <w:t>;</w:t>
      </w:r>
      <w:r w:rsidR="00766780" w:rsidRPr="00F12414">
        <w:rPr>
          <w:sz w:val="20"/>
        </w:rPr>
        <w:t xml:space="preserve"> and encapsulating it in a standard stainless-steel container</w:t>
      </w:r>
      <w:r w:rsidR="00071B92">
        <w:rPr>
          <w:sz w:val="20"/>
        </w:rPr>
        <w:t xml:space="preserve"> [5]</w:t>
      </w:r>
      <w:r w:rsidR="00766780" w:rsidRPr="00F12414">
        <w:rPr>
          <w:sz w:val="20"/>
        </w:rPr>
        <w:t>. The aim is to significantly reduce volume and weight</w:t>
      </w:r>
      <w:r w:rsidR="00B17BD5" w:rsidRPr="00F12414">
        <w:rPr>
          <w:sz w:val="20"/>
        </w:rPr>
        <w:t>,</w:t>
      </w:r>
      <w:r w:rsidR="00766780" w:rsidRPr="00F12414">
        <w:rPr>
          <w:sz w:val="20"/>
        </w:rPr>
        <w:t xml:space="preserve"> and consolidate the waste before disposing them. </w:t>
      </w:r>
      <w:r w:rsidRPr="00F12414">
        <w:rPr>
          <w:sz w:val="20"/>
        </w:rPr>
        <w:t>Source</w:t>
      </w:r>
      <w:r w:rsidR="00766780" w:rsidRPr="00F12414">
        <w:rPr>
          <w:sz w:val="20"/>
        </w:rPr>
        <w:t xml:space="preserve"> conditioning is </w:t>
      </w:r>
      <w:r w:rsidR="00B17BD5" w:rsidRPr="00F12414">
        <w:rPr>
          <w:sz w:val="20"/>
        </w:rPr>
        <w:t xml:space="preserve">quite </w:t>
      </w:r>
      <w:r w:rsidR="00766780" w:rsidRPr="00F12414">
        <w:rPr>
          <w:sz w:val="20"/>
        </w:rPr>
        <w:t xml:space="preserve">a tedious process which involves </w:t>
      </w:r>
      <w:r w:rsidRPr="00F12414">
        <w:rPr>
          <w:sz w:val="20"/>
        </w:rPr>
        <w:t xml:space="preserve">dismantling i.e. </w:t>
      </w:r>
      <w:r w:rsidR="00766780" w:rsidRPr="00F12414">
        <w:rPr>
          <w:sz w:val="20"/>
        </w:rPr>
        <w:t>cutting, drilling, grating, hitting or knocking the source container</w:t>
      </w:r>
      <w:r w:rsidRPr="00F12414">
        <w:rPr>
          <w:sz w:val="20"/>
        </w:rPr>
        <w:t xml:space="preserve"> in order to dislodge the bare</w:t>
      </w:r>
      <w:r w:rsidR="00766780" w:rsidRPr="00F12414">
        <w:rPr>
          <w:sz w:val="20"/>
        </w:rPr>
        <w:t xml:space="preserve"> source</w:t>
      </w:r>
      <w:r w:rsidR="000A11B7">
        <w:rPr>
          <w:sz w:val="20"/>
        </w:rPr>
        <w:t xml:space="preserve"> (illustrated in Fig.</w:t>
      </w:r>
      <w:r w:rsidRPr="00F12414">
        <w:rPr>
          <w:sz w:val="20"/>
        </w:rPr>
        <w:t xml:space="preserve"> 2</w:t>
      </w:r>
      <w:r w:rsidR="00B25255" w:rsidRPr="00F12414">
        <w:rPr>
          <w:sz w:val="20"/>
        </w:rPr>
        <w:t xml:space="preserve"> and 3</w:t>
      </w:r>
      <w:r w:rsidRPr="00F12414">
        <w:rPr>
          <w:sz w:val="20"/>
        </w:rPr>
        <w:t>)</w:t>
      </w:r>
      <w:r w:rsidR="00766780" w:rsidRPr="00F12414">
        <w:rPr>
          <w:sz w:val="20"/>
        </w:rPr>
        <w:t xml:space="preserve">. </w:t>
      </w:r>
    </w:p>
    <w:p w:rsidR="00B130E9" w:rsidRDefault="00B130E9" w:rsidP="0083494B">
      <w:pPr>
        <w:spacing w:before="240" w:line="276" w:lineRule="auto"/>
        <w:jc w:val="center"/>
        <w:rPr>
          <w:i/>
          <w:sz w:val="18"/>
        </w:rPr>
      </w:pPr>
      <w:r>
        <w:rPr>
          <w:b/>
          <w:noProof/>
        </w:rPr>
        <w:drawing>
          <wp:inline distT="0" distB="0" distL="0" distR="0" wp14:anchorId="07B45015" wp14:editId="2B70E057">
            <wp:extent cx="4251600" cy="44892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600" cy="4489200"/>
                    </a:xfrm>
                    <a:prstGeom prst="rect">
                      <a:avLst/>
                    </a:prstGeom>
                    <a:noFill/>
                    <a:ln>
                      <a:noFill/>
                    </a:ln>
                  </pic:spPr>
                </pic:pic>
              </a:graphicData>
            </a:graphic>
          </wp:inline>
        </w:drawing>
      </w:r>
    </w:p>
    <w:p w:rsidR="00CE4185" w:rsidRDefault="000A11B7" w:rsidP="0083494B">
      <w:pPr>
        <w:spacing w:before="240" w:line="276" w:lineRule="auto"/>
        <w:jc w:val="center"/>
        <w:rPr>
          <w:i/>
          <w:sz w:val="18"/>
        </w:rPr>
      </w:pPr>
      <w:r>
        <w:rPr>
          <w:i/>
          <w:sz w:val="18"/>
        </w:rPr>
        <w:t>FIG</w:t>
      </w:r>
      <w:r w:rsidR="00386F88" w:rsidRPr="000A11B7">
        <w:rPr>
          <w:i/>
          <w:sz w:val="18"/>
        </w:rPr>
        <w:t xml:space="preserve"> 2</w:t>
      </w:r>
      <w:r w:rsidR="00CE4185" w:rsidRPr="000A11B7">
        <w:rPr>
          <w:i/>
          <w:sz w:val="18"/>
        </w:rPr>
        <w:t xml:space="preserve">. Dismantling: knocking, drilling and cutting through source container to retrieve the </w:t>
      </w:r>
      <w:r w:rsidR="00B25255" w:rsidRPr="000A11B7">
        <w:rPr>
          <w:i/>
          <w:sz w:val="18"/>
        </w:rPr>
        <w:t xml:space="preserve">bare </w:t>
      </w:r>
      <w:r w:rsidR="00CE4185" w:rsidRPr="000A11B7">
        <w:rPr>
          <w:i/>
          <w:sz w:val="18"/>
        </w:rPr>
        <w:t>source</w:t>
      </w:r>
    </w:p>
    <w:p w:rsidR="00B130E9" w:rsidRPr="00B130E9" w:rsidRDefault="00B130E9" w:rsidP="0083494B">
      <w:pPr>
        <w:spacing w:before="240" w:line="276" w:lineRule="auto"/>
        <w:jc w:val="center"/>
        <w:rPr>
          <w:sz w:val="18"/>
          <w:szCs w:val="24"/>
        </w:rPr>
      </w:pPr>
      <w:r>
        <w:rPr>
          <w:noProof/>
          <w:sz w:val="18"/>
          <w:szCs w:val="24"/>
        </w:rPr>
        <w:lastRenderedPageBreak/>
        <w:drawing>
          <wp:inline distT="0" distB="0" distL="0" distR="0">
            <wp:extent cx="4091940" cy="4625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334" cy="4642741"/>
                    </a:xfrm>
                    <a:prstGeom prst="rect">
                      <a:avLst/>
                    </a:prstGeom>
                    <a:noFill/>
                    <a:ln>
                      <a:noFill/>
                    </a:ln>
                  </pic:spPr>
                </pic:pic>
              </a:graphicData>
            </a:graphic>
          </wp:inline>
        </w:drawing>
      </w:r>
    </w:p>
    <w:p w:rsidR="00052396" w:rsidRDefault="00B243F7" w:rsidP="00A9669B">
      <w:pPr>
        <w:spacing w:before="240" w:line="276" w:lineRule="auto"/>
        <w:jc w:val="center"/>
        <w:rPr>
          <w:i/>
          <w:sz w:val="18"/>
          <w:szCs w:val="24"/>
        </w:rPr>
      </w:pPr>
      <w:r w:rsidRPr="00B243F7">
        <w:rPr>
          <w:i/>
          <w:sz w:val="18"/>
          <w:szCs w:val="24"/>
        </w:rPr>
        <w:t>FIG</w:t>
      </w:r>
      <w:r w:rsidR="005C5191" w:rsidRPr="00B243F7">
        <w:rPr>
          <w:i/>
          <w:sz w:val="18"/>
          <w:szCs w:val="24"/>
        </w:rPr>
        <w:t xml:space="preserve"> </w:t>
      </w:r>
      <w:r w:rsidR="00386F88" w:rsidRPr="00B243F7">
        <w:rPr>
          <w:i/>
          <w:sz w:val="18"/>
          <w:szCs w:val="24"/>
        </w:rPr>
        <w:t>3</w:t>
      </w:r>
      <w:r w:rsidR="005C5191" w:rsidRPr="00B243F7">
        <w:rPr>
          <w:i/>
          <w:sz w:val="18"/>
          <w:szCs w:val="24"/>
        </w:rPr>
        <w:t>. Retrieved sources dropped in shielded stainless steel capsule in the conditioning chamber</w:t>
      </w:r>
    </w:p>
    <w:p w:rsidR="00A9669B" w:rsidRPr="00F12414" w:rsidRDefault="00A9669B" w:rsidP="00A9669B">
      <w:pPr>
        <w:spacing w:line="276" w:lineRule="auto"/>
        <w:jc w:val="both"/>
        <w:rPr>
          <w:sz w:val="20"/>
        </w:rPr>
      </w:pPr>
      <w:r>
        <w:rPr>
          <w:sz w:val="20"/>
        </w:rPr>
        <w:t>Source conditioning operation</w:t>
      </w:r>
      <w:r w:rsidRPr="00F12414">
        <w:rPr>
          <w:sz w:val="20"/>
        </w:rPr>
        <w:t xml:space="preserve"> requires </w:t>
      </w:r>
      <w:r>
        <w:rPr>
          <w:sz w:val="20"/>
        </w:rPr>
        <w:t xml:space="preserve">a </w:t>
      </w:r>
      <w:r w:rsidRPr="00F12414">
        <w:rPr>
          <w:sz w:val="20"/>
        </w:rPr>
        <w:t xml:space="preserve">tactical approach to avoid contamination during </w:t>
      </w:r>
      <w:r>
        <w:rPr>
          <w:sz w:val="20"/>
        </w:rPr>
        <w:t xml:space="preserve">the </w:t>
      </w:r>
      <w:r w:rsidRPr="00F12414">
        <w:rPr>
          <w:sz w:val="20"/>
        </w:rPr>
        <w:t>dismantling of the source container. It requires the expertise of an experienced person</w:t>
      </w:r>
      <w:r>
        <w:rPr>
          <w:sz w:val="20"/>
        </w:rPr>
        <w:t>s</w:t>
      </w:r>
      <w:r w:rsidRPr="00F12414">
        <w:rPr>
          <w:sz w:val="20"/>
        </w:rPr>
        <w:t xml:space="preserve"> in the field. Materials and devices required for a successful conditioning operation include:</w:t>
      </w:r>
    </w:p>
    <w:p w:rsidR="00A9669B" w:rsidRPr="00F12414" w:rsidRDefault="00A9669B" w:rsidP="00A9669B">
      <w:pPr>
        <w:numPr>
          <w:ilvl w:val="0"/>
          <w:numId w:val="4"/>
        </w:numPr>
        <w:spacing w:line="276" w:lineRule="auto"/>
        <w:jc w:val="both"/>
        <w:rPr>
          <w:sz w:val="20"/>
        </w:rPr>
      </w:pPr>
      <w:r w:rsidRPr="00F12414">
        <w:rPr>
          <w:sz w:val="20"/>
        </w:rPr>
        <w:t>200 L (iron) drum</w:t>
      </w:r>
    </w:p>
    <w:p w:rsidR="00A9669B" w:rsidRPr="00F12414" w:rsidRDefault="00A9669B" w:rsidP="00A9669B">
      <w:pPr>
        <w:numPr>
          <w:ilvl w:val="0"/>
          <w:numId w:val="4"/>
        </w:numPr>
        <w:spacing w:line="276" w:lineRule="auto"/>
        <w:jc w:val="both"/>
        <w:rPr>
          <w:sz w:val="20"/>
        </w:rPr>
      </w:pPr>
      <w:r w:rsidRPr="00F12414">
        <w:rPr>
          <w:sz w:val="20"/>
        </w:rPr>
        <w:t xml:space="preserve">Steel pipe (80 mm diameter), </w:t>
      </w:r>
    </w:p>
    <w:p w:rsidR="00A9669B" w:rsidRPr="00F12414" w:rsidRDefault="00A9669B" w:rsidP="00A9669B">
      <w:pPr>
        <w:numPr>
          <w:ilvl w:val="0"/>
          <w:numId w:val="4"/>
        </w:numPr>
        <w:spacing w:line="276" w:lineRule="auto"/>
        <w:jc w:val="both"/>
        <w:rPr>
          <w:sz w:val="20"/>
        </w:rPr>
      </w:pPr>
      <w:r w:rsidRPr="00F12414">
        <w:rPr>
          <w:sz w:val="20"/>
        </w:rPr>
        <w:t>Lead sheet</w:t>
      </w:r>
    </w:p>
    <w:p w:rsidR="00A9669B" w:rsidRPr="00F12414" w:rsidRDefault="00A9669B" w:rsidP="00A9669B">
      <w:pPr>
        <w:numPr>
          <w:ilvl w:val="0"/>
          <w:numId w:val="4"/>
        </w:numPr>
        <w:spacing w:line="276" w:lineRule="auto"/>
        <w:jc w:val="both"/>
        <w:rPr>
          <w:sz w:val="20"/>
        </w:rPr>
      </w:pPr>
      <w:r w:rsidRPr="00F12414">
        <w:rPr>
          <w:sz w:val="20"/>
        </w:rPr>
        <w:t>Lead blocks</w:t>
      </w:r>
    </w:p>
    <w:p w:rsidR="00A9669B" w:rsidRPr="00F12414" w:rsidRDefault="00A9669B" w:rsidP="00A9669B">
      <w:pPr>
        <w:numPr>
          <w:ilvl w:val="0"/>
          <w:numId w:val="4"/>
        </w:numPr>
        <w:spacing w:line="276" w:lineRule="auto"/>
        <w:jc w:val="both"/>
        <w:rPr>
          <w:sz w:val="20"/>
        </w:rPr>
      </w:pPr>
      <w:r w:rsidRPr="00F12414">
        <w:rPr>
          <w:sz w:val="20"/>
        </w:rPr>
        <w:t xml:space="preserve">Transparent plastic sheet </w:t>
      </w:r>
    </w:p>
    <w:p w:rsidR="00A9669B" w:rsidRPr="00F12414" w:rsidRDefault="00A9669B" w:rsidP="00A9669B">
      <w:pPr>
        <w:numPr>
          <w:ilvl w:val="0"/>
          <w:numId w:val="4"/>
        </w:numPr>
        <w:spacing w:line="276" w:lineRule="auto"/>
        <w:jc w:val="both"/>
        <w:rPr>
          <w:sz w:val="20"/>
        </w:rPr>
      </w:pPr>
      <w:r w:rsidRPr="00F12414">
        <w:rPr>
          <w:sz w:val="20"/>
        </w:rPr>
        <w:t xml:space="preserve">Drilling and grating devices </w:t>
      </w:r>
    </w:p>
    <w:p w:rsidR="00A9669B" w:rsidRPr="00F12414" w:rsidRDefault="00A9669B" w:rsidP="00A9669B">
      <w:pPr>
        <w:numPr>
          <w:ilvl w:val="0"/>
          <w:numId w:val="4"/>
        </w:numPr>
        <w:spacing w:line="276" w:lineRule="auto"/>
        <w:jc w:val="both"/>
        <w:rPr>
          <w:sz w:val="20"/>
        </w:rPr>
      </w:pPr>
      <w:r w:rsidRPr="00F12414">
        <w:rPr>
          <w:sz w:val="20"/>
        </w:rPr>
        <w:t xml:space="preserve">Personal dosimeter (TLD badge) </w:t>
      </w:r>
    </w:p>
    <w:p w:rsidR="00A9669B" w:rsidRPr="00F12414" w:rsidRDefault="00A9669B" w:rsidP="00A9669B">
      <w:pPr>
        <w:numPr>
          <w:ilvl w:val="0"/>
          <w:numId w:val="4"/>
        </w:numPr>
        <w:spacing w:line="276" w:lineRule="auto"/>
        <w:jc w:val="both"/>
        <w:rPr>
          <w:sz w:val="20"/>
        </w:rPr>
      </w:pPr>
      <w:r w:rsidRPr="00F12414">
        <w:rPr>
          <w:sz w:val="20"/>
        </w:rPr>
        <w:t>Dose rate reader (</w:t>
      </w:r>
      <w:proofErr w:type="spellStart"/>
      <w:r w:rsidRPr="00F12414">
        <w:rPr>
          <w:sz w:val="20"/>
        </w:rPr>
        <w:t>Radiagem</w:t>
      </w:r>
      <w:proofErr w:type="spellEnd"/>
      <w:r w:rsidRPr="00F12414">
        <w:rPr>
          <w:sz w:val="20"/>
        </w:rPr>
        <w:t xml:space="preserve">) and </w:t>
      </w:r>
    </w:p>
    <w:p w:rsidR="00A9669B" w:rsidRPr="00071B92" w:rsidRDefault="00A9669B" w:rsidP="00A9669B">
      <w:pPr>
        <w:spacing w:before="240" w:line="276" w:lineRule="auto"/>
        <w:jc w:val="both"/>
        <w:rPr>
          <w:sz w:val="18"/>
        </w:rPr>
      </w:pPr>
      <w:proofErr w:type="spellStart"/>
      <w:r w:rsidRPr="00F12414">
        <w:rPr>
          <w:sz w:val="20"/>
        </w:rPr>
        <w:t>HPGe</w:t>
      </w:r>
      <w:proofErr w:type="spellEnd"/>
      <w:r w:rsidRPr="00F12414">
        <w:rPr>
          <w:sz w:val="20"/>
        </w:rPr>
        <w:t xml:space="preserve"> neutron and gamma detector (</w:t>
      </w:r>
      <w:proofErr w:type="spellStart"/>
      <w:r w:rsidRPr="00F12414">
        <w:rPr>
          <w:sz w:val="20"/>
        </w:rPr>
        <w:t>ICx</w:t>
      </w:r>
      <w:proofErr w:type="spellEnd"/>
      <w:r w:rsidRPr="00F12414">
        <w:rPr>
          <w:sz w:val="20"/>
        </w:rPr>
        <w:t xml:space="preserve"> </w:t>
      </w:r>
      <w:proofErr w:type="spellStart"/>
      <w:r w:rsidRPr="00F12414">
        <w:rPr>
          <w:sz w:val="20"/>
        </w:rPr>
        <w:t>IdentiFINDER</w:t>
      </w:r>
      <w:proofErr w:type="spellEnd"/>
      <w:r w:rsidRPr="00F12414">
        <w:rPr>
          <w:sz w:val="20"/>
        </w:rPr>
        <w:t>)</w:t>
      </w:r>
    </w:p>
    <w:p w:rsidR="0087050D" w:rsidRDefault="0087050D" w:rsidP="0087050D">
      <w:pPr>
        <w:pStyle w:val="ListParagraph"/>
        <w:numPr>
          <w:ilvl w:val="1"/>
          <w:numId w:val="1"/>
        </w:numPr>
        <w:spacing w:line="276" w:lineRule="auto"/>
        <w:jc w:val="both"/>
        <w:rPr>
          <w:b/>
          <w:sz w:val="20"/>
        </w:rPr>
      </w:pPr>
      <w:r w:rsidRPr="0087050D">
        <w:rPr>
          <w:b/>
          <w:sz w:val="20"/>
        </w:rPr>
        <w:lastRenderedPageBreak/>
        <w:t>Contamination test</w:t>
      </w:r>
    </w:p>
    <w:p w:rsidR="00816A89" w:rsidRPr="00B243F7" w:rsidRDefault="00816A89" w:rsidP="0087050D">
      <w:pPr>
        <w:spacing w:before="240" w:line="276" w:lineRule="auto"/>
        <w:ind w:firstLine="360"/>
        <w:jc w:val="both"/>
        <w:rPr>
          <w:sz w:val="20"/>
        </w:rPr>
      </w:pPr>
      <w:r w:rsidRPr="00B243F7">
        <w:rPr>
          <w:sz w:val="20"/>
        </w:rPr>
        <w:t xml:space="preserve">After device is </w:t>
      </w:r>
      <w:r w:rsidR="0087050D">
        <w:rPr>
          <w:sz w:val="20"/>
        </w:rPr>
        <w:t>dismantled and source is removed, a contamination test also known as leak test is conducted to ascertain whether</w:t>
      </w:r>
      <w:r w:rsidRPr="00B243F7">
        <w:rPr>
          <w:sz w:val="20"/>
        </w:rPr>
        <w:t xml:space="preserve"> </w:t>
      </w:r>
      <w:r w:rsidR="0087050D">
        <w:rPr>
          <w:sz w:val="20"/>
        </w:rPr>
        <w:t xml:space="preserve">there was contamination in the </w:t>
      </w:r>
      <w:r w:rsidRPr="00B243F7">
        <w:rPr>
          <w:sz w:val="20"/>
        </w:rPr>
        <w:t xml:space="preserve">process of dismantling and </w:t>
      </w:r>
      <w:r w:rsidR="0087050D">
        <w:rPr>
          <w:sz w:val="20"/>
        </w:rPr>
        <w:t xml:space="preserve">source </w:t>
      </w:r>
      <w:r w:rsidRPr="00B243F7">
        <w:rPr>
          <w:sz w:val="20"/>
        </w:rPr>
        <w:t>recovery</w:t>
      </w:r>
      <w:r w:rsidR="0087050D">
        <w:rPr>
          <w:sz w:val="20"/>
        </w:rPr>
        <w:t>.</w:t>
      </w:r>
      <w:r w:rsidRPr="00B243F7">
        <w:rPr>
          <w:sz w:val="20"/>
        </w:rPr>
        <w:t xml:space="preserve"> </w:t>
      </w:r>
      <w:r w:rsidR="0087050D">
        <w:rPr>
          <w:sz w:val="20"/>
        </w:rPr>
        <w:t xml:space="preserve">The method of </w:t>
      </w:r>
      <w:r w:rsidR="00386F88" w:rsidRPr="00B243F7">
        <w:rPr>
          <w:sz w:val="20"/>
        </w:rPr>
        <w:t xml:space="preserve">dry and wet </w:t>
      </w:r>
      <w:r w:rsidR="00C42809">
        <w:rPr>
          <w:sz w:val="20"/>
        </w:rPr>
        <w:t xml:space="preserve">leak </w:t>
      </w:r>
      <w:r w:rsidRPr="00B243F7">
        <w:rPr>
          <w:sz w:val="20"/>
        </w:rPr>
        <w:t>test</w:t>
      </w:r>
      <w:r w:rsidR="00386F88" w:rsidRPr="00B243F7">
        <w:rPr>
          <w:sz w:val="20"/>
        </w:rPr>
        <w:t xml:space="preserve">s </w:t>
      </w:r>
      <w:r w:rsidR="00C42809">
        <w:rPr>
          <w:sz w:val="20"/>
        </w:rPr>
        <w:t>[</w:t>
      </w:r>
      <w:r w:rsidR="00A92A4F">
        <w:rPr>
          <w:sz w:val="20"/>
        </w:rPr>
        <w:t>6</w:t>
      </w:r>
      <w:r w:rsidR="00C42809">
        <w:rPr>
          <w:sz w:val="20"/>
        </w:rPr>
        <w:t xml:space="preserve">] </w:t>
      </w:r>
      <w:r w:rsidR="00386F88" w:rsidRPr="00B243F7">
        <w:rPr>
          <w:sz w:val="20"/>
        </w:rPr>
        <w:t>are</w:t>
      </w:r>
      <w:r w:rsidRPr="00B243F7">
        <w:rPr>
          <w:sz w:val="20"/>
        </w:rPr>
        <w:t xml:space="preserve"> conducted on the source container as well as </w:t>
      </w:r>
      <w:r w:rsidR="00386F88" w:rsidRPr="00B243F7">
        <w:rPr>
          <w:sz w:val="20"/>
        </w:rPr>
        <w:t>the</w:t>
      </w:r>
      <w:r w:rsidR="001960BD" w:rsidRPr="00B243F7">
        <w:rPr>
          <w:sz w:val="20"/>
        </w:rPr>
        <w:t xml:space="preserve"> equipment used in the process.</w:t>
      </w:r>
      <w:r w:rsidR="00386F88" w:rsidRPr="00B243F7">
        <w:rPr>
          <w:sz w:val="20"/>
        </w:rPr>
        <w:t xml:space="preserve"> </w:t>
      </w:r>
    </w:p>
    <w:p w:rsidR="00816A89" w:rsidRPr="0087050D" w:rsidRDefault="00816A89" w:rsidP="0087050D">
      <w:pPr>
        <w:pStyle w:val="ListParagraph"/>
        <w:numPr>
          <w:ilvl w:val="1"/>
          <w:numId w:val="1"/>
        </w:numPr>
        <w:spacing w:line="276" w:lineRule="auto"/>
        <w:jc w:val="both"/>
        <w:rPr>
          <w:b/>
          <w:sz w:val="20"/>
        </w:rPr>
      </w:pPr>
      <w:r w:rsidRPr="0087050D">
        <w:rPr>
          <w:b/>
          <w:sz w:val="20"/>
        </w:rPr>
        <w:t xml:space="preserve">Decontamination </w:t>
      </w:r>
    </w:p>
    <w:p w:rsidR="00816A89" w:rsidRPr="00B243F7" w:rsidRDefault="00386F88" w:rsidP="003C64AC">
      <w:pPr>
        <w:spacing w:line="276" w:lineRule="auto"/>
        <w:jc w:val="both"/>
        <w:rPr>
          <w:sz w:val="20"/>
        </w:rPr>
      </w:pPr>
      <w:r w:rsidRPr="00B243F7">
        <w:rPr>
          <w:sz w:val="20"/>
        </w:rPr>
        <w:t>When</w:t>
      </w:r>
      <w:r w:rsidR="001960BD" w:rsidRPr="00B243F7">
        <w:rPr>
          <w:sz w:val="20"/>
        </w:rPr>
        <w:t xml:space="preserve"> </w:t>
      </w:r>
      <w:r w:rsidR="00816A89" w:rsidRPr="00B243F7">
        <w:rPr>
          <w:sz w:val="20"/>
        </w:rPr>
        <w:t>contamination</w:t>
      </w:r>
      <w:r w:rsidR="001960BD" w:rsidRPr="00B243F7">
        <w:rPr>
          <w:sz w:val="20"/>
        </w:rPr>
        <w:t xml:space="preserve"> is detected,</w:t>
      </w:r>
      <w:r w:rsidR="00816A89" w:rsidRPr="00B243F7">
        <w:rPr>
          <w:sz w:val="20"/>
        </w:rPr>
        <w:t xml:space="preserve"> </w:t>
      </w:r>
      <w:r w:rsidR="001960BD" w:rsidRPr="00B243F7">
        <w:rPr>
          <w:sz w:val="20"/>
        </w:rPr>
        <w:t>both person</w:t>
      </w:r>
      <w:r w:rsidRPr="00B243F7">
        <w:rPr>
          <w:sz w:val="20"/>
        </w:rPr>
        <w:t>ne</w:t>
      </w:r>
      <w:r w:rsidR="001960BD" w:rsidRPr="00B243F7">
        <w:rPr>
          <w:sz w:val="20"/>
        </w:rPr>
        <w:t xml:space="preserve">l and equipment </w:t>
      </w:r>
      <w:r w:rsidR="0087050D">
        <w:rPr>
          <w:sz w:val="20"/>
        </w:rPr>
        <w:t>are quickly decontaminated</w:t>
      </w:r>
      <w:r w:rsidR="001960BD" w:rsidRPr="00B243F7">
        <w:rPr>
          <w:sz w:val="20"/>
        </w:rPr>
        <w:t xml:space="preserve"> </w:t>
      </w:r>
      <w:r w:rsidR="00A92A4F">
        <w:rPr>
          <w:sz w:val="20"/>
        </w:rPr>
        <w:t xml:space="preserve">[7] </w:t>
      </w:r>
      <w:r w:rsidR="001960BD" w:rsidRPr="00B243F7">
        <w:rPr>
          <w:sz w:val="20"/>
        </w:rPr>
        <w:t>as follows:</w:t>
      </w:r>
    </w:p>
    <w:p w:rsidR="00816A89" w:rsidRPr="0087050D" w:rsidRDefault="00816A89" w:rsidP="0087050D">
      <w:pPr>
        <w:pStyle w:val="ListParagraph"/>
        <w:numPr>
          <w:ilvl w:val="2"/>
          <w:numId w:val="1"/>
        </w:numPr>
        <w:spacing w:line="276" w:lineRule="auto"/>
        <w:jc w:val="both"/>
        <w:rPr>
          <w:i/>
          <w:sz w:val="20"/>
        </w:rPr>
      </w:pPr>
      <w:r w:rsidRPr="0087050D">
        <w:rPr>
          <w:i/>
          <w:sz w:val="20"/>
        </w:rPr>
        <w:t>Person</w:t>
      </w:r>
      <w:r w:rsidR="00386F88" w:rsidRPr="0087050D">
        <w:rPr>
          <w:i/>
          <w:sz w:val="20"/>
        </w:rPr>
        <w:t>ne</w:t>
      </w:r>
      <w:r w:rsidRPr="0087050D">
        <w:rPr>
          <w:i/>
          <w:sz w:val="20"/>
        </w:rPr>
        <w:t>l decontamination</w:t>
      </w:r>
    </w:p>
    <w:p w:rsidR="001960BD" w:rsidRPr="00B243F7" w:rsidRDefault="001960BD" w:rsidP="003C64AC">
      <w:pPr>
        <w:numPr>
          <w:ilvl w:val="0"/>
          <w:numId w:val="7"/>
        </w:numPr>
        <w:spacing w:line="276" w:lineRule="auto"/>
        <w:jc w:val="both"/>
        <w:rPr>
          <w:sz w:val="20"/>
        </w:rPr>
      </w:pPr>
      <w:r w:rsidRPr="00B243F7">
        <w:rPr>
          <w:sz w:val="20"/>
        </w:rPr>
        <w:t>D</w:t>
      </w:r>
      <w:r w:rsidR="00A9669B">
        <w:rPr>
          <w:sz w:val="20"/>
        </w:rPr>
        <w:t>econtamination is</w:t>
      </w:r>
      <w:r w:rsidRPr="00B243F7">
        <w:rPr>
          <w:sz w:val="20"/>
        </w:rPr>
        <w:t xml:space="preserve"> led by the RPO or as appointed by the Manager;</w:t>
      </w:r>
    </w:p>
    <w:p w:rsidR="001960BD" w:rsidRPr="00B243F7" w:rsidRDefault="00A9669B" w:rsidP="003C64AC">
      <w:pPr>
        <w:numPr>
          <w:ilvl w:val="0"/>
          <w:numId w:val="7"/>
        </w:numPr>
        <w:spacing w:line="276" w:lineRule="auto"/>
        <w:jc w:val="both"/>
        <w:rPr>
          <w:sz w:val="20"/>
        </w:rPr>
      </w:pPr>
      <w:r>
        <w:rPr>
          <w:sz w:val="20"/>
        </w:rPr>
        <w:t>Movement of persons is</w:t>
      </w:r>
      <w:r w:rsidR="001960BD" w:rsidRPr="00B243F7">
        <w:rPr>
          <w:sz w:val="20"/>
        </w:rPr>
        <w:t xml:space="preserve"> confined to contaminated area until they are decontaminated and cleared;</w:t>
      </w:r>
    </w:p>
    <w:p w:rsidR="001960BD" w:rsidRPr="00B243F7" w:rsidRDefault="00A9669B" w:rsidP="003C64AC">
      <w:pPr>
        <w:numPr>
          <w:ilvl w:val="0"/>
          <w:numId w:val="7"/>
        </w:numPr>
        <w:spacing w:line="276" w:lineRule="auto"/>
        <w:jc w:val="both"/>
        <w:rPr>
          <w:sz w:val="20"/>
        </w:rPr>
      </w:pPr>
      <w:r>
        <w:rPr>
          <w:sz w:val="20"/>
        </w:rPr>
        <w:t>Exterior clothing is</w:t>
      </w:r>
      <w:r w:rsidR="001960BD" w:rsidRPr="00B243F7">
        <w:rPr>
          <w:sz w:val="20"/>
        </w:rPr>
        <w:t xml:space="preserve"> removed if contamination exceeds operational intervention level (OIL</w:t>
      </w:r>
      <w:r>
        <w:rPr>
          <w:sz w:val="20"/>
        </w:rPr>
        <w:t>) and put in a designated contamination</w:t>
      </w:r>
      <w:r w:rsidR="001960BD" w:rsidRPr="00B243F7">
        <w:rPr>
          <w:sz w:val="20"/>
        </w:rPr>
        <w:t xml:space="preserve"> bin;</w:t>
      </w:r>
    </w:p>
    <w:p w:rsidR="001960BD" w:rsidRPr="00B243F7" w:rsidRDefault="00A9669B" w:rsidP="003C64AC">
      <w:pPr>
        <w:numPr>
          <w:ilvl w:val="0"/>
          <w:numId w:val="7"/>
        </w:numPr>
        <w:spacing w:line="276" w:lineRule="auto"/>
        <w:jc w:val="both"/>
        <w:rPr>
          <w:sz w:val="20"/>
        </w:rPr>
      </w:pPr>
      <w:r w:rsidRPr="00B243F7">
        <w:rPr>
          <w:sz w:val="20"/>
        </w:rPr>
        <w:t>P</w:t>
      </w:r>
      <w:r w:rsidR="001960BD" w:rsidRPr="00B243F7">
        <w:rPr>
          <w:sz w:val="20"/>
        </w:rPr>
        <w:t>art of body that is contaminated</w:t>
      </w:r>
      <w:r>
        <w:rPr>
          <w:sz w:val="20"/>
        </w:rPr>
        <w:t xml:space="preserve"> is identified</w:t>
      </w:r>
      <w:r w:rsidR="001960BD" w:rsidRPr="00B243F7">
        <w:rPr>
          <w:sz w:val="20"/>
        </w:rPr>
        <w:t>;</w:t>
      </w:r>
    </w:p>
    <w:p w:rsidR="001960BD" w:rsidRPr="00B243F7" w:rsidRDefault="00A9669B" w:rsidP="003C64AC">
      <w:pPr>
        <w:numPr>
          <w:ilvl w:val="0"/>
          <w:numId w:val="7"/>
        </w:numPr>
        <w:spacing w:line="276" w:lineRule="auto"/>
        <w:jc w:val="both"/>
        <w:rPr>
          <w:sz w:val="20"/>
        </w:rPr>
      </w:pPr>
      <w:r w:rsidRPr="00B243F7">
        <w:rPr>
          <w:sz w:val="20"/>
        </w:rPr>
        <w:t>F</w:t>
      </w:r>
      <w:r w:rsidR="001960BD" w:rsidRPr="00B243F7">
        <w:rPr>
          <w:sz w:val="20"/>
        </w:rPr>
        <w:t xml:space="preserve">ixed contamination levels on the skin </w:t>
      </w:r>
      <w:r>
        <w:rPr>
          <w:sz w:val="20"/>
        </w:rPr>
        <w:t xml:space="preserve">is measured </w:t>
      </w:r>
      <w:r w:rsidR="001960BD" w:rsidRPr="00B243F7">
        <w:rPr>
          <w:sz w:val="20"/>
        </w:rPr>
        <w:t>and record</w:t>
      </w:r>
      <w:r>
        <w:rPr>
          <w:sz w:val="20"/>
        </w:rPr>
        <w:t>ed</w:t>
      </w:r>
      <w:r w:rsidR="00354C02">
        <w:rPr>
          <w:sz w:val="20"/>
        </w:rPr>
        <w:t>;</w:t>
      </w:r>
      <w:r>
        <w:rPr>
          <w:sz w:val="20"/>
        </w:rPr>
        <w:t xml:space="preserve"> </w:t>
      </w:r>
      <w:r w:rsidR="00354C02">
        <w:rPr>
          <w:sz w:val="20"/>
        </w:rPr>
        <w:t>it assists in estimating</w:t>
      </w:r>
      <w:r w:rsidR="001960BD" w:rsidRPr="00B243F7">
        <w:rPr>
          <w:sz w:val="20"/>
        </w:rPr>
        <w:t xml:space="preserve"> skin dose;</w:t>
      </w:r>
    </w:p>
    <w:p w:rsidR="001960BD" w:rsidRPr="00B243F7" w:rsidRDefault="00354C02" w:rsidP="003C64AC">
      <w:pPr>
        <w:numPr>
          <w:ilvl w:val="0"/>
          <w:numId w:val="7"/>
        </w:numPr>
        <w:spacing w:line="276" w:lineRule="auto"/>
        <w:jc w:val="both"/>
        <w:rPr>
          <w:sz w:val="20"/>
        </w:rPr>
      </w:pPr>
      <w:r w:rsidRPr="00B243F7">
        <w:rPr>
          <w:sz w:val="20"/>
        </w:rPr>
        <w:t>C</w:t>
      </w:r>
      <w:r w:rsidR="001960BD" w:rsidRPr="00B243F7">
        <w:rPr>
          <w:sz w:val="20"/>
        </w:rPr>
        <w:t>ontamination</w:t>
      </w:r>
      <w:r>
        <w:rPr>
          <w:sz w:val="20"/>
        </w:rPr>
        <w:t xml:space="preserve"> by loose particles</w:t>
      </w:r>
      <w:r w:rsidR="001960BD" w:rsidRPr="00B243F7">
        <w:rPr>
          <w:sz w:val="20"/>
        </w:rPr>
        <w:t xml:space="preserve"> </w:t>
      </w:r>
      <w:r>
        <w:rPr>
          <w:sz w:val="20"/>
        </w:rPr>
        <w:t xml:space="preserve">are </w:t>
      </w:r>
      <w:r w:rsidR="001960BD" w:rsidRPr="00B243F7">
        <w:rPr>
          <w:sz w:val="20"/>
        </w:rPr>
        <w:t xml:space="preserve">gently </w:t>
      </w:r>
      <w:r>
        <w:rPr>
          <w:sz w:val="20"/>
        </w:rPr>
        <w:t>collected using</w:t>
      </w:r>
      <w:r w:rsidR="001960BD" w:rsidRPr="00B243F7">
        <w:rPr>
          <w:sz w:val="20"/>
        </w:rPr>
        <w:t xml:space="preserve"> adhesive tape and wash</w:t>
      </w:r>
      <w:r>
        <w:rPr>
          <w:sz w:val="20"/>
        </w:rPr>
        <w:t>ing surfaces thoroughly</w:t>
      </w:r>
      <w:r w:rsidR="001960BD" w:rsidRPr="00B243F7">
        <w:rPr>
          <w:sz w:val="20"/>
        </w:rPr>
        <w:t xml:space="preserve"> with soap and water;</w:t>
      </w:r>
    </w:p>
    <w:p w:rsidR="001960BD" w:rsidRPr="00B243F7" w:rsidRDefault="00354C02" w:rsidP="003C64AC">
      <w:pPr>
        <w:numPr>
          <w:ilvl w:val="0"/>
          <w:numId w:val="7"/>
        </w:numPr>
        <w:spacing w:line="276" w:lineRule="auto"/>
        <w:jc w:val="both"/>
        <w:rPr>
          <w:sz w:val="20"/>
        </w:rPr>
      </w:pPr>
      <w:r>
        <w:rPr>
          <w:sz w:val="20"/>
        </w:rPr>
        <w:t xml:space="preserve">Without loosed particles, </w:t>
      </w:r>
      <w:r w:rsidR="001960BD" w:rsidRPr="00B243F7">
        <w:rPr>
          <w:sz w:val="20"/>
        </w:rPr>
        <w:t>affected part</w:t>
      </w:r>
      <w:r>
        <w:rPr>
          <w:sz w:val="20"/>
        </w:rPr>
        <w:t>s are</w:t>
      </w:r>
      <w:r w:rsidR="001960BD" w:rsidRPr="00B243F7">
        <w:rPr>
          <w:sz w:val="20"/>
        </w:rPr>
        <w:t xml:space="preserve"> thoroughly </w:t>
      </w:r>
      <w:r>
        <w:rPr>
          <w:sz w:val="20"/>
        </w:rPr>
        <w:t xml:space="preserve">washed </w:t>
      </w:r>
      <w:r w:rsidR="001960BD" w:rsidRPr="00B243F7">
        <w:rPr>
          <w:sz w:val="20"/>
        </w:rPr>
        <w:t>with soap and tepid water, with gentle scrubs;</w:t>
      </w:r>
    </w:p>
    <w:p w:rsidR="00354C02" w:rsidRDefault="00354C02" w:rsidP="00354C02">
      <w:pPr>
        <w:numPr>
          <w:ilvl w:val="0"/>
          <w:numId w:val="7"/>
        </w:numPr>
        <w:spacing w:line="276" w:lineRule="auto"/>
        <w:jc w:val="both"/>
        <w:rPr>
          <w:sz w:val="20"/>
        </w:rPr>
      </w:pPr>
      <w:r w:rsidRPr="00B243F7">
        <w:rPr>
          <w:sz w:val="20"/>
        </w:rPr>
        <w:t>O</w:t>
      </w:r>
      <w:r w:rsidR="001960BD" w:rsidRPr="00B243F7">
        <w:rPr>
          <w:sz w:val="20"/>
        </w:rPr>
        <w:t>bserve dose rate</w:t>
      </w:r>
      <w:r>
        <w:rPr>
          <w:sz w:val="20"/>
        </w:rPr>
        <w:t xml:space="preserve">s of </w:t>
      </w:r>
      <w:r w:rsidR="001960BD" w:rsidRPr="00B243F7">
        <w:rPr>
          <w:sz w:val="20"/>
        </w:rPr>
        <w:t>affected part</w:t>
      </w:r>
      <w:r>
        <w:rPr>
          <w:sz w:val="20"/>
        </w:rPr>
        <w:t>s and surfaces</w:t>
      </w:r>
      <w:r w:rsidR="001960BD" w:rsidRPr="00B243F7">
        <w:rPr>
          <w:sz w:val="20"/>
        </w:rPr>
        <w:t xml:space="preserve">, </w:t>
      </w:r>
      <w:r>
        <w:rPr>
          <w:sz w:val="20"/>
        </w:rPr>
        <w:t xml:space="preserve">they should be equal or close to background dose otherwise repeat point </w:t>
      </w:r>
      <w:proofErr w:type="gramStart"/>
      <w:r>
        <w:rPr>
          <w:sz w:val="20"/>
        </w:rPr>
        <w:t>vi</w:t>
      </w:r>
      <w:proofErr w:type="gramEnd"/>
      <w:r>
        <w:rPr>
          <w:sz w:val="20"/>
        </w:rPr>
        <w:t xml:space="preserve"> and/or vii. </w:t>
      </w:r>
    </w:p>
    <w:p w:rsidR="00354C02" w:rsidRPr="00354C02" w:rsidRDefault="00354C02" w:rsidP="00354C02">
      <w:pPr>
        <w:spacing w:after="0" w:line="276" w:lineRule="auto"/>
        <w:ind w:left="1080"/>
        <w:jc w:val="both"/>
        <w:rPr>
          <w:sz w:val="20"/>
        </w:rPr>
      </w:pPr>
    </w:p>
    <w:p w:rsidR="00816A89" w:rsidRPr="0087050D" w:rsidRDefault="00816A89" w:rsidP="0087050D">
      <w:pPr>
        <w:pStyle w:val="ListParagraph"/>
        <w:numPr>
          <w:ilvl w:val="2"/>
          <w:numId w:val="1"/>
        </w:numPr>
        <w:spacing w:line="276" w:lineRule="auto"/>
        <w:jc w:val="both"/>
        <w:rPr>
          <w:i/>
          <w:sz w:val="20"/>
        </w:rPr>
      </w:pPr>
      <w:r w:rsidRPr="0087050D">
        <w:rPr>
          <w:i/>
          <w:sz w:val="20"/>
        </w:rPr>
        <w:t xml:space="preserve">Equipment decontamination </w:t>
      </w:r>
    </w:p>
    <w:p w:rsidR="001960BD" w:rsidRPr="00B243F7" w:rsidRDefault="001960BD" w:rsidP="003C64AC">
      <w:pPr>
        <w:numPr>
          <w:ilvl w:val="0"/>
          <w:numId w:val="8"/>
        </w:numPr>
        <w:spacing w:line="276" w:lineRule="auto"/>
        <w:jc w:val="both"/>
        <w:rPr>
          <w:sz w:val="20"/>
        </w:rPr>
      </w:pPr>
      <w:r w:rsidRPr="00B243F7">
        <w:rPr>
          <w:sz w:val="20"/>
        </w:rPr>
        <w:t>Wear clean gloves;</w:t>
      </w:r>
    </w:p>
    <w:p w:rsidR="001960BD" w:rsidRPr="00B243F7" w:rsidRDefault="001960BD" w:rsidP="003C64AC">
      <w:pPr>
        <w:numPr>
          <w:ilvl w:val="0"/>
          <w:numId w:val="8"/>
        </w:numPr>
        <w:spacing w:line="276" w:lineRule="auto"/>
        <w:jc w:val="both"/>
        <w:rPr>
          <w:sz w:val="20"/>
        </w:rPr>
      </w:pPr>
      <w:r w:rsidRPr="00B243F7">
        <w:rPr>
          <w:sz w:val="20"/>
        </w:rPr>
        <w:t xml:space="preserve">Use </w:t>
      </w:r>
      <w:r w:rsidR="00052396">
        <w:rPr>
          <w:sz w:val="20"/>
        </w:rPr>
        <w:t xml:space="preserve">a </w:t>
      </w:r>
      <w:r w:rsidRPr="00B243F7">
        <w:rPr>
          <w:sz w:val="20"/>
        </w:rPr>
        <w:t>clean piece of dry cloth to wipe surfaces of contaminated equipment;</w:t>
      </w:r>
    </w:p>
    <w:p w:rsidR="001960BD" w:rsidRPr="00B243F7" w:rsidRDefault="001960BD" w:rsidP="003C64AC">
      <w:pPr>
        <w:numPr>
          <w:ilvl w:val="0"/>
          <w:numId w:val="8"/>
        </w:numPr>
        <w:spacing w:line="276" w:lineRule="auto"/>
        <w:jc w:val="both"/>
        <w:rPr>
          <w:sz w:val="20"/>
        </w:rPr>
      </w:pPr>
      <w:r w:rsidRPr="00B243F7">
        <w:rPr>
          <w:sz w:val="20"/>
        </w:rPr>
        <w:t xml:space="preserve">Dampen </w:t>
      </w:r>
      <w:r w:rsidR="00052396">
        <w:rPr>
          <w:sz w:val="20"/>
        </w:rPr>
        <w:t>another clean piece of</w:t>
      </w:r>
      <w:r w:rsidRPr="00B243F7">
        <w:rPr>
          <w:sz w:val="20"/>
        </w:rPr>
        <w:t xml:space="preserve"> </w:t>
      </w:r>
      <w:r w:rsidR="00052396">
        <w:rPr>
          <w:sz w:val="20"/>
        </w:rPr>
        <w:t>cloth with an organic solvent and</w:t>
      </w:r>
      <w:r w:rsidRPr="00B243F7">
        <w:rPr>
          <w:sz w:val="20"/>
        </w:rPr>
        <w:t xml:space="preserve"> use it to wipe </w:t>
      </w:r>
      <w:r w:rsidR="00CE4185" w:rsidRPr="00B243F7">
        <w:rPr>
          <w:sz w:val="20"/>
        </w:rPr>
        <w:t>contaminated surface</w:t>
      </w:r>
      <w:r w:rsidRPr="00B243F7">
        <w:rPr>
          <w:sz w:val="20"/>
        </w:rPr>
        <w:t>;</w:t>
      </w:r>
    </w:p>
    <w:p w:rsidR="001960BD" w:rsidRPr="00B243F7" w:rsidRDefault="001960BD" w:rsidP="003C64AC">
      <w:pPr>
        <w:numPr>
          <w:ilvl w:val="0"/>
          <w:numId w:val="8"/>
        </w:numPr>
        <w:spacing w:line="276" w:lineRule="auto"/>
        <w:jc w:val="both"/>
        <w:rPr>
          <w:sz w:val="20"/>
        </w:rPr>
      </w:pPr>
      <w:r w:rsidRPr="00B243F7">
        <w:rPr>
          <w:sz w:val="20"/>
        </w:rPr>
        <w:t>If equipment is waterproof, wash whole equipment with soap and water;</w:t>
      </w:r>
    </w:p>
    <w:p w:rsidR="00CE4185" w:rsidRDefault="001960BD" w:rsidP="003C64AC">
      <w:pPr>
        <w:numPr>
          <w:ilvl w:val="0"/>
          <w:numId w:val="8"/>
        </w:numPr>
        <w:spacing w:line="276" w:lineRule="auto"/>
        <w:jc w:val="both"/>
        <w:rPr>
          <w:sz w:val="20"/>
        </w:rPr>
      </w:pPr>
      <w:r w:rsidRPr="00B243F7">
        <w:rPr>
          <w:sz w:val="20"/>
        </w:rPr>
        <w:t>Throw all disposables after decontaminat</w:t>
      </w:r>
      <w:r w:rsidR="00DE287B" w:rsidRPr="00B243F7">
        <w:rPr>
          <w:sz w:val="20"/>
        </w:rPr>
        <w:t>ion into the ‘contamination bin’</w:t>
      </w:r>
      <w:r w:rsidRPr="00B243F7">
        <w:rPr>
          <w:sz w:val="20"/>
        </w:rPr>
        <w:t>.</w:t>
      </w:r>
    </w:p>
    <w:p w:rsidR="00B243F7" w:rsidRPr="00B243F7" w:rsidRDefault="00B243F7" w:rsidP="00B243F7">
      <w:pPr>
        <w:spacing w:line="276" w:lineRule="auto"/>
        <w:ind w:left="1080"/>
        <w:jc w:val="both"/>
        <w:rPr>
          <w:sz w:val="20"/>
        </w:rPr>
      </w:pPr>
    </w:p>
    <w:p w:rsidR="00CE4185" w:rsidRPr="00B243F7" w:rsidRDefault="00B243F7" w:rsidP="003C64AC">
      <w:pPr>
        <w:pStyle w:val="ListParagraph"/>
        <w:numPr>
          <w:ilvl w:val="0"/>
          <w:numId w:val="1"/>
        </w:numPr>
        <w:spacing w:line="276" w:lineRule="auto"/>
        <w:jc w:val="both"/>
        <w:rPr>
          <w:sz w:val="20"/>
        </w:rPr>
      </w:pPr>
      <w:r w:rsidRPr="00B243F7">
        <w:rPr>
          <w:sz w:val="20"/>
        </w:rPr>
        <w:t>RESULTS AND DISCUSSION</w:t>
      </w:r>
    </w:p>
    <w:p w:rsidR="00CE4185" w:rsidRPr="00B243F7" w:rsidRDefault="00386F88" w:rsidP="005A3B06">
      <w:pPr>
        <w:spacing w:line="276" w:lineRule="auto"/>
        <w:ind w:firstLine="360"/>
        <w:jc w:val="both"/>
        <w:rPr>
          <w:sz w:val="20"/>
        </w:rPr>
      </w:pPr>
      <w:r w:rsidRPr="00B243F7">
        <w:rPr>
          <w:sz w:val="20"/>
        </w:rPr>
        <w:t>The</w:t>
      </w:r>
      <w:r w:rsidR="00F51C42" w:rsidRPr="00B243F7">
        <w:rPr>
          <w:sz w:val="20"/>
        </w:rPr>
        <w:t xml:space="preserve"> resultant of the pre-disposal radioactive waste management processes described above is</w:t>
      </w:r>
      <w:r w:rsidRPr="00B243F7">
        <w:rPr>
          <w:sz w:val="20"/>
        </w:rPr>
        <w:t xml:space="preserve"> to build a robust</w:t>
      </w:r>
      <w:r w:rsidR="00F51C42" w:rsidRPr="00B243F7">
        <w:rPr>
          <w:sz w:val="20"/>
        </w:rPr>
        <w:t xml:space="preserve"> radioactive waste management system</w:t>
      </w:r>
      <w:r w:rsidR="00F251F7" w:rsidRPr="00B243F7">
        <w:rPr>
          <w:sz w:val="20"/>
        </w:rPr>
        <w:t>. A system that guarantees safety of human</w:t>
      </w:r>
      <w:r w:rsidRPr="00B243F7">
        <w:rPr>
          <w:sz w:val="20"/>
        </w:rPr>
        <w:t>s</w:t>
      </w:r>
      <w:r w:rsidR="00F251F7" w:rsidRPr="00B243F7">
        <w:rPr>
          <w:sz w:val="20"/>
        </w:rPr>
        <w:t xml:space="preserve"> and the environment from </w:t>
      </w:r>
      <w:r w:rsidRPr="00B243F7">
        <w:rPr>
          <w:sz w:val="20"/>
        </w:rPr>
        <w:t xml:space="preserve">the </w:t>
      </w:r>
      <w:r w:rsidR="00F251F7" w:rsidRPr="00B243F7">
        <w:rPr>
          <w:sz w:val="20"/>
        </w:rPr>
        <w:t xml:space="preserve">harmful effects of ionizing radiation. </w:t>
      </w:r>
      <w:r w:rsidRPr="00B243F7">
        <w:rPr>
          <w:sz w:val="20"/>
        </w:rPr>
        <w:t>A system that will ensure occupational and public safety; and a</w:t>
      </w:r>
      <w:r w:rsidR="00F251F7" w:rsidRPr="00B243F7">
        <w:rPr>
          <w:sz w:val="20"/>
        </w:rPr>
        <w:t xml:space="preserve"> system that will ensure security of the sources – preventing thefts, losses, unauthorized application and radiological incidents and/or accidents. </w:t>
      </w:r>
    </w:p>
    <w:p w:rsidR="005A3B06" w:rsidRDefault="005A3B06" w:rsidP="005A3B06">
      <w:pPr>
        <w:spacing w:line="276" w:lineRule="auto"/>
        <w:ind w:firstLine="360"/>
        <w:jc w:val="both"/>
        <w:rPr>
          <w:sz w:val="20"/>
        </w:rPr>
      </w:pPr>
      <w:r w:rsidRPr="00B243F7">
        <w:rPr>
          <w:sz w:val="20"/>
        </w:rPr>
        <w:t>A</w:t>
      </w:r>
      <w:r w:rsidR="00F251F7" w:rsidRPr="00B243F7">
        <w:rPr>
          <w:sz w:val="20"/>
        </w:rPr>
        <w:t xml:space="preserve">ll decommissioned </w:t>
      </w:r>
      <w:r>
        <w:rPr>
          <w:sz w:val="20"/>
        </w:rPr>
        <w:t xml:space="preserve">and/or </w:t>
      </w:r>
      <w:r w:rsidR="00F251F7" w:rsidRPr="00B243F7">
        <w:rPr>
          <w:sz w:val="20"/>
        </w:rPr>
        <w:t xml:space="preserve">disused </w:t>
      </w:r>
      <w:r w:rsidRPr="00B243F7">
        <w:rPr>
          <w:sz w:val="20"/>
        </w:rPr>
        <w:t>sources</w:t>
      </w:r>
      <w:r w:rsidRPr="00B243F7">
        <w:rPr>
          <w:sz w:val="20"/>
        </w:rPr>
        <w:t xml:space="preserve"> </w:t>
      </w:r>
      <w:r w:rsidR="00F251F7" w:rsidRPr="00B243F7">
        <w:rPr>
          <w:sz w:val="20"/>
        </w:rPr>
        <w:t>have successfully been</w:t>
      </w:r>
      <w:r w:rsidR="00386F88" w:rsidRPr="00B243F7">
        <w:rPr>
          <w:sz w:val="20"/>
        </w:rPr>
        <w:t xml:space="preserve"> retrieved from the various end-</w:t>
      </w:r>
      <w:r w:rsidR="00F251F7" w:rsidRPr="00B243F7">
        <w:rPr>
          <w:sz w:val="20"/>
        </w:rPr>
        <w:t xml:space="preserve">users and safely been transported to the </w:t>
      </w:r>
      <w:r w:rsidR="000265E9" w:rsidRPr="00B243F7">
        <w:rPr>
          <w:sz w:val="20"/>
        </w:rPr>
        <w:t>CRWMF for further management until disposal.</w:t>
      </w:r>
      <w:r w:rsidR="00F251F7" w:rsidRPr="00B243F7">
        <w:rPr>
          <w:sz w:val="20"/>
        </w:rPr>
        <w:t xml:space="preserve"> </w:t>
      </w:r>
      <w:r>
        <w:rPr>
          <w:sz w:val="20"/>
        </w:rPr>
        <w:t>These sources</w:t>
      </w:r>
      <w:r w:rsidR="000265E9" w:rsidRPr="00B243F7">
        <w:rPr>
          <w:sz w:val="20"/>
        </w:rPr>
        <w:t xml:space="preserve"> have bee</w:t>
      </w:r>
      <w:r>
        <w:rPr>
          <w:sz w:val="20"/>
        </w:rPr>
        <w:t xml:space="preserve">n characterized </w:t>
      </w:r>
      <w:r>
        <w:rPr>
          <w:sz w:val="20"/>
        </w:rPr>
        <w:lastRenderedPageBreak/>
        <w:t>in accordance with</w:t>
      </w:r>
      <w:r w:rsidR="000265E9" w:rsidRPr="00B243F7">
        <w:rPr>
          <w:sz w:val="20"/>
        </w:rPr>
        <w:t xml:space="preserve"> national and international regulations</w:t>
      </w:r>
      <w:r>
        <w:rPr>
          <w:sz w:val="20"/>
        </w:rPr>
        <w:t>;</w:t>
      </w:r>
      <w:r w:rsidR="000265E9" w:rsidRPr="00B243F7">
        <w:rPr>
          <w:sz w:val="20"/>
        </w:rPr>
        <w:t xml:space="preserve"> and all records</w:t>
      </w:r>
      <w:r w:rsidR="00E55D5D">
        <w:rPr>
          <w:sz w:val="20"/>
        </w:rPr>
        <w:t xml:space="preserve"> kept in the RWMC’s </w:t>
      </w:r>
      <w:r w:rsidR="000265E9" w:rsidRPr="00B243F7">
        <w:rPr>
          <w:sz w:val="20"/>
        </w:rPr>
        <w:t xml:space="preserve">electronic </w:t>
      </w:r>
      <w:r w:rsidR="00E55D5D">
        <w:rPr>
          <w:sz w:val="20"/>
        </w:rPr>
        <w:t xml:space="preserve">and manual </w:t>
      </w:r>
      <w:r w:rsidR="000265E9" w:rsidRPr="00B243F7">
        <w:rPr>
          <w:sz w:val="20"/>
        </w:rPr>
        <w:t>registry. A</w:t>
      </w:r>
      <w:r>
        <w:rPr>
          <w:sz w:val="20"/>
        </w:rPr>
        <w:t xml:space="preserve">bout 90% of retrieved disused </w:t>
      </w:r>
      <w:r w:rsidR="00F251F7" w:rsidRPr="00B243F7">
        <w:rPr>
          <w:sz w:val="20"/>
        </w:rPr>
        <w:t>sources</w:t>
      </w:r>
      <w:r w:rsidR="000265E9" w:rsidRPr="00B243F7">
        <w:rPr>
          <w:sz w:val="20"/>
        </w:rPr>
        <w:t xml:space="preserve"> have </w:t>
      </w:r>
      <w:r w:rsidR="00F251F7" w:rsidRPr="00B243F7">
        <w:rPr>
          <w:sz w:val="20"/>
        </w:rPr>
        <w:t xml:space="preserve">successfully </w:t>
      </w:r>
      <w:r w:rsidR="000265E9" w:rsidRPr="00B243F7">
        <w:rPr>
          <w:sz w:val="20"/>
        </w:rPr>
        <w:t xml:space="preserve">been conditioned. </w:t>
      </w:r>
    </w:p>
    <w:p w:rsidR="00F251F7" w:rsidRDefault="00625773" w:rsidP="005A3B06">
      <w:pPr>
        <w:spacing w:line="276" w:lineRule="auto"/>
        <w:ind w:firstLine="360"/>
        <w:jc w:val="both"/>
        <w:rPr>
          <w:sz w:val="20"/>
        </w:rPr>
      </w:pPr>
      <w:r w:rsidRPr="00B243F7">
        <w:rPr>
          <w:sz w:val="20"/>
        </w:rPr>
        <w:t xml:space="preserve">The </w:t>
      </w:r>
      <w:r w:rsidR="005A3B06">
        <w:rPr>
          <w:sz w:val="20"/>
        </w:rPr>
        <w:t xml:space="preserve">radioactive source </w:t>
      </w:r>
      <w:r w:rsidRPr="00B243F7">
        <w:rPr>
          <w:sz w:val="20"/>
        </w:rPr>
        <w:t xml:space="preserve">inventory is dominant </w:t>
      </w:r>
      <w:r w:rsidR="003858B3" w:rsidRPr="00B243F7">
        <w:rPr>
          <w:sz w:val="20"/>
        </w:rPr>
        <w:t xml:space="preserve">with gamma sources of which </w:t>
      </w:r>
      <w:r w:rsidR="003858B3" w:rsidRPr="00B243F7">
        <w:rPr>
          <w:sz w:val="20"/>
          <w:vertAlign w:val="superscript"/>
        </w:rPr>
        <w:t>241</w:t>
      </w:r>
      <w:r w:rsidR="003858B3" w:rsidRPr="00B243F7">
        <w:rPr>
          <w:sz w:val="20"/>
        </w:rPr>
        <w:t xml:space="preserve">Am and </w:t>
      </w:r>
      <w:r w:rsidR="003858B3" w:rsidRPr="00B243F7">
        <w:rPr>
          <w:sz w:val="20"/>
          <w:vertAlign w:val="superscript"/>
        </w:rPr>
        <w:t>137</w:t>
      </w:r>
      <w:r w:rsidR="005A3B06">
        <w:rPr>
          <w:sz w:val="20"/>
        </w:rPr>
        <w:t xml:space="preserve">Cs are more than half </w:t>
      </w:r>
      <w:r w:rsidR="003858B3" w:rsidRPr="00B243F7">
        <w:rPr>
          <w:sz w:val="20"/>
        </w:rPr>
        <w:t>the inventory; a</w:t>
      </w:r>
      <w:r w:rsidR="00364819" w:rsidRPr="00B243F7">
        <w:rPr>
          <w:sz w:val="20"/>
        </w:rPr>
        <w:t>lpha</w:t>
      </w:r>
      <w:r w:rsidR="003858B3" w:rsidRPr="00B243F7">
        <w:rPr>
          <w:sz w:val="20"/>
        </w:rPr>
        <w:t xml:space="preserve"> </w:t>
      </w:r>
      <w:r w:rsidR="00364819" w:rsidRPr="00B243F7">
        <w:rPr>
          <w:sz w:val="20"/>
        </w:rPr>
        <w:t>and neutron sources</w:t>
      </w:r>
      <w:r w:rsidR="003858B3" w:rsidRPr="00B243F7">
        <w:rPr>
          <w:sz w:val="20"/>
        </w:rPr>
        <w:t xml:space="preserve"> </w:t>
      </w:r>
      <w:r w:rsidR="005A3B06">
        <w:rPr>
          <w:sz w:val="20"/>
        </w:rPr>
        <w:t>are</w:t>
      </w:r>
      <w:r w:rsidR="003858B3" w:rsidRPr="00B243F7">
        <w:rPr>
          <w:sz w:val="20"/>
        </w:rPr>
        <w:t xml:space="preserve"> </w:t>
      </w:r>
      <w:r w:rsidR="00DE287B" w:rsidRPr="00B243F7">
        <w:rPr>
          <w:sz w:val="20"/>
        </w:rPr>
        <w:t xml:space="preserve">almost of </w:t>
      </w:r>
      <w:r w:rsidR="003858B3" w:rsidRPr="00B243F7">
        <w:rPr>
          <w:sz w:val="20"/>
        </w:rPr>
        <w:t>same quantities</w:t>
      </w:r>
      <w:r w:rsidR="00364819" w:rsidRPr="00B243F7">
        <w:rPr>
          <w:sz w:val="20"/>
        </w:rPr>
        <w:t>.</w:t>
      </w:r>
      <w:r w:rsidR="003858B3" w:rsidRPr="00B243F7">
        <w:rPr>
          <w:sz w:val="20"/>
        </w:rPr>
        <w:t xml:space="preserve"> </w:t>
      </w:r>
      <w:r w:rsidR="00E55D5D" w:rsidRPr="00B243F7">
        <w:rPr>
          <w:sz w:val="20"/>
        </w:rPr>
        <w:t>A</w:t>
      </w:r>
      <w:r w:rsidR="003858B3" w:rsidRPr="00B243F7">
        <w:rPr>
          <w:sz w:val="20"/>
        </w:rPr>
        <w:t>ctivity concentration</w:t>
      </w:r>
      <w:r w:rsidR="00E914F4" w:rsidRPr="00B243F7">
        <w:rPr>
          <w:sz w:val="20"/>
        </w:rPr>
        <w:t>s</w:t>
      </w:r>
      <w:r w:rsidR="003858B3" w:rsidRPr="00B243F7">
        <w:rPr>
          <w:sz w:val="20"/>
        </w:rPr>
        <w:t xml:space="preserve"> </w:t>
      </w:r>
      <w:r w:rsidR="00E914F4" w:rsidRPr="00B243F7">
        <w:rPr>
          <w:sz w:val="20"/>
        </w:rPr>
        <w:t xml:space="preserve">of </w:t>
      </w:r>
      <w:r w:rsidR="003858B3" w:rsidRPr="00B243F7">
        <w:rPr>
          <w:sz w:val="20"/>
        </w:rPr>
        <w:t>alpha, neutron and gamma sources</w:t>
      </w:r>
      <w:r w:rsidR="00E914F4" w:rsidRPr="00B243F7">
        <w:rPr>
          <w:sz w:val="20"/>
        </w:rPr>
        <w:t xml:space="preserve"> </w:t>
      </w:r>
      <w:r w:rsidR="0049055A">
        <w:rPr>
          <w:sz w:val="20"/>
        </w:rPr>
        <w:t xml:space="preserve">at the time of writing this manuscript </w:t>
      </w:r>
      <w:r w:rsidR="00E914F4" w:rsidRPr="00B243F7">
        <w:rPr>
          <w:sz w:val="20"/>
        </w:rPr>
        <w:t>are</w:t>
      </w:r>
      <w:r w:rsidR="003858B3" w:rsidRPr="00B243F7">
        <w:rPr>
          <w:sz w:val="20"/>
        </w:rPr>
        <w:t xml:space="preserve"> </w:t>
      </w:r>
      <w:r w:rsidR="00E914F4" w:rsidRPr="00B243F7">
        <w:rPr>
          <w:sz w:val="20"/>
        </w:rPr>
        <w:t>1.62 x 10</w:t>
      </w:r>
      <w:r w:rsidR="00E914F4" w:rsidRPr="00B243F7">
        <w:rPr>
          <w:sz w:val="20"/>
          <w:vertAlign w:val="superscript"/>
        </w:rPr>
        <w:t>10</w:t>
      </w:r>
      <w:r w:rsidR="00E914F4" w:rsidRPr="00B243F7">
        <w:rPr>
          <w:sz w:val="20"/>
        </w:rPr>
        <w:t xml:space="preserve"> </w:t>
      </w:r>
      <w:proofErr w:type="spellStart"/>
      <w:r w:rsidR="00E914F4" w:rsidRPr="00B243F7">
        <w:rPr>
          <w:sz w:val="20"/>
        </w:rPr>
        <w:t>Bq</w:t>
      </w:r>
      <w:proofErr w:type="spellEnd"/>
      <w:r w:rsidR="00E914F4" w:rsidRPr="00B243F7">
        <w:rPr>
          <w:sz w:val="20"/>
        </w:rPr>
        <w:t>/cm</w:t>
      </w:r>
      <w:r w:rsidR="00E914F4" w:rsidRPr="00B243F7">
        <w:rPr>
          <w:sz w:val="20"/>
          <w:vertAlign w:val="superscript"/>
        </w:rPr>
        <w:t>2</w:t>
      </w:r>
      <w:r w:rsidR="00E914F4" w:rsidRPr="00B243F7">
        <w:rPr>
          <w:sz w:val="20"/>
        </w:rPr>
        <w:t>, 1.75 x 10</w:t>
      </w:r>
      <w:r w:rsidR="00E914F4" w:rsidRPr="00B243F7">
        <w:rPr>
          <w:sz w:val="20"/>
          <w:vertAlign w:val="superscript"/>
        </w:rPr>
        <w:t>10</w:t>
      </w:r>
      <w:r w:rsidR="00E914F4" w:rsidRPr="00B243F7">
        <w:rPr>
          <w:sz w:val="20"/>
        </w:rPr>
        <w:t xml:space="preserve"> </w:t>
      </w:r>
      <w:proofErr w:type="spellStart"/>
      <w:r w:rsidR="00E914F4" w:rsidRPr="00B243F7">
        <w:rPr>
          <w:sz w:val="20"/>
        </w:rPr>
        <w:t>Bq</w:t>
      </w:r>
      <w:proofErr w:type="spellEnd"/>
      <w:r w:rsidR="00E914F4" w:rsidRPr="00B243F7">
        <w:rPr>
          <w:sz w:val="20"/>
        </w:rPr>
        <w:t>/cm</w:t>
      </w:r>
      <w:r w:rsidR="00E914F4" w:rsidRPr="00B243F7">
        <w:rPr>
          <w:sz w:val="20"/>
          <w:vertAlign w:val="superscript"/>
        </w:rPr>
        <w:t>2</w:t>
      </w:r>
      <w:r w:rsidR="00DE287B" w:rsidRPr="00B243F7">
        <w:rPr>
          <w:sz w:val="20"/>
        </w:rPr>
        <w:t xml:space="preserve"> </w:t>
      </w:r>
      <w:r w:rsidR="00E914F4" w:rsidRPr="00B243F7">
        <w:rPr>
          <w:sz w:val="20"/>
        </w:rPr>
        <w:t>and 9.66 x 10</w:t>
      </w:r>
      <w:r w:rsidR="00E914F4" w:rsidRPr="00B243F7">
        <w:rPr>
          <w:sz w:val="20"/>
          <w:vertAlign w:val="superscript"/>
        </w:rPr>
        <w:t>10</w:t>
      </w:r>
      <w:r w:rsidRPr="00B243F7">
        <w:rPr>
          <w:sz w:val="20"/>
        </w:rPr>
        <w:t xml:space="preserve"> </w:t>
      </w:r>
      <w:proofErr w:type="spellStart"/>
      <w:r w:rsidR="00E914F4" w:rsidRPr="00B243F7">
        <w:rPr>
          <w:sz w:val="20"/>
        </w:rPr>
        <w:t>Bq</w:t>
      </w:r>
      <w:proofErr w:type="spellEnd"/>
      <w:r w:rsidR="00E914F4" w:rsidRPr="00B243F7">
        <w:rPr>
          <w:sz w:val="20"/>
        </w:rPr>
        <w:t>/cm</w:t>
      </w:r>
      <w:r w:rsidR="00E914F4" w:rsidRPr="00B243F7">
        <w:rPr>
          <w:sz w:val="20"/>
          <w:vertAlign w:val="superscript"/>
        </w:rPr>
        <w:t>2</w:t>
      </w:r>
      <w:proofErr w:type="gramStart"/>
      <w:r w:rsidR="00E55D5D">
        <w:rPr>
          <w:sz w:val="20"/>
        </w:rPr>
        <w:t xml:space="preserve">, </w:t>
      </w:r>
      <w:r w:rsidR="00E914F4" w:rsidRPr="00B243F7">
        <w:rPr>
          <w:sz w:val="20"/>
          <w:vertAlign w:val="superscript"/>
        </w:rPr>
        <w:t xml:space="preserve"> </w:t>
      </w:r>
      <w:r w:rsidR="00E914F4" w:rsidRPr="00B243F7">
        <w:rPr>
          <w:sz w:val="20"/>
        </w:rPr>
        <w:t>respectively</w:t>
      </w:r>
      <w:proofErr w:type="gramEnd"/>
      <w:r w:rsidR="00E914F4" w:rsidRPr="00B243F7">
        <w:rPr>
          <w:sz w:val="20"/>
        </w:rPr>
        <w:t>.</w:t>
      </w:r>
      <w:r w:rsidR="00E914F4" w:rsidRPr="00B243F7">
        <w:rPr>
          <w:sz w:val="20"/>
          <w:vertAlign w:val="superscript"/>
        </w:rPr>
        <w:t xml:space="preserve"> </w:t>
      </w:r>
      <w:r w:rsidR="000265E9" w:rsidRPr="00B243F7">
        <w:rPr>
          <w:sz w:val="20"/>
        </w:rPr>
        <w:t xml:space="preserve">Summary of </w:t>
      </w:r>
      <w:r w:rsidR="0049055A">
        <w:rPr>
          <w:sz w:val="20"/>
        </w:rPr>
        <w:t xml:space="preserve">the </w:t>
      </w:r>
      <w:r w:rsidR="000265E9" w:rsidRPr="00B243F7">
        <w:rPr>
          <w:sz w:val="20"/>
        </w:rPr>
        <w:t xml:space="preserve">source inventory is given in </w:t>
      </w:r>
      <w:r w:rsidR="00B243F7">
        <w:rPr>
          <w:sz w:val="20"/>
        </w:rPr>
        <w:t>Fig.</w:t>
      </w:r>
      <w:r w:rsidR="00E914F4" w:rsidRPr="00B243F7">
        <w:rPr>
          <w:sz w:val="20"/>
        </w:rPr>
        <w:t xml:space="preserve"> </w:t>
      </w:r>
      <w:r w:rsidR="00DE287B" w:rsidRPr="00B243F7">
        <w:rPr>
          <w:sz w:val="20"/>
        </w:rPr>
        <w:t>4</w:t>
      </w:r>
      <w:r w:rsidR="00E914F4" w:rsidRPr="00B243F7">
        <w:rPr>
          <w:sz w:val="20"/>
        </w:rPr>
        <w:t xml:space="preserve">. </w:t>
      </w:r>
    </w:p>
    <w:p w:rsidR="00E55D5D" w:rsidRDefault="00E55D5D" w:rsidP="00E55D5D">
      <w:pPr>
        <w:spacing w:after="0" w:line="276" w:lineRule="auto"/>
        <w:ind w:firstLine="360"/>
        <w:jc w:val="both"/>
      </w:pPr>
    </w:p>
    <w:p w:rsidR="000F552B" w:rsidRDefault="000F552B" w:rsidP="000F552B">
      <w:pPr>
        <w:spacing w:after="0" w:line="240" w:lineRule="auto"/>
        <w:jc w:val="center"/>
        <w:rPr>
          <w:rFonts w:cs="Times New Roman"/>
          <w:b/>
        </w:rPr>
      </w:pPr>
      <w:r>
        <w:rPr>
          <w:noProof/>
        </w:rPr>
        <w:drawing>
          <wp:inline distT="0" distB="0" distL="0" distR="0" wp14:anchorId="38FF60FE" wp14:editId="3838B8E1">
            <wp:extent cx="5417820" cy="2080260"/>
            <wp:effectExtent l="0" t="0" r="1143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39E06BFE" wp14:editId="719BD194">
            <wp:extent cx="5417820" cy="1962150"/>
            <wp:effectExtent l="0" t="0" r="1143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552B" w:rsidRDefault="000F552B" w:rsidP="003C64AC">
      <w:pPr>
        <w:spacing w:line="276" w:lineRule="auto"/>
        <w:jc w:val="both"/>
      </w:pPr>
    </w:p>
    <w:p w:rsidR="00CE4185" w:rsidRPr="00B243F7" w:rsidRDefault="00B243F7" w:rsidP="003C64AC">
      <w:pPr>
        <w:spacing w:line="276" w:lineRule="auto"/>
        <w:jc w:val="center"/>
        <w:rPr>
          <w:i/>
          <w:sz w:val="18"/>
        </w:rPr>
      </w:pPr>
      <w:r w:rsidRPr="00B243F7">
        <w:rPr>
          <w:i/>
          <w:sz w:val="18"/>
        </w:rPr>
        <w:t>FIG</w:t>
      </w:r>
      <w:r w:rsidR="00DE287B" w:rsidRPr="00B243F7">
        <w:rPr>
          <w:i/>
          <w:sz w:val="18"/>
        </w:rPr>
        <w:t xml:space="preserve"> 4. Overview of Ghana’s radioactive source inventory</w:t>
      </w:r>
    </w:p>
    <w:p w:rsidR="00DE287B" w:rsidRDefault="00DE287B" w:rsidP="003C64AC">
      <w:pPr>
        <w:spacing w:line="276" w:lineRule="auto"/>
        <w:rPr>
          <w:b/>
        </w:rPr>
      </w:pPr>
    </w:p>
    <w:p w:rsidR="00DE287B" w:rsidRPr="00B243F7" w:rsidRDefault="00B243F7" w:rsidP="00B243F7">
      <w:pPr>
        <w:spacing w:line="276" w:lineRule="auto"/>
        <w:jc w:val="center"/>
        <w:rPr>
          <w:b/>
          <w:sz w:val="20"/>
        </w:rPr>
      </w:pPr>
      <w:r w:rsidRPr="00B243F7">
        <w:rPr>
          <w:b/>
          <w:sz w:val="20"/>
        </w:rPr>
        <w:t>ACKNOWLEDGMENT</w:t>
      </w:r>
    </w:p>
    <w:p w:rsidR="00DE287B" w:rsidRPr="00B243F7" w:rsidRDefault="00B17BD5" w:rsidP="003C64AC">
      <w:pPr>
        <w:spacing w:line="276" w:lineRule="auto"/>
        <w:rPr>
          <w:sz w:val="20"/>
        </w:rPr>
      </w:pPr>
      <w:r w:rsidRPr="00B243F7">
        <w:rPr>
          <w:sz w:val="20"/>
        </w:rPr>
        <w:t xml:space="preserve">Author is grateful to the Ghana Atomic Energy Commission and the International Atomic Energy Agency for logistical support. </w:t>
      </w:r>
    </w:p>
    <w:p w:rsidR="00CE4185" w:rsidRPr="00B243F7" w:rsidRDefault="00B243F7" w:rsidP="00B243F7">
      <w:pPr>
        <w:spacing w:line="276" w:lineRule="auto"/>
        <w:jc w:val="center"/>
        <w:rPr>
          <w:b/>
          <w:sz w:val="20"/>
        </w:rPr>
      </w:pPr>
      <w:r w:rsidRPr="00B243F7">
        <w:rPr>
          <w:b/>
          <w:sz w:val="20"/>
        </w:rPr>
        <w:t>REFERENCES</w:t>
      </w:r>
    </w:p>
    <w:p w:rsidR="00CE4185" w:rsidRPr="00B243F7" w:rsidRDefault="0083494B" w:rsidP="003C64AC">
      <w:pPr>
        <w:numPr>
          <w:ilvl w:val="0"/>
          <w:numId w:val="9"/>
        </w:numPr>
        <w:spacing w:line="276" w:lineRule="auto"/>
        <w:jc w:val="both"/>
        <w:rPr>
          <w:sz w:val="18"/>
        </w:rPr>
      </w:pPr>
      <w:r w:rsidRPr="00B243F7">
        <w:rPr>
          <w:sz w:val="18"/>
        </w:rPr>
        <w:t>INT</w:t>
      </w:r>
      <w:r>
        <w:rPr>
          <w:sz w:val="18"/>
        </w:rPr>
        <w:t xml:space="preserve">ERNATIONAL ATOMIC ENERGY AGENCY, </w:t>
      </w:r>
      <w:r w:rsidR="00CE4185" w:rsidRPr="00B243F7">
        <w:rPr>
          <w:sz w:val="18"/>
        </w:rPr>
        <w:t>Geological Disposal of Radioactive Waste, IAEA Safety Standards Series No. WS-R-4, IAEA, Vienna</w:t>
      </w:r>
      <w:r>
        <w:rPr>
          <w:sz w:val="18"/>
        </w:rPr>
        <w:t>, (2006)</w:t>
      </w:r>
      <w:r w:rsidR="00CE4185" w:rsidRPr="00B243F7">
        <w:rPr>
          <w:sz w:val="18"/>
        </w:rPr>
        <w:t>.</w:t>
      </w:r>
    </w:p>
    <w:p w:rsidR="00CE4185" w:rsidRPr="00B243F7" w:rsidRDefault="0083494B" w:rsidP="003C64AC">
      <w:pPr>
        <w:numPr>
          <w:ilvl w:val="0"/>
          <w:numId w:val="9"/>
        </w:numPr>
        <w:spacing w:line="276" w:lineRule="auto"/>
        <w:jc w:val="both"/>
        <w:rPr>
          <w:sz w:val="18"/>
        </w:rPr>
      </w:pPr>
      <w:r w:rsidRPr="00B243F7">
        <w:rPr>
          <w:sz w:val="18"/>
        </w:rPr>
        <w:t>INTERNATIONAL ATOMIC ENERGY AGENCY</w:t>
      </w:r>
      <w:r w:rsidR="00CE4185" w:rsidRPr="00B243F7">
        <w:rPr>
          <w:sz w:val="18"/>
        </w:rPr>
        <w:t>, Near Surface Disposal Facilities for Radioactive Waste IAEA Safety Standards Series No. SSG-29 IAEA, Vienna</w:t>
      </w:r>
      <w:r>
        <w:rPr>
          <w:sz w:val="18"/>
        </w:rPr>
        <w:t>,</w:t>
      </w:r>
      <w:r w:rsidRPr="0083494B">
        <w:rPr>
          <w:sz w:val="18"/>
        </w:rPr>
        <w:t xml:space="preserve"> </w:t>
      </w:r>
      <w:r w:rsidRPr="00B243F7">
        <w:rPr>
          <w:sz w:val="18"/>
        </w:rPr>
        <w:t>(2014)</w:t>
      </w:r>
      <w:r>
        <w:rPr>
          <w:sz w:val="18"/>
        </w:rPr>
        <w:t>.</w:t>
      </w:r>
    </w:p>
    <w:p w:rsidR="00CE4185" w:rsidRDefault="0083494B" w:rsidP="003C64AC">
      <w:pPr>
        <w:numPr>
          <w:ilvl w:val="0"/>
          <w:numId w:val="9"/>
        </w:numPr>
        <w:spacing w:line="276" w:lineRule="auto"/>
        <w:jc w:val="both"/>
        <w:rPr>
          <w:sz w:val="18"/>
        </w:rPr>
      </w:pPr>
      <w:r w:rsidRPr="00B243F7">
        <w:rPr>
          <w:sz w:val="18"/>
        </w:rPr>
        <w:lastRenderedPageBreak/>
        <w:t xml:space="preserve">INTERNATIONAL ATOMIC ENERGY AGENCY, </w:t>
      </w:r>
      <w:r w:rsidR="00CE4185" w:rsidRPr="00B243F7">
        <w:rPr>
          <w:sz w:val="18"/>
        </w:rPr>
        <w:t>International Basic Safety Standards for Protection against Ionizing Radiation and for the Safety of Radiation Sources, Safe</w:t>
      </w:r>
      <w:r>
        <w:rPr>
          <w:sz w:val="18"/>
        </w:rPr>
        <w:t>ty Series No. 115, IAEA, Vienna, (1996).</w:t>
      </w:r>
    </w:p>
    <w:p w:rsidR="00C42809" w:rsidRPr="00B243F7" w:rsidRDefault="00C42809" w:rsidP="003C64AC">
      <w:pPr>
        <w:numPr>
          <w:ilvl w:val="0"/>
          <w:numId w:val="9"/>
        </w:numPr>
        <w:spacing w:line="276" w:lineRule="auto"/>
        <w:jc w:val="both"/>
        <w:rPr>
          <w:sz w:val="18"/>
        </w:rPr>
      </w:pPr>
      <w:r w:rsidRPr="00B243F7">
        <w:rPr>
          <w:sz w:val="18"/>
        </w:rPr>
        <w:t>INTERNATIONAL ATOMIC ENERGY AGENCY</w:t>
      </w:r>
      <w:r>
        <w:rPr>
          <w:sz w:val="18"/>
        </w:rPr>
        <w:t>,</w:t>
      </w:r>
      <w:r w:rsidRPr="00C42809">
        <w:rPr>
          <w:sz w:val="18"/>
        </w:rPr>
        <w:t xml:space="preserve"> </w:t>
      </w:r>
      <w:r>
        <w:rPr>
          <w:sz w:val="18"/>
        </w:rPr>
        <w:t>L</w:t>
      </w:r>
      <w:r w:rsidRPr="00C42809">
        <w:rPr>
          <w:sz w:val="18"/>
        </w:rPr>
        <w:t>ocating and characterizing disused sealed radioactive sources in historical waste</w:t>
      </w:r>
      <w:r>
        <w:rPr>
          <w:sz w:val="18"/>
        </w:rPr>
        <w:t xml:space="preserve">, </w:t>
      </w:r>
      <w:r w:rsidRPr="00C42809">
        <w:rPr>
          <w:sz w:val="18"/>
        </w:rPr>
        <w:t>IAEA Nuclear Energy Series No. NW-T-1.17</w:t>
      </w:r>
      <w:r>
        <w:rPr>
          <w:sz w:val="18"/>
        </w:rPr>
        <w:t xml:space="preserve">, </w:t>
      </w:r>
      <w:r>
        <w:rPr>
          <w:sz w:val="18"/>
        </w:rPr>
        <w:t>Vienna, (</w:t>
      </w:r>
      <w:r>
        <w:rPr>
          <w:sz w:val="18"/>
        </w:rPr>
        <w:t>2008</w:t>
      </w:r>
      <w:r>
        <w:rPr>
          <w:sz w:val="18"/>
        </w:rPr>
        <w:t>).</w:t>
      </w:r>
    </w:p>
    <w:p w:rsidR="00CE4185" w:rsidRPr="00B243F7" w:rsidRDefault="0083494B" w:rsidP="003C64AC">
      <w:pPr>
        <w:numPr>
          <w:ilvl w:val="0"/>
          <w:numId w:val="9"/>
        </w:numPr>
        <w:spacing w:line="276" w:lineRule="auto"/>
        <w:jc w:val="both"/>
        <w:rPr>
          <w:sz w:val="18"/>
        </w:rPr>
      </w:pPr>
      <w:r w:rsidRPr="00B243F7">
        <w:rPr>
          <w:sz w:val="18"/>
        </w:rPr>
        <w:t>INTERNATIONAL ORGANIZATION FOR STANDARDIZATION</w:t>
      </w:r>
      <w:r w:rsidR="00CE4185" w:rsidRPr="00B243F7">
        <w:rPr>
          <w:sz w:val="18"/>
        </w:rPr>
        <w:t>, Radiation Protection — Sealed Radioactive Sources — Leakage Test Methods, ISO 9978:1992, ISO, Geneva (1992).</w:t>
      </w:r>
    </w:p>
    <w:p w:rsidR="00CE4185" w:rsidRDefault="0083494B" w:rsidP="003C64AC">
      <w:pPr>
        <w:numPr>
          <w:ilvl w:val="0"/>
          <w:numId w:val="9"/>
        </w:numPr>
        <w:spacing w:line="276" w:lineRule="auto"/>
        <w:jc w:val="both"/>
        <w:rPr>
          <w:sz w:val="18"/>
        </w:rPr>
      </w:pPr>
      <w:r w:rsidRPr="00B243F7">
        <w:rPr>
          <w:sz w:val="18"/>
        </w:rPr>
        <w:t>INTER</w:t>
      </w:r>
      <w:r>
        <w:rPr>
          <w:sz w:val="18"/>
        </w:rPr>
        <w:t xml:space="preserve">NATIONAL ATOMIC ENERGY AGENCY, </w:t>
      </w:r>
      <w:r w:rsidR="00595C6D">
        <w:rPr>
          <w:sz w:val="18"/>
        </w:rPr>
        <w:t>H</w:t>
      </w:r>
      <w:r w:rsidR="00CE4185" w:rsidRPr="00B243F7">
        <w:rPr>
          <w:sz w:val="18"/>
        </w:rPr>
        <w:t>andling, conditioning and storage of spent sealed radioactive sources, IAEA TECDOC- 1145, 2000.</w:t>
      </w:r>
      <w:r>
        <w:rPr>
          <w:sz w:val="18"/>
        </w:rPr>
        <w:t xml:space="preserve"> </w:t>
      </w:r>
    </w:p>
    <w:p w:rsidR="00A92A4F" w:rsidRPr="00A92A4F" w:rsidRDefault="00A92A4F" w:rsidP="00A92A4F">
      <w:pPr>
        <w:numPr>
          <w:ilvl w:val="0"/>
          <w:numId w:val="9"/>
        </w:numPr>
        <w:spacing w:line="276" w:lineRule="auto"/>
        <w:jc w:val="both"/>
        <w:rPr>
          <w:sz w:val="18"/>
        </w:rPr>
      </w:pPr>
      <w:r w:rsidRPr="00B243F7">
        <w:rPr>
          <w:sz w:val="18"/>
        </w:rPr>
        <w:t>INTER</w:t>
      </w:r>
      <w:r>
        <w:rPr>
          <w:sz w:val="18"/>
        </w:rPr>
        <w:t>NATIONAL ATOMIC ENERGY AGENCY</w:t>
      </w:r>
      <w:r>
        <w:rPr>
          <w:sz w:val="18"/>
        </w:rPr>
        <w:t>,</w:t>
      </w:r>
      <w:r w:rsidRPr="00A92A4F">
        <w:rPr>
          <w:sz w:val="18"/>
        </w:rPr>
        <w:t xml:space="preserve"> New Methods and Techniques for Decontamination in Maintenance or Decommissioning Operations</w:t>
      </w:r>
      <w:r>
        <w:rPr>
          <w:sz w:val="18"/>
        </w:rPr>
        <w:t xml:space="preserve">, </w:t>
      </w:r>
      <w:hyperlink r:id="rId12" w:history="1">
        <w:r w:rsidRPr="00A92A4F">
          <w:rPr>
            <w:rStyle w:val="Hyperlink"/>
            <w:color w:val="auto"/>
            <w:sz w:val="18"/>
            <w:u w:val="none"/>
          </w:rPr>
          <w:t>IAEA TECDOC</w:t>
        </w:r>
      </w:hyperlink>
      <w:r w:rsidRPr="00A92A4F">
        <w:rPr>
          <w:sz w:val="18"/>
        </w:rPr>
        <w:t> No. 1022</w:t>
      </w:r>
      <w:r>
        <w:rPr>
          <w:sz w:val="18"/>
        </w:rPr>
        <w:t xml:space="preserve">, (1998). </w:t>
      </w:r>
    </w:p>
    <w:sectPr w:rsidR="00A92A4F" w:rsidRPr="00A92A4F" w:rsidSect="00C46993">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F6" w:rsidRDefault="008A63F6" w:rsidP="008D2A34">
      <w:pPr>
        <w:spacing w:after="0" w:line="240" w:lineRule="auto"/>
      </w:pPr>
      <w:r>
        <w:separator/>
      </w:r>
    </w:p>
  </w:endnote>
  <w:endnote w:type="continuationSeparator" w:id="0">
    <w:p w:rsidR="008A63F6" w:rsidRDefault="008A63F6" w:rsidP="008D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20374"/>
      <w:docPartObj>
        <w:docPartGallery w:val="Page Numbers (Bottom of Page)"/>
        <w:docPartUnique/>
      </w:docPartObj>
    </w:sdtPr>
    <w:sdtEndPr>
      <w:rPr>
        <w:noProof/>
        <w:sz w:val="20"/>
      </w:rPr>
    </w:sdtEndPr>
    <w:sdtContent>
      <w:p w:rsidR="00C46993" w:rsidRPr="00C46993" w:rsidRDefault="00C46993">
        <w:pPr>
          <w:pStyle w:val="Footer"/>
          <w:jc w:val="right"/>
          <w:rPr>
            <w:sz w:val="20"/>
          </w:rPr>
        </w:pPr>
        <w:r w:rsidRPr="00C46993">
          <w:rPr>
            <w:sz w:val="20"/>
          </w:rPr>
          <w:fldChar w:fldCharType="begin"/>
        </w:r>
        <w:r w:rsidRPr="00C46993">
          <w:rPr>
            <w:sz w:val="20"/>
          </w:rPr>
          <w:instrText xml:space="preserve"> PAGE   \* MERGEFORMAT </w:instrText>
        </w:r>
        <w:r w:rsidRPr="00C46993">
          <w:rPr>
            <w:sz w:val="20"/>
          </w:rPr>
          <w:fldChar w:fldCharType="separate"/>
        </w:r>
        <w:r>
          <w:rPr>
            <w:noProof/>
            <w:sz w:val="20"/>
          </w:rPr>
          <w:t>7</w:t>
        </w:r>
        <w:r w:rsidRPr="00C46993">
          <w:rPr>
            <w:noProof/>
            <w:sz w:val="20"/>
          </w:rPr>
          <w:fldChar w:fldCharType="end"/>
        </w:r>
      </w:p>
    </w:sdtContent>
  </w:sdt>
  <w:p w:rsidR="008D2A34" w:rsidRDefault="008D2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579665"/>
      <w:docPartObj>
        <w:docPartGallery w:val="Page Numbers (Bottom of Page)"/>
        <w:docPartUnique/>
      </w:docPartObj>
    </w:sdtPr>
    <w:sdtEndPr>
      <w:rPr>
        <w:noProof/>
        <w:sz w:val="20"/>
      </w:rPr>
    </w:sdtEndPr>
    <w:sdtContent>
      <w:p w:rsidR="00C46993" w:rsidRPr="00C46993" w:rsidRDefault="00C46993">
        <w:pPr>
          <w:pStyle w:val="Footer"/>
          <w:jc w:val="right"/>
          <w:rPr>
            <w:sz w:val="20"/>
          </w:rPr>
        </w:pPr>
        <w:r w:rsidRPr="00C46993">
          <w:rPr>
            <w:sz w:val="20"/>
          </w:rPr>
          <w:fldChar w:fldCharType="begin"/>
        </w:r>
        <w:r w:rsidRPr="00C46993">
          <w:rPr>
            <w:sz w:val="20"/>
          </w:rPr>
          <w:instrText xml:space="preserve"> PAGE   \* MERGEFORMAT </w:instrText>
        </w:r>
        <w:r w:rsidRPr="00C46993">
          <w:rPr>
            <w:sz w:val="20"/>
          </w:rPr>
          <w:fldChar w:fldCharType="separate"/>
        </w:r>
        <w:r>
          <w:rPr>
            <w:noProof/>
            <w:sz w:val="20"/>
          </w:rPr>
          <w:t>1</w:t>
        </w:r>
        <w:r w:rsidRPr="00C46993">
          <w:rPr>
            <w:noProof/>
            <w:sz w:val="20"/>
          </w:rPr>
          <w:fldChar w:fldCharType="end"/>
        </w:r>
      </w:p>
    </w:sdtContent>
  </w:sdt>
  <w:p w:rsidR="00C46993" w:rsidRDefault="00C4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F6" w:rsidRDefault="008A63F6" w:rsidP="008D2A34">
      <w:pPr>
        <w:spacing w:after="0" w:line="240" w:lineRule="auto"/>
      </w:pPr>
      <w:r>
        <w:separator/>
      </w:r>
    </w:p>
  </w:footnote>
  <w:footnote w:type="continuationSeparator" w:id="0">
    <w:p w:rsidR="008A63F6" w:rsidRDefault="008A63F6" w:rsidP="008D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34" w:rsidRPr="00C46993" w:rsidRDefault="00C46993" w:rsidP="00C46993">
    <w:pPr>
      <w:pStyle w:val="Header"/>
      <w:jc w:val="center"/>
      <w:rPr>
        <w:sz w:val="16"/>
      </w:rPr>
    </w:pPr>
    <w:r w:rsidRPr="00C46993">
      <w:rPr>
        <w:sz w:val="16"/>
      </w:rPr>
      <w:t>IAEA-CN-294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93" w:rsidRPr="00C46993" w:rsidRDefault="00C46993" w:rsidP="00C46993">
    <w:pPr>
      <w:pStyle w:val="Header"/>
      <w:jc w:val="center"/>
      <w:rPr>
        <w:b/>
        <w:sz w:val="16"/>
      </w:rPr>
    </w:pPr>
    <w:r w:rsidRPr="00C46993">
      <w:rPr>
        <w:b/>
        <w:sz w:val="16"/>
      </w:rPr>
      <w:t>A.M.A. DAWOOD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976"/>
    <w:multiLevelType w:val="hybridMultilevel"/>
    <w:tmpl w:val="687008FA"/>
    <w:lvl w:ilvl="0" w:tplc="055C0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3361"/>
    <w:multiLevelType w:val="hybridMultilevel"/>
    <w:tmpl w:val="51F8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E055B"/>
    <w:multiLevelType w:val="hybridMultilevel"/>
    <w:tmpl w:val="21F8A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E2F32"/>
    <w:multiLevelType w:val="hybridMultilevel"/>
    <w:tmpl w:val="8F0E9C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C1FF8"/>
    <w:multiLevelType w:val="hybridMultilevel"/>
    <w:tmpl w:val="E7A66890"/>
    <w:lvl w:ilvl="0" w:tplc="055C0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61E75"/>
    <w:multiLevelType w:val="hybridMultilevel"/>
    <w:tmpl w:val="8C46FA86"/>
    <w:lvl w:ilvl="0" w:tplc="B590D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749C1"/>
    <w:multiLevelType w:val="hybridMultilevel"/>
    <w:tmpl w:val="5E6480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C689E"/>
    <w:multiLevelType w:val="hybridMultilevel"/>
    <w:tmpl w:val="F8DA6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12DA6"/>
    <w:multiLevelType w:val="hybridMultilevel"/>
    <w:tmpl w:val="40625E1C"/>
    <w:lvl w:ilvl="0" w:tplc="4BE61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614BF"/>
    <w:multiLevelType w:val="multilevel"/>
    <w:tmpl w:val="5DA893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3A13B6E"/>
    <w:multiLevelType w:val="hybridMultilevel"/>
    <w:tmpl w:val="A2344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5601B"/>
    <w:multiLevelType w:val="multilevel"/>
    <w:tmpl w:val="7A00B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11"/>
  </w:num>
  <w:num w:numId="4">
    <w:abstractNumId w:val="2"/>
  </w:num>
  <w:num w:numId="5">
    <w:abstractNumId w:val="10"/>
  </w:num>
  <w:num w:numId="6">
    <w:abstractNumId w:val="3"/>
  </w:num>
  <w:num w:numId="7">
    <w:abstractNumId w:val="5"/>
  </w:num>
  <w:num w:numId="8">
    <w:abstractNumId w:val="8"/>
  </w:num>
  <w:num w:numId="9">
    <w:abstractNumId w:val="7"/>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8"/>
    <w:rsid w:val="00017F32"/>
    <w:rsid w:val="000265E9"/>
    <w:rsid w:val="00052396"/>
    <w:rsid w:val="00071B92"/>
    <w:rsid w:val="000A11B7"/>
    <w:rsid w:val="000C0DA9"/>
    <w:rsid w:val="000C7E34"/>
    <w:rsid w:val="000F552B"/>
    <w:rsid w:val="001960BD"/>
    <w:rsid w:val="001D3FF0"/>
    <w:rsid w:val="001D4E9B"/>
    <w:rsid w:val="001E2FE3"/>
    <w:rsid w:val="001F6C61"/>
    <w:rsid w:val="00224D5C"/>
    <w:rsid w:val="00354C02"/>
    <w:rsid w:val="00364819"/>
    <w:rsid w:val="00375F82"/>
    <w:rsid w:val="003858B3"/>
    <w:rsid w:val="00386F88"/>
    <w:rsid w:val="003C64AC"/>
    <w:rsid w:val="003D18BC"/>
    <w:rsid w:val="003E2672"/>
    <w:rsid w:val="003F7563"/>
    <w:rsid w:val="004843F4"/>
    <w:rsid w:val="0049055A"/>
    <w:rsid w:val="004E71DF"/>
    <w:rsid w:val="00595C6D"/>
    <w:rsid w:val="005A3B06"/>
    <w:rsid w:val="005C5191"/>
    <w:rsid w:val="00625773"/>
    <w:rsid w:val="00680131"/>
    <w:rsid w:val="00766780"/>
    <w:rsid w:val="007A331C"/>
    <w:rsid w:val="00816A89"/>
    <w:rsid w:val="0083494B"/>
    <w:rsid w:val="0087050D"/>
    <w:rsid w:val="008A63F6"/>
    <w:rsid w:val="008C75C9"/>
    <w:rsid w:val="008D2A34"/>
    <w:rsid w:val="00994EB9"/>
    <w:rsid w:val="009C0828"/>
    <w:rsid w:val="00A26294"/>
    <w:rsid w:val="00A92A4F"/>
    <w:rsid w:val="00A9669B"/>
    <w:rsid w:val="00AE4A3E"/>
    <w:rsid w:val="00B130E9"/>
    <w:rsid w:val="00B17BD5"/>
    <w:rsid w:val="00B243F7"/>
    <w:rsid w:val="00B25255"/>
    <w:rsid w:val="00BD4C1E"/>
    <w:rsid w:val="00C42809"/>
    <w:rsid w:val="00C46993"/>
    <w:rsid w:val="00CD2C7A"/>
    <w:rsid w:val="00CE4185"/>
    <w:rsid w:val="00CF107A"/>
    <w:rsid w:val="00DA2B53"/>
    <w:rsid w:val="00DE287B"/>
    <w:rsid w:val="00DF0649"/>
    <w:rsid w:val="00E55D5D"/>
    <w:rsid w:val="00E914F4"/>
    <w:rsid w:val="00F12414"/>
    <w:rsid w:val="00F251F7"/>
    <w:rsid w:val="00F51C42"/>
    <w:rsid w:val="00FE5C3C"/>
    <w:rsid w:val="00FF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2549F-B6DB-4746-9B65-A8B649D0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80"/>
    <w:rPr>
      <w:rFonts w:ascii="Times New Roman" w:hAnsi="Times New Roman"/>
      <w:sz w:val="24"/>
    </w:rPr>
  </w:style>
  <w:style w:type="paragraph" w:styleId="Heading1">
    <w:name w:val="heading 1"/>
    <w:basedOn w:val="Normal"/>
    <w:next w:val="Normal"/>
    <w:link w:val="Heading1Char"/>
    <w:uiPriority w:val="9"/>
    <w:qFormat/>
    <w:rsid w:val="00AE4A3E"/>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E4A3E"/>
    <w:pPr>
      <w:keepNext/>
      <w:keepLines/>
      <w:spacing w:before="40" w:after="0"/>
      <w:outlineLvl w:val="1"/>
    </w:pPr>
    <w:rPr>
      <w:rFonts w:eastAsiaTheme="majorEastAsia" w:cstheme="majorBid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A3E"/>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AE4A3E"/>
    <w:rPr>
      <w:rFonts w:ascii="Times New Roman" w:eastAsiaTheme="majorEastAsia" w:hAnsi="Times New Roman" w:cstheme="majorBidi"/>
      <w:sz w:val="24"/>
      <w:szCs w:val="26"/>
    </w:rPr>
  </w:style>
  <w:style w:type="paragraph" w:styleId="ListParagraph">
    <w:name w:val="List Paragraph"/>
    <w:basedOn w:val="Normal"/>
    <w:uiPriority w:val="34"/>
    <w:qFormat/>
    <w:rsid w:val="00766780"/>
    <w:pPr>
      <w:ind w:left="720"/>
      <w:contextualSpacing/>
    </w:pPr>
  </w:style>
  <w:style w:type="character" w:styleId="Hyperlink">
    <w:name w:val="Hyperlink"/>
    <w:basedOn w:val="DefaultParagraphFont"/>
    <w:uiPriority w:val="99"/>
    <w:unhideWhenUsed/>
    <w:rsid w:val="00A92A4F"/>
    <w:rPr>
      <w:color w:val="0563C1" w:themeColor="hyperlink"/>
      <w:u w:val="single"/>
    </w:rPr>
  </w:style>
  <w:style w:type="paragraph" w:styleId="Header">
    <w:name w:val="header"/>
    <w:basedOn w:val="Normal"/>
    <w:link w:val="HeaderChar"/>
    <w:uiPriority w:val="99"/>
    <w:unhideWhenUsed/>
    <w:rsid w:val="008D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A34"/>
    <w:rPr>
      <w:rFonts w:ascii="Times New Roman" w:hAnsi="Times New Roman"/>
      <w:sz w:val="24"/>
    </w:rPr>
  </w:style>
  <w:style w:type="paragraph" w:styleId="Footer">
    <w:name w:val="footer"/>
    <w:basedOn w:val="Normal"/>
    <w:link w:val="FooterChar"/>
    <w:uiPriority w:val="99"/>
    <w:unhideWhenUsed/>
    <w:rsid w:val="008D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A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aea.org/publications/search/type/tecdoc-se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ao%20Gamer\Desktop\WORK%20IN%20PROGRESS\Radn%20&amp;%20Meteo%20Data\Environmental%20Monitor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ao%20Gamer\Desktop\WORK%20IN%20PROGRESS\Radn%20&amp;%20Meteo%20Data\Environmental%20Monitorin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a:t>Source</a:t>
            </a:r>
            <a:r>
              <a:rPr lang="en-US" sz="1050" baseline="0"/>
              <a:t> Inventory</a:t>
            </a:r>
            <a:endParaRPr lang="en-US" sz="1050"/>
          </a:p>
        </c:rich>
      </c:tx>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639211558951171"/>
          <c:y val="0.11058603807646071"/>
          <c:w val="0.85829435305735302"/>
          <c:h val="0.67834000940056816"/>
        </c:manualLayout>
      </c:layout>
      <c:barChart>
        <c:barDir val="bar"/>
        <c:grouping val="clustered"/>
        <c:varyColors val="0"/>
        <c:ser>
          <c:idx val="0"/>
          <c:order val="0"/>
          <c:spPr>
            <a:solidFill>
              <a:schemeClr val="accent5"/>
            </a:solidFill>
            <a:ln>
              <a:noFill/>
            </a:ln>
            <a:effectLst>
              <a:softEdge rad="0"/>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'Cancer risk'!$K$2:$K$11</c:f>
              <c:strCache>
                <c:ptCount val="10"/>
                <c:pt idx="0">
                  <c:v>Ir-192</c:v>
                </c:pt>
                <c:pt idx="1">
                  <c:v>AmBeCs</c:v>
                </c:pt>
                <c:pt idx="2">
                  <c:v>RaBe</c:v>
                </c:pt>
                <c:pt idx="3">
                  <c:v>Co-60</c:v>
                </c:pt>
                <c:pt idx="4">
                  <c:v>Ra-226</c:v>
                </c:pt>
                <c:pt idx="5">
                  <c:v>AmBe</c:v>
                </c:pt>
                <c:pt idx="6">
                  <c:v>PuBe</c:v>
                </c:pt>
                <c:pt idx="7">
                  <c:v>Sr-90</c:v>
                </c:pt>
                <c:pt idx="8">
                  <c:v>Cs-137</c:v>
                </c:pt>
                <c:pt idx="9">
                  <c:v>Am-241</c:v>
                </c:pt>
              </c:strCache>
            </c:strRef>
          </c:cat>
          <c:val>
            <c:numRef>
              <c:f>'Cancer risk'!$L$2:$L$11</c:f>
              <c:numCache>
                <c:formatCode>General</c:formatCode>
                <c:ptCount val="10"/>
                <c:pt idx="0">
                  <c:v>1</c:v>
                </c:pt>
                <c:pt idx="1">
                  <c:v>2</c:v>
                </c:pt>
                <c:pt idx="2">
                  <c:v>2</c:v>
                </c:pt>
                <c:pt idx="3">
                  <c:v>3</c:v>
                </c:pt>
                <c:pt idx="4">
                  <c:v>4</c:v>
                </c:pt>
                <c:pt idx="5">
                  <c:v>7</c:v>
                </c:pt>
                <c:pt idx="6">
                  <c:v>12</c:v>
                </c:pt>
                <c:pt idx="7">
                  <c:v>32</c:v>
                </c:pt>
                <c:pt idx="8">
                  <c:v>38</c:v>
                </c:pt>
                <c:pt idx="9">
                  <c:v>107</c:v>
                </c:pt>
              </c:numCache>
            </c:numRef>
          </c:val>
        </c:ser>
        <c:dLbls>
          <c:showLegendKey val="0"/>
          <c:showVal val="0"/>
          <c:showCatName val="0"/>
          <c:showSerName val="0"/>
          <c:showPercent val="0"/>
          <c:showBubbleSize val="0"/>
        </c:dLbls>
        <c:gapWidth val="46"/>
        <c:overlap val="60"/>
        <c:axId val="259200176"/>
        <c:axId val="270121792"/>
      </c:barChart>
      <c:catAx>
        <c:axId val="2592001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0121792"/>
        <c:crosses val="autoZero"/>
        <c:auto val="1"/>
        <c:lblAlgn val="ctr"/>
        <c:lblOffset val="100"/>
        <c:noMultiLvlLbl val="0"/>
      </c:catAx>
      <c:valAx>
        <c:axId val="270121792"/>
        <c:scaling>
          <c:orientation val="minMax"/>
          <c:max val="110"/>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b="1"/>
                  <a:t>Activity</a:t>
                </a:r>
                <a:r>
                  <a:rPr lang="en-US" sz="1000" b="1" baseline="0"/>
                  <a:t> (Bq)</a:t>
                </a:r>
                <a:endParaRPr lang="en-US" sz="1000" b="1"/>
              </a:p>
            </c:rich>
          </c:tx>
          <c:layout>
            <c:manualLayout>
              <c:xMode val="edge"/>
              <c:yMode val="edge"/>
              <c:x val="0.37429794781087139"/>
              <c:y val="0.8973191783862839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59200176"/>
        <c:crosses val="autoZero"/>
        <c:crossBetween val="between"/>
        <c:majorUnit val="10"/>
        <c:minorUnit val="1"/>
      </c:valAx>
      <c:spPr>
        <a:noFill/>
        <a:ln>
          <a:noFill/>
        </a:ln>
        <a:effectLst/>
      </c:spPr>
    </c:plotArea>
    <c:plotVisOnly val="1"/>
    <c:dispBlanksAs val="gap"/>
    <c:showDLblsOverMax val="0"/>
  </c:chart>
  <c:spPr>
    <a:solidFill>
      <a:schemeClr val="bg1"/>
    </a:solidFill>
    <a:ln w="1587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sz="1000"/>
              <a:t>Source Contribution</a:t>
            </a:r>
          </a:p>
        </c:rich>
      </c:tx>
      <c:overlay val="0"/>
      <c:spPr>
        <a:noFill/>
        <a:ln>
          <a:noFill/>
        </a:ln>
        <a:effectLst/>
      </c:spPr>
      <c:txPr>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55398644003152E-2"/>
          <c:y val="0.3030945646357312"/>
          <c:w val="0.80489202711993701"/>
          <c:h val="0.5986652396605763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8240917782026769E-2"/>
                  <c:y val="2.5889967637540454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1867431485022309E-2"/>
                  <c:y val="-4.5307443365695796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3734862970044612E-3"/>
                  <c:y val="-8.4142394822006472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risk'!$G$2:$I$2</c:f>
              <c:strCache>
                <c:ptCount val="3"/>
                <c:pt idx="0">
                  <c:v>Alpha</c:v>
                </c:pt>
                <c:pt idx="1">
                  <c:v>Neutron</c:v>
                </c:pt>
                <c:pt idx="2">
                  <c:v>Gamma</c:v>
                </c:pt>
              </c:strCache>
            </c:strRef>
          </c:cat>
          <c:val>
            <c:numRef>
              <c:f>'Cancer risk'!$G$3:$I$3</c:f>
              <c:numCache>
                <c:formatCode>0.00E+00</c:formatCode>
                <c:ptCount val="3"/>
                <c:pt idx="0">
                  <c:v>16200000000</c:v>
                </c:pt>
                <c:pt idx="1">
                  <c:v>17500000000</c:v>
                </c:pt>
                <c:pt idx="2">
                  <c:v>96600000000</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1587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45"/>
    <w:rsid w:val="00467C45"/>
    <w:rsid w:val="00BB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D1E46A52D4BD7BE8F2ADE21FD4345">
    <w:name w:val="F88D1E46A52D4BD7BE8F2ADE21FD4345"/>
    <w:rsid w:val="0046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Dawood</dc:creator>
  <cp:keywords/>
  <dc:description/>
  <cp:lastModifiedBy>AmA Dawood</cp:lastModifiedBy>
  <cp:revision>10</cp:revision>
  <cp:lastPrinted>2021-07-01T08:41:00Z</cp:lastPrinted>
  <dcterms:created xsi:type="dcterms:W3CDTF">2021-06-30T09:08:00Z</dcterms:created>
  <dcterms:modified xsi:type="dcterms:W3CDTF">2021-07-01T08:52:00Z</dcterms:modified>
</cp:coreProperties>
</file>