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ECF7E" w14:textId="77777777" w:rsidR="002F74E7" w:rsidRPr="002F74E7" w:rsidRDefault="002F74E7" w:rsidP="00515A9C">
      <w:pPr>
        <w:pStyle w:val="Titre1"/>
        <w:spacing w:line="240" w:lineRule="auto"/>
      </w:pPr>
      <w:r w:rsidRPr="002F74E7">
        <w:t xml:space="preserve">An efficient and environmentally friendly </w:t>
      </w:r>
    </w:p>
    <w:p w14:paraId="62CD0BA0" w14:textId="77777777" w:rsidR="002F74E7" w:rsidRPr="002F74E7" w:rsidRDefault="002F74E7" w:rsidP="00515A9C">
      <w:pPr>
        <w:pStyle w:val="Titre1"/>
        <w:spacing w:line="240" w:lineRule="auto"/>
      </w:pPr>
      <w:r w:rsidRPr="002F74E7">
        <w:t xml:space="preserve">geopolymer package for encapsulation of nuclear </w:t>
      </w:r>
    </w:p>
    <w:p w14:paraId="47854EBB" w14:textId="5D821784" w:rsidR="002F74E7" w:rsidRPr="002F74E7" w:rsidRDefault="002F74E7" w:rsidP="00515A9C">
      <w:pPr>
        <w:pStyle w:val="Titre1"/>
        <w:spacing w:line="240" w:lineRule="auto"/>
      </w:pPr>
      <w:r w:rsidRPr="002F74E7">
        <w:t xml:space="preserve">grade resins loaded with </w:t>
      </w:r>
      <w:r w:rsidRPr="002F74E7">
        <w:rPr>
          <w:vertAlign w:val="superscript"/>
        </w:rPr>
        <w:t>134</w:t>
      </w:r>
      <w:r w:rsidRPr="002F74E7">
        <w:t xml:space="preserve">Cs radionuclide </w:t>
      </w:r>
    </w:p>
    <w:p w14:paraId="433FE03F" w14:textId="77777777" w:rsidR="00802381" w:rsidRDefault="00802381" w:rsidP="00537496">
      <w:pPr>
        <w:pStyle w:val="Authornameandaffiliation"/>
      </w:pPr>
    </w:p>
    <w:p w14:paraId="433FE040" w14:textId="3F0BD0F2" w:rsidR="003B5E0E" w:rsidRDefault="00E3031A" w:rsidP="00537496">
      <w:pPr>
        <w:pStyle w:val="Authornameandaffiliation"/>
      </w:pPr>
      <w:r>
        <w:t>H</w:t>
      </w:r>
      <w:r w:rsidR="00537496">
        <w:t>.</w:t>
      </w:r>
      <w:r>
        <w:t xml:space="preserve"> HAMDANE</w:t>
      </w:r>
    </w:p>
    <w:p w14:paraId="433FE041" w14:textId="70223A4F" w:rsidR="00FF386F" w:rsidRPr="00951347" w:rsidRDefault="00E3031A" w:rsidP="00537496">
      <w:pPr>
        <w:pStyle w:val="Authornameandaffiliation"/>
      </w:pPr>
      <w:r w:rsidRPr="00555162">
        <w:rPr>
          <w:sz w:val="18"/>
          <w:szCs w:val="18"/>
        </w:rPr>
        <w:t>F</w:t>
      </w:r>
      <w:r w:rsidRPr="00951347">
        <w:t>aculty of Science</w:t>
      </w:r>
      <w:r w:rsidR="00411321" w:rsidRPr="00951347">
        <w:t>s</w:t>
      </w:r>
      <w:r w:rsidRPr="00951347">
        <w:t xml:space="preserve"> Ben </w:t>
      </w:r>
      <w:proofErr w:type="spellStart"/>
      <w:r w:rsidRPr="00951347">
        <w:t>M’Si</w:t>
      </w:r>
      <w:r w:rsidR="00D60DD0" w:rsidRPr="00951347">
        <w:t>c</w:t>
      </w:r>
      <w:r w:rsidRPr="00951347">
        <w:t>k</w:t>
      </w:r>
      <w:proofErr w:type="spellEnd"/>
      <w:r w:rsidRPr="00951347">
        <w:t xml:space="preserve">, Hassan II </w:t>
      </w:r>
      <w:r w:rsidR="009E2860" w:rsidRPr="00951347">
        <w:t xml:space="preserve">University </w:t>
      </w:r>
      <w:r w:rsidRPr="00951347">
        <w:t>of Casablanca</w:t>
      </w:r>
    </w:p>
    <w:p w14:paraId="433FE042" w14:textId="1D3CFFD7" w:rsidR="00FF386F" w:rsidRPr="00AA5854" w:rsidRDefault="00E3031A" w:rsidP="00537496">
      <w:pPr>
        <w:pStyle w:val="Authornameandaffiliation"/>
        <w:rPr>
          <w:lang w:val="fr-FR"/>
        </w:rPr>
      </w:pPr>
      <w:r w:rsidRPr="00AA5854">
        <w:rPr>
          <w:lang w:val="fr-FR"/>
        </w:rPr>
        <w:t>Casablanca</w:t>
      </w:r>
      <w:r w:rsidR="00FF386F" w:rsidRPr="00AA5854">
        <w:rPr>
          <w:lang w:val="fr-FR"/>
        </w:rPr>
        <w:t xml:space="preserve">, </w:t>
      </w:r>
      <w:r w:rsidRPr="00AA5854">
        <w:rPr>
          <w:lang w:val="fr-FR"/>
        </w:rPr>
        <w:t>Morocco</w:t>
      </w:r>
    </w:p>
    <w:p w14:paraId="433FE043" w14:textId="51C08319" w:rsidR="00FF386F" w:rsidRPr="00AA5854" w:rsidRDefault="00F07EFD" w:rsidP="00537496">
      <w:pPr>
        <w:pStyle w:val="Authornameandaffiliation"/>
        <w:rPr>
          <w:lang w:val="fr-FR"/>
        </w:rPr>
      </w:pPr>
      <w:proofErr w:type="gramStart"/>
      <w:r w:rsidRPr="00AA5854">
        <w:rPr>
          <w:lang w:val="fr-FR"/>
        </w:rPr>
        <w:t>Email:</w:t>
      </w:r>
      <w:proofErr w:type="gramEnd"/>
      <w:r w:rsidR="00FF386F" w:rsidRPr="00AA5854">
        <w:rPr>
          <w:lang w:val="fr-FR"/>
        </w:rPr>
        <w:t xml:space="preserve"> </w:t>
      </w:r>
      <w:hyperlink r:id="rId12" w:history="1">
        <w:r w:rsidR="00594D34" w:rsidRPr="00AA5854">
          <w:rPr>
            <w:rStyle w:val="Lienhypertexte"/>
            <w:color w:val="002060"/>
            <w:lang w:val="fr-FR"/>
          </w:rPr>
          <w:t>hamdanehasna@gmail.com</w:t>
        </w:r>
      </w:hyperlink>
    </w:p>
    <w:p w14:paraId="7EFB1655" w14:textId="2258DAB0" w:rsidR="00700582" w:rsidRPr="00FF386F" w:rsidRDefault="004831E6" w:rsidP="00700582">
      <w:pPr>
        <w:pStyle w:val="Authornameandaffiliation"/>
      </w:pPr>
      <w:r>
        <w:rPr>
          <w:lang w:val="en-CA"/>
        </w:rPr>
        <w:t>H</w:t>
      </w:r>
      <w:r w:rsidRPr="00700582">
        <w:rPr>
          <w:lang w:val="en-CA"/>
        </w:rPr>
        <w:t xml:space="preserve">. </w:t>
      </w:r>
      <w:r>
        <w:rPr>
          <w:lang w:val="en-CA"/>
        </w:rPr>
        <w:t>HANNACHE</w:t>
      </w:r>
      <w:r w:rsidR="00F07EFD">
        <w:t>-</w:t>
      </w:r>
      <w:r w:rsidR="00700582">
        <w:t>M</w:t>
      </w:r>
      <w:r w:rsidR="00700582" w:rsidRPr="00FF386F">
        <w:t xml:space="preserve">. </w:t>
      </w:r>
      <w:r w:rsidR="00700582">
        <w:t>OUMAM</w:t>
      </w:r>
    </w:p>
    <w:p w14:paraId="07361DED" w14:textId="20F19D0A" w:rsidR="00700582" w:rsidRPr="00951347" w:rsidRDefault="00700582" w:rsidP="00700582">
      <w:pPr>
        <w:pStyle w:val="Authornameandaffiliation"/>
      </w:pPr>
      <w:r w:rsidRPr="00951347">
        <w:t xml:space="preserve">Faculty of Science Ben </w:t>
      </w:r>
      <w:proofErr w:type="spellStart"/>
      <w:r w:rsidRPr="00951347">
        <w:t>M’Si</w:t>
      </w:r>
      <w:r w:rsidR="00D60DD0" w:rsidRPr="00951347">
        <w:t>c</w:t>
      </w:r>
      <w:r w:rsidRPr="00951347">
        <w:t>k</w:t>
      </w:r>
      <w:proofErr w:type="spellEnd"/>
      <w:r w:rsidRPr="00951347">
        <w:t xml:space="preserve">, </w:t>
      </w:r>
      <w:r w:rsidR="009E2860" w:rsidRPr="00951347">
        <w:t>Hassan II University of Casablanca</w:t>
      </w:r>
    </w:p>
    <w:p w14:paraId="4226B064" w14:textId="77777777" w:rsidR="00700582" w:rsidRPr="00AA5854" w:rsidRDefault="00700582" w:rsidP="00700582">
      <w:pPr>
        <w:pStyle w:val="Authornameandaffiliation"/>
        <w:rPr>
          <w:lang w:val="fr-FR"/>
        </w:rPr>
      </w:pPr>
      <w:r w:rsidRPr="00AA5854">
        <w:rPr>
          <w:lang w:val="fr-FR"/>
        </w:rPr>
        <w:t>Casablanca, Morocco</w:t>
      </w:r>
    </w:p>
    <w:p w14:paraId="7AE10360" w14:textId="0A1A2B44" w:rsidR="00FE0F4C" w:rsidRPr="00700582" w:rsidRDefault="00700582" w:rsidP="00FE0F4C">
      <w:pPr>
        <w:pStyle w:val="Authornameandaffiliation"/>
        <w:rPr>
          <w:lang w:val="en-CA"/>
        </w:rPr>
      </w:pPr>
      <w:r w:rsidRPr="00AA5854">
        <w:rPr>
          <w:lang w:val="fr-FR"/>
        </w:rPr>
        <w:t>A. BOUIH</w:t>
      </w:r>
      <w:r w:rsidR="00F07EFD" w:rsidRPr="00AA5854">
        <w:rPr>
          <w:lang w:val="fr-FR"/>
        </w:rPr>
        <w:t>-</w:t>
      </w:r>
      <w:r w:rsidR="00FE0F4C" w:rsidRPr="00AA5854">
        <w:rPr>
          <w:lang w:val="fr-FR"/>
        </w:rPr>
        <w:t xml:space="preserve">T. </w:t>
      </w:r>
      <w:r w:rsidR="00FE0F4C" w:rsidRPr="00700582">
        <w:rPr>
          <w:lang w:val="en-CA"/>
        </w:rPr>
        <w:t>EL CHAILASSI</w:t>
      </w:r>
    </w:p>
    <w:p w14:paraId="209F84CF" w14:textId="037043EB" w:rsidR="00700582" w:rsidRPr="00951347" w:rsidRDefault="00700582" w:rsidP="00700582">
      <w:pPr>
        <w:pStyle w:val="Authornameandaffiliation"/>
      </w:pPr>
      <w:r w:rsidRPr="00951347">
        <w:t>National Center of Sciences, Technology and Nuclear Energy</w:t>
      </w:r>
      <w:r w:rsidR="00AA5854">
        <w:t xml:space="preserve"> (</w:t>
      </w:r>
      <w:r w:rsidR="00AA5854" w:rsidRPr="00AA5854">
        <w:t>CNESTEN</w:t>
      </w:r>
      <w:r w:rsidR="00AA5854">
        <w:t>)</w:t>
      </w:r>
    </w:p>
    <w:p w14:paraId="22B6CEB2" w14:textId="5C2D4789" w:rsidR="00700582" w:rsidRPr="00AA5854" w:rsidRDefault="00700582" w:rsidP="00700582">
      <w:pPr>
        <w:pStyle w:val="Authornameandaffiliation"/>
        <w:rPr>
          <w:lang w:val="fr-FR"/>
        </w:rPr>
      </w:pPr>
      <w:r w:rsidRPr="00AA5854">
        <w:rPr>
          <w:lang w:val="fr-FR"/>
        </w:rPr>
        <w:t>Rabat, Morocco</w:t>
      </w:r>
    </w:p>
    <w:p w14:paraId="421C94CE" w14:textId="66F294A9" w:rsidR="00F07EFD" w:rsidRPr="00F07EFD" w:rsidRDefault="004831E6" w:rsidP="00F07EFD">
      <w:pPr>
        <w:pStyle w:val="Authornameandaffiliation"/>
        <w:rPr>
          <w:lang w:val="fr-FR"/>
        </w:rPr>
      </w:pPr>
      <w:r w:rsidRPr="00F07EFD">
        <w:rPr>
          <w:lang w:val="fr-FR"/>
        </w:rPr>
        <w:t>B. MANOUN</w:t>
      </w:r>
      <w:r w:rsidR="00F07EFD" w:rsidRPr="00F07EFD">
        <w:rPr>
          <w:lang w:val="fr-FR"/>
        </w:rPr>
        <w:t>- R. BOULIF</w:t>
      </w:r>
    </w:p>
    <w:p w14:paraId="34AAE480" w14:textId="275C65C8" w:rsidR="004831E6" w:rsidRPr="00951347" w:rsidRDefault="004831E6" w:rsidP="004831E6">
      <w:pPr>
        <w:pStyle w:val="Authornameandaffiliation"/>
      </w:pPr>
      <w:r w:rsidRPr="00951347">
        <w:t>Mohammed VI Polytechnic University</w:t>
      </w:r>
      <w:r w:rsidR="00AA5854">
        <w:t xml:space="preserve"> (UM6P)</w:t>
      </w:r>
    </w:p>
    <w:p w14:paraId="1B0CCA22" w14:textId="77777777" w:rsidR="004831E6" w:rsidRPr="00951347" w:rsidRDefault="004831E6" w:rsidP="004831E6">
      <w:pPr>
        <w:pStyle w:val="Authornameandaffiliation"/>
      </w:pPr>
      <w:proofErr w:type="spellStart"/>
      <w:r w:rsidRPr="00951347">
        <w:t>Benguerir</w:t>
      </w:r>
      <w:proofErr w:type="spellEnd"/>
      <w:r w:rsidRPr="00951347">
        <w:t xml:space="preserve">, Morocco </w:t>
      </w:r>
    </w:p>
    <w:p w14:paraId="7065851B" w14:textId="77777777" w:rsidR="00FF6AF9" w:rsidRPr="00A33C4F" w:rsidRDefault="00FF6AF9" w:rsidP="00FF6AF9">
      <w:pPr>
        <w:pStyle w:val="Authornameandaffiliation"/>
        <w:rPr>
          <w:lang w:val="en-CA"/>
        </w:rPr>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653629DE" w:rsidR="00647F33" w:rsidRPr="00A44261" w:rsidRDefault="00A44261" w:rsidP="001722EC">
      <w:pPr>
        <w:pStyle w:val="Abstracttext"/>
        <w:spacing w:line="276" w:lineRule="auto"/>
        <w:jc w:val="both"/>
      </w:pPr>
      <w:r w:rsidRPr="00554B32">
        <w:t>Safe disposal of nuclear wastes is of great importance with the rapid development of nuclear industries. Although cementation has become the standard radioactive waste treatment strategy, Portland cement-based matrices solidification of nuclear-grade organic resins results in adverse reactions may arise with ion-exchange resin and an increase in the volume of the packaged waste. The paper explores an efficient and environmentally</w:t>
      </w:r>
      <w:r w:rsidRPr="00A44261">
        <w:rPr>
          <w:rFonts w:asciiTheme="majorBidi" w:hAnsiTheme="majorBidi" w:cstheme="majorBidi"/>
          <w:szCs w:val="18"/>
        </w:rPr>
        <w:t xml:space="preserve"> friendly approach for encapsulating nuclear-grade IERs using a geopolymer package, which was designed via one-factor-at-a-time concept use different un-calcined phosphate sludge (UPS) content in Metakaolin (MK) reagent. Various amounts of non-radioactive resin beads loading ranging from 9, 11, 13 to 15</w:t>
      </w:r>
      <w:r w:rsidR="00604843">
        <w:rPr>
          <w:rFonts w:asciiTheme="majorBidi" w:hAnsiTheme="majorBidi" w:cstheme="majorBidi"/>
          <w:szCs w:val="18"/>
        </w:rPr>
        <w:t xml:space="preserve"> </w:t>
      </w:r>
      <w:r w:rsidRPr="00A44261">
        <w:rPr>
          <w:rFonts w:asciiTheme="majorBidi" w:hAnsiTheme="majorBidi" w:cstheme="majorBidi"/>
          <w:szCs w:val="18"/>
        </w:rPr>
        <w:t>wt.% within the geopolymer packages were performed. Chemical stability, mechanical properties and leaching rate of Cs</w:t>
      </w:r>
      <w:r w:rsidRPr="00A44261">
        <w:rPr>
          <w:rFonts w:asciiTheme="majorBidi" w:hAnsiTheme="majorBidi" w:cstheme="majorBidi"/>
          <w:szCs w:val="18"/>
          <w:vertAlign w:val="superscript"/>
        </w:rPr>
        <w:t>+</w:t>
      </w:r>
      <w:r w:rsidRPr="00A44261">
        <w:rPr>
          <w:rFonts w:asciiTheme="majorBidi" w:hAnsiTheme="majorBidi" w:cstheme="majorBidi"/>
          <w:szCs w:val="18"/>
        </w:rPr>
        <w:t xml:space="preserve"> from the individual MK and MK-UPS binary geopolymer package solidifying radioactive resins were investigated and compared to the conventional PC binder. The results indicate </w:t>
      </w:r>
      <w:r>
        <w:rPr>
          <w:rFonts w:asciiTheme="majorBidi" w:hAnsiTheme="majorBidi" w:cstheme="majorBidi"/>
          <w:szCs w:val="18"/>
        </w:rPr>
        <w:t xml:space="preserve">that </w:t>
      </w:r>
      <w:r w:rsidRPr="00A44261">
        <w:rPr>
          <w:rFonts w:asciiTheme="majorBidi" w:hAnsiTheme="majorBidi" w:cstheme="majorBidi"/>
          <w:szCs w:val="18"/>
        </w:rPr>
        <w:t>the loading ratio of spent resin beads up to 13 wt.% by geopolymer package was practicable. The compressive strength of the elaborated package was greater than the waste acceptance criteria (31.55 MPa). Leaching results showed that, the leaching rate of Cs</w:t>
      </w:r>
      <w:r w:rsidRPr="00A44261">
        <w:rPr>
          <w:rFonts w:asciiTheme="majorBidi" w:hAnsiTheme="majorBidi" w:cstheme="majorBidi"/>
          <w:szCs w:val="18"/>
          <w:vertAlign w:val="superscript"/>
        </w:rPr>
        <w:t xml:space="preserve">+ </w:t>
      </w:r>
      <w:r w:rsidRPr="00A44261">
        <w:rPr>
          <w:rFonts w:asciiTheme="majorBidi" w:hAnsiTheme="majorBidi" w:cstheme="majorBidi"/>
          <w:szCs w:val="18"/>
        </w:rPr>
        <w:t>across 14 days reaches 2.66×10</w:t>
      </w:r>
      <w:r w:rsidRPr="00A44261">
        <w:rPr>
          <w:rFonts w:asciiTheme="majorBidi" w:hAnsiTheme="majorBidi" w:cstheme="majorBidi"/>
          <w:szCs w:val="18"/>
          <w:vertAlign w:val="superscript"/>
        </w:rPr>
        <w:t>-8</w:t>
      </w:r>
      <w:r w:rsidRPr="00A44261">
        <w:rPr>
          <w:rFonts w:asciiTheme="majorBidi" w:hAnsiTheme="majorBidi" w:cstheme="majorBidi"/>
          <w:szCs w:val="18"/>
        </w:rPr>
        <w:t xml:space="preserve"> cm/s for PC packages, and 1.58×10</w:t>
      </w:r>
      <w:r w:rsidRPr="00A44261">
        <w:rPr>
          <w:rFonts w:asciiTheme="majorBidi" w:hAnsiTheme="majorBidi" w:cstheme="majorBidi"/>
          <w:szCs w:val="18"/>
          <w:vertAlign w:val="superscript"/>
        </w:rPr>
        <w:t xml:space="preserve">-09 </w:t>
      </w:r>
      <w:r w:rsidRPr="00A44261">
        <w:rPr>
          <w:rFonts w:asciiTheme="majorBidi" w:hAnsiTheme="majorBidi" w:cstheme="majorBidi"/>
          <w:szCs w:val="18"/>
        </w:rPr>
        <w:t>cm/s for UPS-based geopolymer packages, respectively. These values were lower when compared with previously convectional PC binders, indicating the excellent solidification performance of the UPS-based geopolymer packages for radioactive resins doping with cesium. The study provides a promising paradigm for the effective solidification of radioactive grade resins and upcycling of phosphate tailings.</w:t>
      </w:r>
    </w:p>
    <w:p w14:paraId="433FE04C" w14:textId="77777777" w:rsidR="00647F33" w:rsidRDefault="00F523CA" w:rsidP="006F47EE">
      <w:pPr>
        <w:pStyle w:val="Titre2"/>
        <w:numPr>
          <w:ilvl w:val="1"/>
          <w:numId w:val="5"/>
        </w:numPr>
      </w:pPr>
      <w:r>
        <w:t>INTRODUCTION</w:t>
      </w:r>
    </w:p>
    <w:p w14:paraId="15FA8F02" w14:textId="60934D9E" w:rsidR="00953487" w:rsidRPr="00D4710A" w:rsidRDefault="00953487" w:rsidP="001722EC">
      <w:pPr>
        <w:spacing w:line="276" w:lineRule="auto"/>
        <w:ind w:firstLine="567"/>
        <w:jc w:val="both"/>
        <w:rPr>
          <w:rFonts w:asciiTheme="majorBidi" w:hAnsiTheme="majorBidi" w:cstheme="majorBidi"/>
          <w:sz w:val="20"/>
        </w:rPr>
      </w:pPr>
      <w:r w:rsidRPr="00D4710A">
        <w:rPr>
          <w:sz w:val="20"/>
        </w:rPr>
        <w:t xml:space="preserve">The management of large volumes of radioactive wastes, generated primarily by industrial sector and urban activities, is considered to be one of the most issues today from a global environmental and economic perspective </w:t>
      </w:r>
      <w:r w:rsidRPr="00D4710A">
        <w:rPr>
          <w:sz w:val="20"/>
        </w:rPr>
        <w:fldChar w:fldCharType="begin"/>
      </w:r>
      <w:r w:rsidRPr="00D4710A">
        <w:rPr>
          <w:sz w:val="20"/>
        </w:rPr>
        <w:instrText xml:space="preserve"> ADDIN ZOTERO_ITEM CSL_CITATION {"citationID":"a10k1rmep6e","properties":{"formattedCitation":"[1]","plainCitation":"[1]","noteIndex":0},"citationItems":[{"id":491,"uris":["http://zotero.org/users/local/K2uxjuux/items/4DN5CRYE"],"uri":["http://zotero.org/users/local/K2uxjuux/items/4DN5CRYE"],"itemData":{"id":491,"type":"article-journal","container-title":"Journal of Hazardous Materials","DOI":"10.1016/j.jhazmat.2011.01.004","ISSN":"03043894","issue":"1-3","journalAbbreviation":"Journal of Hazardous Materials","language":"en","page":"296-302","source":"DOI.org (Crossref)","title":"Long-term field and laboratory leaching tests of cemented radioactive wastes","volume":"187","author":[{"family":"Ojovan","given":"Michael I."},{"family":"Varlackova","given":"Galina A."},{"family":"Golubeva","given":"Zoya I."},{"family":"Burlaka","given":"Olga N."}],"issued":{"date-parts":[["2011",3]]}}}],"schema":"https://github.com/citation-style-language/schema/raw/master/csl-citation.json"} </w:instrText>
      </w:r>
      <w:r w:rsidRPr="00D4710A">
        <w:rPr>
          <w:sz w:val="20"/>
        </w:rPr>
        <w:fldChar w:fldCharType="separate"/>
      </w:r>
      <w:r w:rsidR="002860F1" w:rsidRPr="00D4710A">
        <w:rPr>
          <w:sz w:val="20"/>
        </w:rPr>
        <w:t>[1]</w:t>
      </w:r>
      <w:r w:rsidRPr="00D4710A">
        <w:rPr>
          <w:sz w:val="20"/>
        </w:rPr>
        <w:fldChar w:fldCharType="end"/>
      </w:r>
      <w:r w:rsidRPr="00D4710A">
        <w:rPr>
          <w:sz w:val="20"/>
        </w:rPr>
        <w:t>. Radioactive ion-exchange resins (IER</w:t>
      </w:r>
      <w:r w:rsidRPr="00D4710A">
        <w:rPr>
          <w:sz w:val="20"/>
          <w:vertAlign w:val="subscript"/>
        </w:rPr>
        <w:t>S</w:t>
      </w:r>
      <w:r w:rsidRPr="00D4710A">
        <w:rPr>
          <w:sz w:val="20"/>
        </w:rPr>
        <w:t xml:space="preserve">) are one of the simulated Intermediate Level Waste (ILW) loaded by large amounts of radionuclides </w:t>
      </w:r>
      <w:r w:rsidRPr="00D4710A">
        <w:rPr>
          <w:rFonts w:asciiTheme="majorBidi" w:hAnsiTheme="majorBidi" w:cstheme="majorBidi"/>
          <w:sz w:val="20"/>
        </w:rPr>
        <w:t xml:space="preserve">including </w:t>
      </w:r>
      <w:proofErr w:type="spellStart"/>
      <w:r w:rsidRPr="00D4710A">
        <w:rPr>
          <w:rFonts w:asciiTheme="majorBidi" w:hAnsiTheme="majorBidi" w:cstheme="majorBidi"/>
          <w:sz w:val="20"/>
        </w:rPr>
        <w:t>cesium</w:t>
      </w:r>
      <w:proofErr w:type="spellEnd"/>
      <w:r w:rsidRPr="00D4710A">
        <w:rPr>
          <w:rFonts w:asciiTheme="majorBidi" w:hAnsiTheme="majorBidi" w:cstheme="majorBidi"/>
          <w:sz w:val="20"/>
        </w:rPr>
        <w:t xml:space="preserve"> (</w:t>
      </w:r>
      <w:r w:rsidRPr="00D4710A">
        <w:rPr>
          <w:rFonts w:asciiTheme="majorBidi" w:hAnsiTheme="majorBidi" w:cstheme="majorBidi"/>
          <w:sz w:val="20"/>
          <w:vertAlign w:val="superscript"/>
        </w:rPr>
        <w:t>134</w:t>
      </w:r>
      <w:r w:rsidRPr="00D4710A">
        <w:rPr>
          <w:rFonts w:asciiTheme="majorBidi" w:hAnsiTheme="majorBidi" w:cstheme="majorBidi"/>
          <w:sz w:val="20"/>
        </w:rPr>
        <w:t xml:space="preserve">Cs and </w:t>
      </w:r>
      <w:r w:rsidRPr="00D4710A">
        <w:rPr>
          <w:rFonts w:asciiTheme="majorBidi" w:hAnsiTheme="majorBidi" w:cstheme="majorBidi"/>
          <w:sz w:val="20"/>
          <w:vertAlign w:val="superscript"/>
        </w:rPr>
        <w:t>137</w:t>
      </w:r>
      <w:r w:rsidRPr="00D4710A">
        <w:rPr>
          <w:rFonts w:asciiTheme="majorBidi" w:hAnsiTheme="majorBidi" w:cstheme="majorBidi"/>
          <w:sz w:val="20"/>
        </w:rPr>
        <w:t>Cs; half-life of 2.06 and 30.17 years, respectively) and strontium (</w:t>
      </w:r>
      <w:r w:rsidRPr="00D4710A">
        <w:rPr>
          <w:rFonts w:asciiTheme="majorBidi" w:hAnsiTheme="majorBidi" w:cstheme="majorBidi"/>
          <w:sz w:val="20"/>
          <w:vertAlign w:val="superscript"/>
        </w:rPr>
        <w:t>90</w:t>
      </w:r>
      <w:r w:rsidRPr="00D4710A">
        <w:rPr>
          <w:rFonts w:asciiTheme="majorBidi" w:hAnsiTheme="majorBidi" w:cstheme="majorBidi"/>
          <w:sz w:val="20"/>
        </w:rPr>
        <w:t xml:space="preserve">Sr; half-life of 29 years) </w:t>
      </w:r>
      <w:r w:rsidRPr="00D4710A">
        <w:rPr>
          <w:rFonts w:asciiTheme="majorBidi" w:hAnsiTheme="majorBidi" w:cstheme="majorBidi"/>
          <w:sz w:val="20"/>
        </w:rPr>
        <w:fldChar w:fldCharType="begin"/>
      </w:r>
      <w:r w:rsidR="002860F1" w:rsidRPr="00D4710A">
        <w:rPr>
          <w:rFonts w:asciiTheme="majorBidi" w:hAnsiTheme="majorBidi" w:cstheme="majorBidi"/>
          <w:sz w:val="20"/>
        </w:rPr>
        <w:instrText xml:space="preserve"> ADDIN ZOTERO_ITEM CSL_CITATION {"citationID":"a1g26r3jd0","properties":{"formattedCitation":"[2, 3]","plainCitation":"[2, 3]","noteIndex":0},"citationItems":[{"id":371,"uris":["http://zotero.org/users/local/K2uxjuux/items/C7BCTJMC"],"uri":["http://zotero.org/users/local/K2uxjuux/items/C7BCTJMC"],"itemData":{"id":371,"type":"article-journal","container-title":"Progress in Nuclear Energy","DOI":"10.1016/j.pnucene.2014.08.003","ISSN":"01491970","journalAbbreviation":"Progress in Nuclear Energy","language":"en","page":"47-55","source":"DOI.org (Crossref)","title":"Treatment and disposal of spent radioactive ion-exchange resins produced in the nuclear industry","volume":"78","author":[{"family":"Wang","given":"Jianlong"},{"family":"Wan","given":"Zhong"}],"issued":{"date-parts":[["2015",1]]}}},{"id":703,"uris":["http://zotero.org/users/local/K2uxjuux/items/FC8UNSIL"],"uri":["http://zotero.org/users/local/K2uxjuux/items/FC8UNSIL"],"itemData":{"id":703,"type":"article-journal","container-title":"Journal of Hazardous Materials","DOI":"10.1016/j.jhazmat.2019.04.063","ISSN":"03043894","journalAbbreviation":"Journal of Hazardous Materials","language":"en","page":"149-160","source":"DOI.org (Crossref)","title":"Assessment of individual and mixed alkali activated binders for solidification of a nuclear grade organic resin loaded with 134Cs, 60Co and 152+154Eu radionuclides","volume":"375","author":[{"family":"El-Naggar","given":"M.R."},{"family":"El-Masry","given":"E.H."},{"family":"El-Sadek","given":"A.A."}],"issued":{"date-parts":[["2019",8]]}}}],"schema":"https://github.com/citation-style-language/schema/raw/master/csl-citation.json"} </w:instrText>
      </w:r>
      <w:r w:rsidRPr="00D4710A">
        <w:rPr>
          <w:rFonts w:asciiTheme="majorBidi" w:hAnsiTheme="majorBidi" w:cstheme="majorBidi"/>
          <w:sz w:val="20"/>
        </w:rPr>
        <w:fldChar w:fldCharType="separate"/>
      </w:r>
      <w:r w:rsidR="002860F1" w:rsidRPr="00D4710A">
        <w:rPr>
          <w:sz w:val="20"/>
        </w:rPr>
        <w:t>[2, 3]</w:t>
      </w:r>
      <w:r w:rsidRPr="00D4710A">
        <w:rPr>
          <w:rFonts w:asciiTheme="majorBidi" w:hAnsiTheme="majorBidi" w:cstheme="majorBidi"/>
          <w:sz w:val="20"/>
        </w:rPr>
        <w:fldChar w:fldCharType="end"/>
      </w:r>
      <w:r w:rsidRPr="00D4710A">
        <w:rPr>
          <w:rFonts w:asciiTheme="majorBidi" w:hAnsiTheme="majorBidi" w:cstheme="majorBidi"/>
          <w:sz w:val="20"/>
        </w:rPr>
        <w:t>.</w:t>
      </w:r>
      <w:r w:rsidRPr="00D4710A">
        <w:rPr>
          <w:sz w:val="20"/>
        </w:rPr>
        <w:t xml:space="preserve"> The radioactive resin </w:t>
      </w:r>
      <w:r w:rsidRPr="00D4710A">
        <w:rPr>
          <w:rFonts w:asciiTheme="majorBidi" w:hAnsiTheme="majorBidi" w:cstheme="majorBidi"/>
          <w:sz w:val="20"/>
        </w:rPr>
        <w:t>beads are a kind of macromolecular copolymer solid materials, commonly in the form of strongly acidic (cationic) and/or weak basic (anionic) spherical beads</w:t>
      </w:r>
      <w:r w:rsidRPr="00D4710A">
        <w:rPr>
          <w:sz w:val="20"/>
        </w:rPr>
        <w:t xml:space="preserve"> with various particle size distributions </w:t>
      </w:r>
      <w:r w:rsidRPr="00D4710A">
        <w:rPr>
          <w:sz w:val="20"/>
        </w:rPr>
        <w:fldChar w:fldCharType="begin"/>
      </w:r>
      <w:r w:rsidRPr="00D4710A">
        <w:rPr>
          <w:sz w:val="20"/>
        </w:rPr>
        <w:instrText xml:space="preserve"> ADDIN ZOTERO_ITEM CSL_CITATION {"citationID":"3T08z7tt","properties":{"formattedCitation":"[2]","plainCitation":"[2]","noteIndex":0},"citationItems":[{"id":371,"uris":["http://zotero.org/users/local/K2uxjuux/items/C7BCTJMC"],"uri":["http://zotero.org/users/local/K2uxjuux/items/C7BCTJMC"],"itemData":{"id":371,"type":"article-journal","container-title":"Progress in Nuclear Energy","DOI":"10.1016/j.pnucene.2014.08.003","ISSN":"01491970","journalAbbreviation":"Progress in Nuclear Energy","language":"en","page":"47-55","source":"DOI.org (Crossref)","title":"Treatment and disposal of spent radioactive ion-exchange resins produced in the nuclear industry","volume":"78","author":[{"family":"Wang","given":"Jianlong"},{"family":"Wan","given":"Zhong"}],"issued":{"date-parts":[["2015",1]]}}}],"schema":"https://github.com/citation-style-language/schema/raw/master/csl-citation.json"} </w:instrText>
      </w:r>
      <w:r w:rsidRPr="00D4710A">
        <w:rPr>
          <w:sz w:val="20"/>
        </w:rPr>
        <w:fldChar w:fldCharType="separate"/>
      </w:r>
      <w:r w:rsidR="002860F1" w:rsidRPr="00D4710A">
        <w:rPr>
          <w:sz w:val="20"/>
        </w:rPr>
        <w:t>[2]</w:t>
      </w:r>
      <w:r w:rsidRPr="00D4710A">
        <w:rPr>
          <w:sz w:val="20"/>
        </w:rPr>
        <w:fldChar w:fldCharType="end"/>
      </w:r>
      <w:r w:rsidRPr="00D4710A">
        <w:rPr>
          <w:sz w:val="20"/>
        </w:rPr>
        <w:t xml:space="preserve">. </w:t>
      </w:r>
      <w:r w:rsidRPr="00D4710A">
        <w:rPr>
          <w:rFonts w:asciiTheme="majorBidi" w:hAnsiTheme="majorBidi" w:cstheme="majorBidi"/>
          <w:sz w:val="20"/>
        </w:rPr>
        <w:t xml:space="preserve">These beads are extensively the most common techniques used for the purification of water circuits in nuclear power plants, but their quantities have been increased year after year and therefore should be properly managed using suitable ways. The Kingdom of Morocco holds 2 MW MARK-II TRIGA research reactor at </w:t>
      </w:r>
      <w:proofErr w:type="spellStart"/>
      <w:r w:rsidR="00604843" w:rsidRPr="00604843">
        <w:rPr>
          <w:rFonts w:asciiTheme="majorBidi" w:hAnsiTheme="majorBidi" w:cstheme="majorBidi"/>
          <w:sz w:val="20"/>
        </w:rPr>
        <w:t>Maâmora</w:t>
      </w:r>
      <w:proofErr w:type="spellEnd"/>
      <w:r w:rsidR="00604843" w:rsidRPr="00604843">
        <w:rPr>
          <w:rFonts w:asciiTheme="majorBidi" w:hAnsiTheme="majorBidi" w:cstheme="majorBidi"/>
          <w:sz w:val="20"/>
        </w:rPr>
        <w:t> </w:t>
      </w:r>
      <w:r w:rsidR="00FD210F" w:rsidRPr="00D4710A">
        <w:rPr>
          <w:rFonts w:asciiTheme="majorBidi" w:hAnsiTheme="majorBidi" w:cstheme="majorBidi"/>
          <w:sz w:val="20"/>
        </w:rPr>
        <w:t xml:space="preserve">Nuclear Research </w:t>
      </w:r>
      <w:proofErr w:type="spellStart"/>
      <w:r w:rsidR="00FD210F" w:rsidRPr="00D4710A">
        <w:rPr>
          <w:rFonts w:asciiTheme="majorBidi" w:hAnsiTheme="majorBidi" w:cstheme="majorBidi"/>
          <w:sz w:val="20"/>
        </w:rPr>
        <w:t>Center</w:t>
      </w:r>
      <w:proofErr w:type="spellEnd"/>
      <w:r w:rsidR="00FD210F" w:rsidRPr="00FD210F">
        <w:rPr>
          <w:rFonts w:asciiTheme="majorBidi" w:hAnsiTheme="majorBidi" w:cstheme="majorBidi"/>
          <w:sz w:val="20"/>
        </w:rPr>
        <w:t xml:space="preserve"> (CENM)</w:t>
      </w:r>
      <w:r w:rsidRPr="00D4710A">
        <w:rPr>
          <w:rFonts w:asciiTheme="majorBidi" w:hAnsiTheme="majorBidi" w:cstheme="majorBidi"/>
          <w:sz w:val="20"/>
        </w:rPr>
        <w:t>, where annual resin beads have been estimated at 0.1 m</w:t>
      </w:r>
      <w:r w:rsidRPr="00D4710A">
        <w:rPr>
          <w:rFonts w:asciiTheme="majorBidi" w:hAnsiTheme="majorBidi" w:cstheme="majorBidi"/>
          <w:sz w:val="20"/>
          <w:vertAlign w:val="superscript"/>
        </w:rPr>
        <w:t>3</w:t>
      </w:r>
      <w:r w:rsidRPr="00D4710A">
        <w:rPr>
          <w:rFonts w:asciiTheme="majorBidi" w:hAnsiTheme="majorBidi" w:cstheme="majorBidi"/>
          <w:sz w:val="20"/>
        </w:rPr>
        <w:t xml:space="preserve">/years in the purification pool water of the reactor </w:t>
      </w:r>
      <w:r w:rsidRPr="00D4710A">
        <w:rPr>
          <w:rFonts w:asciiTheme="majorBidi" w:hAnsiTheme="majorBidi" w:cstheme="majorBidi"/>
          <w:sz w:val="20"/>
        </w:rPr>
        <w:fldChar w:fldCharType="begin"/>
      </w:r>
      <w:r w:rsidRPr="00D4710A">
        <w:rPr>
          <w:rFonts w:asciiTheme="majorBidi" w:hAnsiTheme="majorBidi" w:cstheme="majorBidi"/>
          <w:sz w:val="20"/>
        </w:rPr>
        <w:instrText xml:space="preserve"> ADDIN ZOTERO_ITEM CSL_CITATION {"citationID":"cnFvmNSk","properties":{"formattedCitation":"[4]","plainCitation":"[4]","noteIndex":0},"citationItems":[{"id":707,"uris":["http://zotero.org/users/local/K2uxjuux/items/JZ6JYYSA"],"uri":["http://zotero.org/users/local/K2uxjuux/items/JZ6JYYSA"],"itemData":{"id":707,"type":"paper-conference","container-title":"WM2009 Conference, March 1-5,, Phoenix, AZ","source":"Google Scholar","title":"Development of a Comprehensive Radioactive Waste Managment Program in the Kingdom of Morocco-9266","author":[{"family":"Bouhi","given":"Abderrahim"},{"family":"Moussaif","given":"Bouchta"},{"family":"El Maati Mouldoura","given":"Touria Lambarki"},{"family":"El Ghailassai","given":"Touria"},{"family":"Fischer","given":"Robert"}],"issued":{"date-parts":[["2009"]]}}}],"schema":"https://github.com/citation-style-language/schema/raw/master/csl-citation.json"} </w:instrText>
      </w:r>
      <w:r w:rsidRPr="00D4710A">
        <w:rPr>
          <w:rFonts w:asciiTheme="majorBidi" w:hAnsiTheme="majorBidi" w:cstheme="majorBidi"/>
          <w:sz w:val="20"/>
        </w:rPr>
        <w:fldChar w:fldCharType="separate"/>
      </w:r>
      <w:r w:rsidR="002860F1" w:rsidRPr="00D4710A">
        <w:rPr>
          <w:sz w:val="20"/>
        </w:rPr>
        <w:t>[4]</w:t>
      </w:r>
      <w:r w:rsidRPr="00D4710A">
        <w:rPr>
          <w:rFonts w:asciiTheme="majorBidi" w:hAnsiTheme="majorBidi" w:cstheme="majorBidi"/>
          <w:sz w:val="20"/>
        </w:rPr>
        <w:fldChar w:fldCharType="end"/>
      </w:r>
      <w:r w:rsidRPr="00D4710A">
        <w:rPr>
          <w:rFonts w:asciiTheme="majorBidi" w:hAnsiTheme="majorBidi" w:cstheme="majorBidi"/>
          <w:sz w:val="20"/>
        </w:rPr>
        <w:t>.</w:t>
      </w:r>
      <w:r w:rsidRPr="00D4710A">
        <w:rPr>
          <w:sz w:val="20"/>
        </w:rPr>
        <w:t xml:space="preserve"> </w:t>
      </w:r>
      <w:r w:rsidRPr="00D4710A">
        <w:rPr>
          <w:rFonts w:asciiTheme="majorBidi" w:hAnsiTheme="majorBidi" w:cstheme="majorBidi"/>
          <w:sz w:val="20"/>
        </w:rPr>
        <w:t xml:space="preserve">In this scope, international Atomic Energy Agency (IAEA) recommends the direct solidification of the spent IERs through cementation technology like using Portland Cement Binder (PCB), to meet the waste criteria for disposal </w:t>
      </w:r>
      <w:r w:rsidRPr="00D4710A">
        <w:rPr>
          <w:rFonts w:asciiTheme="majorBidi" w:hAnsiTheme="majorBidi" w:cstheme="majorBidi"/>
          <w:sz w:val="20"/>
        </w:rPr>
        <w:fldChar w:fldCharType="begin"/>
      </w:r>
      <w:r w:rsidRPr="00D4710A">
        <w:rPr>
          <w:rFonts w:asciiTheme="majorBidi" w:hAnsiTheme="majorBidi" w:cstheme="majorBidi"/>
          <w:sz w:val="20"/>
        </w:rPr>
        <w:instrText xml:space="preserve"> ADDIN ZOTERO_ITEM CSL_CITATION {"citationID":"jr0QTZd1","properties":{"formattedCitation":"[5]","plainCitation":"[5]","noteIndex":0},"citationItems":[{"id":710,"uris":["http://zotero.org/users/local/K2uxjuux/items/5N77UHZ4"],"uri":["http://zotero.org/users/local/K2uxjuux/items/5N77UHZ4"],"itemData":{"id":710,"type":"book","collection-number":"402","collection-title":"Technical reports series / International Atomic Energy Agency","event-place":"Vienna","ISBN":"978-92-0-100801-5","language":"en","note":"OCLC: 76366896","number-of-pages":"143","publisher":"International Atomic Energy Agency","publisher-place":"Vienna","source":"Gemeinsamer Bibliotheksverbund ISBN","title":"Handling and processing of radioactive waste from nuclear applications","editor":[{"family":"Internationale Atomenergie-Organisation","given":""}],"issued":{"date-parts":[["2001"]]}}}],"schema":"https://github.com/citation-style-language/schema/raw/master/csl-citation.json"} </w:instrText>
      </w:r>
      <w:r w:rsidRPr="00D4710A">
        <w:rPr>
          <w:rFonts w:asciiTheme="majorBidi" w:hAnsiTheme="majorBidi" w:cstheme="majorBidi"/>
          <w:sz w:val="20"/>
        </w:rPr>
        <w:fldChar w:fldCharType="separate"/>
      </w:r>
      <w:r w:rsidR="002860F1" w:rsidRPr="00D4710A">
        <w:rPr>
          <w:sz w:val="20"/>
        </w:rPr>
        <w:t>[5]</w:t>
      </w:r>
      <w:r w:rsidRPr="00D4710A">
        <w:rPr>
          <w:rFonts w:asciiTheme="majorBidi" w:hAnsiTheme="majorBidi" w:cstheme="majorBidi"/>
          <w:sz w:val="20"/>
        </w:rPr>
        <w:fldChar w:fldCharType="end"/>
      </w:r>
      <w:r w:rsidRPr="00D4710A">
        <w:rPr>
          <w:rFonts w:asciiTheme="majorBidi" w:hAnsiTheme="majorBidi" w:cstheme="majorBidi"/>
          <w:sz w:val="20"/>
        </w:rPr>
        <w:t>. Throughout the literature, it is true that cement-based matrices are already available and at a lower cost. However,</w:t>
      </w:r>
      <w:r w:rsidRPr="00D4710A">
        <w:rPr>
          <w:sz w:val="20"/>
        </w:rPr>
        <w:t xml:space="preserve"> most common PCB-based materials are highly porous, swelling and relatively easily cracked under </w:t>
      </w:r>
      <w:r w:rsidRPr="00554B32">
        <w:rPr>
          <w:sz w:val="20"/>
        </w:rPr>
        <w:t xml:space="preserve">aggressive environment with poor mechanical and thermal stability </w:t>
      </w:r>
      <w:r w:rsidRPr="00554B32">
        <w:rPr>
          <w:sz w:val="20"/>
        </w:rPr>
        <w:fldChar w:fldCharType="begin"/>
      </w:r>
      <w:r w:rsidRPr="00554B32">
        <w:rPr>
          <w:sz w:val="20"/>
        </w:rPr>
        <w:instrText xml:space="preserve"> ADDIN ZOTERO_ITEM CSL_CITATION {"citationID":"a22vjci4i7g","properties":{"formattedCitation":"[3]","plainCitation":"[3]","noteIndex":0},"citationItems":[{"id":703,"uris":["http://zotero.org/users/local/K2uxjuux/items/FC8UNSIL"],"uri":["http://zotero.org/users/local/K2uxjuux/items/FC8UNSIL"],"itemData":{"id":703,"type":"article-journal","container-title":"Journal of Hazardous Materials","DOI":"10.1016/j.jhazmat.2019.04.063","ISSN":"03043894","journalAbbreviation":"Journal of Hazardous Materials","language":"en","page":"149-160","source":"DOI.org (Crossref)","title":"Assessment of individual and mixed alkali activated binders for solidification of a nuclear grade organic resin loaded with 134Cs, 60Co and 152+154Eu radionuclides","volume":"375","author":[{"family":"El-Naggar","given":"M.R."},{"family":"El-Masry","given":"E.H."},{"family":"El-Sadek","given":"A.A."}],"issued":{"date-parts":[["2019",8]]}}}],"schema":"https://github.com/citation-style-language/schema/raw/master/csl-citation.json"} </w:instrText>
      </w:r>
      <w:r w:rsidRPr="00554B32">
        <w:rPr>
          <w:sz w:val="20"/>
        </w:rPr>
        <w:fldChar w:fldCharType="separate"/>
      </w:r>
      <w:r w:rsidR="002860F1" w:rsidRPr="00D4710A">
        <w:rPr>
          <w:sz w:val="20"/>
        </w:rPr>
        <w:t>[3]</w:t>
      </w:r>
      <w:r w:rsidRPr="00554B32">
        <w:rPr>
          <w:sz w:val="20"/>
        </w:rPr>
        <w:fldChar w:fldCharType="end"/>
      </w:r>
      <w:r w:rsidRPr="00554B32">
        <w:rPr>
          <w:sz w:val="20"/>
        </w:rPr>
        <w:t>. Consequently, the retention of simulated radioactive nuclides does not work well with cement matrix.</w:t>
      </w:r>
      <w:r w:rsidRPr="00D4710A">
        <w:rPr>
          <w:rFonts w:asciiTheme="majorBidi" w:hAnsiTheme="majorBidi" w:cstheme="majorBidi"/>
          <w:sz w:val="20"/>
        </w:rPr>
        <w:t xml:space="preserve"> </w:t>
      </w:r>
    </w:p>
    <w:p w14:paraId="484CF680" w14:textId="2256495D" w:rsidR="00953487" w:rsidRPr="00554B32" w:rsidRDefault="00953487" w:rsidP="001722EC">
      <w:pPr>
        <w:pStyle w:val="Corpsdetexte"/>
        <w:spacing w:line="276" w:lineRule="auto"/>
      </w:pPr>
      <w:r w:rsidRPr="00D4710A">
        <w:rPr>
          <w:rFonts w:asciiTheme="majorBidi" w:hAnsiTheme="majorBidi" w:cstheme="majorBidi"/>
        </w:rPr>
        <w:lastRenderedPageBreak/>
        <w:t xml:space="preserve">Few recent studies have found that geopolymer binders may be a better matrix than PCB for the immobilization of radioactive wastes </w:t>
      </w:r>
      <w:r w:rsidRPr="00D4710A">
        <w:rPr>
          <w:rFonts w:asciiTheme="majorBidi" w:hAnsiTheme="majorBidi" w:cstheme="majorBidi"/>
        </w:rPr>
        <w:fldChar w:fldCharType="begin"/>
      </w:r>
      <w:r w:rsidR="002860F1" w:rsidRPr="00D4710A">
        <w:rPr>
          <w:rFonts w:asciiTheme="majorBidi" w:hAnsiTheme="majorBidi" w:cstheme="majorBidi"/>
        </w:rPr>
        <w:instrText xml:space="preserve"> ADDIN ZOTERO_ITEM CSL_CITATION {"citationID":"a1o6g4uem6f","properties":{"formattedCitation":"[3, 6, 7]","plainCitation":"[3, 6, 7]","noteIndex":0},"citationItems":[{"id":703,"uris":["http://zotero.org/users/local/K2uxjuux/items/FC8UNSIL"],"uri":["http://zotero.org/users/local/K2uxjuux/items/FC8UNSIL"],"itemData":{"id":703,"type":"article-journal","container-title":"Journal of Hazardous Materials","DOI":"10.1016/j.jhazmat.2019.04.063","ISSN":"03043894","journalAbbreviation":"Journal of Hazardous Materials","language":"en","page":"149-160","source":"DOI.org (Crossref)","title":"Assessment of individual and mixed alkali activated binders for solidification of a nuclear grade organic resin loaded with 134Cs, 60Co and 152+154Eu radionuclides","volume":"375","author":[{"family":"El-Naggar","given":"M.R."},{"family":"El-Masry","given":"E.H."},{"family":"El-Sadek","given":"A.A."}],"issued":{"date-parts":[["2019",8]]}}},{"id":360,"uris":["http://zotero.org/users/local/K2uxjuux/items/DQQ68TDM"],"uri":["http://zotero.org/users/local/K2uxjuux/items/DQQ68TDM"],"itemData":{"id":360,"type":"article-journal","abstract":"In this study, geopolymer was applied to convert ion exchange resins contaminated with radionuclides into a solid waste form. Geopolymer has superior properties to enable the encapsulation of spent resins. The allowable limit of resin content in the converted waste form was analyzed to evaluate the solidification capability of geopolymer. The encapsulation of ion exchange resins into solid waste form was conducted using geopolymer prepared with ground granulated blast furnace slag and alkaline solution in an ambient atmosphere, with the addition of wollastonite powder to adjust its mechanical properties. The physical and mechanical properties of the converted solid wastes prepared using different resin content ratios and various SiO2/Na2O molar ratios were tested. The results indicate the wet ion exchange resin (the moisture content in the resin is 51%) content and the compressive strength of the solid resin waste were measured as 45 wt% and 8.5 MPa, respectively. The morphology and mineral phases of the formed solid wastes were characterized using SEM and EDS. The mechanical performance test results proved the formed solid wastes could comply with the fuel cycle and material administration standards ruled by the Atomic Energy Council of Taiwan. These results suggest that this blast furnace slag-based geopolymer is a promising matrix material for the solidification of radioactive wastes.","container-title":"Journal of Environmental Management","DOI":"10.1016/j.jenvman.2019.01.027","ISSN":"0301-4797","journalAbbreviation":"Journal of Environmental Management","language":"en","page":"19-27","source":"ScienceDirect","title":"Geopolymer technology for the solidification of simulated ion exchange resins with radionuclides","volume":"235","author":[{"family":"Lee","given":"Wei-Hao"},{"family":"Cheng","given":"Ta-Wui"},{"family":"Ding","given":"Yung-Chin"},{"family":"Lin","given":"Kae-Long"},{"family":"Tsao","given":"Shih-Wei"},{"family":"Huang","given":"Chun-Ping"}],"issued":{"date-parts":[["2019",4,1]]}}},{"id":700,"uris":["http://zotero.org/users/local/K2uxjuux/items/Z7KG7PCT"],"uri":["http://zotero.org/users/local/K2uxjuux/items/Z7KG7PCT"],"itemData":{"id":700,"type":"article-journal","container-title":"Progress in Nuclear Energy","DOI":"10.1016/j.pnucene.2020.103508","ISSN":"01491970","journalAbbreviation":"Progress in Nuclear Energy","language":"en","page":"103508","source":"DOI.org (Crossref)","title":"Performance study of ion exchange resins solidification using metakaolin-based geopolymer binder","volume":"129","author":[{"family":"Lin","given":"WeiHsiang"},{"family":"Chen","given":"HsinYu"},{"family":"Huang","given":"ChunPing"}],"issued":{"date-parts":[["2020",11]]}}}],"schema":"https://github.com/citation-style-language/schema/raw/master/csl-citation.json"} </w:instrText>
      </w:r>
      <w:r w:rsidRPr="00D4710A">
        <w:rPr>
          <w:rFonts w:asciiTheme="majorBidi" w:hAnsiTheme="majorBidi" w:cstheme="majorBidi"/>
        </w:rPr>
        <w:fldChar w:fldCharType="separate"/>
      </w:r>
      <w:r w:rsidR="002860F1" w:rsidRPr="00D4710A">
        <w:t>[3, 6, 7]</w:t>
      </w:r>
      <w:r w:rsidRPr="00D4710A">
        <w:rPr>
          <w:rFonts w:asciiTheme="majorBidi" w:hAnsiTheme="majorBidi" w:cstheme="majorBidi"/>
        </w:rPr>
        <w:fldChar w:fldCharType="end"/>
      </w:r>
      <w:r w:rsidRPr="00D4710A">
        <w:rPr>
          <w:rFonts w:asciiTheme="majorBidi" w:hAnsiTheme="majorBidi" w:cstheme="majorBidi"/>
        </w:rPr>
        <w:t>. For instance</w:t>
      </w:r>
      <w:r w:rsidR="00D16EBA">
        <w:rPr>
          <w:rFonts w:asciiTheme="majorBidi" w:hAnsiTheme="majorBidi" w:cstheme="majorBidi"/>
        </w:rPr>
        <w:t xml:space="preserve">, </w:t>
      </w:r>
      <w:r w:rsidRPr="00D4710A">
        <w:rPr>
          <w:rFonts w:asciiTheme="majorBidi" w:hAnsiTheme="majorBidi" w:cstheme="majorBidi"/>
        </w:rPr>
        <w:t xml:space="preserve">Naggar et al. assess the performance of individual, binary and ternary blends of metakaolin, feldspar and blast furnace slag -based alkali activated binders to immobilize of a nuclear grade cationic resin loaded with </w:t>
      </w:r>
      <w:r w:rsidRPr="00D4710A">
        <w:rPr>
          <w:rFonts w:asciiTheme="majorBidi" w:hAnsiTheme="majorBidi" w:cstheme="majorBidi"/>
          <w:vertAlign w:val="superscript"/>
        </w:rPr>
        <w:t>134</w:t>
      </w:r>
      <w:r w:rsidRPr="00D4710A">
        <w:rPr>
          <w:rFonts w:asciiTheme="majorBidi" w:hAnsiTheme="majorBidi" w:cstheme="majorBidi"/>
        </w:rPr>
        <w:t xml:space="preserve">Cs, </w:t>
      </w:r>
      <w:r w:rsidRPr="00D4710A">
        <w:rPr>
          <w:rFonts w:asciiTheme="majorBidi" w:hAnsiTheme="majorBidi" w:cstheme="majorBidi"/>
          <w:vertAlign w:val="superscript"/>
        </w:rPr>
        <w:t>60</w:t>
      </w:r>
      <w:r w:rsidRPr="00D4710A">
        <w:rPr>
          <w:rFonts w:asciiTheme="majorBidi" w:hAnsiTheme="majorBidi" w:cstheme="majorBidi"/>
        </w:rPr>
        <w:t xml:space="preserve">Co and </w:t>
      </w:r>
      <w:r w:rsidRPr="00D4710A">
        <w:rPr>
          <w:rFonts w:asciiTheme="majorBidi" w:hAnsiTheme="majorBidi" w:cstheme="majorBidi"/>
          <w:vertAlign w:val="superscript"/>
        </w:rPr>
        <w:t>152+154</w:t>
      </w:r>
      <w:r w:rsidRPr="00D4710A">
        <w:rPr>
          <w:rFonts w:asciiTheme="majorBidi" w:hAnsiTheme="majorBidi" w:cstheme="majorBidi"/>
        </w:rPr>
        <w:t xml:space="preserve">Eu radionuclides </w:t>
      </w:r>
      <w:r w:rsidRPr="00D4710A">
        <w:rPr>
          <w:rFonts w:asciiTheme="majorBidi" w:hAnsiTheme="majorBidi" w:cstheme="majorBidi"/>
        </w:rPr>
        <w:fldChar w:fldCharType="begin"/>
      </w:r>
      <w:r w:rsidRPr="00D4710A">
        <w:rPr>
          <w:rFonts w:asciiTheme="majorBidi" w:hAnsiTheme="majorBidi" w:cstheme="majorBidi"/>
        </w:rPr>
        <w:instrText xml:space="preserve"> ADDIN ZOTERO_ITEM CSL_CITATION {"citationID":"CendFPfL","properties":{"formattedCitation":"[8]","plainCitation":"[8]","noteIndex":0},"citationItems":[{"id":393,"uris":["http://zotero.org/users/local/K2uxjuux/items/PCL2CVKJ"],"uri":["http://zotero.org/users/local/K2uxjuux/items/PCL2CVKJ"],"itemData":{"id":393,"type":"article-journal","container-title":"Journal of Hazardous Materials","DOI":"10.1016/j.jhazmat.2019.04.063","ISSN":"03043894","journalAbbreviation":"Journal of Hazardous Materials","language":"en","page":"149-160","source":"DOI.org (Crossref)","title":"Assessment of individual and mixed alkali activated binders for solidification of a nuclear grade organic resin loaded with 134Cs, 60Co and 152+154Eu radionuclides","volume":"375","author":[{"family":"El-Naggar","given":"M.R."},{"family":"El-Masry","given":"E.H."},{"family":"El-Sadek","given":"A.A."}],"issued":{"date-parts":[["2019",8]]}}}],"schema":"https://github.com/citation-style-language/schema/raw/master/csl-citation.json"} </w:instrText>
      </w:r>
      <w:r w:rsidRPr="00D4710A">
        <w:rPr>
          <w:rFonts w:asciiTheme="majorBidi" w:hAnsiTheme="majorBidi" w:cstheme="majorBidi"/>
        </w:rPr>
        <w:fldChar w:fldCharType="separate"/>
      </w:r>
      <w:r w:rsidR="002860F1" w:rsidRPr="00D4710A">
        <w:t>[8]</w:t>
      </w:r>
      <w:r w:rsidRPr="00D4710A">
        <w:rPr>
          <w:rFonts w:asciiTheme="majorBidi" w:hAnsiTheme="majorBidi" w:cstheme="majorBidi"/>
        </w:rPr>
        <w:fldChar w:fldCharType="end"/>
      </w:r>
      <w:r w:rsidRPr="00D4710A">
        <w:rPr>
          <w:rFonts w:asciiTheme="majorBidi" w:hAnsiTheme="majorBidi" w:cstheme="majorBidi"/>
        </w:rPr>
        <w:t>.</w:t>
      </w:r>
      <w:r w:rsidRPr="00D4710A">
        <w:t xml:space="preserve"> </w:t>
      </w:r>
      <w:r w:rsidRPr="00D4710A">
        <w:rPr>
          <w:rFonts w:asciiTheme="majorBidi" w:hAnsiTheme="majorBidi" w:cstheme="majorBidi"/>
        </w:rPr>
        <w:t xml:space="preserve"> Relatedly, Lin et al. and Lee and co-workers solidified radioactive resins from Taiwan Research Reactor using MK/ blast furnace slag-based geopolymer obtaining material composites of good mechanical properties and limited release of Cs</w:t>
      </w:r>
      <w:r w:rsidRPr="00D4710A">
        <w:rPr>
          <w:rFonts w:asciiTheme="majorBidi" w:hAnsiTheme="majorBidi" w:cstheme="majorBidi"/>
          <w:vertAlign w:val="superscript"/>
        </w:rPr>
        <w:t>+</w:t>
      </w:r>
      <w:r w:rsidRPr="00D4710A">
        <w:rPr>
          <w:rFonts w:asciiTheme="majorBidi" w:hAnsiTheme="majorBidi" w:cstheme="majorBidi"/>
        </w:rPr>
        <w:t xml:space="preserve"> and Sr</w:t>
      </w:r>
      <w:r w:rsidRPr="00D4710A">
        <w:rPr>
          <w:rFonts w:asciiTheme="majorBidi" w:hAnsiTheme="majorBidi" w:cstheme="majorBidi"/>
          <w:vertAlign w:val="superscript"/>
        </w:rPr>
        <w:t xml:space="preserve">2+ </w:t>
      </w:r>
      <w:r w:rsidRPr="00554B32">
        <w:fldChar w:fldCharType="begin"/>
      </w:r>
      <w:r w:rsidR="002860F1" w:rsidRPr="00554B32">
        <w:instrText xml:space="preserve"> ADDIN ZOTERO_ITEM CSL_CITATION {"citationID":"hf0doseW","properties":{"formattedCitation":"[6, 7]","plainCitation":"[6, 7]","noteIndex":0},"citationItems":[{"id":360,"uris":["http://zotero.org/users/local/K2uxjuux/items/DQQ68TDM"],"uri":["http://zotero.org/users/local/K2uxjuux/items/DQQ68TDM"],"itemData":{"id":360,"type":"article-journal","abstract":"In this study, geopolymer was applied to convert ion exchange resins contaminated with radionuclides into a solid waste form. Geopolymer has superior properties to enable the encapsulation of spent resins. The allowable limit of resin content in the converted waste form was analyzed to evaluate the solidification capability of geopolymer. The encapsulation of ion exchange resins into solid waste form was conducted using geopolymer prepared with ground granulated blast furnace slag and alkaline solution in an ambient atmosphere, with the addition of wollastonite powder to adjust its mechanical properties. The physical and mechanical properties of the converted solid wastes prepared using different resin content ratios and various SiO2/Na2O molar ratios were tested. The results indicate the wet ion exchange resin (the moisture content in the resin is 51%) content and the compressive strength of the solid resin waste were measured as 45 wt% and 8.5 MPa, respectively. The morphology and mineral phases of the formed solid wastes were characterized using SEM and EDS. The mechanical performance test results proved the formed solid wastes could comply with the fuel cycle and material administration standards ruled by the Atomic Energy Council of Taiwan. These results suggest that this blast furnace slag-based geopolymer is a promising matrix material for the solidification of radioactive wastes.","container-title":"Journal of Environmental Management","DOI":"10.1016/j.jenvman.2019.01.027","ISSN":"0301-4797","journalAbbreviation":"Journal of Environmental Management","language":"en","page":"19-27","source":"ScienceDirect","title":"Geopolymer technology for the solidification of simulated ion exchange resins with radionuclides","volume":"235","author":[{"family":"Lee","given":"Wei-Hao"},{"family":"Cheng","given":"Ta-Wui"},{"family":"Ding","given":"Yung-Chin"},{"family":"Lin","given":"Kae-Long"},{"family":"Tsao","given":"Shih-Wei"},{"family":"Huang","given":"Chun-Ping"}],"issued":{"date-parts":[["2019",4,1]]}}},{"id":700,"uris":["http://zotero.org/users/local/K2uxjuux/items/Z7KG7PCT"],"uri":["http://zotero.org/users/local/K2uxjuux/items/Z7KG7PCT"],"itemData":{"id":700,"type":"article-journal","container-title":"Progress in Nuclear Energy","DOI":"10.1016/j.pnucene.2020.103508","ISSN":"01491970","journalAbbreviation":"Progress in Nuclear Energy","language":"en","page":"103508","source":"DOI.org (Crossref)","title":"Performance study of ion exchange resins solidification using metakaolin-based geopolymer binder","volume":"129","author":[{"family":"Lin","given":"WeiHsiang"},{"family":"Chen","given":"HsinYu"},{"family":"Huang","given":"ChunPing"}],"issued":{"date-parts":[["2020",11]]}}}],"schema":"https://github.com/citation-style-language/schema/raw/master/csl-citation.json"} </w:instrText>
      </w:r>
      <w:r w:rsidRPr="00554B32">
        <w:fldChar w:fldCharType="separate"/>
      </w:r>
      <w:r w:rsidR="002860F1" w:rsidRPr="00D4710A">
        <w:t>[6, 7]</w:t>
      </w:r>
      <w:r w:rsidRPr="00554B32">
        <w:fldChar w:fldCharType="end"/>
      </w:r>
      <w:r w:rsidRPr="00554B32">
        <w:t>.</w:t>
      </w:r>
      <w:r w:rsidRPr="00D4710A">
        <w:t xml:space="preserve"> </w:t>
      </w:r>
      <w:r w:rsidRPr="00554B32">
        <w:t>The superiority of geopolymer binder immobilization is primarily attributed to its main reaction products- as N-A-S-H, (</w:t>
      </w:r>
      <w:proofErr w:type="gramStart"/>
      <w:r w:rsidRPr="00554B32">
        <w:t>C,N</w:t>
      </w:r>
      <w:proofErr w:type="gramEnd"/>
      <w:r w:rsidRPr="00554B32">
        <w:t xml:space="preserve">)-A-S-H, C-S-H and C-A-S-H. These reaction products are of particular interest to radioactive waste solidification owing to their ability to incorporate radionuclide ions and produce fibrous crystal interlocking through their unique amorphous network to semi-crystalline structures </w:t>
      </w:r>
      <w:r w:rsidRPr="00554B32">
        <w:fldChar w:fldCharType="begin"/>
      </w:r>
      <w:r w:rsidRPr="00554B32">
        <w:instrText xml:space="preserve"> ADDIN ZOTERO_ITEM CSL_CITATION {"citationID":"a2a758ui1i9","properties":{"formattedCitation":"[9]","plainCitation":"[9]","noteIndex":0},"citationItems":[{"id":61,"uris":["http://zotero.org/users/local/K2uxjuux/items/LCVLTDKY"],"uri":["http://zotero.org/users/local/K2uxjuux/items/LCVLTDKY"],"itemData":{"id":61,"type":"article-journal","container-title":"Chemistry of Materials","DOI":"10.1021/cm050230i","ISSN":"0897-4756, 1520-5002","issue":"12","journalAbbreviation":"Chem. Mater.","language":"en","page":"3075-3085","source":"DOI.org (Crossref)","title":"Do Geopolymers Actually Contain Nanocrystalline Zeolites? A Reexamination of Existing Results","title-short":"Do Geopolymers Actually Contain Nanocrystalline Zeolites?","volume":"17","author":[{"family":"Provis","given":"John L."},{"family":"Lukey","given":"Grant C."},{"family":"Deventer","given":"Jannie S. J.","non-dropping-particle":"van"}],"issued":{"date-parts":[["2005",6]]}}}],"schema":"https://github.com/citation-style-language/schema/raw/master/csl-citation.json"} </w:instrText>
      </w:r>
      <w:r w:rsidRPr="00554B32">
        <w:fldChar w:fldCharType="separate"/>
      </w:r>
      <w:r w:rsidR="002860F1" w:rsidRPr="00D4710A">
        <w:t>[9]</w:t>
      </w:r>
      <w:r w:rsidRPr="00554B32">
        <w:fldChar w:fldCharType="end"/>
      </w:r>
      <w:r w:rsidRPr="00554B32">
        <w:t>. However, the shortage of high-quality raw materials for manufacturing geopolymer binders,</w:t>
      </w:r>
      <w:r w:rsidRPr="00D4710A">
        <w:t xml:space="preserve"> </w:t>
      </w:r>
      <w:r w:rsidRPr="00554B32">
        <w:t>as well as its high production costs, have significantly limited its production and application</w:t>
      </w:r>
      <w:r w:rsidRPr="00D4710A">
        <w:t xml:space="preserve"> </w:t>
      </w:r>
      <w:r w:rsidRPr="00554B32">
        <w:t>especially in nuclear waste treatment.</w:t>
      </w:r>
    </w:p>
    <w:p w14:paraId="4B995DDF" w14:textId="73BD0A51" w:rsidR="00953487" w:rsidRPr="00554B32" w:rsidRDefault="00953487" w:rsidP="00FE0F4C">
      <w:pPr>
        <w:pStyle w:val="Corpsdetexte"/>
        <w:spacing w:line="276" w:lineRule="auto"/>
      </w:pPr>
      <w:r w:rsidRPr="00554B32">
        <w:t xml:space="preserve">At the other end of the spectrum, by means of Moroccan phosphorus enrichment, phosphate concentrate production gave rise to 28.1 million metric tons phosphate mine tailings in the process of mineral processing in 2010 </w:t>
      </w:r>
      <w:r w:rsidRPr="00554B32">
        <w:fldChar w:fldCharType="begin"/>
      </w:r>
      <w:r w:rsidRPr="00554B32">
        <w:instrText xml:space="preserve"> ADDIN ZOTERO_ITEM CSL_CITATION {"citationID":"5fzAoNI8","properties":{"formattedCitation":"[10]","plainCitation":"[10]","noteIndex":0},"citationItems":[{"id":9,"uris":["http://zotero.org/users/local/K2uxjuux/items/S2GFY5RG"],"uri":["http://zotero.org/users/local/K2uxjuux/items/S2GFY5RG"],"itemData":{"id":9,"type":"article-journal","abstract":"Phosphate sludge generated from beneficiation plants of Moroccan phosphate rocks was investigated at 900–1200 °C by X-ray diffraction, scanning electron microscopy, thermal analysis and Fourier-transform infrared spectroscopy. Mixtures of the phosphate sludge and a swelling clay (up to 30 wt.%) were investigated and their properties (shrinkage, density, water absorption and compressive strength) were measured as a function of temperature and clay addition. The results showed that gehlenite neoformed from lime of decomposed carbonates and breakdown products of clay minerals and that fluorapatite (original mineral) resisted heating until fusion. The measured properties were mainly controlled by temperature, and the effect of clay addition was less regular, except for water absorption. Considering the mixtures densities (1.44–3.02 g/cm3), lightweight agglomerates can be produced at 900 or 1100 °C, but their compressive strengths were relatively low (2–4.5 MPa). Based on SiO2–Al2O3-Fluxes diagram and taking account of the chemical composition of the materials used, the production of expanded aggregates requires clay additions as high as 80 wt.%.","container-title":"Journal of Environmental Management","DOI":"10.1016/j.jenvman.2013.09.004","ISSN":"0301-4797","journalAbbreviation":"Journal of Environmental Management","language":"en","page":"354-360","source":"ScienceDirect","title":"Phosphate sludge: Thermal transformation and use as lightweight aggregate material","title-short":"Phosphate sludge","volume":"130","author":[{"family":"Loutou","given":"M."},{"family":"Hajjaji","given":"M."},{"family":"Mansori","given":"M."},{"family":"Favotto","given":"C."},{"family":"Hakkou","given":"R."}],"issued":{"date-parts":[["2013",11,30]]}}}],"schema":"https://github.com/citation-style-language/schema/raw/master/csl-citation.json"} </w:instrText>
      </w:r>
      <w:r w:rsidRPr="00554B32">
        <w:fldChar w:fldCharType="separate"/>
      </w:r>
      <w:r w:rsidR="002860F1" w:rsidRPr="00D4710A">
        <w:t>[10]</w:t>
      </w:r>
      <w:r w:rsidRPr="00554B32">
        <w:fldChar w:fldCharType="end"/>
      </w:r>
      <w:r w:rsidRPr="00554B32">
        <w:t>. These generated tailings are accumulated in large quantities or discharged into rivers and farmlands</w:t>
      </w:r>
      <w:r w:rsidRPr="00D4710A">
        <w:t xml:space="preserve"> </w:t>
      </w:r>
      <w:r w:rsidRPr="00554B32">
        <w:t>and pose a growing threat to environmental security due to lack of effective governance, indicating that innovative phosphate mine tailing upcycling technology is urgently needed.</w:t>
      </w:r>
      <w:r w:rsidRPr="00D4710A">
        <w:t xml:space="preserve"> </w:t>
      </w:r>
      <w:r w:rsidRPr="00554B32">
        <w:t>Earlier work from our laboratory showed that the use of phosphate mine tailings can potentially produce a high performance geopolymer binder</w:t>
      </w:r>
      <w:r w:rsidR="00FE0F4C">
        <w:t xml:space="preserve">s </w:t>
      </w:r>
      <w:r w:rsidR="00FE0F4C">
        <w:fldChar w:fldCharType="begin"/>
      </w:r>
      <w:r w:rsidR="00FE0F4C">
        <w:instrText xml:space="preserve"> ADDIN ZOTERO_ITEM CSL_CITATION {"citationID":"tLWN44z9","properties":{"formattedCitation":"[11, 12]","plainCitation":"[11, 12]","noteIndex":0},"citationItems":[{"id":278,"uris":["http://zotero.org/users/local/K2uxjuux/items/8M8VUTK9"],"uri":["http://zotero.org/users/local/K2uxjuux/items/8M8VUTK9"],"itemData":{"id":278,"type":"article-journal","abstract":"In the present work we investigate the possibility of reusing phosphate sludge, which is considered as a mining by-product from beneficiation plants of the Moroccan phosphate rocks (OCP, Youssoufia), through the geopolymerization process. This process allows to evaluate the alkaline behaviour of thermally untreated phosphate sludge (UPS) as a partial replacement of metakaolin. The geopolymers were synthesised with various activator modulus (Ms=1.40, 1.30, 1.24, 1.20, and 1.15) made from a mixture of different alkaline (NaOH and KOH) solutions and sodium silicate. The effect of 0–60% untreated sludge (UPS) powder in metakaolin based geopolymer materials cured at 60 °C was investigated. Compressive strength and apparent porosity were determined after 28 days of curing and the reaction products were tested by different techniques including: X-Ray Diffraction (XRD), Fourier Transformed Infrared spectroscopy (FTIR), thermal gravimetric analyses (TGA) and Electron microscope scanning coupled with energy dispersive spectroscopy (SEM-EDX). For up to 50 % of UPS, physical properties of the hardened products are induced, especially when the activator modulus (Ms= 1.30) is used. In these blends, the presence of UPS is favorable to ensure the better connectivity between grains in the system. In fact, the sludge has been suggested to have a dual role, it has a filler effect and/or a small precipitation of Ca-bearing phases co-existing with (Na, K)-A-S-H-type gel.","container-title":"Materials Chemistry and Physics","DOI":"10.1016/j.matchemphys.2020.122938","ISSN":"0254-0584","journalAbbreviation":"Materials Chemistry and Physics","language":"en","page":"122938","source":"ScienceDirect","title":"Effect of alkali-mixed content and thermally untreated phosphate sludge dosages on some properties of metakaolin based geopolymer material","author":[{"family":"Hamdane","given":"Hasna"},{"family":"Tamraoui","given":"Youssef"},{"family":"Mansouri","given":"Said"},{"family":"Oumam","given":"Mina"},{"family":"Bouih","given":"Abderrahim"},{"family":"El Ghailassi","given":"Touria"},{"family":"Boulif","given":"Rachid"},{"family":"Manoun","given":"Bouchaib"},{"family":"Hannache","given":"Hassan"}],"issued":{"date-parts":[["2020",3,17]]}}},{"id":654,"uris":["http://zotero.org/users/local/K2uxjuux/items/ZR2Y67CT"],"uri":["http://zotero.org/users/local/K2uxjuux/items/ZR2Y67CT"],"itemData":{"id":654,"type":"article-journal","abstract":"Upcycling phosphate mining sludges to produce a green cementitious binder, called geopolymer, has recently been implemented; although interesting, a thermal activation has been required to increase their reactivity, in detriment of the energy consumption, environmental footprint and costs. This paper provides an innovative approach to phosphate sludge disposal without any thermal activation, through a dual-alkali activation of NaOH–KOH for designing sustainable geopolymer coating binder of metakaolin with up-to 50 wt% replacement by un-calcined phosphate sludge (UPS). RSM-based statistical design was undertaken to optimize and understand the influence of design factors of activator modulus (MS), ageing time and thermal curing on compressive strength, apparent porosity and water absorption as targeted properties, through polynomial models. Optimal geopolymer testing included measurements of initial-final setting time and durability against 5% NaCl, 5% Na2SO4 and 2% HCl attack up to 3 months, through the visual examination, weight loss and flexural strength.The microstructures of the optimal binder highlighted significant changes in the geopolymeric network, including the formation of hybrid type gels (N,K)-A-S-H or (C,N,K)-A-S-H, silica gel and C-A-S-H/C–S–H co-existing with an inactive filler material exerted by unreacted particles. The optimal binder with RSM methodology reached in a high compressive strength of 49.78 ± 0.30 MPa at 26 days of curing, which obviously confirmed in terms of the microstructural features. A thermal curing (50C°) looks effective to maintain a suitable setting time while achieving excellent mechanical and chemical stability in aggressive environments. In these blends, the UPS chemistry is effective to improve both the mechanical and the durability properties where it acts basically as a barrier (chemical and/or physical) owing to the dual-alkali cations (MS = 1.32) in the activation solution. This study confirms the promise of using the elaborated UPS-MK based geopolymers as sustainable coating materials, which could substantially promote a cleaner production in the construction sector and phosphate mines.","container-title":"Journal of Cleaner Production","DOI":"10.1016/j.jclepro.2020.125421","ISSN":"0959-6526","journalAbbreviation":"Journal of Cleaner Production","language":"en","page":"125421","source":"ScienceDirect","title":"Statistical modeling of geopolymers from dual-alkali activation of un-calcined phosphate sludge and their potential applications as sustainable coating materials","volume":"283","author":[{"family":"Hamdane","given":"Hasna"},{"family":"Tamraoui","given":"Youssef"},{"family":"Mansouri","given":"Said"},{"family":"Oumam","given":"Mina"},{"family":"Bouih","given":"Abderrahim"},{"family":"El Ghailassi","given":"Touria"},{"family":"Boulif","given":"Rachid"},{"family":"Manoun","given":"Bouchaib"},{"family":"Hannache","given":"Hassan"}],"issued":{"date-parts":[["2021",2,10]]}}}],"schema":"https://github.com/citation-style-language/schema/raw/master/csl-citation.json"} </w:instrText>
      </w:r>
      <w:r w:rsidR="00FE0F4C">
        <w:fldChar w:fldCharType="separate"/>
      </w:r>
      <w:r w:rsidR="00FE0F4C" w:rsidRPr="00FE0F4C">
        <w:t>[11, 12]</w:t>
      </w:r>
      <w:r w:rsidR="00FE0F4C">
        <w:fldChar w:fldCharType="end"/>
      </w:r>
      <w:r w:rsidRPr="00554B32">
        <w:t>. However, none of the previous studies have explored the combination of phosphate mine tailings-derived geopolymer package and radioactive resins disposal.</w:t>
      </w:r>
    </w:p>
    <w:p w14:paraId="55B317E4" w14:textId="0AC6EB64" w:rsidR="00953487" w:rsidRPr="00554B32" w:rsidRDefault="00953487" w:rsidP="001722EC">
      <w:pPr>
        <w:pStyle w:val="Corpsdetexte"/>
        <w:spacing w:line="276" w:lineRule="auto"/>
      </w:pPr>
      <w:r w:rsidRPr="00554B32">
        <w:t>Presented herein is an innovative and technical approach for solidifying radioactive resins using phosphate mine tailings-derived geopolymer packages. The geopolymer packages were first prepared by one-factor-at-a-time method use uncalcined phosphate sludge, which was then employed to directly solidify radioactive resins loaded with a simulated Cs. The performance assessment criteria were based on a combination of mechanical properties (compressive strength) alongside leaching rate of Cs radionuclide of the solidified packages. Collectively, th</w:t>
      </w:r>
      <w:r w:rsidR="00AB0F00" w:rsidRPr="00554B32">
        <w:t>e</w:t>
      </w:r>
      <w:r w:rsidRPr="00554B32">
        <w:t xml:space="preserve"> work showed the coordinated assimilation of phosphate mine tailings and nuclear wastes, which supports current thinking toward to green chemistry and circular economy.</w:t>
      </w:r>
    </w:p>
    <w:p w14:paraId="433FE04F" w14:textId="4E4A043D" w:rsidR="00E25B68" w:rsidRDefault="00EC7159" w:rsidP="006F47EE">
      <w:pPr>
        <w:pStyle w:val="Titre2"/>
        <w:numPr>
          <w:ilvl w:val="1"/>
          <w:numId w:val="5"/>
        </w:numPr>
      </w:pPr>
      <w:r>
        <w:t>EXPERIMENTAL PROCEDURES</w:t>
      </w:r>
    </w:p>
    <w:p w14:paraId="13778F5E" w14:textId="237C76CB" w:rsidR="006D57D1" w:rsidRDefault="006D57D1" w:rsidP="006D57D1">
      <w:pPr>
        <w:pStyle w:val="Titre3"/>
        <w:rPr>
          <w:i/>
          <w:iCs/>
        </w:rPr>
      </w:pPr>
      <w:r w:rsidRPr="006D57D1">
        <w:rPr>
          <w:i/>
          <w:iCs/>
        </w:rPr>
        <w:t>Materials</w:t>
      </w:r>
    </w:p>
    <w:p w14:paraId="13C7B813" w14:textId="33277B23" w:rsidR="00C252D1" w:rsidRDefault="006D57D1" w:rsidP="001722EC">
      <w:pPr>
        <w:pStyle w:val="Corpsdetexte"/>
        <w:spacing w:line="276" w:lineRule="auto"/>
      </w:pPr>
      <w:r>
        <w:t>The geopolymer packages</w:t>
      </w:r>
      <w:r w:rsidR="00C252D1" w:rsidRPr="00C252D1">
        <w:t xml:space="preserve"> are manufactured from a mixture of commercial soda silicate, adjusted with NaOH</w:t>
      </w:r>
      <w:r>
        <w:t xml:space="preserve"> and KOH</w:t>
      </w:r>
      <w:r w:rsidR="00C252D1" w:rsidRPr="00C252D1">
        <w:t xml:space="preserve">, diluted with demineralised </w:t>
      </w:r>
      <w:r>
        <w:t xml:space="preserve">(DI) </w:t>
      </w:r>
      <w:r w:rsidR="00C252D1" w:rsidRPr="00C252D1">
        <w:t>water</w:t>
      </w:r>
      <w:r>
        <w:t xml:space="preserve"> </w:t>
      </w:r>
      <w:r w:rsidR="00C252D1" w:rsidRPr="00C252D1">
        <w:t>and eventually added with a variable proportion of</w:t>
      </w:r>
      <w:r>
        <w:t xml:space="preserve"> un-calcined phosphate tailings (UPT) and</w:t>
      </w:r>
      <w:r w:rsidR="00C252D1" w:rsidRPr="00C252D1">
        <w:t xml:space="preserve"> metakaolin (MK).</w:t>
      </w:r>
    </w:p>
    <w:p w14:paraId="7D937ED0" w14:textId="7BC7DFC3" w:rsidR="004710B8" w:rsidRDefault="00DF004A" w:rsidP="001722EC">
      <w:pPr>
        <w:pStyle w:val="Corpsdetexte"/>
        <w:spacing w:line="276" w:lineRule="auto"/>
      </w:pPr>
      <w:r w:rsidRPr="00DF004A">
        <w:t xml:space="preserve">The liquid sodium silicate used </w:t>
      </w:r>
      <w:r>
        <w:t>was</w:t>
      </w:r>
      <w:r w:rsidRPr="00DF004A">
        <w:t xml:space="preserve"> </w:t>
      </w:r>
      <w:r w:rsidR="002144C5" w:rsidRPr="00DF004A">
        <w:t>used</w:t>
      </w:r>
      <w:r w:rsidR="002144C5">
        <w:t xml:space="preserve"> with a</w:t>
      </w:r>
      <w:r w:rsidRPr="00DF004A">
        <w:t xml:space="preserve"> composition given by the manufacturer</w:t>
      </w:r>
      <w:r w:rsidR="002144C5">
        <w:t>:</w:t>
      </w:r>
      <w:r w:rsidRPr="00DF004A">
        <w:t xml:space="preserve"> </w:t>
      </w:r>
      <w:r>
        <w:t>55</w:t>
      </w:r>
      <w:r w:rsidR="004710B8" w:rsidRPr="004710B8">
        <w:t xml:space="preserve"> </w:t>
      </w:r>
      <w:r w:rsidR="004710B8">
        <w:t>wt.</w:t>
      </w:r>
      <w:r w:rsidR="004710B8" w:rsidRPr="00DF004A">
        <w:t>%</w:t>
      </w:r>
      <w:r w:rsidRPr="00DF004A">
        <w:t xml:space="preserve"> water, 2</w:t>
      </w:r>
      <w:r w:rsidR="00AB0F00">
        <w:t>9</w:t>
      </w:r>
      <w:r w:rsidRPr="00DF004A">
        <w:t>.</w:t>
      </w:r>
      <w:r w:rsidR="00AB0F00">
        <w:t xml:space="preserve">69 </w:t>
      </w:r>
      <w:r w:rsidR="004710B8">
        <w:t>wt.</w:t>
      </w:r>
      <w:r w:rsidR="004710B8" w:rsidRPr="00DF004A">
        <w:t>%</w:t>
      </w:r>
      <w:r w:rsidRPr="00DF004A">
        <w:t xml:space="preserve"> SiO</w:t>
      </w:r>
      <w:r w:rsidRPr="004C3412">
        <w:rPr>
          <w:vertAlign w:val="subscript"/>
        </w:rPr>
        <w:t>2</w:t>
      </w:r>
      <w:r w:rsidRPr="00DF004A">
        <w:t xml:space="preserve"> and </w:t>
      </w:r>
      <w:r w:rsidR="00AB0F00">
        <w:t>15</w:t>
      </w:r>
      <w:r w:rsidRPr="00DF004A">
        <w:t>.3</w:t>
      </w:r>
      <w:r w:rsidR="004710B8">
        <w:t xml:space="preserve"> wt.</w:t>
      </w:r>
      <w:r w:rsidRPr="00DF004A">
        <w:t>% Na</w:t>
      </w:r>
      <w:r w:rsidRPr="004C3412">
        <w:rPr>
          <w:vertAlign w:val="subscript"/>
        </w:rPr>
        <w:t>2</w:t>
      </w:r>
      <w:r w:rsidRPr="00DF004A">
        <w:t>O.</w:t>
      </w:r>
      <w:r w:rsidR="002144C5">
        <w:t xml:space="preserve"> </w:t>
      </w:r>
      <w:r w:rsidR="004710B8" w:rsidRPr="004710B8">
        <w:t xml:space="preserve">The sodium </w:t>
      </w:r>
      <w:r w:rsidR="004710B8" w:rsidRPr="007B0F12">
        <w:t>and potassium hydroxides</w:t>
      </w:r>
      <w:r w:rsidR="004710B8" w:rsidRPr="004710B8">
        <w:t xml:space="preserve"> used </w:t>
      </w:r>
      <w:r w:rsidR="004710B8">
        <w:t>are</w:t>
      </w:r>
      <w:r w:rsidR="004710B8" w:rsidRPr="00DF004A">
        <w:t xml:space="preserve"> </w:t>
      </w:r>
      <w:r w:rsidR="004710B8" w:rsidRPr="004710B8">
        <w:t xml:space="preserve">in the form of micro-beads, and </w:t>
      </w:r>
      <w:r w:rsidR="004710B8">
        <w:t>are</w:t>
      </w:r>
      <w:r w:rsidR="004710B8" w:rsidRPr="004710B8">
        <w:t xml:space="preserve"> 99%</w:t>
      </w:r>
      <w:r w:rsidR="004710B8">
        <w:t>, 90%</w:t>
      </w:r>
      <w:r w:rsidR="004710B8" w:rsidRPr="004710B8">
        <w:t xml:space="preserve"> pure</w:t>
      </w:r>
      <w:r w:rsidR="004710B8">
        <w:t>, respectively</w:t>
      </w:r>
      <w:r w:rsidR="004710B8" w:rsidRPr="004710B8">
        <w:t>.</w:t>
      </w:r>
      <w:r w:rsidR="00D42E7D" w:rsidRPr="00D42E7D">
        <w:t xml:space="preserve"> The chemical reagents were all of </w:t>
      </w:r>
      <w:r w:rsidR="00850A68">
        <w:t>t</w:t>
      </w:r>
      <w:r w:rsidR="00850A68" w:rsidRPr="00850A68">
        <w:t xml:space="preserve">echnical </w:t>
      </w:r>
      <w:r w:rsidR="00850A68" w:rsidRPr="00D42E7D">
        <w:t>grade</w:t>
      </w:r>
      <w:r w:rsidR="00D42E7D" w:rsidRPr="00D42E7D">
        <w:t xml:space="preserve"> and were </w:t>
      </w:r>
      <w:r w:rsidR="00D42E7D" w:rsidRPr="00DF004A">
        <w:t>supplied</w:t>
      </w:r>
      <w:r w:rsidR="00D42E7D" w:rsidRPr="00D42E7D">
        <w:t xml:space="preserve"> from </w:t>
      </w:r>
      <w:proofErr w:type="spellStart"/>
      <w:r w:rsidR="00D42E7D" w:rsidRPr="00AB0F00">
        <w:t>Cadilhac</w:t>
      </w:r>
      <w:proofErr w:type="spellEnd"/>
      <w:r w:rsidR="00D42E7D" w:rsidRPr="00AB0F00">
        <w:t xml:space="preserve"> Company</w:t>
      </w:r>
      <w:r w:rsidR="00D42E7D" w:rsidRPr="00D42E7D">
        <w:t>.</w:t>
      </w:r>
    </w:p>
    <w:p w14:paraId="095F51C0" w14:textId="418A4547" w:rsidR="007B0F12" w:rsidRDefault="00D42E7D" w:rsidP="001722EC">
      <w:pPr>
        <w:pStyle w:val="Corpsdetexte"/>
        <w:spacing w:line="276" w:lineRule="auto"/>
      </w:pPr>
      <w:r>
        <w:t xml:space="preserve">Phosphate tailing by-products </w:t>
      </w:r>
      <w:r w:rsidR="00A66DCD" w:rsidRPr="00A66DCD">
        <w:t xml:space="preserve">were sampled </w:t>
      </w:r>
      <w:r>
        <w:t xml:space="preserve">from the Moroccan phosphate mine industry </w:t>
      </w:r>
      <w:r w:rsidR="002144C5">
        <w:t>(</w:t>
      </w:r>
      <w:proofErr w:type="spellStart"/>
      <w:r w:rsidR="002144C5" w:rsidRPr="00A66DCD">
        <w:t>Gantour</w:t>
      </w:r>
      <w:proofErr w:type="spellEnd"/>
      <w:r w:rsidR="002144C5" w:rsidRPr="00A66DCD">
        <w:t xml:space="preserve"> basin, Morocco)</w:t>
      </w:r>
      <w:r w:rsidR="00A66DCD">
        <w:t>.</w:t>
      </w:r>
      <w:r w:rsidR="00A66DCD" w:rsidRPr="00A66DCD">
        <w:t xml:space="preserve"> </w:t>
      </w:r>
      <w:r w:rsidR="0089684D" w:rsidRPr="0089684D">
        <w:t>These tailings are derived from the beneficiation of phosphate rock (washing and flotation techniques). Multiple samples were taken from a large stockpile and mechanically crushed to obtain phosphate tailing</w:t>
      </w:r>
      <w:r w:rsidR="00BA002F">
        <w:t xml:space="preserve"> powder </w:t>
      </w:r>
      <w:r w:rsidR="00D37A5E" w:rsidRPr="00D37A5E">
        <w:t>with a size of less than 0.08 mm</w:t>
      </w:r>
      <w:r w:rsidR="00D37A5E">
        <w:t xml:space="preserve">, the </w:t>
      </w:r>
      <w:r w:rsidR="000E7A73" w:rsidRPr="000E7A73">
        <w:t xml:space="preserve">particle size distribution </w:t>
      </w:r>
      <w:r w:rsidR="00D37A5E">
        <w:t xml:space="preserve">was </w:t>
      </w:r>
      <w:r w:rsidR="000E7A73" w:rsidRPr="00850A68">
        <w:t>measured</w:t>
      </w:r>
      <w:r w:rsidR="000E7A73" w:rsidRPr="000E7A73">
        <w:t xml:space="preserve"> by a laser particle size </w:t>
      </w:r>
      <w:r w:rsidR="00D37A5E" w:rsidRPr="000E7A73">
        <w:t>analyser</w:t>
      </w:r>
      <w:r w:rsidR="000E7A73" w:rsidRPr="000E7A73">
        <w:t xml:space="preserve"> </w:t>
      </w:r>
      <w:r w:rsidR="00850A68">
        <w:t>(</w:t>
      </w:r>
      <w:proofErr w:type="spellStart"/>
      <w:r w:rsidR="00850A68">
        <w:t>Mastersizer</w:t>
      </w:r>
      <w:proofErr w:type="spellEnd"/>
      <w:r w:rsidR="00850A68">
        <w:t xml:space="preserve"> 2000)</w:t>
      </w:r>
      <w:r w:rsidR="00BD0A03">
        <w:t>;</w:t>
      </w:r>
      <w:r w:rsidR="00BD0A03" w:rsidRPr="00BD0A03">
        <w:t xml:space="preserve"> the </w:t>
      </w:r>
      <w:r w:rsidR="00B71949">
        <w:t xml:space="preserve">obtained powder </w:t>
      </w:r>
      <w:r w:rsidR="00BD0A03" w:rsidRPr="00BD0A03">
        <w:t xml:space="preserve">was used in this </w:t>
      </w:r>
      <w:r w:rsidR="00BD0A03" w:rsidRPr="0089684D">
        <w:t>investigation</w:t>
      </w:r>
      <w:r w:rsidR="00BD0A03" w:rsidRPr="00BD0A03">
        <w:t xml:space="preserve"> without thermal activation.</w:t>
      </w:r>
      <w:r w:rsidR="00BA002F">
        <w:t xml:space="preserve"> </w:t>
      </w:r>
    </w:p>
    <w:p w14:paraId="27FB2AA9" w14:textId="248E6885" w:rsidR="00BF5011" w:rsidRDefault="00BF5011" w:rsidP="001722EC">
      <w:pPr>
        <w:pStyle w:val="Corpsdetexte"/>
        <w:spacing w:line="276" w:lineRule="auto"/>
      </w:pPr>
      <w:r>
        <w:t>Th</w:t>
      </w:r>
      <w:r w:rsidRPr="002662BD">
        <w:t xml:space="preserve">e metakaolin </w:t>
      </w:r>
      <w:r>
        <w:t xml:space="preserve">(MK) </w:t>
      </w:r>
      <w:r w:rsidRPr="00BF5011">
        <w:t xml:space="preserve">precursor powder was prepared from kaolin (Sibelco Company, UK) by calcination </w:t>
      </w:r>
      <w:r w:rsidR="00D872FF">
        <w:t>at 750°</w:t>
      </w:r>
      <w:r w:rsidR="00D4710A">
        <w:t>C</w:t>
      </w:r>
      <w:r w:rsidR="00D872FF">
        <w:t xml:space="preserve"> </w:t>
      </w:r>
      <w:r w:rsidRPr="00BF5011">
        <w:t>in an electric muffle furnace (</w:t>
      </w:r>
      <w:proofErr w:type="spellStart"/>
      <w:r w:rsidRPr="00BF5011">
        <w:t>Nabertherme</w:t>
      </w:r>
      <w:proofErr w:type="spellEnd"/>
      <w:r w:rsidRPr="00BF5011">
        <w:t xml:space="preserve">). </w:t>
      </w:r>
      <w:r>
        <w:t>The</w:t>
      </w:r>
      <w:r w:rsidRPr="002662BD">
        <w:t xml:space="preserve"> compositions and characteristics </w:t>
      </w:r>
      <w:r>
        <w:t>of the powders</w:t>
      </w:r>
      <w:r w:rsidR="002A5BA2">
        <w:t xml:space="preserve"> and alkaline solution</w:t>
      </w:r>
      <w:r>
        <w:t xml:space="preserve"> are </w:t>
      </w:r>
      <w:r w:rsidRPr="002662BD">
        <w:t xml:space="preserve">given in </w:t>
      </w:r>
      <w:r w:rsidRPr="00ED1AF5">
        <w:rPr>
          <w:b/>
          <w:bCs/>
        </w:rPr>
        <w:t>Table 1</w:t>
      </w:r>
      <w:r>
        <w:t>.</w:t>
      </w:r>
      <w:r w:rsidR="00D37A5E" w:rsidRPr="00D37A5E">
        <w:t xml:space="preserve"> </w:t>
      </w:r>
      <w:r w:rsidR="00D37A5E">
        <w:t>The chemical composition of the started powders was performed using Bruker S1 Turbo SD, X-ray fluorescence (Portable System) sequential spectrometer.</w:t>
      </w:r>
    </w:p>
    <w:p w14:paraId="34B32613" w14:textId="77777777" w:rsidR="003D50B3" w:rsidRDefault="003D50B3" w:rsidP="00BD0A03">
      <w:pPr>
        <w:pStyle w:val="Corpsdetexte"/>
      </w:pPr>
    </w:p>
    <w:p w14:paraId="49671E39" w14:textId="0813968C" w:rsidR="00BD0A03" w:rsidRPr="00BD25CD" w:rsidRDefault="00DD2A33" w:rsidP="00BD25CD">
      <w:pPr>
        <w:pStyle w:val="Corpsdetexte"/>
        <w:ind w:firstLine="0"/>
        <w:jc w:val="left"/>
        <w:rPr>
          <w:sz w:val="18"/>
          <w:szCs w:val="18"/>
        </w:rPr>
      </w:pPr>
      <w:r w:rsidRPr="00BD25CD">
        <w:rPr>
          <w:sz w:val="18"/>
          <w:szCs w:val="18"/>
        </w:rPr>
        <w:t>T</w:t>
      </w:r>
      <w:r w:rsidR="00BD25CD" w:rsidRPr="00BD25CD">
        <w:rPr>
          <w:sz w:val="18"/>
          <w:szCs w:val="18"/>
        </w:rPr>
        <w:t>ABLE.</w:t>
      </w:r>
      <w:r w:rsidRPr="00BD25CD">
        <w:rPr>
          <w:sz w:val="18"/>
          <w:szCs w:val="18"/>
        </w:rPr>
        <w:t xml:space="preserve"> 1 Chemical composition and characteristics of reagents</w:t>
      </w:r>
    </w:p>
    <w:p w14:paraId="37B9576E" w14:textId="77777777" w:rsidR="00DD2A33" w:rsidRDefault="00DD2A33" w:rsidP="00DD2A33">
      <w:pPr>
        <w:pStyle w:val="Corpsdetexte"/>
        <w:ind w:firstLine="0"/>
        <w:jc w:val="center"/>
      </w:pPr>
    </w:p>
    <w:tbl>
      <w:tblPr>
        <w:tblStyle w:val="Grilledutableau"/>
        <w:tblW w:w="8926" w:type="dxa"/>
        <w:tblBorders>
          <w:left w:val="none" w:sz="0" w:space="0" w:color="auto"/>
          <w:right w:val="none" w:sz="0" w:space="0" w:color="auto"/>
        </w:tblBorders>
        <w:tblLayout w:type="fixed"/>
        <w:tblLook w:val="04A0" w:firstRow="1" w:lastRow="0" w:firstColumn="1" w:lastColumn="0" w:noHBand="0" w:noVBand="1"/>
      </w:tblPr>
      <w:tblGrid>
        <w:gridCol w:w="1385"/>
        <w:gridCol w:w="737"/>
        <w:gridCol w:w="850"/>
        <w:gridCol w:w="709"/>
        <w:gridCol w:w="850"/>
        <w:gridCol w:w="709"/>
        <w:gridCol w:w="709"/>
        <w:gridCol w:w="709"/>
        <w:gridCol w:w="709"/>
        <w:gridCol w:w="708"/>
        <w:gridCol w:w="851"/>
      </w:tblGrid>
      <w:tr w:rsidR="006C6066" w:rsidRPr="003D50B3" w14:paraId="527435C3" w14:textId="77777777" w:rsidTr="002A5BA2">
        <w:trPr>
          <w:trHeight w:val="247"/>
        </w:trPr>
        <w:tc>
          <w:tcPr>
            <w:tcW w:w="1385" w:type="dxa"/>
            <w:tcBorders>
              <w:top w:val="single" w:sz="8" w:space="0" w:color="auto"/>
              <w:bottom w:val="single" w:sz="8" w:space="0" w:color="auto"/>
              <w:right w:val="nil"/>
            </w:tcBorders>
          </w:tcPr>
          <w:p w14:paraId="01BE749C" w14:textId="77777777" w:rsidR="006C6066" w:rsidRPr="003D50B3" w:rsidRDefault="006C6066" w:rsidP="000A2990">
            <w:pPr>
              <w:pStyle w:val="Corpsdetexte"/>
              <w:ind w:firstLine="0"/>
              <w:rPr>
                <w:rFonts w:asciiTheme="majorBidi" w:hAnsiTheme="majorBidi" w:cstheme="majorBidi"/>
                <w:color w:val="2E2E2E"/>
                <w:sz w:val="27"/>
                <w:szCs w:val="27"/>
              </w:rPr>
            </w:pPr>
          </w:p>
        </w:tc>
        <w:tc>
          <w:tcPr>
            <w:tcW w:w="737" w:type="dxa"/>
            <w:tcBorders>
              <w:top w:val="single" w:sz="8" w:space="0" w:color="auto"/>
              <w:left w:val="nil"/>
              <w:bottom w:val="single" w:sz="8" w:space="0" w:color="auto"/>
              <w:right w:val="nil"/>
            </w:tcBorders>
            <w:vAlign w:val="center"/>
          </w:tcPr>
          <w:p w14:paraId="028C3F45" w14:textId="0D7FBB68" w:rsidR="006C6066" w:rsidRPr="003D50B3" w:rsidRDefault="006C6066" w:rsidP="00197A62">
            <w:pPr>
              <w:pStyle w:val="Corpsdetexte"/>
              <w:ind w:firstLine="0"/>
              <w:jc w:val="center"/>
              <w:rPr>
                <w:rStyle w:val="TabletextChar"/>
                <w:rFonts w:asciiTheme="majorBidi" w:hAnsiTheme="majorBidi" w:cstheme="majorBidi"/>
              </w:rPr>
            </w:pPr>
            <w:r w:rsidRPr="003D50B3">
              <w:rPr>
                <w:rStyle w:val="TabletextChar"/>
                <w:rFonts w:asciiTheme="majorBidi" w:hAnsiTheme="majorBidi" w:cstheme="majorBidi"/>
              </w:rPr>
              <w:t>Sio</w:t>
            </w:r>
            <w:r w:rsidRPr="003D50B3">
              <w:rPr>
                <w:rStyle w:val="TabletextChar"/>
                <w:rFonts w:asciiTheme="majorBidi" w:hAnsiTheme="majorBidi" w:cstheme="majorBidi"/>
                <w:vertAlign w:val="subscript"/>
              </w:rPr>
              <w:t>2</w:t>
            </w:r>
          </w:p>
        </w:tc>
        <w:tc>
          <w:tcPr>
            <w:tcW w:w="850" w:type="dxa"/>
            <w:tcBorders>
              <w:top w:val="single" w:sz="8" w:space="0" w:color="auto"/>
              <w:left w:val="nil"/>
              <w:bottom w:val="single" w:sz="8" w:space="0" w:color="auto"/>
              <w:right w:val="nil"/>
            </w:tcBorders>
            <w:vAlign w:val="center"/>
          </w:tcPr>
          <w:p w14:paraId="5963EF31" w14:textId="497D8679" w:rsidR="006C6066" w:rsidRPr="003D50B3" w:rsidRDefault="006C6066" w:rsidP="00197A62">
            <w:pPr>
              <w:pStyle w:val="Corpsdetexte"/>
              <w:ind w:firstLine="0"/>
              <w:jc w:val="center"/>
              <w:rPr>
                <w:rStyle w:val="TabletextChar"/>
                <w:rFonts w:asciiTheme="majorBidi" w:hAnsiTheme="majorBidi" w:cstheme="majorBidi"/>
              </w:rPr>
            </w:pPr>
            <w:r w:rsidRPr="003D50B3">
              <w:rPr>
                <w:rStyle w:val="TabletextChar"/>
                <w:rFonts w:asciiTheme="majorBidi" w:hAnsiTheme="majorBidi" w:cstheme="majorBidi"/>
              </w:rPr>
              <w:t>Al</w:t>
            </w:r>
            <w:r w:rsidRPr="003D50B3">
              <w:rPr>
                <w:rStyle w:val="TabletextChar"/>
                <w:rFonts w:asciiTheme="majorBidi" w:hAnsiTheme="majorBidi" w:cstheme="majorBidi"/>
                <w:vertAlign w:val="subscript"/>
              </w:rPr>
              <w:t>2</w:t>
            </w:r>
            <w:r w:rsidRPr="003D50B3">
              <w:rPr>
                <w:rStyle w:val="TabletextChar"/>
                <w:rFonts w:asciiTheme="majorBidi" w:hAnsiTheme="majorBidi" w:cstheme="majorBidi"/>
              </w:rPr>
              <w:t>O</w:t>
            </w:r>
            <w:r w:rsidRPr="003D50B3">
              <w:rPr>
                <w:rStyle w:val="TabletextChar"/>
                <w:rFonts w:asciiTheme="majorBidi" w:hAnsiTheme="majorBidi" w:cstheme="majorBidi"/>
                <w:vertAlign w:val="subscript"/>
              </w:rPr>
              <w:t>3</w:t>
            </w:r>
          </w:p>
        </w:tc>
        <w:tc>
          <w:tcPr>
            <w:tcW w:w="709" w:type="dxa"/>
            <w:tcBorders>
              <w:top w:val="single" w:sz="8" w:space="0" w:color="auto"/>
              <w:left w:val="nil"/>
              <w:bottom w:val="single" w:sz="8" w:space="0" w:color="auto"/>
              <w:right w:val="nil"/>
            </w:tcBorders>
            <w:vAlign w:val="center"/>
          </w:tcPr>
          <w:p w14:paraId="69DC1352" w14:textId="59784EAF" w:rsidR="006C6066" w:rsidRPr="003D50B3" w:rsidRDefault="006C6066" w:rsidP="00197A62">
            <w:pPr>
              <w:pStyle w:val="Corpsdetexte"/>
              <w:ind w:firstLine="0"/>
              <w:jc w:val="center"/>
              <w:rPr>
                <w:rStyle w:val="TabletextChar"/>
                <w:rFonts w:asciiTheme="majorBidi" w:hAnsiTheme="majorBidi" w:cstheme="majorBidi"/>
              </w:rPr>
            </w:pPr>
            <w:proofErr w:type="spellStart"/>
            <w:r w:rsidRPr="003D50B3">
              <w:rPr>
                <w:rStyle w:val="TabletextChar"/>
                <w:rFonts w:asciiTheme="majorBidi" w:hAnsiTheme="majorBidi" w:cstheme="majorBidi"/>
              </w:rPr>
              <w:t>CaO</w:t>
            </w:r>
            <w:proofErr w:type="spellEnd"/>
          </w:p>
        </w:tc>
        <w:tc>
          <w:tcPr>
            <w:tcW w:w="850" w:type="dxa"/>
            <w:tcBorders>
              <w:top w:val="single" w:sz="8" w:space="0" w:color="auto"/>
              <w:left w:val="nil"/>
              <w:bottom w:val="single" w:sz="8" w:space="0" w:color="auto"/>
              <w:right w:val="nil"/>
            </w:tcBorders>
            <w:vAlign w:val="center"/>
          </w:tcPr>
          <w:p w14:paraId="3ADE11E6" w14:textId="2C90006A" w:rsidR="006C6066" w:rsidRPr="003D50B3" w:rsidRDefault="006C6066" w:rsidP="00197A62">
            <w:pPr>
              <w:pStyle w:val="Corpsdetexte"/>
              <w:ind w:firstLine="0"/>
              <w:jc w:val="center"/>
              <w:rPr>
                <w:rStyle w:val="TabletextChar"/>
                <w:rFonts w:asciiTheme="majorBidi" w:hAnsiTheme="majorBidi" w:cstheme="majorBidi"/>
              </w:rPr>
            </w:pPr>
            <w:r w:rsidRPr="003D50B3">
              <w:rPr>
                <w:rStyle w:val="TabletextChar"/>
                <w:rFonts w:asciiTheme="majorBidi" w:hAnsiTheme="majorBidi" w:cstheme="majorBidi"/>
              </w:rPr>
              <w:t>Fe</w:t>
            </w:r>
            <w:r w:rsidRPr="003D50B3">
              <w:rPr>
                <w:rStyle w:val="TabletextChar"/>
                <w:rFonts w:asciiTheme="majorBidi" w:hAnsiTheme="majorBidi" w:cstheme="majorBidi"/>
                <w:vertAlign w:val="subscript"/>
              </w:rPr>
              <w:t>2</w:t>
            </w:r>
            <w:r w:rsidRPr="003D50B3">
              <w:rPr>
                <w:rStyle w:val="TabletextChar"/>
                <w:rFonts w:asciiTheme="majorBidi" w:hAnsiTheme="majorBidi" w:cstheme="majorBidi"/>
              </w:rPr>
              <w:t>O</w:t>
            </w:r>
            <w:r w:rsidRPr="003D50B3">
              <w:rPr>
                <w:rStyle w:val="TabletextChar"/>
                <w:rFonts w:asciiTheme="majorBidi" w:hAnsiTheme="majorBidi" w:cstheme="majorBidi"/>
                <w:vertAlign w:val="subscript"/>
              </w:rPr>
              <w:t>3</w:t>
            </w:r>
          </w:p>
        </w:tc>
        <w:tc>
          <w:tcPr>
            <w:tcW w:w="709" w:type="dxa"/>
            <w:tcBorders>
              <w:top w:val="single" w:sz="8" w:space="0" w:color="auto"/>
              <w:left w:val="nil"/>
              <w:bottom w:val="single" w:sz="8" w:space="0" w:color="auto"/>
              <w:right w:val="nil"/>
            </w:tcBorders>
            <w:vAlign w:val="center"/>
          </w:tcPr>
          <w:p w14:paraId="3D1B100B" w14:textId="05A4D477" w:rsidR="006C6066" w:rsidRPr="003D50B3" w:rsidRDefault="006C6066" w:rsidP="006C6066">
            <w:pPr>
              <w:pStyle w:val="Corpsdetexte"/>
              <w:ind w:firstLine="0"/>
              <w:jc w:val="center"/>
              <w:rPr>
                <w:rStyle w:val="TabletextChar"/>
                <w:rFonts w:asciiTheme="majorBidi" w:hAnsiTheme="majorBidi" w:cstheme="majorBidi"/>
              </w:rPr>
            </w:pPr>
            <w:r w:rsidRPr="003D50B3">
              <w:rPr>
                <w:rStyle w:val="TabletextChar"/>
                <w:rFonts w:asciiTheme="majorBidi" w:hAnsiTheme="majorBidi" w:cstheme="majorBidi"/>
              </w:rPr>
              <w:t>P</w:t>
            </w:r>
            <w:r w:rsidRPr="003D50B3">
              <w:rPr>
                <w:rStyle w:val="TabletextChar"/>
                <w:rFonts w:asciiTheme="majorBidi" w:hAnsiTheme="majorBidi" w:cstheme="majorBidi"/>
                <w:vertAlign w:val="subscript"/>
              </w:rPr>
              <w:t>2</w:t>
            </w:r>
            <w:r w:rsidRPr="003D50B3">
              <w:rPr>
                <w:rStyle w:val="TabletextChar"/>
                <w:rFonts w:asciiTheme="majorBidi" w:hAnsiTheme="majorBidi" w:cstheme="majorBidi"/>
              </w:rPr>
              <w:t>O</w:t>
            </w:r>
            <w:r w:rsidRPr="003D50B3">
              <w:rPr>
                <w:rStyle w:val="TabletextChar"/>
                <w:rFonts w:asciiTheme="majorBidi" w:hAnsiTheme="majorBidi" w:cstheme="majorBidi"/>
                <w:vertAlign w:val="subscript"/>
              </w:rPr>
              <w:t>5</w:t>
            </w:r>
          </w:p>
        </w:tc>
        <w:tc>
          <w:tcPr>
            <w:tcW w:w="709" w:type="dxa"/>
            <w:tcBorders>
              <w:top w:val="single" w:sz="8" w:space="0" w:color="auto"/>
              <w:left w:val="nil"/>
              <w:bottom w:val="single" w:sz="8" w:space="0" w:color="auto"/>
              <w:right w:val="nil"/>
            </w:tcBorders>
            <w:vAlign w:val="center"/>
          </w:tcPr>
          <w:p w14:paraId="786FF70F" w14:textId="7B1A5AD1" w:rsidR="006C6066" w:rsidRPr="003D50B3" w:rsidRDefault="006C6066" w:rsidP="00197A62">
            <w:pPr>
              <w:pStyle w:val="Corpsdetexte"/>
              <w:ind w:firstLine="0"/>
              <w:jc w:val="center"/>
              <w:rPr>
                <w:rStyle w:val="TabletextChar"/>
                <w:rFonts w:asciiTheme="majorBidi" w:hAnsiTheme="majorBidi" w:cstheme="majorBidi"/>
              </w:rPr>
            </w:pPr>
            <w:r w:rsidRPr="003D50B3">
              <w:rPr>
                <w:rStyle w:val="TabletextChar"/>
                <w:rFonts w:asciiTheme="majorBidi" w:hAnsiTheme="majorBidi" w:cstheme="majorBidi"/>
              </w:rPr>
              <w:t>MgO</w:t>
            </w:r>
          </w:p>
        </w:tc>
        <w:tc>
          <w:tcPr>
            <w:tcW w:w="709" w:type="dxa"/>
            <w:tcBorders>
              <w:top w:val="single" w:sz="8" w:space="0" w:color="auto"/>
              <w:left w:val="nil"/>
              <w:bottom w:val="single" w:sz="8" w:space="0" w:color="auto"/>
              <w:right w:val="nil"/>
            </w:tcBorders>
            <w:vAlign w:val="center"/>
          </w:tcPr>
          <w:p w14:paraId="7461679D" w14:textId="32516A83" w:rsidR="006C6066" w:rsidRPr="003D50B3" w:rsidRDefault="006C6066" w:rsidP="00197A62">
            <w:pPr>
              <w:pStyle w:val="Corpsdetexte"/>
              <w:ind w:firstLine="0"/>
              <w:jc w:val="center"/>
              <w:rPr>
                <w:rStyle w:val="TabletextChar"/>
                <w:rFonts w:asciiTheme="majorBidi" w:hAnsiTheme="majorBidi" w:cstheme="majorBidi"/>
              </w:rPr>
            </w:pPr>
            <w:r w:rsidRPr="003D50B3">
              <w:rPr>
                <w:rStyle w:val="TabletextChar"/>
                <w:rFonts w:asciiTheme="majorBidi" w:hAnsiTheme="majorBidi" w:cstheme="majorBidi"/>
              </w:rPr>
              <w:t>Na</w:t>
            </w:r>
            <w:r w:rsidRPr="003D50B3">
              <w:rPr>
                <w:rStyle w:val="TabletextChar"/>
                <w:rFonts w:asciiTheme="majorBidi" w:hAnsiTheme="majorBidi" w:cstheme="majorBidi"/>
                <w:vertAlign w:val="subscript"/>
              </w:rPr>
              <w:t>2</w:t>
            </w:r>
            <w:r w:rsidRPr="003D50B3">
              <w:rPr>
                <w:rStyle w:val="TabletextChar"/>
                <w:rFonts w:asciiTheme="majorBidi" w:hAnsiTheme="majorBidi" w:cstheme="majorBidi"/>
              </w:rPr>
              <w:t>O</w:t>
            </w:r>
          </w:p>
        </w:tc>
        <w:tc>
          <w:tcPr>
            <w:tcW w:w="709" w:type="dxa"/>
            <w:tcBorders>
              <w:top w:val="single" w:sz="8" w:space="0" w:color="auto"/>
              <w:left w:val="nil"/>
              <w:bottom w:val="single" w:sz="8" w:space="0" w:color="auto"/>
              <w:right w:val="nil"/>
            </w:tcBorders>
            <w:vAlign w:val="center"/>
          </w:tcPr>
          <w:p w14:paraId="57D0E1AD" w14:textId="364CCF69" w:rsidR="006C6066" w:rsidRPr="003D50B3" w:rsidRDefault="006C6066" w:rsidP="00197A62">
            <w:pPr>
              <w:pStyle w:val="Corpsdetexte"/>
              <w:ind w:firstLine="0"/>
              <w:jc w:val="center"/>
              <w:rPr>
                <w:rStyle w:val="TabletextChar"/>
                <w:rFonts w:asciiTheme="majorBidi" w:hAnsiTheme="majorBidi" w:cstheme="majorBidi"/>
              </w:rPr>
            </w:pPr>
            <w:r w:rsidRPr="003D50B3">
              <w:rPr>
                <w:rStyle w:val="TabletextChar"/>
                <w:rFonts w:asciiTheme="majorBidi" w:hAnsiTheme="majorBidi" w:cstheme="majorBidi"/>
              </w:rPr>
              <w:t>K</w:t>
            </w:r>
            <w:r w:rsidRPr="003D50B3">
              <w:rPr>
                <w:rStyle w:val="TabletextChar"/>
                <w:rFonts w:asciiTheme="majorBidi" w:hAnsiTheme="majorBidi" w:cstheme="majorBidi"/>
                <w:vertAlign w:val="subscript"/>
              </w:rPr>
              <w:t>2</w:t>
            </w:r>
            <w:r w:rsidRPr="003D50B3">
              <w:rPr>
                <w:rStyle w:val="TabletextChar"/>
                <w:rFonts w:asciiTheme="majorBidi" w:hAnsiTheme="majorBidi" w:cstheme="majorBidi"/>
              </w:rPr>
              <w:t>O</w:t>
            </w:r>
          </w:p>
        </w:tc>
        <w:tc>
          <w:tcPr>
            <w:tcW w:w="708" w:type="dxa"/>
            <w:tcBorders>
              <w:top w:val="single" w:sz="8" w:space="0" w:color="auto"/>
              <w:left w:val="nil"/>
              <w:bottom w:val="single" w:sz="8" w:space="0" w:color="auto"/>
              <w:right w:val="nil"/>
            </w:tcBorders>
            <w:vAlign w:val="center"/>
          </w:tcPr>
          <w:p w14:paraId="036E9C91" w14:textId="2A1F6229" w:rsidR="006C6066" w:rsidRPr="003D50B3" w:rsidRDefault="006C6066" w:rsidP="00197A62">
            <w:pPr>
              <w:pStyle w:val="Corpsdetexte"/>
              <w:ind w:firstLine="0"/>
              <w:jc w:val="center"/>
              <w:rPr>
                <w:rStyle w:val="TabletextChar"/>
                <w:rFonts w:asciiTheme="majorBidi" w:hAnsiTheme="majorBidi" w:cstheme="majorBidi"/>
              </w:rPr>
            </w:pPr>
            <w:r w:rsidRPr="003D50B3">
              <w:rPr>
                <w:rStyle w:val="TabletextChar"/>
                <w:rFonts w:asciiTheme="majorBidi" w:hAnsiTheme="majorBidi" w:cstheme="majorBidi"/>
              </w:rPr>
              <w:t>H</w:t>
            </w:r>
            <w:r w:rsidRPr="003D50B3">
              <w:rPr>
                <w:rStyle w:val="TabletextChar"/>
                <w:rFonts w:asciiTheme="majorBidi" w:hAnsiTheme="majorBidi" w:cstheme="majorBidi"/>
                <w:vertAlign w:val="subscript"/>
              </w:rPr>
              <w:t>2</w:t>
            </w:r>
            <w:r w:rsidRPr="003D50B3">
              <w:rPr>
                <w:rStyle w:val="TabletextChar"/>
                <w:rFonts w:asciiTheme="majorBidi" w:hAnsiTheme="majorBidi" w:cstheme="majorBidi"/>
              </w:rPr>
              <w:t>O</w:t>
            </w:r>
          </w:p>
        </w:tc>
        <w:tc>
          <w:tcPr>
            <w:tcW w:w="851" w:type="dxa"/>
            <w:tcBorders>
              <w:top w:val="single" w:sz="8" w:space="0" w:color="auto"/>
              <w:left w:val="nil"/>
              <w:bottom w:val="single" w:sz="8" w:space="0" w:color="auto"/>
            </w:tcBorders>
            <w:vAlign w:val="center"/>
          </w:tcPr>
          <w:p w14:paraId="373F5978" w14:textId="057FD738" w:rsidR="006C6066" w:rsidRPr="003D50B3" w:rsidRDefault="006C6066" w:rsidP="002A5BA2">
            <w:pPr>
              <w:pStyle w:val="Corpsdetexte"/>
              <w:ind w:firstLine="0"/>
              <w:jc w:val="center"/>
              <w:rPr>
                <w:rStyle w:val="TabletextChar"/>
                <w:rFonts w:asciiTheme="majorBidi" w:hAnsiTheme="majorBidi" w:cstheme="majorBidi"/>
                <w:vertAlign w:val="subscript"/>
              </w:rPr>
            </w:pPr>
            <w:r w:rsidRPr="003D50B3">
              <w:rPr>
                <w:rStyle w:val="TabletextChar"/>
                <w:rFonts w:asciiTheme="majorBidi" w:hAnsiTheme="majorBidi" w:cstheme="majorBidi"/>
                <w:vertAlign w:val="subscript"/>
              </w:rPr>
              <w:t>d50</w:t>
            </w:r>
          </w:p>
          <w:p w14:paraId="45791DAC" w14:textId="26E1A44D" w:rsidR="006C6066" w:rsidRPr="003D50B3" w:rsidRDefault="006C6066" w:rsidP="002A5BA2">
            <w:pPr>
              <w:pStyle w:val="Corpsdetexte"/>
              <w:ind w:firstLine="0"/>
              <w:jc w:val="center"/>
              <w:rPr>
                <w:rStyle w:val="TabletextChar"/>
                <w:rFonts w:asciiTheme="majorBidi" w:hAnsiTheme="majorBidi" w:cstheme="majorBidi"/>
              </w:rPr>
            </w:pPr>
            <w:r w:rsidRPr="003D50B3">
              <w:rPr>
                <w:rStyle w:val="TabletextChar"/>
                <w:rFonts w:asciiTheme="majorBidi" w:hAnsiTheme="majorBidi" w:cstheme="majorBidi"/>
              </w:rPr>
              <w:lastRenderedPageBreak/>
              <w:t>(mm)</w:t>
            </w:r>
          </w:p>
        </w:tc>
      </w:tr>
      <w:tr w:rsidR="006C6066" w:rsidRPr="003D50B3" w14:paraId="3B15BDE7" w14:textId="77777777" w:rsidTr="002A5BA2">
        <w:trPr>
          <w:trHeight w:val="258"/>
        </w:trPr>
        <w:tc>
          <w:tcPr>
            <w:tcW w:w="1385" w:type="dxa"/>
            <w:tcBorders>
              <w:top w:val="single" w:sz="8" w:space="0" w:color="auto"/>
              <w:bottom w:val="nil"/>
              <w:right w:val="nil"/>
            </w:tcBorders>
          </w:tcPr>
          <w:p w14:paraId="4F3F515B" w14:textId="74E11CAC" w:rsidR="006C6066" w:rsidRPr="003D50B3" w:rsidRDefault="006C6066" w:rsidP="000A2990">
            <w:pPr>
              <w:pStyle w:val="Corpsdetexte"/>
              <w:ind w:firstLine="0"/>
              <w:rPr>
                <w:rStyle w:val="TabletextChar"/>
                <w:rFonts w:asciiTheme="majorBidi" w:hAnsiTheme="majorBidi" w:cstheme="majorBidi"/>
              </w:rPr>
            </w:pPr>
            <w:r w:rsidRPr="003D50B3">
              <w:rPr>
                <w:rStyle w:val="TabletextChar"/>
                <w:rFonts w:asciiTheme="majorBidi" w:hAnsiTheme="majorBidi" w:cstheme="majorBidi"/>
              </w:rPr>
              <w:lastRenderedPageBreak/>
              <w:t>UPT</w:t>
            </w:r>
          </w:p>
        </w:tc>
        <w:tc>
          <w:tcPr>
            <w:tcW w:w="737" w:type="dxa"/>
            <w:tcBorders>
              <w:top w:val="single" w:sz="8" w:space="0" w:color="auto"/>
              <w:left w:val="nil"/>
              <w:bottom w:val="nil"/>
              <w:right w:val="nil"/>
            </w:tcBorders>
          </w:tcPr>
          <w:p w14:paraId="4B20EFE4" w14:textId="263DA61B" w:rsidR="006C6066" w:rsidRPr="003D50B3" w:rsidRDefault="006C6066" w:rsidP="000A2990">
            <w:pPr>
              <w:pStyle w:val="Corpsdetexte"/>
              <w:ind w:firstLine="0"/>
              <w:rPr>
                <w:rFonts w:asciiTheme="majorBidi" w:hAnsiTheme="majorBidi" w:cstheme="majorBidi"/>
              </w:rPr>
            </w:pPr>
            <w:r w:rsidRPr="003D50B3">
              <w:rPr>
                <w:rFonts w:asciiTheme="majorBidi" w:hAnsiTheme="majorBidi" w:cstheme="majorBidi"/>
              </w:rPr>
              <w:t>10.44</w:t>
            </w:r>
          </w:p>
        </w:tc>
        <w:tc>
          <w:tcPr>
            <w:tcW w:w="850" w:type="dxa"/>
            <w:tcBorders>
              <w:top w:val="single" w:sz="8" w:space="0" w:color="auto"/>
              <w:left w:val="nil"/>
              <w:bottom w:val="nil"/>
              <w:right w:val="nil"/>
            </w:tcBorders>
          </w:tcPr>
          <w:p w14:paraId="499FE3E1" w14:textId="716E8788" w:rsidR="006C6066" w:rsidRPr="003D50B3" w:rsidRDefault="006C6066" w:rsidP="000A2990">
            <w:pPr>
              <w:pStyle w:val="Corpsdetexte"/>
              <w:ind w:firstLine="0"/>
              <w:rPr>
                <w:rFonts w:asciiTheme="majorBidi" w:hAnsiTheme="majorBidi" w:cstheme="majorBidi"/>
              </w:rPr>
            </w:pPr>
            <w:r w:rsidRPr="003D50B3">
              <w:rPr>
                <w:rFonts w:asciiTheme="majorBidi" w:hAnsiTheme="majorBidi" w:cstheme="majorBidi"/>
              </w:rPr>
              <w:t>2.38</w:t>
            </w:r>
          </w:p>
        </w:tc>
        <w:tc>
          <w:tcPr>
            <w:tcW w:w="709" w:type="dxa"/>
            <w:tcBorders>
              <w:top w:val="single" w:sz="8" w:space="0" w:color="auto"/>
              <w:left w:val="nil"/>
              <w:bottom w:val="nil"/>
              <w:right w:val="nil"/>
            </w:tcBorders>
          </w:tcPr>
          <w:p w14:paraId="15F617B7" w14:textId="277033F2" w:rsidR="006C6066" w:rsidRPr="003D50B3" w:rsidRDefault="006C6066" w:rsidP="000A2990">
            <w:pPr>
              <w:pStyle w:val="Corpsdetexte"/>
              <w:ind w:firstLine="0"/>
              <w:rPr>
                <w:rFonts w:asciiTheme="majorBidi" w:hAnsiTheme="majorBidi" w:cstheme="majorBidi"/>
              </w:rPr>
            </w:pPr>
            <w:r w:rsidRPr="003D50B3">
              <w:rPr>
                <w:rFonts w:asciiTheme="majorBidi" w:hAnsiTheme="majorBidi" w:cstheme="majorBidi"/>
              </w:rPr>
              <w:t>42.63</w:t>
            </w:r>
          </w:p>
        </w:tc>
        <w:tc>
          <w:tcPr>
            <w:tcW w:w="850" w:type="dxa"/>
            <w:tcBorders>
              <w:top w:val="single" w:sz="8" w:space="0" w:color="auto"/>
              <w:left w:val="nil"/>
              <w:bottom w:val="nil"/>
              <w:right w:val="nil"/>
            </w:tcBorders>
          </w:tcPr>
          <w:p w14:paraId="1CF88D51" w14:textId="2F91B41C" w:rsidR="006C6066" w:rsidRPr="003D50B3" w:rsidRDefault="006C6066" w:rsidP="000A2990">
            <w:pPr>
              <w:pStyle w:val="Corpsdetexte"/>
              <w:ind w:firstLine="0"/>
              <w:rPr>
                <w:rFonts w:asciiTheme="majorBidi" w:hAnsiTheme="majorBidi" w:cstheme="majorBidi"/>
              </w:rPr>
            </w:pPr>
            <w:r w:rsidRPr="003D50B3">
              <w:rPr>
                <w:rFonts w:asciiTheme="majorBidi" w:hAnsiTheme="majorBidi" w:cstheme="majorBidi"/>
              </w:rPr>
              <w:t>1.32</w:t>
            </w:r>
          </w:p>
        </w:tc>
        <w:tc>
          <w:tcPr>
            <w:tcW w:w="709" w:type="dxa"/>
            <w:tcBorders>
              <w:top w:val="single" w:sz="8" w:space="0" w:color="auto"/>
              <w:left w:val="nil"/>
              <w:bottom w:val="nil"/>
              <w:right w:val="nil"/>
            </w:tcBorders>
          </w:tcPr>
          <w:p w14:paraId="7977AC23" w14:textId="45ABB0F2" w:rsidR="006C6066" w:rsidRPr="003D50B3" w:rsidRDefault="006C6066" w:rsidP="000A2990">
            <w:pPr>
              <w:pStyle w:val="Corpsdetexte"/>
              <w:ind w:firstLine="0"/>
              <w:rPr>
                <w:rFonts w:asciiTheme="majorBidi" w:hAnsiTheme="majorBidi" w:cstheme="majorBidi"/>
              </w:rPr>
            </w:pPr>
            <w:r w:rsidRPr="003D50B3">
              <w:rPr>
                <w:rFonts w:asciiTheme="majorBidi" w:hAnsiTheme="majorBidi" w:cstheme="majorBidi"/>
              </w:rPr>
              <w:t>11.86</w:t>
            </w:r>
          </w:p>
        </w:tc>
        <w:tc>
          <w:tcPr>
            <w:tcW w:w="709" w:type="dxa"/>
            <w:tcBorders>
              <w:top w:val="single" w:sz="8" w:space="0" w:color="auto"/>
              <w:left w:val="nil"/>
              <w:bottom w:val="nil"/>
              <w:right w:val="nil"/>
            </w:tcBorders>
          </w:tcPr>
          <w:p w14:paraId="318D959C" w14:textId="6BE56D96" w:rsidR="006C6066" w:rsidRPr="003D50B3" w:rsidRDefault="006C6066" w:rsidP="000A2990">
            <w:pPr>
              <w:pStyle w:val="Corpsdetexte"/>
              <w:ind w:firstLine="0"/>
              <w:rPr>
                <w:rFonts w:asciiTheme="majorBidi" w:hAnsiTheme="majorBidi" w:cstheme="majorBidi"/>
              </w:rPr>
            </w:pPr>
            <w:r w:rsidRPr="003D50B3">
              <w:rPr>
                <w:rFonts w:asciiTheme="majorBidi" w:hAnsiTheme="majorBidi" w:cstheme="majorBidi"/>
              </w:rPr>
              <w:t>3.10</w:t>
            </w:r>
          </w:p>
        </w:tc>
        <w:tc>
          <w:tcPr>
            <w:tcW w:w="709" w:type="dxa"/>
            <w:tcBorders>
              <w:top w:val="single" w:sz="8" w:space="0" w:color="auto"/>
              <w:left w:val="nil"/>
              <w:bottom w:val="nil"/>
              <w:right w:val="nil"/>
            </w:tcBorders>
          </w:tcPr>
          <w:p w14:paraId="06521AFF" w14:textId="1954CD36" w:rsidR="006C6066" w:rsidRPr="003D50B3" w:rsidRDefault="006C6066" w:rsidP="000A2990">
            <w:pPr>
              <w:pStyle w:val="Corpsdetexte"/>
              <w:ind w:firstLine="0"/>
              <w:rPr>
                <w:rFonts w:asciiTheme="majorBidi" w:hAnsiTheme="majorBidi" w:cstheme="majorBidi"/>
              </w:rPr>
            </w:pPr>
            <w:r w:rsidRPr="003D50B3">
              <w:rPr>
                <w:rFonts w:asciiTheme="majorBidi" w:hAnsiTheme="majorBidi" w:cstheme="majorBidi"/>
              </w:rPr>
              <w:t>0.03</w:t>
            </w:r>
          </w:p>
        </w:tc>
        <w:tc>
          <w:tcPr>
            <w:tcW w:w="709" w:type="dxa"/>
            <w:tcBorders>
              <w:top w:val="single" w:sz="8" w:space="0" w:color="auto"/>
              <w:left w:val="nil"/>
              <w:bottom w:val="nil"/>
              <w:right w:val="nil"/>
            </w:tcBorders>
          </w:tcPr>
          <w:p w14:paraId="16E24F74" w14:textId="3426150D" w:rsidR="006C6066" w:rsidRPr="003D50B3" w:rsidRDefault="006C6066" w:rsidP="000A2990">
            <w:pPr>
              <w:pStyle w:val="Corpsdetexte"/>
              <w:ind w:firstLine="0"/>
              <w:rPr>
                <w:rFonts w:asciiTheme="majorBidi" w:hAnsiTheme="majorBidi" w:cstheme="majorBidi"/>
              </w:rPr>
            </w:pPr>
            <w:r w:rsidRPr="003D50B3">
              <w:rPr>
                <w:rFonts w:asciiTheme="majorBidi" w:hAnsiTheme="majorBidi" w:cstheme="majorBidi"/>
              </w:rPr>
              <w:t>0.25</w:t>
            </w:r>
          </w:p>
        </w:tc>
        <w:tc>
          <w:tcPr>
            <w:tcW w:w="708" w:type="dxa"/>
            <w:tcBorders>
              <w:top w:val="single" w:sz="8" w:space="0" w:color="auto"/>
              <w:left w:val="nil"/>
              <w:bottom w:val="nil"/>
              <w:right w:val="nil"/>
            </w:tcBorders>
          </w:tcPr>
          <w:p w14:paraId="030ECC11" w14:textId="15DD5AE9"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0</w:t>
            </w:r>
          </w:p>
        </w:tc>
        <w:tc>
          <w:tcPr>
            <w:tcW w:w="851" w:type="dxa"/>
            <w:tcBorders>
              <w:top w:val="single" w:sz="8" w:space="0" w:color="auto"/>
              <w:left w:val="nil"/>
              <w:bottom w:val="nil"/>
            </w:tcBorders>
          </w:tcPr>
          <w:p w14:paraId="69B7611E" w14:textId="2A1DF2B6"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0.03</w:t>
            </w:r>
          </w:p>
        </w:tc>
      </w:tr>
      <w:tr w:rsidR="006C6066" w:rsidRPr="003D50B3" w14:paraId="28056DC1" w14:textId="77777777" w:rsidTr="002A5BA2">
        <w:trPr>
          <w:trHeight w:val="275"/>
        </w:trPr>
        <w:tc>
          <w:tcPr>
            <w:tcW w:w="1385" w:type="dxa"/>
            <w:tcBorders>
              <w:top w:val="nil"/>
              <w:bottom w:val="nil"/>
              <w:right w:val="nil"/>
            </w:tcBorders>
          </w:tcPr>
          <w:p w14:paraId="4C231704" w14:textId="76693BFA" w:rsidR="006C6066" w:rsidRPr="003D50B3" w:rsidRDefault="006C6066" w:rsidP="000A2990">
            <w:pPr>
              <w:pStyle w:val="Corpsdetexte"/>
              <w:ind w:firstLine="0"/>
              <w:rPr>
                <w:rStyle w:val="TabletextChar"/>
                <w:rFonts w:asciiTheme="majorBidi" w:hAnsiTheme="majorBidi" w:cstheme="majorBidi"/>
              </w:rPr>
            </w:pPr>
            <w:r w:rsidRPr="003D50B3">
              <w:rPr>
                <w:rStyle w:val="TabletextChar"/>
                <w:rFonts w:asciiTheme="majorBidi" w:hAnsiTheme="majorBidi" w:cstheme="majorBidi"/>
              </w:rPr>
              <w:t>MK</w:t>
            </w:r>
          </w:p>
        </w:tc>
        <w:tc>
          <w:tcPr>
            <w:tcW w:w="737" w:type="dxa"/>
            <w:tcBorders>
              <w:top w:val="nil"/>
              <w:left w:val="nil"/>
              <w:bottom w:val="nil"/>
              <w:right w:val="nil"/>
            </w:tcBorders>
          </w:tcPr>
          <w:p w14:paraId="7936D4F5" w14:textId="6CD907DB" w:rsidR="006C6066" w:rsidRPr="003D50B3" w:rsidRDefault="006C6066" w:rsidP="000A2990">
            <w:pPr>
              <w:pStyle w:val="Corpsdetexte"/>
              <w:ind w:firstLine="0"/>
              <w:rPr>
                <w:rFonts w:asciiTheme="majorBidi" w:hAnsiTheme="majorBidi" w:cstheme="majorBidi"/>
              </w:rPr>
            </w:pPr>
            <w:r w:rsidRPr="003D50B3">
              <w:rPr>
                <w:rFonts w:asciiTheme="majorBidi" w:hAnsiTheme="majorBidi" w:cstheme="majorBidi"/>
              </w:rPr>
              <w:t>52.60</w:t>
            </w:r>
          </w:p>
        </w:tc>
        <w:tc>
          <w:tcPr>
            <w:tcW w:w="850" w:type="dxa"/>
            <w:tcBorders>
              <w:top w:val="nil"/>
              <w:left w:val="nil"/>
              <w:bottom w:val="nil"/>
              <w:right w:val="nil"/>
            </w:tcBorders>
          </w:tcPr>
          <w:p w14:paraId="4794B968" w14:textId="7D14931F" w:rsidR="006C6066" w:rsidRPr="003D50B3" w:rsidRDefault="006C6066" w:rsidP="000A2990">
            <w:pPr>
              <w:pStyle w:val="Corpsdetexte"/>
              <w:ind w:firstLine="0"/>
              <w:rPr>
                <w:rFonts w:asciiTheme="majorBidi" w:hAnsiTheme="majorBidi" w:cstheme="majorBidi"/>
              </w:rPr>
            </w:pPr>
            <w:r w:rsidRPr="003D50B3">
              <w:rPr>
                <w:rFonts w:asciiTheme="majorBidi" w:hAnsiTheme="majorBidi" w:cstheme="majorBidi"/>
              </w:rPr>
              <w:t>39.07</w:t>
            </w:r>
          </w:p>
        </w:tc>
        <w:tc>
          <w:tcPr>
            <w:tcW w:w="709" w:type="dxa"/>
            <w:tcBorders>
              <w:top w:val="nil"/>
              <w:left w:val="nil"/>
              <w:bottom w:val="nil"/>
              <w:right w:val="nil"/>
            </w:tcBorders>
          </w:tcPr>
          <w:p w14:paraId="2F99B51B" w14:textId="4186750D" w:rsidR="006C6066" w:rsidRPr="003D50B3" w:rsidRDefault="006C6066" w:rsidP="000A2990">
            <w:pPr>
              <w:pStyle w:val="Corpsdetexte"/>
              <w:ind w:firstLine="0"/>
              <w:rPr>
                <w:rFonts w:asciiTheme="majorBidi" w:hAnsiTheme="majorBidi" w:cstheme="majorBidi"/>
              </w:rPr>
            </w:pPr>
            <w:r w:rsidRPr="003D50B3">
              <w:rPr>
                <w:rFonts w:asciiTheme="majorBidi" w:hAnsiTheme="majorBidi" w:cstheme="majorBidi"/>
              </w:rPr>
              <w:t>0.09</w:t>
            </w:r>
          </w:p>
        </w:tc>
        <w:tc>
          <w:tcPr>
            <w:tcW w:w="850" w:type="dxa"/>
            <w:tcBorders>
              <w:top w:val="nil"/>
              <w:left w:val="nil"/>
              <w:bottom w:val="nil"/>
              <w:right w:val="nil"/>
            </w:tcBorders>
          </w:tcPr>
          <w:p w14:paraId="36C59CFC" w14:textId="34169731" w:rsidR="006C6066" w:rsidRPr="003D50B3" w:rsidRDefault="006C6066" w:rsidP="000A2990">
            <w:pPr>
              <w:pStyle w:val="Corpsdetexte"/>
              <w:ind w:firstLine="0"/>
              <w:rPr>
                <w:rFonts w:asciiTheme="majorBidi" w:hAnsiTheme="majorBidi" w:cstheme="majorBidi"/>
              </w:rPr>
            </w:pPr>
            <w:r w:rsidRPr="003D50B3">
              <w:rPr>
                <w:rFonts w:asciiTheme="majorBidi" w:hAnsiTheme="majorBidi" w:cstheme="majorBidi"/>
              </w:rPr>
              <w:t>0.94</w:t>
            </w:r>
          </w:p>
        </w:tc>
        <w:tc>
          <w:tcPr>
            <w:tcW w:w="709" w:type="dxa"/>
            <w:tcBorders>
              <w:top w:val="nil"/>
              <w:left w:val="nil"/>
              <w:bottom w:val="nil"/>
              <w:right w:val="nil"/>
            </w:tcBorders>
          </w:tcPr>
          <w:p w14:paraId="332A58CB" w14:textId="008D53B3"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0.05</w:t>
            </w:r>
          </w:p>
        </w:tc>
        <w:tc>
          <w:tcPr>
            <w:tcW w:w="709" w:type="dxa"/>
            <w:tcBorders>
              <w:top w:val="nil"/>
              <w:left w:val="nil"/>
              <w:bottom w:val="nil"/>
              <w:right w:val="nil"/>
            </w:tcBorders>
          </w:tcPr>
          <w:p w14:paraId="725B3EE5" w14:textId="06045FC6"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0.34</w:t>
            </w:r>
          </w:p>
        </w:tc>
        <w:tc>
          <w:tcPr>
            <w:tcW w:w="709" w:type="dxa"/>
            <w:tcBorders>
              <w:top w:val="nil"/>
              <w:left w:val="nil"/>
              <w:bottom w:val="nil"/>
              <w:right w:val="nil"/>
            </w:tcBorders>
          </w:tcPr>
          <w:p w14:paraId="562430A9" w14:textId="489F6BFA"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w:t>
            </w:r>
          </w:p>
        </w:tc>
        <w:tc>
          <w:tcPr>
            <w:tcW w:w="709" w:type="dxa"/>
            <w:tcBorders>
              <w:top w:val="nil"/>
              <w:left w:val="nil"/>
              <w:bottom w:val="nil"/>
              <w:right w:val="nil"/>
            </w:tcBorders>
          </w:tcPr>
          <w:p w14:paraId="456B9750" w14:textId="4D72A3F7" w:rsidR="006C6066" w:rsidRPr="003D50B3" w:rsidRDefault="006C6066" w:rsidP="000A2990">
            <w:pPr>
              <w:pStyle w:val="Corpsdetexte"/>
              <w:ind w:firstLine="0"/>
              <w:rPr>
                <w:rFonts w:asciiTheme="majorBidi" w:hAnsiTheme="majorBidi" w:cstheme="majorBidi"/>
              </w:rPr>
            </w:pPr>
            <w:r w:rsidRPr="003D50B3">
              <w:rPr>
                <w:rFonts w:asciiTheme="majorBidi" w:hAnsiTheme="majorBidi" w:cstheme="majorBidi"/>
              </w:rPr>
              <w:t>2.79</w:t>
            </w:r>
          </w:p>
        </w:tc>
        <w:tc>
          <w:tcPr>
            <w:tcW w:w="708" w:type="dxa"/>
            <w:tcBorders>
              <w:top w:val="nil"/>
              <w:left w:val="nil"/>
              <w:bottom w:val="nil"/>
              <w:right w:val="nil"/>
            </w:tcBorders>
          </w:tcPr>
          <w:p w14:paraId="4B98C2AF" w14:textId="67F54D32"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0</w:t>
            </w:r>
          </w:p>
        </w:tc>
        <w:tc>
          <w:tcPr>
            <w:tcW w:w="851" w:type="dxa"/>
            <w:tcBorders>
              <w:top w:val="nil"/>
              <w:left w:val="nil"/>
              <w:bottom w:val="nil"/>
            </w:tcBorders>
          </w:tcPr>
          <w:p w14:paraId="3E719F9F" w14:textId="551617DE" w:rsidR="006C6066" w:rsidRPr="003D50B3" w:rsidRDefault="002A5BA2" w:rsidP="000A2990">
            <w:pPr>
              <w:pStyle w:val="Corpsdetexte"/>
              <w:ind w:firstLine="0"/>
              <w:rPr>
                <w:rFonts w:asciiTheme="majorBidi" w:hAnsiTheme="majorBidi" w:cstheme="majorBidi"/>
              </w:rPr>
            </w:pPr>
            <w:r w:rsidRPr="003D50B3">
              <w:rPr>
                <w:rFonts w:asciiTheme="majorBidi" w:hAnsiTheme="majorBidi" w:cstheme="majorBidi"/>
              </w:rPr>
              <w:t>0.006</w:t>
            </w:r>
          </w:p>
        </w:tc>
      </w:tr>
      <w:tr w:rsidR="006C6066" w:rsidRPr="003D50B3" w14:paraId="56B5DED8" w14:textId="77777777" w:rsidTr="002A5BA2">
        <w:trPr>
          <w:trHeight w:val="290"/>
        </w:trPr>
        <w:tc>
          <w:tcPr>
            <w:tcW w:w="1385" w:type="dxa"/>
            <w:tcBorders>
              <w:top w:val="nil"/>
              <w:bottom w:val="nil"/>
              <w:right w:val="nil"/>
            </w:tcBorders>
          </w:tcPr>
          <w:p w14:paraId="73505A87" w14:textId="116DCF11" w:rsidR="006C6066" w:rsidRPr="003D50B3" w:rsidRDefault="00ED1AF5" w:rsidP="000A2990">
            <w:pPr>
              <w:pStyle w:val="Corpsdetexte"/>
              <w:ind w:firstLine="0"/>
              <w:rPr>
                <w:rStyle w:val="TabletextChar"/>
                <w:rFonts w:asciiTheme="majorBidi" w:hAnsiTheme="majorBidi" w:cstheme="majorBidi"/>
              </w:rPr>
            </w:pPr>
            <w:r w:rsidRPr="003D50B3">
              <w:rPr>
                <w:rFonts w:asciiTheme="majorBidi" w:hAnsiTheme="majorBidi" w:cstheme="majorBidi"/>
              </w:rPr>
              <w:t xml:space="preserve">Soda </w:t>
            </w:r>
            <w:r w:rsidR="006C6066" w:rsidRPr="003D50B3">
              <w:rPr>
                <w:rFonts w:asciiTheme="majorBidi" w:hAnsiTheme="majorBidi" w:cstheme="majorBidi"/>
              </w:rPr>
              <w:t>silicate</w:t>
            </w:r>
          </w:p>
        </w:tc>
        <w:tc>
          <w:tcPr>
            <w:tcW w:w="737" w:type="dxa"/>
            <w:tcBorders>
              <w:top w:val="nil"/>
              <w:left w:val="nil"/>
              <w:bottom w:val="nil"/>
              <w:right w:val="nil"/>
            </w:tcBorders>
          </w:tcPr>
          <w:p w14:paraId="6CADEFF1" w14:textId="2D9F3519"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29.69</w:t>
            </w:r>
          </w:p>
        </w:tc>
        <w:tc>
          <w:tcPr>
            <w:tcW w:w="850" w:type="dxa"/>
            <w:tcBorders>
              <w:top w:val="nil"/>
              <w:left w:val="nil"/>
              <w:bottom w:val="nil"/>
              <w:right w:val="nil"/>
            </w:tcBorders>
          </w:tcPr>
          <w:p w14:paraId="67DAD6FA" w14:textId="7AA3E7B2"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w:t>
            </w:r>
          </w:p>
        </w:tc>
        <w:tc>
          <w:tcPr>
            <w:tcW w:w="709" w:type="dxa"/>
            <w:tcBorders>
              <w:top w:val="nil"/>
              <w:left w:val="nil"/>
              <w:bottom w:val="nil"/>
              <w:right w:val="nil"/>
            </w:tcBorders>
          </w:tcPr>
          <w:p w14:paraId="51761A59" w14:textId="7CFC891A"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w:t>
            </w:r>
          </w:p>
        </w:tc>
        <w:tc>
          <w:tcPr>
            <w:tcW w:w="850" w:type="dxa"/>
            <w:tcBorders>
              <w:top w:val="nil"/>
              <w:left w:val="nil"/>
              <w:bottom w:val="nil"/>
              <w:right w:val="nil"/>
            </w:tcBorders>
          </w:tcPr>
          <w:p w14:paraId="3ADDA6E4" w14:textId="7F24AAF2"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w:t>
            </w:r>
          </w:p>
        </w:tc>
        <w:tc>
          <w:tcPr>
            <w:tcW w:w="709" w:type="dxa"/>
            <w:tcBorders>
              <w:top w:val="nil"/>
              <w:left w:val="nil"/>
              <w:bottom w:val="nil"/>
              <w:right w:val="nil"/>
            </w:tcBorders>
          </w:tcPr>
          <w:p w14:paraId="78EF6799" w14:textId="3CBEF389"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w:t>
            </w:r>
          </w:p>
        </w:tc>
        <w:tc>
          <w:tcPr>
            <w:tcW w:w="709" w:type="dxa"/>
            <w:tcBorders>
              <w:top w:val="nil"/>
              <w:left w:val="nil"/>
              <w:bottom w:val="nil"/>
              <w:right w:val="nil"/>
            </w:tcBorders>
          </w:tcPr>
          <w:p w14:paraId="6ADB8281" w14:textId="04919EB9"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w:t>
            </w:r>
          </w:p>
        </w:tc>
        <w:tc>
          <w:tcPr>
            <w:tcW w:w="709" w:type="dxa"/>
            <w:tcBorders>
              <w:top w:val="nil"/>
              <w:left w:val="nil"/>
              <w:bottom w:val="nil"/>
              <w:right w:val="nil"/>
            </w:tcBorders>
          </w:tcPr>
          <w:p w14:paraId="64585B82" w14:textId="4E785D66"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15.3</w:t>
            </w:r>
          </w:p>
        </w:tc>
        <w:tc>
          <w:tcPr>
            <w:tcW w:w="709" w:type="dxa"/>
            <w:tcBorders>
              <w:top w:val="nil"/>
              <w:left w:val="nil"/>
              <w:bottom w:val="nil"/>
              <w:right w:val="nil"/>
            </w:tcBorders>
          </w:tcPr>
          <w:p w14:paraId="2CBB6C89" w14:textId="6182CB6A"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w:t>
            </w:r>
          </w:p>
        </w:tc>
        <w:tc>
          <w:tcPr>
            <w:tcW w:w="708" w:type="dxa"/>
            <w:tcBorders>
              <w:top w:val="nil"/>
              <w:left w:val="nil"/>
              <w:bottom w:val="nil"/>
              <w:right w:val="nil"/>
            </w:tcBorders>
          </w:tcPr>
          <w:p w14:paraId="2D3F833C" w14:textId="71551DC6"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55</w:t>
            </w:r>
          </w:p>
        </w:tc>
        <w:tc>
          <w:tcPr>
            <w:tcW w:w="851" w:type="dxa"/>
            <w:tcBorders>
              <w:top w:val="nil"/>
              <w:left w:val="nil"/>
              <w:bottom w:val="nil"/>
            </w:tcBorders>
          </w:tcPr>
          <w:p w14:paraId="789A68DD" w14:textId="26FE367B" w:rsidR="006C6066" w:rsidRPr="003D50B3" w:rsidRDefault="00DD2A33" w:rsidP="000A2990">
            <w:pPr>
              <w:pStyle w:val="Corpsdetexte"/>
              <w:ind w:firstLine="0"/>
              <w:rPr>
                <w:rFonts w:asciiTheme="majorBidi" w:hAnsiTheme="majorBidi" w:cstheme="majorBidi"/>
              </w:rPr>
            </w:pPr>
            <w:r w:rsidRPr="003D50B3">
              <w:rPr>
                <w:rFonts w:asciiTheme="majorBidi" w:hAnsiTheme="majorBidi" w:cstheme="majorBidi"/>
              </w:rPr>
              <w:t>-</w:t>
            </w:r>
          </w:p>
        </w:tc>
      </w:tr>
      <w:tr w:rsidR="00DD2A33" w:rsidRPr="003D50B3" w14:paraId="51AB90B2" w14:textId="77777777" w:rsidTr="002A5BA2">
        <w:trPr>
          <w:trHeight w:val="259"/>
        </w:trPr>
        <w:tc>
          <w:tcPr>
            <w:tcW w:w="1385" w:type="dxa"/>
            <w:tcBorders>
              <w:top w:val="nil"/>
              <w:bottom w:val="nil"/>
              <w:right w:val="nil"/>
            </w:tcBorders>
          </w:tcPr>
          <w:p w14:paraId="1A32E85A" w14:textId="5449F4B0" w:rsidR="00DD2A33" w:rsidRPr="003D50B3" w:rsidRDefault="00DD2A33" w:rsidP="00DD2A33">
            <w:pPr>
              <w:pStyle w:val="Corpsdetexte"/>
              <w:ind w:firstLine="0"/>
              <w:rPr>
                <w:rStyle w:val="TabletextChar"/>
                <w:rFonts w:asciiTheme="majorBidi" w:hAnsiTheme="majorBidi" w:cstheme="majorBidi"/>
              </w:rPr>
            </w:pPr>
            <w:r w:rsidRPr="003D50B3">
              <w:rPr>
                <w:rStyle w:val="TabletextChar"/>
                <w:rFonts w:asciiTheme="majorBidi" w:hAnsiTheme="majorBidi" w:cstheme="majorBidi"/>
              </w:rPr>
              <w:t>NaOH</w:t>
            </w:r>
          </w:p>
        </w:tc>
        <w:tc>
          <w:tcPr>
            <w:tcW w:w="737" w:type="dxa"/>
            <w:tcBorders>
              <w:top w:val="nil"/>
              <w:left w:val="nil"/>
              <w:bottom w:val="nil"/>
              <w:right w:val="nil"/>
            </w:tcBorders>
          </w:tcPr>
          <w:p w14:paraId="2E087D0B" w14:textId="55B2639C"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850" w:type="dxa"/>
            <w:tcBorders>
              <w:top w:val="nil"/>
              <w:left w:val="nil"/>
              <w:bottom w:val="nil"/>
              <w:right w:val="nil"/>
            </w:tcBorders>
          </w:tcPr>
          <w:p w14:paraId="16B1D941" w14:textId="57899F55"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709" w:type="dxa"/>
            <w:tcBorders>
              <w:top w:val="nil"/>
              <w:left w:val="nil"/>
              <w:bottom w:val="nil"/>
              <w:right w:val="nil"/>
            </w:tcBorders>
          </w:tcPr>
          <w:p w14:paraId="3FE84650" w14:textId="1EC216F6"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850" w:type="dxa"/>
            <w:tcBorders>
              <w:top w:val="nil"/>
              <w:left w:val="nil"/>
              <w:bottom w:val="nil"/>
              <w:right w:val="nil"/>
            </w:tcBorders>
          </w:tcPr>
          <w:p w14:paraId="4CDE51A4" w14:textId="7BC44AB6"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709" w:type="dxa"/>
            <w:tcBorders>
              <w:top w:val="nil"/>
              <w:left w:val="nil"/>
              <w:bottom w:val="nil"/>
              <w:right w:val="nil"/>
            </w:tcBorders>
          </w:tcPr>
          <w:p w14:paraId="57BC7086" w14:textId="40630906"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709" w:type="dxa"/>
            <w:tcBorders>
              <w:top w:val="nil"/>
              <w:left w:val="nil"/>
              <w:bottom w:val="nil"/>
              <w:right w:val="nil"/>
            </w:tcBorders>
          </w:tcPr>
          <w:p w14:paraId="327516E4" w14:textId="0DCD0AC8"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709" w:type="dxa"/>
            <w:tcBorders>
              <w:top w:val="nil"/>
              <w:left w:val="nil"/>
              <w:bottom w:val="nil"/>
              <w:right w:val="nil"/>
            </w:tcBorders>
          </w:tcPr>
          <w:p w14:paraId="07EECD9C" w14:textId="5729A716"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99</w:t>
            </w:r>
          </w:p>
        </w:tc>
        <w:tc>
          <w:tcPr>
            <w:tcW w:w="709" w:type="dxa"/>
            <w:tcBorders>
              <w:top w:val="nil"/>
              <w:left w:val="nil"/>
              <w:bottom w:val="nil"/>
              <w:right w:val="nil"/>
            </w:tcBorders>
          </w:tcPr>
          <w:p w14:paraId="6F5282A8" w14:textId="79F2519C"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708" w:type="dxa"/>
            <w:tcBorders>
              <w:top w:val="nil"/>
              <w:left w:val="nil"/>
              <w:bottom w:val="nil"/>
              <w:right w:val="nil"/>
            </w:tcBorders>
          </w:tcPr>
          <w:p w14:paraId="4B6B4E95" w14:textId="6031BE70"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851" w:type="dxa"/>
            <w:tcBorders>
              <w:top w:val="nil"/>
              <w:left w:val="nil"/>
              <w:bottom w:val="nil"/>
            </w:tcBorders>
          </w:tcPr>
          <w:p w14:paraId="6EB2852A" w14:textId="017CCC4D"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w:t>
            </w:r>
          </w:p>
        </w:tc>
      </w:tr>
      <w:tr w:rsidR="00DD2A33" w:rsidRPr="003D50B3" w14:paraId="24952F48" w14:textId="77777777" w:rsidTr="002A5BA2">
        <w:trPr>
          <w:trHeight w:val="263"/>
        </w:trPr>
        <w:tc>
          <w:tcPr>
            <w:tcW w:w="1385" w:type="dxa"/>
            <w:tcBorders>
              <w:top w:val="nil"/>
              <w:bottom w:val="single" w:sz="8" w:space="0" w:color="auto"/>
              <w:right w:val="nil"/>
            </w:tcBorders>
          </w:tcPr>
          <w:p w14:paraId="22574DDF" w14:textId="109A5C77" w:rsidR="00DD2A33" w:rsidRPr="003D50B3" w:rsidRDefault="00DD2A33" w:rsidP="00DD2A33">
            <w:pPr>
              <w:pStyle w:val="Corpsdetexte"/>
              <w:ind w:firstLine="0"/>
              <w:rPr>
                <w:rStyle w:val="TabletextChar"/>
                <w:rFonts w:asciiTheme="majorBidi" w:hAnsiTheme="majorBidi" w:cstheme="majorBidi"/>
              </w:rPr>
            </w:pPr>
            <w:r w:rsidRPr="003D50B3">
              <w:rPr>
                <w:rStyle w:val="TabletextChar"/>
                <w:rFonts w:asciiTheme="majorBidi" w:hAnsiTheme="majorBidi" w:cstheme="majorBidi"/>
              </w:rPr>
              <w:t>KOH</w:t>
            </w:r>
          </w:p>
        </w:tc>
        <w:tc>
          <w:tcPr>
            <w:tcW w:w="737" w:type="dxa"/>
            <w:tcBorders>
              <w:top w:val="nil"/>
              <w:left w:val="nil"/>
              <w:bottom w:val="single" w:sz="8" w:space="0" w:color="auto"/>
              <w:right w:val="nil"/>
            </w:tcBorders>
          </w:tcPr>
          <w:p w14:paraId="0A5331B7" w14:textId="37A42872"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850" w:type="dxa"/>
            <w:tcBorders>
              <w:top w:val="nil"/>
              <w:left w:val="nil"/>
              <w:bottom w:val="single" w:sz="8" w:space="0" w:color="auto"/>
              <w:right w:val="nil"/>
            </w:tcBorders>
          </w:tcPr>
          <w:p w14:paraId="34A6FAD2" w14:textId="2FB06FE9"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709" w:type="dxa"/>
            <w:tcBorders>
              <w:top w:val="nil"/>
              <w:left w:val="nil"/>
              <w:bottom w:val="single" w:sz="8" w:space="0" w:color="auto"/>
              <w:right w:val="nil"/>
            </w:tcBorders>
          </w:tcPr>
          <w:p w14:paraId="04F10CC1" w14:textId="51B083FC"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850" w:type="dxa"/>
            <w:tcBorders>
              <w:top w:val="nil"/>
              <w:left w:val="nil"/>
              <w:bottom w:val="single" w:sz="8" w:space="0" w:color="auto"/>
              <w:right w:val="nil"/>
            </w:tcBorders>
          </w:tcPr>
          <w:p w14:paraId="2E830003" w14:textId="34732519"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709" w:type="dxa"/>
            <w:tcBorders>
              <w:top w:val="nil"/>
              <w:left w:val="nil"/>
              <w:bottom w:val="single" w:sz="8" w:space="0" w:color="auto"/>
              <w:right w:val="nil"/>
            </w:tcBorders>
          </w:tcPr>
          <w:p w14:paraId="6E989D40" w14:textId="325DF5F6"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709" w:type="dxa"/>
            <w:tcBorders>
              <w:top w:val="nil"/>
              <w:left w:val="nil"/>
              <w:bottom w:val="single" w:sz="8" w:space="0" w:color="auto"/>
              <w:right w:val="nil"/>
            </w:tcBorders>
          </w:tcPr>
          <w:p w14:paraId="6DFF6E4E" w14:textId="59B19C7B"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709" w:type="dxa"/>
            <w:tcBorders>
              <w:top w:val="nil"/>
              <w:left w:val="nil"/>
              <w:bottom w:val="single" w:sz="8" w:space="0" w:color="auto"/>
              <w:right w:val="nil"/>
            </w:tcBorders>
          </w:tcPr>
          <w:p w14:paraId="72A439E5" w14:textId="0E2343F2"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709" w:type="dxa"/>
            <w:tcBorders>
              <w:top w:val="nil"/>
              <w:left w:val="nil"/>
              <w:bottom w:val="single" w:sz="8" w:space="0" w:color="auto"/>
              <w:right w:val="nil"/>
            </w:tcBorders>
          </w:tcPr>
          <w:p w14:paraId="214DF8FC" w14:textId="609B9428"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90</w:t>
            </w:r>
          </w:p>
        </w:tc>
        <w:tc>
          <w:tcPr>
            <w:tcW w:w="708" w:type="dxa"/>
            <w:tcBorders>
              <w:top w:val="nil"/>
              <w:left w:val="nil"/>
              <w:bottom w:val="single" w:sz="8" w:space="0" w:color="auto"/>
              <w:right w:val="nil"/>
            </w:tcBorders>
          </w:tcPr>
          <w:p w14:paraId="47559983" w14:textId="6F63B6C3"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&lt;</w:t>
            </w:r>
            <w:r w:rsidR="002A5BA2" w:rsidRPr="003D50B3">
              <w:rPr>
                <w:rFonts w:asciiTheme="majorBidi" w:hAnsiTheme="majorBidi" w:cstheme="majorBidi"/>
              </w:rPr>
              <w:t>1</w:t>
            </w:r>
          </w:p>
        </w:tc>
        <w:tc>
          <w:tcPr>
            <w:tcW w:w="851" w:type="dxa"/>
            <w:tcBorders>
              <w:top w:val="nil"/>
              <w:left w:val="nil"/>
              <w:bottom w:val="single" w:sz="8" w:space="0" w:color="auto"/>
            </w:tcBorders>
          </w:tcPr>
          <w:p w14:paraId="39EF18BF" w14:textId="2BB6619E" w:rsidR="00DD2A33" w:rsidRPr="003D50B3" w:rsidRDefault="00DD2A33" w:rsidP="00DD2A33">
            <w:pPr>
              <w:pStyle w:val="Corpsdetexte"/>
              <w:ind w:firstLine="0"/>
              <w:rPr>
                <w:rFonts w:asciiTheme="majorBidi" w:hAnsiTheme="majorBidi" w:cstheme="majorBidi"/>
              </w:rPr>
            </w:pPr>
            <w:r w:rsidRPr="003D50B3">
              <w:rPr>
                <w:rFonts w:asciiTheme="majorBidi" w:hAnsiTheme="majorBidi" w:cstheme="majorBidi"/>
              </w:rPr>
              <w:t>-</w:t>
            </w:r>
          </w:p>
        </w:tc>
      </w:tr>
    </w:tbl>
    <w:p w14:paraId="457FAD9E" w14:textId="73FBEA27" w:rsidR="006D57D1" w:rsidRDefault="006D57D1" w:rsidP="006D57D1">
      <w:pPr>
        <w:pStyle w:val="Titre3"/>
      </w:pPr>
      <w:r w:rsidRPr="006D57D1">
        <w:t>Preparation of simulated resin beads</w:t>
      </w:r>
      <w:r w:rsidR="00DD2A33">
        <w:t xml:space="preserve"> </w:t>
      </w:r>
    </w:p>
    <w:p w14:paraId="03C5C490" w14:textId="69B09671" w:rsidR="00ED1AF5" w:rsidRDefault="00ED1AF5" w:rsidP="00FE0F4C">
      <w:pPr>
        <w:pStyle w:val="Corpsdetexte"/>
        <w:spacing w:line="276" w:lineRule="auto"/>
      </w:pPr>
      <w:r w:rsidRPr="00ED1AF5">
        <w:t xml:space="preserve">The ion-exchange resin (IERs) used in this study were a product of </w:t>
      </w:r>
      <w:proofErr w:type="spellStart"/>
      <w:r w:rsidRPr="00ED1AF5">
        <w:t>Purolite</w:t>
      </w:r>
      <w:proofErr w:type="spellEnd"/>
      <w:r w:rsidRPr="00ED1AF5">
        <w:t xml:space="preserve"> Co. (NRW-3240) supplied by German company RESINTECH INC. The examined nuclear grade resins were employed in their unloaded H</w:t>
      </w:r>
      <w:r w:rsidRPr="00D872FF">
        <w:rPr>
          <w:vertAlign w:val="superscript"/>
        </w:rPr>
        <w:t xml:space="preserve">+ </w:t>
      </w:r>
      <w:r w:rsidRPr="00ED1AF5">
        <w:t>form cationic resin and OH</w:t>
      </w:r>
      <w:r w:rsidRPr="00D872FF">
        <w:rPr>
          <w:vertAlign w:val="superscript"/>
        </w:rPr>
        <w:t>-</w:t>
      </w:r>
      <w:r w:rsidRPr="00ED1AF5">
        <w:t xml:space="preserve"> form anionic resin, having a capacity indicated by the provider of 1.8 and 1 </w:t>
      </w:r>
      <w:proofErr w:type="spellStart"/>
      <w:r w:rsidRPr="00ED1AF5">
        <w:t>eq</w:t>
      </w:r>
      <w:proofErr w:type="spellEnd"/>
      <w:r w:rsidRPr="00ED1AF5">
        <w:t>/L, respectively.</w:t>
      </w:r>
      <w:r w:rsidR="0052720C">
        <w:t xml:space="preserve"> </w:t>
      </w:r>
      <w:r w:rsidRPr="00ED1AF5">
        <w:t xml:space="preserve">The IER wastes are collected from the TRIGA MARK II research reactor located at </w:t>
      </w:r>
      <w:proofErr w:type="spellStart"/>
      <w:r w:rsidR="00FD210F" w:rsidRPr="00604843">
        <w:rPr>
          <w:rFonts w:asciiTheme="majorBidi" w:hAnsiTheme="majorBidi" w:cstheme="majorBidi"/>
        </w:rPr>
        <w:t>Maâmora</w:t>
      </w:r>
      <w:proofErr w:type="spellEnd"/>
      <w:r w:rsidR="00FD210F" w:rsidRPr="00604843">
        <w:rPr>
          <w:rFonts w:asciiTheme="majorBidi" w:hAnsiTheme="majorBidi" w:cstheme="majorBidi"/>
        </w:rPr>
        <w:t> </w:t>
      </w:r>
      <w:r w:rsidR="00FD210F" w:rsidRPr="00D4710A">
        <w:rPr>
          <w:rFonts w:asciiTheme="majorBidi" w:hAnsiTheme="majorBidi" w:cstheme="majorBidi"/>
        </w:rPr>
        <w:t xml:space="preserve">Nuclear Research </w:t>
      </w:r>
      <w:proofErr w:type="spellStart"/>
      <w:r w:rsidR="00FD210F" w:rsidRPr="00D4710A">
        <w:rPr>
          <w:rFonts w:asciiTheme="majorBidi" w:hAnsiTheme="majorBidi" w:cstheme="majorBidi"/>
        </w:rPr>
        <w:t>Center</w:t>
      </w:r>
      <w:proofErr w:type="spellEnd"/>
      <w:r w:rsidR="00FD210F" w:rsidRPr="00FD210F">
        <w:rPr>
          <w:rFonts w:asciiTheme="majorBidi" w:hAnsiTheme="majorBidi" w:cstheme="majorBidi"/>
        </w:rPr>
        <w:t xml:space="preserve"> (CENM)</w:t>
      </w:r>
      <w:r w:rsidRPr="00ED1AF5">
        <w:t xml:space="preserve">, during the purification of the water circuits and spent fuel storage pools. They are stored with very high moisture in drums in the storage department. To determine the moisture content, the resin beads are weighted and dried in an oven at 105°C until a constant weight was reached (mf) (in triplicate) </w:t>
      </w:r>
      <w:r w:rsidRPr="00ED1AF5">
        <w:fldChar w:fldCharType="begin"/>
      </w:r>
      <w:r w:rsidR="00FE0F4C">
        <w:instrText xml:space="preserve"> ADDIN ZOTERO_ITEM CSL_CITATION {"citationID":"FguGraaO","properties":{"formattedCitation":"[13]","plainCitation":"[13]","noteIndex":0},"citationItems":[{"id":689,"uris":["http://zotero.org/users/local/K2uxjuux/items/JBR98CEJ"],"uri":["http://zotero.org/users/local/K2uxjuux/items/JBR98CEJ"],"itemData":{"id":689,"type":"report","language":"en","note":"DOI: 10.2172/989447","number":"PNNL-19505, 989447","page":"PNNL-19505, 989447","source":"DOI.org (Crossref)","title":"Secondary Waste Form Screening Test Results?Cast Stone and Alkali Alumino-Silicate Geopolymer","title-short":"Secondary Waste Form Screening Test Results?","URL":"http://www.osti.gov/servlets/purl/989447-y8IS7p/","author":[{"family":"Pierce","given":"Eric M."},{"family":"Cantrell","given":"Kirk J."},{"family":"Westsik","given":"Joseph H."},{"family":"Parker","given":"Kent E."},{"family":"Um","given":"Wooyong"},{"family":"Valenta","given":"Michelle M."},{"family":"Serne","given":"R. Jeffrey"}],"accessed":{"date-parts":[["2021",1,16]]},"issued":{"date-parts":[["2010",6,28]]}}}],"schema":"https://github.com/citation-style-language/schema/raw/master/csl-citation.json"} </w:instrText>
      </w:r>
      <w:r w:rsidRPr="00ED1AF5">
        <w:fldChar w:fldCharType="separate"/>
      </w:r>
      <w:r w:rsidR="00FE0F4C" w:rsidRPr="00FE0F4C">
        <w:t>[13]</w:t>
      </w:r>
      <w:r w:rsidRPr="00ED1AF5">
        <w:fldChar w:fldCharType="end"/>
      </w:r>
      <w:r w:rsidRPr="00ED1AF5">
        <w:t>. The moisture content is expressed by the following formula: Moisture (wt.%) = (mi-mf/</w:t>
      </w:r>
      <w:r w:rsidR="001C7794" w:rsidRPr="00ED1AF5">
        <w:t>mi) *</w:t>
      </w:r>
      <w:r w:rsidRPr="00ED1AF5">
        <w:t>100.</w:t>
      </w:r>
    </w:p>
    <w:p w14:paraId="12952867" w14:textId="52DD6254" w:rsidR="002A2AD9" w:rsidRDefault="002A2AD9" w:rsidP="00ED1AF5">
      <w:pPr>
        <w:tabs>
          <w:tab w:val="left" w:pos="709"/>
        </w:tabs>
        <w:spacing w:line="276" w:lineRule="auto"/>
        <w:ind w:firstLine="284"/>
        <w:jc w:val="both"/>
        <w:rPr>
          <w:sz w:val="20"/>
        </w:rPr>
      </w:pPr>
    </w:p>
    <w:p w14:paraId="7E80E4C4" w14:textId="74FD3E87" w:rsidR="00D872FF" w:rsidRPr="00D872FF" w:rsidRDefault="00DA6AC9" w:rsidP="001722EC">
      <w:pPr>
        <w:tabs>
          <w:tab w:val="left" w:pos="709"/>
        </w:tabs>
        <w:spacing w:line="276" w:lineRule="auto"/>
        <w:ind w:firstLine="284"/>
        <w:jc w:val="both"/>
        <w:rPr>
          <w:sz w:val="20"/>
          <w:lang w:val="en-CA"/>
        </w:rPr>
      </w:pPr>
      <w:r w:rsidRPr="00D872FF">
        <w:rPr>
          <w:sz w:val="20"/>
        </w:rPr>
        <w:t>To complete th</w:t>
      </w:r>
      <w:r>
        <w:rPr>
          <w:sz w:val="20"/>
        </w:rPr>
        <w:t>e</w:t>
      </w:r>
      <w:r w:rsidRPr="00D872FF">
        <w:rPr>
          <w:sz w:val="20"/>
        </w:rPr>
        <w:t xml:space="preserve"> study,</w:t>
      </w:r>
      <w:r>
        <w:rPr>
          <w:sz w:val="20"/>
        </w:rPr>
        <w:t xml:space="preserve"> l</w:t>
      </w:r>
      <w:r w:rsidRPr="00DA6AC9">
        <w:rPr>
          <w:sz w:val="20"/>
        </w:rPr>
        <w:t xml:space="preserve">eaching experiments of </w:t>
      </w:r>
      <w:r w:rsidRPr="00DA6AC9">
        <w:rPr>
          <w:sz w:val="20"/>
          <w:vertAlign w:val="superscript"/>
        </w:rPr>
        <w:t>134</w:t>
      </w:r>
      <w:r w:rsidRPr="00DA6AC9">
        <w:rPr>
          <w:sz w:val="20"/>
        </w:rPr>
        <w:t xml:space="preserve">Cs incorporated into the resin </w:t>
      </w:r>
      <w:r>
        <w:rPr>
          <w:sz w:val="20"/>
        </w:rPr>
        <w:t xml:space="preserve">beads </w:t>
      </w:r>
      <w:r w:rsidRPr="00DA6AC9">
        <w:rPr>
          <w:sz w:val="20"/>
        </w:rPr>
        <w:t xml:space="preserve">before its </w:t>
      </w:r>
      <w:r>
        <w:rPr>
          <w:sz w:val="20"/>
        </w:rPr>
        <w:t xml:space="preserve">solidification </w:t>
      </w:r>
      <w:r w:rsidRPr="00DA6AC9">
        <w:rPr>
          <w:sz w:val="20"/>
        </w:rPr>
        <w:t>were undertaken.</w:t>
      </w:r>
      <w:r w:rsidRPr="00162C1B">
        <w:rPr>
          <w:sz w:val="20"/>
        </w:rPr>
        <w:t xml:space="preserve"> </w:t>
      </w:r>
      <w:r w:rsidR="00162C1B" w:rsidRPr="00162C1B">
        <w:rPr>
          <w:sz w:val="20"/>
        </w:rPr>
        <w:t xml:space="preserve">The activity of </w:t>
      </w:r>
      <w:proofErr w:type="spellStart"/>
      <w:r w:rsidR="00162C1B" w:rsidRPr="00162C1B">
        <w:rPr>
          <w:sz w:val="20"/>
        </w:rPr>
        <w:t>cesium</w:t>
      </w:r>
      <w:proofErr w:type="spellEnd"/>
      <w:r w:rsidR="00162C1B" w:rsidRPr="00162C1B">
        <w:rPr>
          <w:sz w:val="20"/>
        </w:rPr>
        <w:t xml:space="preserve"> was prepared with 257.98 </w:t>
      </w:r>
      <w:proofErr w:type="spellStart"/>
      <w:r w:rsidR="00162C1B" w:rsidRPr="00162C1B">
        <w:rPr>
          <w:sz w:val="20"/>
        </w:rPr>
        <w:t>Bq</w:t>
      </w:r>
      <w:proofErr w:type="spellEnd"/>
      <w:r w:rsidR="00162C1B" w:rsidRPr="00162C1B">
        <w:rPr>
          <w:sz w:val="20"/>
        </w:rPr>
        <w:t>/Kg in aqueous solutions</w:t>
      </w:r>
      <w:r w:rsidR="00162C1B">
        <w:rPr>
          <w:sz w:val="20"/>
        </w:rPr>
        <w:t>,</w:t>
      </w:r>
      <w:r w:rsidR="00162C1B" w:rsidRPr="00162C1B">
        <w:rPr>
          <w:sz w:val="20"/>
        </w:rPr>
        <w:t xml:space="preserve"> </w:t>
      </w:r>
      <w:r w:rsidR="00162C1B" w:rsidRPr="00D872FF">
        <w:rPr>
          <w:sz w:val="20"/>
          <w:lang w:val="en-CA"/>
        </w:rPr>
        <w:t xml:space="preserve">which was obtained by dissolving </w:t>
      </w:r>
      <w:proofErr w:type="spellStart"/>
      <w:r w:rsidR="00162C1B" w:rsidRPr="00D872FF">
        <w:rPr>
          <w:sz w:val="20"/>
          <w:lang w:val="en-CA"/>
        </w:rPr>
        <w:t>C</w:t>
      </w:r>
      <w:r w:rsidR="00162C1B" w:rsidRPr="00D872FF">
        <w:rPr>
          <w:sz w:val="20"/>
          <w:vertAlign w:val="subscript"/>
          <w:lang w:val="en-CA"/>
        </w:rPr>
        <w:t>S</w:t>
      </w:r>
      <w:r w:rsidR="00162C1B" w:rsidRPr="00D872FF">
        <w:rPr>
          <w:sz w:val="20"/>
          <w:lang w:val="en-CA"/>
        </w:rPr>
        <w:t>Cl</w:t>
      </w:r>
      <w:proofErr w:type="spellEnd"/>
      <w:r w:rsidR="00162C1B" w:rsidRPr="00D872FF">
        <w:rPr>
          <w:sz w:val="20"/>
          <w:lang w:val="en-CA"/>
        </w:rPr>
        <w:t xml:space="preserve"> in deionized water</w:t>
      </w:r>
      <w:r w:rsidR="00162C1B" w:rsidRPr="00162C1B">
        <w:rPr>
          <w:sz w:val="20"/>
        </w:rPr>
        <w:t>.</w:t>
      </w:r>
      <w:r w:rsidR="00162C1B">
        <w:rPr>
          <w:sz w:val="20"/>
        </w:rPr>
        <w:t xml:space="preserve"> </w:t>
      </w:r>
      <w:r w:rsidRPr="00D872FF">
        <w:rPr>
          <w:sz w:val="20"/>
          <w:lang w:val="en-CA"/>
        </w:rPr>
        <w:t xml:space="preserve">IER wastes content were mixed and equilibrated individually </w:t>
      </w:r>
      <w:r w:rsidR="00117F09">
        <w:rPr>
          <w:sz w:val="20"/>
          <w:lang w:val="en-CA"/>
        </w:rPr>
        <w:t>-</w:t>
      </w:r>
      <w:r w:rsidRPr="00D872FF">
        <w:rPr>
          <w:sz w:val="20"/>
          <w:lang w:val="en-CA"/>
        </w:rPr>
        <w:t xml:space="preserve">with 10mL of the aqueous solution of </w:t>
      </w:r>
      <w:r w:rsidRPr="00D872FF">
        <w:rPr>
          <w:sz w:val="20"/>
          <w:vertAlign w:val="superscript"/>
          <w:lang w:val="en-CA"/>
        </w:rPr>
        <w:t>134</w:t>
      </w:r>
      <w:r w:rsidRPr="00D872FF">
        <w:rPr>
          <w:sz w:val="20"/>
          <w:lang w:val="en-CA"/>
        </w:rPr>
        <w:t xml:space="preserve"> Cs</w:t>
      </w:r>
      <w:r w:rsidR="00974C9B">
        <w:rPr>
          <w:sz w:val="20"/>
          <w:lang w:val="en-CA"/>
        </w:rPr>
        <w:t>.</w:t>
      </w:r>
      <w:r w:rsidR="00974C9B" w:rsidRPr="00974C9B">
        <w:rPr>
          <w:sz w:val="20"/>
          <w:lang w:val="en-CA"/>
        </w:rPr>
        <w:t xml:space="preserve"> </w:t>
      </w:r>
      <w:r w:rsidR="002766B9" w:rsidRPr="00C62713">
        <w:rPr>
          <w:rFonts w:asciiTheme="majorBidi" w:eastAsia="CharisSIL" w:hAnsiTheme="majorBidi" w:cstheme="majorBidi"/>
          <w:sz w:val="20"/>
        </w:rPr>
        <w:t xml:space="preserve">After few days, a </w:t>
      </w:r>
      <w:r w:rsidR="002766B9" w:rsidRPr="00C62713">
        <w:rPr>
          <w:rFonts w:asciiTheme="majorBidi" w:hAnsiTheme="majorBidi" w:cstheme="majorBidi"/>
          <w:sz w:val="20"/>
          <w:lang w:val="en-CA"/>
        </w:rPr>
        <w:t xml:space="preserve">gamma </w:t>
      </w:r>
      <w:r w:rsidR="002766B9" w:rsidRPr="00C62713">
        <w:rPr>
          <w:rFonts w:asciiTheme="majorBidi" w:hAnsiTheme="majorBidi" w:cstheme="majorBidi"/>
          <w:sz w:val="20"/>
        </w:rPr>
        <w:t>spectroscopy (Canberra hyper-pure germanium detector (</w:t>
      </w:r>
      <w:proofErr w:type="spellStart"/>
      <w:r w:rsidR="002766B9" w:rsidRPr="00C62713">
        <w:rPr>
          <w:rFonts w:asciiTheme="majorBidi" w:hAnsiTheme="majorBidi" w:cstheme="majorBidi"/>
          <w:sz w:val="20"/>
        </w:rPr>
        <w:t>HpGe</w:t>
      </w:r>
      <w:proofErr w:type="spellEnd"/>
      <w:r w:rsidR="002766B9" w:rsidRPr="00C62713">
        <w:rPr>
          <w:rFonts w:asciiTheme="majorBidi" w:hAnsiTheme="majorBidi" w:cstheme="majorBidi"/>
          <w:sz w:val="20"/>
        </w:rPr>
        <w:t>)</w:t>
      </w:r>
      <w:r w:rsidR="00C62713" w:rsidRPr="00C62713">
        <w:rPr>
          <w:rFonts w:asciiTheme="majorBidi" w:hAnsiTheme="majorBidi" w:cstheme="majorBidi"/>
          <w:sz w:val="20"/>
        </w:rPr>
        <w:t>,</w:t>
      </w:r>
      <w:r w:rsidR="00C62713" w:rsidRPr="00C62713">
        <w:t xml:space="preserve"> </w:t>
      </w:r>
      <w:r w:rsidR="00C62713" w:rsidRPr="00C62713">
        <w:rPr>
          <w:rFonts w:asciiTheme="majorBidi" w:hAnsiTheme="majorBidi" w:cstheme="majorBidi"/>
          <w:sz w:val="20"/>
        </w:rPr>
        <w:t>efficiency of 30%</w:t>
      </w:r>
      <w:r w:rsidR="002766B9" w:rsidRPr="00C62713">
        <w:rPr>
          <w:rFonts w:asciiTheme="majorBidi" w:hAnsiTheme="majorBidi" w:cstheme="majorBidi"/>
          <w:sz w:val="20"/>
        </w:rPr>
        <w:t>)</w:t>
      </w:r>
      <w:r w:rsidR="00C62713" w:rsidRPr="00C62713">
        <w:rPr>
          <w:rFonts w:asciiTheme="majorBidi" w:hAnsiTheme="majorBidi" w:cstheme="majorBidi"/>
          <w:sz w:val="20"/>
        </w:rPr>
        <w:t xml:space="preserve"> </w:t>
      </w:r>
      <w:r w:rsidR="002766B9" w:rsidRPr="00C62713">
        <w:rPr>
          <w:rFonts w:asciiTheme="majorBidi" w:hAnsiTheme="majorBidi" w:cstheme="majorBidi"/>
          <w:sz w:val="20"/>
        </w:rPr>
        <w:t xml:space="preserve">was utilized to determine the </w:t>
      </w:r>
      <w:r w:rsidR="00C62713" w:rsidRPr="00C62713">
        <w:rPr>
          <w:rFonts w:asciiTheme="majorBidi" w:hAnsiTheme="majorBidi" w:cstheme="majorBidi"/>
          <w:sz w:val="20"/>
        </w:rPr>
        <w:t>activities</w:t>
      </w:r>
      <w:r w:rsidR="002766B9" w:rsidRPr="00C62713">
        <w:rPr>
          <w:rFonts w:asciiTheme="majorBidi" w:hAnsiTheme="majorBidi" w:cstheme="majorBidi"/>
          <w:sz w:val="20"/>
        </w:rPr>
        <w:t xml:space="preserve"> of </w:t>
      </w:r>
      <w:hyperlink r:id="rId13" w:tooltip="Learn more about Cesium from ScienceDirect's AI-generated Topic Pages" w:history="1">
        <w:proofErr w:type="spellStart"/>
        <w:r w:rsidR="00C62713">
          <w:t>c</w:t>
        </w:r>
        <w:r w:rsidR="00C62713" w:rsidRPr="00C62713">
          <w:t>esium</w:t>
        </w:r>
        <w:proofErr w:type="spellEnd"/>
      </w:hyperlink>
      <w:r w:rsidR="002766B9" w:rsidRPr="00C62713">
        <w:rPr>
          <w:rFonts w:asciiTheme="majorBidi" w:hAnsiTheme="majorBidi" w:cstheme="majorBidi"/>
          <w:sz w:val="20"/>
        </w:rPr>
        <w:t xml:space="preserve"> at the end of the ion exchange </w:t>
      </w:r>
      <w:r w:rsidR="00C62713" w:rsidRPr="00C62713">
        <w:rPr>
          <w:rFonts w:asciiTheme="majorBidi" w:hAnsiTheme="majorBidi" w:cstheme="majorBidi"/>
          <w:sz w:val="20"/>
        </w:rPr>
        <w:t xml:space="preserve">sorption </w:t>
      </w:r>
      <w:r w:rsidR="002766B9" w:rsidRPr="00C62713">
        <w:rPr>
          <w:rFonts w:asciiTheme="majorBidi" w:hAnsiTheme="majorBidi" w:cstheme="majorBidi"/>
          <w:sz w:val="20"/>
        </w:rPr>
        <w:t>process.</w:t>
      </w:r>
      <w:r w:rsidR="00162C1B">
        <w:rPr>
          <w:rFonts w:asciiTheme="majorBidi" w:hAnsiTheme="majorBidi" w:cstheme="majorBidi"/>
          <w:sz w:val="20"/>
        </w:rPr>
        <w:t xml:space="preserve"> </w:t>
      </w:r>
      <w:r w:rsidR="00D872FF" w:rsidRPr="00D872FF">
        <w:rPr>
          <w:sz w:val="20"/>
          <w:lang w:val="en-CA"/>
        </w:rPr>
        <w:t xml:space="preserve">The artificial radionuclide, </w:t>
      </w:r>
      <w:r w:rsidR="00D872FF" w:rsidRPr="00D872FF">
        <w:rPr>
          <w:sz w:val="20"/>
          <w:vertAlign w:val="superscript"/>
          <w:lang w:val="en-CA"/>
        </w:rPr>
        <w:t>134</w:t>
      </w:r>
      <w:r w:rsidR="00D872FF" w:rsidRPr="00D872FF">
        <w:rPr>
          <w:sz w:val="20"/>
          <w:lang w:val="en-CA"/>
        </w:rPr>
        <w:t>Cs, in the form of cesium chloride (</w:t>
      </w:r>
      <w:proofErr w:type="spellStart"/>
      <w:r w:rsidR="00D872FF" w:rsidRPr="00D872FF">
        <w:rPr>
          <w:sz w:val="20"/>
          <w:lang w:val="en-CA"/>
        </w:rPr>
        <w:t>CsCl</w:t>
      </w:r>
      <w:proofErr w:type="spellEnd"/>
      <w:r w:rsidR="00D872FF" w:rsidRPr="00D872FF">
        <w:rPr>
          <w:sz w:val="20"/>
          <w:lang w:val="en-CA"/>
        </w:rPr>
        <w:t xml:space="preserve">) (analytical reagent grade 99%), was obtained from commercial suppliers </w:t>
      </w:r>
      <w:proofErr w:type="spellStart"/>
      <w:r w:rsidR="005617C7" w:rsidRPr="00604843">
        <w:rPr>
          <w:rFonts w:asciiTheme="majorBidi" w:hAnsiTheme="majorBidi" w:cstheme="majorBidi"/>
          <w:sz w:val="20"/>
        </w:rPr>
        <w:t>Maâmora</w:t>
      </w:r>
      <w:proofErr w:type="spellEnd"/>
      <w:r w:rsidR="005617C7" w:rsidRPr="00604843">
        <w:rPr>
          <w:rFonts w:asciiTheme="majorBidi" w:hAnsiTheme="majorBidi" w:cstheme="majorBidi"/>
          <w:sz w:val="20"/>
        </w:rPr>
        <w:t> </w:t>
      </w:r>
      <w:r w:rsidR="005617C7" w:rsidRPr="00D4710A">
        <w:rPr>
          <w:rFonts w:asciiTheme="majorBidi" w:hAnsiTheme="majorBidi" w:cstheme="majorBidi"/>
          <w:sz w:val="20"/>
        </w:rPr>
        <w:t xml:space="preserve">Nuclear Research </w:t>
      </w:r>
      <w:proofErr w:type="spellStart"/>
      <w:r w:rsidR="005617C7" w:rsidRPr="00D4710A">
        <w:rPr>
          <w:rFonts w:asciiTheme="majorBidi" w:hAnsiTheme="majorBidi" w:cstheme="majorBidi"/>
          <w:sz w:val="20"/>
        </w:rPr>
        <w:t>Center</w:t>
      </w:r>
      <w:proofErr w:type="spellEnd"/>
      <w:r w:rsidR="005617C7" w:rsidRPr="00FD210F">
        <w:rPr>
          <w:rFonts w:asciiTheme="majorBidi" w:hAnsiTheme="majorBidi" w:cstheme="majorBidi"/>
          <w:sz w:val="20"/>
        </w:rPr>
        <w:t xml:space="preserve"> (CENM)</w:t>
      </w:r>
      <w:r w:rsidR="005617C7">
        <w:rPr>
          <w:rFonts w:asciiTheme="majorBidi" w:hAnsiTheme="majorBidi" w:cstheme="majorBidi"/>
          <w:sz w:val="20"/>
        </w:rPr>
        <w:t>.</w:t>
      </w:r>
    </w:p>
    <w:p w14:paraId="16C317EA" w14:textId="4285F236" w:rsidR="006D57D1" w:rsidRDefault="006D57D1" w:rsidP="006D57D1">
      <w:pPr>
        <w:pStyle w:val="Titre3"/>
      </w:pPr>
      <w:r w:rsidRPr="006D57D1">
        <w:rPr>
          <w:i/>
          <w:iCs/>
        </w:rPr>
        <w:t>Solidification procedure</w:t>
      </w:r>
    </w:p>
    <w:p w14:paraId="6AA690FB" w14:textId="242617D6" w:rsidR="003D50B3" w:rsidRPr="003D50B3" w:rsidRDefault="003D50B3" w:rsidP="00FE0F4C">
      <w:pPr>
        <w:tabs>
          <w:tab w:val="left" w:pos="709"/>
        </w:tabs>
        <w:spacing w:line="276" w:lineRule="auto"/>
        <w:ind w:firstLine="284"/>
        <w:jc w:val="both"/>
        <w:rPr>
          <w:sz w:val="20"/>
        </w:rPr>
      </w:pPr>
      <w:bookmarkStart w:id="0" w:name="_Hlk74740507"/>
      <w:r w:rsidRPr="003D50B3">
        <w:rPr>
          <w:sz w:val="20"/>
        </w:rPr>
        <w:t xml:space="preserve">Geopolymer package elaboration was performed using an alkali dosage of 4.5 </w:t>
      </w:r>
      <w:proofErr w:type="spellStart"/>
      <w:r w:rsidRPr="003D50B3">
        <w:rPr>
          <w:sz w:val="20"/>
        </w:rPr>
        <w:t>wt</w:t>
      </w:r>
      <w:proofErr w:type="spellEnd"/>
      <w:r w:rsidRPr="003D50B3">
        <w:rPr>
          <w:sz w:val="20"/>
        </w:rPr>
        <w:t>% Na2O+K2O. The soluble silicates in the activator solution were adjusted to achieve a SiO</w:t>
      </w:r>
      <w:r w:rsidRPr="00054780">
        <w:rPr>
          <w:sz w:val="20"/>
          <w:vertAlign w:val="subscript"/>
        </w:rPr>
        <w:t>2</w:t>
      </w:r>
      <w:r w:rsidRPr="003D50B3">
        <w:rPr>
          <w:sz w:val="20"/>
        </w:rPr>
        <w:t>/M</w:t>
      </w:r>
      <w:r w:rsidRPr="00054780">
        <w:rPr>
          <w:sz w:val="20"/>
          <w:vertAlign w:val="subscript"/>
        </w:rPr>
        <w:t>2</w:t>
      </w:r>
      <w:r w:rsidRPr="003D50B3">
        <w:rPr>
          <w:sz w:val="20"/>
        </w:rPr>
        <w:t xml:space="preserve">O activators modulus (Ms) of 1.3. Such alkaline solution was applied to produce the packages at different liquid/solid of about 0.90 to 1, depending on the raw mixtures. </w:t>
      </w:r>
      <w:bookmarkEnd w:id="0"/>
      <w:r w:rsidRPr="003D50B3">
        <w:rPr>
          <w:sz w:val="20"/>
        </w:rPr>
        <w:t xml:space="preserve">Individual and binary binders were designed according to </w:t>
      </w:r>
      <w:r w:rsidRPr="000D6502">
        <w:rPr>
          <w:b/>
          <w:bCs/>
          <w:sz w:val="20"/>
        </w:rPr>
        <w:t xml:space="preserve">Table </w:t>
      </w:r>
      <w:r w:rsidR="00397351" w:rsidRPr="000D6502">
        <w:rPr>
          <w:b/>
          <w:bCs/>
          <w:sz w:val="20"/>
        </w:rPr>
        <w:t>2</w:t>
      </w:r>
      <w:r w:rsidRPr="003D50B3">
        <w:rPr>
          <w:sz w:val="20"/>
        </w:rPr>
        <w:t xml:space="preserve"> by the blending of different ratios between MK to UPS. These synthesis parameters are chosen based on previous studies </w:t>
      </w:r>
      <w:r w:rsidRPr="003D50B3">
        <w:rPr>
          <w:sz w:val="20"/>
        </w:rPr>
        <w:fldChar w:fldCharType="begin"/>
      </w:r>
      <w:r w:rsidR="00FE0F4C">
        <w:rPr>
          <w:sz w:val="20"/>
        </w:rPr>
        <w:instrText xml:space="preserve"> ADDIN ZOTERO_ITEM CSL_CITATION {"citationID":"a714hfkeu","properties":{"formattedCitation":"[11, 12]","plainCitation":"[11, 12]","noteIndex":0},"citationItems":[{"id":278,"uris":["http://zotero.org/users/local/K2uxjuux/items/8M8VUTK9"],"uri":["http://zotero.org/users/local/K2uxjuux/items/8M8VUTK9"],"itemData":{"id":278,"type":"article-journal","abstract":"In the present work we investigate the possibility of reusing phosphate sludge, which is considered as a mining by-product from beneficiation plants of the Moroccan phosphate rocks (OCP, Youssoufia), through the geopolymerization process. This process allows to evaluate the alkaline behaviour of thermally untreated phosphate sludge (UPS) as a partial replacement of metakaolin. The geopolymers were synthesised with various activator modulus (Ms=1.40, 1.30, 1.24, 1.20, and 1.15) made from a mixture of different alkaline (NaOH and KOH) solutions and sodium silicate. The effect of 0–60% untreated sludge (UPS) powder in metakaolin based geopolymer materials cured at 60 °C was investigated. Compressive strength and apparent porosity were determined after 28 days of curing and the reaction products were tested by different techniques including: X-Ray Diffraction (XRD), Fourier Transformed Infrared spectroscopy (FTIR), thermal gravimetric analyses (TGA) and Electron microscope scanning coupled with energy dispersive spectroscopy (SEM-EDX). For up to 50 % of UPS, physical properties of the hardened products are induced, especially when the activator modulus (Ms= 1.30) is used. In these blends, the presence of UPS is favorable to ensure the better connectivity between grains in the system. In fact, the sludge has been suggested to have a dual role, it has a filler effect and/or a small precipitation of Ca-bearing phases co-existing with (Na, K)-A-S-H-type gel.","container-title":"Materials Chemistry and Physics","DOI":"10.1016/j.matchemphys.2020.122938","ISSN":"0254-0584","journalAbbreviation":"Materials Chemistry and Physics","language":"en","page":"122938","source":"ScienceDirect","title":"Effect of alkali-mixed content and thermally untreated phosphate sludge dosages on some properties of metakaolin based geopolymer material","author":[{"family":"Hamdane","given":"Hasna"},{"family":"Tamraoui","given":"Youssef"},{"family":"Mansouri","given":"Said"},{"family":"Oumam","given":"Mina"},{"family":"Bouih","given":"Abderrahim"},{"family":"El Ghailassi","given":"Touria"},{"family":"Boulif","given":"Rachid"},{"family":"Manoun","given":"Bouchaib"},{"family":"Hannache","given":"Hassan"}],"issued":{"date-parts":[["2020",3,17]]}}},{"id":654,"uris":["http://zotero.org/users/local/K2uxjuux/items/ZR2Y67CT"],"uri":["http://zotero.org/users/local/K2uxjuux/items/ZR2Y67CT"],"itemData":{"id":654,"type":"article-journal","abstract":"Upcycling phosphate mining sludges to produce a green cementitious binder, called geopolymer, has recently been implemented; although interesting, a thermal activation has been required to increase their reactivity, in detriment of the energy consumption, environmental footprint and costs. This paper provides an innovative approach to phosphate sludge disposal without any thermal activation, through a dual-alkali activation of NaOH–KOH for designing sustainable geopolymer coating binder of metakaolin with up-to 50 wt% replacement by un-calcined phosphate sludge (UPS). RSM-based statistical design was undertaken to optimize and understand the influence of design factors of activator modulus (MS), ageing time and thermal curing on compressive strength, apparent porosity and water absorption as targeted properties, through polynomial models. Optimal geopolymer testing included measurements of initial-final setting time and durability against 5% NaCl, 5% Na2SO4 and 2% HCl attack up to 3 months, through the visual examination, weight loss and flexural strength.The microstructures of the optimal binder highlighted significant changes in the geopolymeric network, including the formation of hybrid type gels (N,K)-A-S-H or (C,N,K)-A-S-H, silica gel and C-A-S-H/C–S–H co-existing with an inactive filler material exerted by unreacted particles. The optimal binder with RSM methodology reached in a high compressive strength of 49.78 ± 0.30 MPa at 26 days of curing, which obviously confirmed in terms of the microstructural features. A thermal curing (50C°) looks effective to maintain a suitable setting time while achieving excellent mechanical and chemical stability in aggressive environments. In these blends, the UPS chemistry is effective to improve both the mechanical and the durability properties where it acts basically as a barrier (chemical and/or physical) owing to the dual-alkali cations (MS = 1.32) in the activation solution. This study confirms the promise of using the elaborated UPS-MK based geopolymers as sustainable coating materials, which could substantially promote a cleaner production in the construction sector and phosphate mines.","container-title":"Journal of Cleaner Production","DOI":"10.1016/j.jclepro.2020.125421","ISSN":"0959-6526","journalAbbreviation":"Journal of Cleaner Production","language":"en","page":"125421","source":"ScienceDirect","title":"Statistical modeling of geopolymers from dual-alkali activation of un-calcined phosphate sludge and their potential applications as sustainable coating materials","volume":"283","author":[{"family":"Hamdane","given":"Hasna"},{"family":"Tamraoui","given":"Youssef"},{"family":"Mansouri","given":"Said"},{"family":"Oumam","given":"Mina"},{"family":"Bouih","given":"Abderrahim"},{"family":"El Ghailassi","given":"Touria"},{"family":"Boulif","given":"Rachid"},{"family":"Manoun","given":"Bouchaib"},{"family":"Hannache","given":"Hassan"}],"issued":{"date-parts":[["2021",2,10]]}}}],"schema":"https://github.com/citation-style-language/schema/raw/master/csl-citation.json"} </w:instrText>
      </w:r>
      <w:r w:rsidRPr="003D50B3">
        <w:rPr>
          <w:sz w:val="20"/>
        </w:rPr>
        <w:fldChar w:fldCharType="separate"/>
      </w:r>
      <w:r w:rsidR="00FE0F4C" w:rsidRPr="00FE0F4C">
        <w:rPr>
          <w:sz w:val="20"/>
        </w:rPr>
        <w:t>[11, 12]</w:t>
      </w:r>
      <w:r w:rsidRPr="003D50B3">
        <w:rPr>
          <w:sz w:val="20"/>
        </w:rPr>
        <w:fldChar w:fldCharType="end"/>
      </w:r>
      <w:r w:rsidRPr="003D50B3">
        <w:rPr>
          <w:sz w:val="20"/>
        </w:rPr>
        <w:t xml:space="preserve">, which show reliable workability and mechanical performance. Different contents of the non-radioactive resin beads (NR) (9, 11,13 and 15 wt.%) were added according to the design given in </w:t>
      </w:r>
      <w:r w:rsidRPr="000D6502">
        <w:rPr>
          <w:b/>
          <w:bCs/>
          <w:sz w:val="20"/>
        </w:rPr>
        <w:t xml:space="preserve">Table </w:t>
      </w:r>
      <w:r w:rsidR="008B702A" w:rsidRPr="000D6502">
        <w:rPr>
          <w:b/>
          <w:bCs/>
          <w:sz w:val="20"/>
        </w:rPr>
        <w:t>2</w:t>
      </w:r>
      <w:r w:rsidRPr="003D50B3">
        <w:rPr>
          <w:sz w:val="20"/>
        </w:rPr>
        <w:t xml:space="preserve">. All formulations were casted into cylindrical plastic moulds and were subjected to 28-day at 55°C. </w:t>
      </w:r>
    </w:p>
    <w:p w14:paraId="1314E692" w14:textId="247E870D" w:rsidR="003D50B3" w:rsidRDefault="003D50B3" w:rsidP="001722EC">
      <w:pPr>
        <w:tabs>
          <w:tab w:val="left" w:pos="709"/>
        </w:tabs>
        <w:spacing w:line="276" w:lineRule="auto"/>
        <w:ind w:firstLine="284"/>
        <w:jc w:val="both"/>
        <w:rPr>
          <w:sz w:val="20"/>
        </w:rPr>
      </w:pPr>
      <w:r w:rsidRPr="003D50B3">
        <w:rPr>
          <w:sz w:val="20"/>
        </w:rPr>
        <w:t>The binders were designed using the one-factor-at-a-time concept to achieve the main objective of obtaining geopolymer packages with better mechanical performance and lower fractional leached activities for solidification of spent IERs.</w:t>
      </w:r>
      <w:r w:rsidRPr="00162C1B">
        <w:rPr>
          <w:sz w:val="20"/>
        </w:rPr>
        <w:t xml:space="preserve"> Thus, the f</w:t>
      </w:r>
      <w:r w:rsidRPr="003D50B3">
        <w:rPr>
          <w:sz w:val="20"/>
        </w:rPr>
        <w:t>ormulations</w:t>
      </w:r>
      <w:r w:rsidRPr="003D50B3">
        <w:rPr>
          <w:b/>
          <w:caps/>
          <w:sz w:val="20"/>
        </w:rPr>
        <w:t xml:space="preserve"> </w:t>
      </w:r>
      <w:r w:rsidRPr="003D50B3">
        <w:rPr>
          <w:sz w:val="20"/>
        </w:rPr>
        <w:t xml:space="preserve">were divided into two main groups, one of which (25Ø×52 mm) was allocated to the non-radioactive resin (NR) beads compressive strength investigations; while, the second (42Ø×86 mm), noted here radioactive resins (RR) beads, was allocated to investigate the leachability of </w:t>
      </w:r>
      <w:r w:rsidRPr="00D4710A">
        <w:rPr>
          <w:sz w:val="20"/>
          <w:vertAlign w:val="superscript"/>
        </w:rPr>
        <w:t>134</w:t>
      </w:r>
      <w:r w:rsidRPr="003D50B3">
        <w:rPr>
          <w:sz w:val="20"/>
        </w:rPr>
        <w:t xml:space="preserve">Cs radionuclide matrices.  </w:t>
      </w:r>
      <w:bookmarkStart w:id="1" w:name="_Hlk74740669"/>
      <w:r w:rsidRPr="003D50B3">
        <w:rPr>
          <w:sz w:val="20"/>
        </w:rPr>
        <w:t xml:space="preserve">The detailed package ID and proportions are given in </w:t>
      </w:r>
      <w:r w:rsidRPr="00D4710A">
        <w:rPr>
          <w:b/>
          <w:bCs/>
          <w:sz w:val="20"/>
        </w:rPr>
        <w:t>Table 2</w:t>
      </w:r>
      <w:r w:rsidRPr="003D50B3">
        <w:rPr>
          <w:sz w:val="20"/>
        </w:rPr>
        <w:t>, with the following nomenclature: MK</w:t>
      </w:r>
      <w:proofErr w:type="gramStart"/>
      <w:r w:rsidRPr="003D50B3">
        <w:rPr>
          <w:sz w:val="20"/>
        </w:rPr>
        <w:t>/(</w:t>
      </w:r>
      <w:proofErr w:type="gramEnd"/>
      <w:r w:rsidRPr="003D50B3">
        <w:rPr>
          <w:sz w:val="20"/>
        </w:rPr>
        <w:t>content of UPS in wt.%) - (wt.% of non-radioactive resins used) NR/ RR .</w:t>
      </w:r>
      <w:bookmarkEnd w:id="1"/>
    </w:p>
    <w:p w14:paraId="250FB9BE" w14:textId="2DEF6667" w:rsidR="003D50B3" w:rsidRDefault="003D50B3" w:rsidP="003D50B3">
      <w:pPr>
        <w:tabs>
          <w:tab w:val="left" w:pos="709"/>
        </w:tabs>
        <w:spacing w:line="276" w:lineRule="auto"/>
        <w:ind w:firstLine="284"/>
        <w:jc w:val="both"/>
        <w:rPr>
          <w:sz w:val="20"/>
        </w:rPr>
      </w:pPr>
    </w:p>
    <w:p w14:paraId="5438408E" w14:textId="2099721F" w:rsidR="003D50B3" w:rsidRPr="00BD25CD" w:rsidRDefault="003D50B3" w:rsidP="00155F13">
      <w:pPr>
        <w:pStyle w:val="Corpsdetexte"/>
        <w:ind w:firstLine="0"/>
        <w:jc w:val="left"/>
        <w:rPr>
          <w:sz w:val="18"/>
          <w:szCs w:val="18"/>
        </w:rPr>
      </w:pPr>
      <w:bookmarkStart w:id="2" w:name="_Toc73868928"/>
      <w:bookmarkStart w:id="3" w:name="_Toc75344315"/>
      <w:r w:rsidRPr="00BD25CD">
        <w:rPr>
          <w:sz w:val="18"/>
          <w:szCs w:val="18"/>
        </w:rPr>
        <w:t>T</w:t>
      </w:r>
      <w:r w:rsidR="00BD25CD" w:rsidRPr="00BD25CD">
        <w:rPr>
          <w:sz w:val="18"/>
          <w:szCs w:val="18"/>
        </w:rPr>
        <w:t>ABLE.</w:t>
      </w:r>
      <w:r w:rsidRPr="00BD25CD">
        <w:rPr>
          <w:sz w:val="18"/>
          <w:szCs w:val="18"/>
        </w:rPr>
        <w:t xml:space="preserve"> 2 Chemical composition of IERs-contained geopolymer packages (wt.%)</w:t>
      </w:r>
      <w:bookmarkEnd w:id="2"/>
      <w:bookmarkEnd w:id="3"/>
    </w:p>
    <w:p w14:paraId="3AEF6C01" w14:textId="77777777" w:rsidR="003D50B3" w:rsidRPr="003D50B3" w:rsidRDefault="003D50B3" w:rsidP="003D50B3">
      <w:pPr>
        <w:pStyle w:val="Corpsdetexte"/>
        <w:ind w:firstLine="0"/>
        <w:jc w:val="center"/>
      </w:pPr>
    </w:p>
    <w:tbl>
      <w:tblPr>
        <w:tblStyle w:val="Grilledutableau"/>
        <w:tblW w:w="10490" w:type="dxa"/>
        <w:jc w:val="center"/>
        <w:tblBorders>
          <w:left w:val="none" w:sz="0" w:space="0" w:color="auto"/>
          <w:right w:val="none" w:sz="0" w:space="0" w:color="auto"/>
        </w:tblBorders>
        <w:tblLook w:val="04A0" w:firstRow="1" w:lastRow="0" w:firstColumn="1" w:lastColumn="0" w:noHBand="0" w:noVBand="1"/>
      </w:tblPr>
      <w:tblGrid>
        <w:gridCol w:w="2214"/>
        <w:gridCol w:w="1705"/>
        <w:gridCol w:w="990"/>
        <w:gridCol w:w="1143"/>
        <w:gridCol w:w="597"/>
        <w:gridCol w:w="571"/>
        <w:gridCol w:w="293"/>
        <w:gridCol w:w="709"/>
        <w:gridCol w:w="709"/>
        <w:gridCol w:w="1559"/>
      </w:tblGrid>
      <w:tr w:rsidR="003D50B3" w:rsidRPr="00985474" w14:paraId="3C28E676" w14:textId="77777777" w:rsidTr="000A65F7">
        <w:trPr>
          <w:trHeight w:val="405"/>
          <w:jc w:val="center"/>
        </w:trPr>
        <w:tc>
          <w:tcPr>
            <w:tcW w:w="2214" w:type="dxa"/>
            <w:vMerge w:val="restart"/>
            <w:tcBorders>
              <w:top w:val="single" w:sz="12" w:space="0" w:color="auto"/>
              <w:right w:val="nil"/>
            </w:tcBorders>
            <w:vAlign w:val="center"/>
          </w:tcPr>
          <w:p w14:paraId="4535B240" w14:textId="77777777" w:rsidR="003D50B3" w:rsidRPr="00A40C29" w:rsidRDefault="003D50B3" w:rsidP="000A65F7">
            <w:pPr>
              <w:rPr>
                <w:rFonts w:asciiTheme="majorBidi" w:hAnsiTheme="majorBidi" w:cstheme="majorBidi"/>
                <w:sz w:val="18"/>
                <w:szCs w:val="18"/>
              </w:rPr>
            </w:pPr>
            <w:r w:rsidRPr="00A40C29">
              <w:rPr>
                <w:rFonts w:asciiTheme="majorBidi" w:hAnsiTheme="majorBidi" w:cstheme="majorBidi"/>
                <w:sz w:val="18"/>
                <w:szCs w:val="18"/>
              </w:rPr>
              <w:t>Synthesis parameters</w:t>
            </w:r>
          </w:p>
        </w:tc>
        <w:tc>
          <w:tcPr>
            <w:tcW w:w="1705" w:type="dxa"/>
            <w:vMerge w:val="restart"/>
            <w:tcBorders>
              <w:top w:val="single" w:sz="12" w:space="0" w:color="auto"/>
              <w:left w:val="nil"/>
              <w:right w:val="nil"/>
            </w:tcBorders>
            <w:vAlign w:val="center"/>
          </w:tcPr>
          <w:p w14:paraId="38041A0A" w14:textId="77777777" w:rsidR="003D50B3" w:rsidRPr="00A40C29" w:rsidRDefault="003D50B3" w:rsidP="000A65F7">
            <w:pPr>
              <w:rPr>
                <w:rFonts w:asciiTheme="majorBidi" w:hAnsiTheme="majorBidi" w:cstheme="majorBidi"/>
                <w:sz w:val="18"/>
                <w:szCs w:val="18"/>
              </w:rPr>
            </w:pPr>
            <w:r w:rsidRPr="00A40C29">
              <w:rPr>
                <w:rFonts w:asciiTheme="majorBidi" w:hAnsiTheme="majorBidi" w:cstheme="majorBidi"/>
                <w:sz w:val="18"/>
                <w:szCs w:val="18"/>
              </w:rPr>
              <w:t>Packages ID</w:t>
            </w:r>
          </w:p>
        </w:tc>
        <w:tc>
          <w:tcPr>
            <w:tcW w:w="2133" w:type="dxa"/>
            <w:gridSpan w:val="2"/>
            <w:tcBorders>
              <w:top w:val="single" w:sz="12" w:space="0" w:color="auto"/>
              <w:left w:val="nil"/>
              <w:bottom w:val="single" w:sz="12" w:space="0" w:color="auto"/>
              <w:right w:val="nil"/>
            </w:tcBorders>
            <w:vAlign w:val="center"/>
          </w:tcPr>
          <w:p w14:paraId="1067D4D7"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Design parameters</w:t>
            </w:r>
          </w:p>
        </w:tc>
        <w:tc>
          <w:tcPr>
            <w:tcW w:w="597" w:type="dxa"/>
            <w:vMerge w:val="restart"/>
            <w:tcBorders>
              <w:top w:val="single" w:sz="12" w:space="0" w:color="auto"/>
              <w:left w:val="nil"/>
              <w:right w:val="nil"/>
            </w:tcBorders>
          </w:tcPr>
          <w:p w14:paraId="7A5D0276" w14:textId="77777777" w:rsidR="003D50B3" w:rsidRPr="00A40C29" w:rsidRDefault="003D50B3" w:rsidP="000A65F7">
            <w:pPr>
              <w:jc w:val="center"/>
              <w:rPr>
                <w:rFonts w:asciiTheme="majorBidi" w:hAnsiTheme="majorBidi" w:cstheme="majorBidi"/>
                <w:b/>
                <w:bCs/>
                <w:sz w:val="18"/>
                <w:szCs w:val="18"/>
                <w:vertAlign w:val="superscript"/>
              </w:rPr>
            </w:pPr>
          </w:p>
        </w:tc>
        <w:tc>
          <w:tcPr>
            <w:tcW w:w="3841" w:type="dxa"/>
            <w:gridSpan w:val="5"/>
            <w:tcBorders>
              <w:top w:val="single" w:sz="12" w:space="0" w:color="auto"/>
              <w:left w:val="nil"/>
              <w:bottom w:val="single" w:sz="12" w:space="0" w:color="auto"/>
            </w:tcBorders>
            <w:vAlign w:val="center"/>
          </w:tcPr>
          <w:p w14:paraId="5D345836" w14:textId="77777777" w:rsidR="003D50B3" w:rsidRPr="00A40C29" w:rsidRDefault="003D50B3" w:rsidP="000A65F7">
            <w:pPr>
              <w:rPr>
                <w:rFonts w:asciiTheme="majorBidi" w:hAnsiTheme="majorBidi" w:cstheme="majorBidi"/>
                <w:b/>
                <w:bCs/>
                <w:sz w:val="18"/>
                <w:szCs w:val="18"/>
                <w:vertAlign w:val="superscript"/>
              </w:rPr>
            </w:pPr>
            <w:r w:rsidRPr="00A40C29">
              <w:rPr>
                <w:rFonts w:asciiTheme="majorBidi" w:hAnsiTheme="majorBidi" w:cstheme="majorBidi"/>
                <w:sz w:val="18"/>
                <w:szCs w:val="18"/>
              </w:rPr>
              <w:t xml:space="preserve">Materials </w:t>
            </w:r>
          </w:p>
        </w:tc>
      </w:tr>
      <w:tr w:rsidR="003D50B3" w:rsidRPr="00985474" w14:paraId="52196EDB" w14:textId="77777777" w:rsidTr="000A65F7">
        <w:trPr>
          <w:trHeight w:val="263"/>
          <w:jc w:val="center"/>
        </w:trPr>
        <w:tc>
          <w:tcPr>
            <w:tcW w:w="2214" w:type="dxa"/>
            <w:vMerge/>
            <w:tcBorders>
              <w:top w:val="nil"/>
              <w:bottom w:val="single" w:sz="4" w:space="0" w:color="auto"/>
              <w:right w:val="nil"/>
            </w:tcBorders>
            <w:vAlign w:val="center"/>
          </w:tcPr>
          <w:p w14:paraId="081E045A" w14:textId="77777777" w:rsidR="003D50B3" w:rsidRPr="00A40C29" w:rsidRDefault="003D50B3" w:rsidP="000A65F7">
            <w:pPr>
              <w:jc w:val="center"/>
              <w:rPr>
                <w:rFonts w:asciiTheme="majorBidi" w:hAnsiTheme="majorBidi" w:cstheme="majorBidi"/>
                <w:sz w:val="18"/>
                <w:szCs w:val="18"/>
              </w:rPr>
            </w:pPr>
          </w:p>
        </w:tc>
        <w:tc>
          <w:tcPr>
            <w:tcW w:w="1705" w:type="dxa"/>
            <w:vMerge/>
            <w:tcBorders>
              <w:top w:val="nil"/>
              <w:left w:val="nil"/>
              <w:bottom w:val="single" w:sz="4" w:space="0" w:color="auto"/>
              <w:right w:val="nil"/>
            </w:tcBorders>
            <w:vAlign w:val="center"/>
          </w:tcPr>
          <w:p w14:paraId="0299AF1D" w14:textId="77777777" w:rsidR="003D50B3" w:rsidRPr="00A40C29" w:rsidRDefault="003D50B3" w:rsidP="000A65F7">
            <w:pPr>
              <w:jc w:val="center"/>
              <w:rPr>
                <w:rFonts w:asciiTheme="majorBidi" w:hAnsiTheme="majorBidi" w:cstheme="majorBidi"/>
                <w:sz w:val="18"/>
                <w:szCs w:val="18"/>
              </w:rPr>
            </w:pPr>
          </w:p>
        </w:tc>
        <w:tc>
          <w:tcPr>
            <w:tcW w:w="990" w:type="dxa"/>
            <w:tcBorders>
              <w:top w:val="single" w:sz="12" w:space="0" w:color="auto"/>
              <w:left w:val="nil"/>
              <w:bottom w:val="single" w:sz="8" w:space="0" w:color="auto"/>
              <w:right w:val="nil"/>
            </w:tcBorders>
            <w:vAlign w:val="center"/>
          </w:tcPr>
          <w:p w14:paraId="5CDFAAC6"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M</w:t>
            </w:r>
            <w:r w:rsidRPr="00A40C29">
              <w:rPr>
                <w:rFonts w:asciiTheme="majorBidi" w:hAnsiTheme="majorBidi" w:cstheme="majorBidi"/>
                <w:sz w:val="18"/>
                <w:szCs w:val="18"/>
                <w:vertAlign w:val="subscript"/>
              </w:rPr>
              <w:t>S</w:t>
            </w:r>
            <w:r w:rsidRPr="00A40C29">
              <w:rPr>
                <w:rFonts w:asciiTheme="majorBidi" w:hAnsiTheme="majorBidi" w:cstheme="majorBidi"/>
                <w:sz w:val="18"/>
                <w:szCs w:val="18"/>
              </w:rPr>
              <w:t xml:space="preserve"> modulus</w:t>
            </w:r>
          </w:p>
        </w:tc>
        <w:tc>
          <w:tcPr>
            <w:tcW w:w="1143" w:type="dxa"/>
            <w:tcBorders>
              <w:top w:val="nil"/>
              <w:left w:val="nil"/>
              <w:bottom w:val="single" w:sz="8" w:space="0" w:color="auto"/>
              <w:right w:val="nil"/>
            </w:tcBorders>
            <w:vAlign w:val="center"/>
          </w:tcPr>
          <w:p w14:paraId="0BA75377"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M</w:t>
            </w:r>
            <w:r w:rsidRPr="00A40C29">
              <w:rPr>
                <w:rFonts w:asciiTheme="majorBidi" w:hAnsiTheme="majorBidi" w:cstheme="majorBidi"/>
                <w:sz w:val="18"/>
                <w:szCs w:val="18"/>
                <w:vertAlign w:val="subscript"/>
              </w:rPr>
              <w:t>2</w:t>
            </w:r>
            <w:r w:rsidRPr="00A40C29">
              <w:rPr>
                <w:rFonts w:asciiTheme="majorBidi" w:hAnsiTheme="majorBidi" w:cstheme="majorBidi"/>
                <w:sz w:val="18"/>
                <w:szCs w:val="18"/>
              </w:rPr>
              <w:t>O content</w:t>
            </w:r>
          </w:p>
        </w:tc>
        <w:tc>
          <w:tcPr>
            <w:tcW w:w="597" w:type="dxa"/>
            <w:vMerge/>
            <w:tcBorders>
              <w:left w:val="nil"/>
              <w:bottom w:val="single" w:sz="8" w:space="0" w:color="000000"/>
              <w:right w:val="nil"/>
            </w:tcBorders>
          </w:tcPr>
          <w:p w14:paraId="2D39A511" w14:textId="77777777" w:rsidR="003D50B3" w:rsidRPr="00A40C29" w:rsidRDefault="003D50B3" w:rsidP="000A65F7">
            <w:pPr>
              <w:jc w:val="center"/>
              <w:rPr>
                <w:rFonts w:asciiTheme="majorBidi" w:hAnsiTheme="majorBidi" w:cstheme="majorBidi"/>
                <w:sz w:val="18"/>
                <w:szCs w:val="18"/>
              </w:rPr>
            </w:pPr>
          </w:p>
        </w:tc>
        <w:tc>
          <w:tcPr>
            <w:tcW w:w="571" w:type="dxa"/>
            <w:tcBorders>
              <w:top w:val="single" w:sz="12" w:space="0" w:color="auto"/>
              <w:left w:val="nil"/>
              <w:bottom w:val="single" w:sz="8" w:space="0" w:color="auto"/>
              <w:right w:val="nil"/>
            </w:tcBorders>
            <w:vAlign w:val="center"/>
          </w:tcPr>
          <w:p w14:paraId="177E56CB"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MK</w:t>
            </w:r>
          </w:p>
        </w:tc>
        <w:tc>
          <w:tcPr>
            <w:tcW w:w="1002" w:type="dxa"/>
            <w:gridSpan w:val="2"/>
            <w:tcBorders>
              <w:top w:val="single" w:sz="12" w:space="0" w:color="auto"/>
              <w:left w:val="nil"/>
              <w:bottom w:val="single" w:sz="4" w:space="0" w:color="auto"/>
              <w:right w:val="nil"/>
            </w:tcBorders>
            <w:shd w:val="clear" w:color="auto" w:fill="FFFFFF" w:themeFill="background1"/>
            <w:vAlign w:val="center"/>
          </w:tcPr>
          <w:p w14:paraId="64D46683"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UPS</w:t>
            </w:r>
          </w:p>
        </w:tc>
        <w:tc>
          <w:tcPr>
            <w:tcW w:w="709" w:type="dxa"/>
            <w:tcBorders>
              <w:top w:val="single" w:sz="12" w:space="0" w:color="auto"/>
              <w:left w:val="nil"/>
              <w:bottom w:val="single" w:sz="8" w:space="0" w:color="auto"/>
              <w:right w:val="nil"/>
            </w:tcBorders>
            <w:shd w:val="clear" w:color="auto" w:fill="FFFFFF" w:themeFill="background1"/>
            <w:vAlign w:val="center"/>
          </w:tcPr>
          <w:p w14:paraId="436D9558"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IERs</w:t>
            </w:r>
          </w:p>
        </w:tc>
        <w:tc>
          <w:tcPr>
            <w:tcW w:w="1559" w:type="dxa"/>
            <w:tcBorders>
              <w:top w:val="single" w:sz="12" w:space="0" w:color="auto"/>
              <w:left w:val="nil"/>
              <w:bottom w:val="single" w:sz="8" w:space="0" w:color="auto"/>
            </w:tcBorders>
            <w:shd w:val="clear" w:color="auto" w:fill="FFFFFF" w:themeFill="background1"/>
            <w:vAlign w:val="center"/>
          </w:tcPr>
          <w:p w14:paraId="5E071E12" w14:textId="77777777" w:rsidR="003D50B3" w:rsidRPr="00A40C29" w:rsidRDefault="003D50B3" w:rsidP="000A65F7">
            <w:pPr>
              <w:jc w:val="center"/>
              <w:rPr>
                <w:rFonts w:asciiTheme="majorBidi" w:hAnsiTheme="majorBidi" w:cstheme="majorBidi"/>
                <w:b/>
                <w:bCs/>
                <w:sz w:val="18"/>
                <w:szCs w:val="18"/>
              </w:rPr>
            </w:pPr>
            <w:r w:rsidRPr="00A40C29">
              <w:rPr>
                <w:rFonts w:asciiTheme="majorBidi" w:hAnsiTheme="majorBidi" w:cstheme="majorBidi"/>
                <w:b/>
                <w:bCs/>
                <w:sz w:val="18"/>
                <w:szCs w:val="18"/>
                <w:vertAlign w:val="superscript"/>
              </w:rPr>
              <w:t>134</w:t>
            </w:r>
            <w:r w:rsidRPr="00A40C29">
              <w:rPr>
                <w:rFonts w:asciiTheme="majorBidi" w:hAnsiTheme="majorBidi" w:cstheme="majorBidi"/>
                <w:b/>
                <w:bCs/>
                <w:sz w:val="18"/>
                <w:szCs w:val="18"/>
              </w:rPr>
              <w:t xml:space="preserve">Cs </w:t>
            </w:r>
            <w:r w:rsidRPr="00A40C29">
              <w:rPr>
                <w:rFonts w:asciiTheme="majorBidi" w:hAnsiTheme="majorBidi" w:cstheme="majorBidi"/>
                <w:sz w:val="18"/>
                <w:szCs w:val="18"/>
              </w:rPr>
              <w:t xml:space="preserve">activity, </w:t>
            </w:r>
            <w:proofErr w:type="spellStart"/>
            <w:r w:rsidRPr="00A40C29">
              <w:rPr>
                <w:rFonts w:asciiTheme="majorBidi" w:hAnsiTheme="majorBidi" w:cstheme="majorBidi"/>
                <w:sz w:val="18"/>
                <w:szCs w:val="18"/>
              </w:rPr>
              <w:t>Bq</w:t>
            </w:r>
            <w:proofErr w:type="spellEnd"/>
            <w:r w:rsidRPr="00A40C29">
              <w:rPr>
                <w:rFonts w:asciiTheme="majorBidi" w:hAnsiTheme="majorBidi" w:cstheme="majorBidi"/>
                <w:sz w:val="18"/>
                <w:szCs w:val="18"/>
              </w:rPr>
              <w:t>/Kg</w:t>
            </w:r>
          </w:p>
        </w:tc>
      </w:tr>
      <w:tr w:rsidR="003D50B3" w:rsidRPr="00985474" w14:paraId="17081B91" w14:textId="77777777" w:rsidTr="000A65F7">
        <w:trPr>
          <w:trHeight w:val="153"/>
          <w:jc w:val="center"/>
        </w:trPr>
        <w:tc>
          <w:tcPr>
            <w:tcW w:w="2214" w:type="dxa"/>
            <w:tcBorders>
              <w:top w:val="single" w:sz="4" w:space="0" w:color="auto"/>
              <w:bottom w:val="nil"/>
              <w:right w:val="nil"/>
            </w:tcBorders>
          </w:tcPr>
          <w:p w14:paraId="34BEAAFD" w14:textId="77777777" w:rsidR="003D50B3" w:rsidRPr="00A40C29" w:rsidRDefault="003D50B3" w:rsidP="000A65F7">
            <w:pPr>
              <w:rPr>
                <w:rFonts w:asciiTheme="majorBidi" w:eastAsia="Calibri" w:hAnsiTheme="majorBidi" w:cstheme="majorBidi"/>
                <w:sz w:val="18"/>
                <w:szCs w:val="18"/>
              </w:rPr>
            </w:pPr>
            <w:r w:rsidRPr="00A40C29">
              <w:rPr>
                <w:rFonts w:asciiTheme="majorBidi" w:hAnsiTheme="majorBidi" w:cstheme="majorBidi"/>
                <w:sz w:val="18"/>
                <w:szCs w:val="18"/>
              </w:rPr>
              <w:t>Control package</w:t>
            </w:r>
          </w:p>
        </w:tc>
        <w:tc>
          <w:tcPr>
            <w:tcW w:w="1705" w:type="dxa"/>
            <w:tcBorders>
              <w:top w:val="single" w:sz="4" w:space="0" w:color="auto"/>
              <w:left w:val="nil"/>
              <w:bottom w:val="nil"/>
              <w:right w:val="nil"/>
            </w:tcBorders>
            <w:vAlign w:val="center"/>
          </w:tcPr>
          <w:p w14:paraId="11B2872D" w14:textId="77777777" w:rsidR="003D50B3" w:rsidRPr="00A40C29" w:rsidRDefault="003D50B3" w:rsidP="000A65F7">
            <w:pPr>
              <w:rPr>
                <w:rFonts w:asciiTheme="majorBidi" w:eastAsia="Calibri" w:hAnsiTheme="majorBidi" w:cstheme="majorBidi"/>
                <w:sz w:val="18"/>
                <w:szCs w:val="18"/>
              </w:rPr>
            </w:pPr>
            <w:r w:rsidRPr="00A40C29">
              <w:rPr>
                <w:rFonts w:asciiTheme="majorBidi" w:eastAsia="Calibri" w:hAnsiTheme="majorBidi" w:cstheme="majorBidi"/>
                <w:sz w:val="18"/>
                <w:szCs w:val="18"/>
              </w:rPr>
              <w:t>MK/42P-0NR</w:t>
            </w:r>
          </w:p>
        </w:tc>
        <w:tc>
          <w:tcPr>
            <w:tcW w:w="990" w:type="dxa"/>
            <w:tcBorders>
              <w:top w:val="single" w:sz="8" w:space="0" w:color="auto"/>
              <w:left w:val="nil"/>
              <w:bottom w:val="nil"/>
              <w:right w:val="nil"/>
            </w:tcBorders>
          </w:tcPr>
          <w:p w14:paraId="08F885F8"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143" w:type="dxa"/>
            <w:tcBorders>
              <w:top w:val="single" w:sz="8" w:space="0" w:color="auto"/>
              <w:left w:val="nil"/>
              <w:bottom w:val="nil"/>
              <w:right w:val="nil"/>
            </w:tcBorders>
            <w:shd w:val="clear" w:color="auto" w:fill="FFFFFF" w:themeFill="background1"/>
          </w:tcPr>
          <w:p w14:paraId="41382C8C"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4.5</w:t>
            </w:r>
          </w:p>
        </w:tc>
        <w:tc>
          <w:tcPr>
            <w:tcW w:w="1461" w:type="dxa"/>
            <w:gridSpan w:val="3"/>
            <w:tcBorders>
              <w:top w:val="nil"/>
              <w:left w:val="nil"/>
              <w:bottom w:val="nil"/>
              <w:right w:val="nil"/>
            </w:tcBorders>
          </w:tcPr>
          <w:p w14:paraId="2311CC34"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58</w:t>
            </w:r>
          </w:p>
        </w:tc>
        <w:tc>
          <w:tcPr>
            <w:tcW w:w="709" w:type="dxa"/>
            <w:tcBorders>
              <w:top w:val="single" w:sz="4" w:space="0" w:color="auto"/>
              <w:left w:val="nil"/>
              <w:bottom w:val="nil"/>
              <w:right w:val="nil"/>
            </w:tcBorders>
            <w:shd w:val="clear" w:color="auto" w:fill="FFFFFF" w:themeFill="background1"/>
          </w:tcPr>
          <w:p w14:paraId="7CD3BC75" w14:textId="77777777" w:rsidR="003D50B3" w:rsidRPr="00A40C29" w:rsidRDefault="003D50B3" w:rsidP="000A65F7">
            <w:pPr>
              <w:rPr>
                <w:rFonts w:asciiTheme="majorBidi" w:hAnsiTheme="majorBidi" w:cstheme="majorBidi"/>
                <w:sz w:val="18"/>
                <w:szCs w:val="18"/>
              </w:rPr>
            </w:pPr>
            <w:r w:rsidRPr="00A40C29">
              <w:rPr>
                <w:rFonts w:asciiTheme="majorBidi" w:hAnsiTheme="majorBidi" w:cstheme="majorBidi"/>
                <w:sz w:val="18"/>
                <w:szCs w:val="18"/>
              </w:rPr>
              <w:t>42</w:t>
            </w:r>
          </w:p>
        </w:tc>
        <w:tc>
          <w:tcPr>
            <w:tcW w:w="709" w:type="dxa"/>
            <w:tcBorders>
              <w:top w:val="single" w:sz="8" w:space="0" w:color="auto"/>
              <w:left w:val="nil"/>
              <w:bottom w:val="nil"/>
              <w:right w:val="nil"/>
            </w:tcBorders>
            <w:shd w:val="clear" w:color="auto" w:fill="FFFFFF" w:themeFill="background1"/>
            <w:vAlign w:val="center"/>
          </w:tcPr>
          <w:p w14:paraId="61F1BEFA"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0</w:t>
            </w:r>
          </w:p>
        </w:tc>
        <w:tc>
          <w:tcPr>
            <w:tcW w:w="1559" w:type="dxa"/>
            <w:tcBorders>
              <w:top w:val="single" w:sz="8" w:space="0" w:color="auto"/>
              <w:left w:val="nil"/>
              <w:bottom w:val="nil"/>
              <w:right w:val="nil"/>
            </w:tcBorders>
            <w:shd w:val="clear" w:color="auto" w:fill="FFFFFF" w:themeFill="background1"/>
            <w:vAlign w:val="center"/>
          </w:tcPr>
          <w:p w14:paraId="12385B02"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0</w:t>
            </w:r>
          </w:p>
        </w:tc>
      </w:tr>
      <w:tr w:rsidR="003D50B3" w:rsidRPr="00985474" w14:paraId="6C584140" w14:textId="77777777" w:rsidTr="000A65F7">
        <w:trPr>
          <w:trHeight w:val="276"/>
          <w:jc w:val="center"/>
        </w:trPr>
        <w:tc>
          <w:tcPr>
            <w:tcW w:w="2214" w:type="dxa"/>
            <w:vMerge w:val="restart"/>
            <w:tcBorders>
              <w:top w:val="nil"/>
              <w:bottom w:val="nil"/>
              <w:right w:val="nil"/>
            </w:tcBorders>
          </w:tcPr>
          <w:p w14:paraId="2D165A3A" w14:textId="77777777" w:rsidR="003D50B3" w:rsidRPr="00A40C29" w:rsidRDefault="003D50B3" w:rsidP="000A65F7">
            <w:pPr>
              <w:rPr>
                <w:rFonts w:asciiTheme="majorBidi" w:eastAsia="Calibri" w:hAnsiTheme="majorBidi" w:cstheme="majorBidi"/>
                <w:sz w:val="18"/>
                <w:szCs w:val="18"/>
              </w:rPr>
            </w:pPr>
            <w:r w:rsidRPr="00A40C29">
              <w:rPr>
                <w:rFonts w:asciiTheme="majorBidi" w:eastAsia="Calibri" w:hAnsiTheme="majorBidi" w:cstheme="majorBidi"/>
                <w:sz w:val="18"/>
                <w:szCs w:val="18"/>
              </w:rPr>
              <w:t>Use UPS</w:t>
            </w:r>
          </w:p>
        </w:tc>
        <w:tc>
          <w:tcPr>
            <w:tcW w:w="1705" w:type="dxa"/>
            <w:tcBorders>
              <w:top w:val="nil"/>
              <w:left w:val="nil"/>
              <w:bottom w:val="nil"/>
              <w:right w:val="nil"/>
            </w:tcBorders>
            <w:vAlign w:val="center"/>
          </w:tcPr>
          <w:p w14:paraId="4D9020A9" w14:textId="77777777" w:rsidR="003D50B3" w:rsidRPr="00A40C29" w:rsidRDefault="003D50B3" w:rsidP="000A65F7">
            <w:pPr>
              <w:rPr>
                <w:rFonts w:asciiTheme="majorBidi" w:eastAsia="Calibri" w:hAnsiTheme="majorBidi" w:cstheme="majorBidi"/>
                <w:sz w:val="18"/>
                <w:szCs w:val="18"/>
              </w:rPr>
            </w:pPr>
            <w:r w:rsidRPr="00A40C29">
              <w:rPr>
                <w:rFonts w:asciiTheme="majorBidi" w:eastAsia="Calibri" w:hAnsiTheme="majorBidi" w:cstheme="majorBidi"/>
                <w:sz w:val="18"/>
                <w:szCs w:val="18"/>
              </w:rPr>
              <w:t>MK/0PS-13NR</w:t>
            </w:r>
          </w:p>
        </w:tc>
        <w:tc>
          <w:tcPr>
            <w:tcW w:w="990" w:type="dxa"/>
            <w:tcBorders>
              <w:top w:val="nil"/>
              <w:left w:val="nil"/>
              <w:bottom w:val="nil"/>
              <w:right w:val="nil"/>
            </w:tcBorders>
          </w:tcPr>
          <w:p w14:paraId="2D41D913"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143" w:type="dxa"/>
            <w:tcBorders>
              <w:top w:val="nil"/>
              <w:left w:val="nil"/>
              <w:bottom w:val="nil"/>
              <w:right w:val="nil"/>
            </w:tcBorders>
            <w:shd w:val="clear" w:color="auto" w:fill="FFFFFF" w:themeFill="background1"/>
          </w:tcPr>
          <w:p w14:paraId="52317409"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4.5</w:t>
            </w:r>
          </w:p>
        </w:tc>
        <w:tc>
          <w:tcPr>
            <w:tcW w:w="597" w:type="dxa"/>
            <w:tcBorders>
              <w:top w:val="nil"/>
              <w:left w:val="nil"/>
              <w:bottom w:val="nil"/>
              <w:right w:val="nil"/>
            </w:tcBorders>
          </w:tcPr>
          <w:p w14:paraId="4E3D57B5" w14:textId="77777777" w:rsidR="003D50B3" w:rsidRPr="00A40C29" w:rsidRDefault="003D50B3" w:rsidP="000A65F7">
            <w:pPr>
              <w:jc w:val="center"/>
              <w:rPr>
                <w:rFonts w:asciiTheme="majorBidi" w:hAnsiTheme="majorBidi" w:cstheme="majorBidi"/>
                <w:sz w:val="18"/>
                <w:szCs w:val="18"/>
              </w:rPr>
            </w:pPr>
          </w:p>
        </w:tc>
        <w:tc>
          <w:tcPr>
            <w:tcW w:w="571" w:type="dxa"/>
            <w:tcBorders>
              <w:top w:val="nil"/>
              <w:left w:val="nil"/>
              <w:bottom w:val="nil"/>
              <w:right w:val="nil"/>
            </w:tcBorders>
            <w:vAlign w:val="center"/>
          </w:tcPr>
          <w:p w14:paraId="225A9DD0"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100</w:t>
            </w:r>
          </w:p>
        </w:tc>
        <w:tc>
          <w:tcPr>
            <w:tcW w:w="1002" w:type="dxa"/>
            <w:gridSpan w:val="2"/>
            <w:tcBorders>
              <w:top w:val="nil"/>
              <w:left w:val="nil"/>
              <w:bottom w:val="nil"/>
              <w:right w:val="nil"/>
            </w:tcBorders>
            <w:shd w:val="clear" w:color="auto" w:fill="FFFFFF" w:themeFill="background1"/>
          </w:tcPr>
          <w:p w14:paraId="0964ECFD"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0</w:t>
            </w:r>
          </w:p>
        </w:tc>
        <w:tc>
          <w:tcPr>
            <w:tcW w:w="709" w:type="dxa"/>
            <w:tcBorders>
              <w:top w:val="nil"/>
              <w:left w:val="nil"/>
              <w:bottom w:val="nil"/>
              <w:right w:val="nil"/>
            </w:tcBorders>
            <w:shd w:val="clear" w:color="auto" w:fill="FFFFFF" w:themeFill="background1"/>
            <w:vAlign w:val="center"/>
          </w:tcPr>
          <w:p w14:paraId="7FE450C4"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559" w:type="dxa"/>
            <w:tcBorders>
              <w:top w:val="nil"/>
              <w:left w:val="nil"/>
              <w:bottom w:val="nil"/>
              <w:right w:val="nil"/>
            </w:tcBorders>
            <w:shd w:val="clear" w:color="auto" w:fill="FFFFFF" w:themeFill="background1"/>
            <w:vAlign w:val="center"/>
          </w:tcPr>
          <w:p w14:paraId="74FB6B82"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0</w:t>
            </w:r>
          </w:p>
        </w:tc>
      </w:tr>
      <w:tr w:rsidR="003D50B3" w:rsidRPr="00985474" w14:paraId="386D6642" w14:textId="77777777" w:rsidTr="000A65F7">
        <w:trPr>
          <w:trHeight w:val="276"/>
          <w:jc w:val="center"/>
        </w:trPr>
        <w:tc>
          <w:tcPr>
            <w:tcW w:w="2214" w:type="dxa"/>
            <w:vMerge/>
            <w:tcBorders>
              <w:top w:val="nil"/>
              <w:bottom w:val="nil"/>
              <w:right w:val="nil"/>
            </w:tcBorders>
            <w:vAlign w:val="center"/>
          </w:tcPr>
          <w:p w14:paraId="10CC2B2A" w14:textId="77777777" w:rsidR="003D50B3" w:rsidRPr="00A40C29" w:rsidRDefault="003D50B3" w:rsidP="000A65F7">
            <w:pPr>
              <w:rPr>
                <w:rFonts w:asciiTheme="majorBidi" w:eastAsia="Calibri" w:hAnsiTheme="majorBidi" w:cstheme="majorBidi"/>
                <w:sz w:val="18"/>
                <w:szCs w:val="18"/>
              </w:rPr>
            </w:pPr>
          </w:p>
        </w:tc>
        <w:tc>
          <w:tcPr>
            <w:tcW w:w="1705" w:type="dxa"/>
            <w:tcBorders>
              <w:top w:val="nil"/>
              <w:left w:val="nil"/>
              <w:bottom w:val="nil"/>
              <w:right w:val="nil"/>
            </w:tcBorders>
            <w:vAlign w:val="center"/>
          </w:tcPr>
          <w:p w14:paraId="03A0A7EE" w14:textId="77777777" w:rsidR="003D50B3" w:rsidRPr="00A40C29" w:rsidRDefault="003D50B3" w:rsidP="000A65F7">
            <w:pPr>
              <w:rPr>
                <w:rFonts w:asciiTheme="majorBidi" w:eastAsia="Calibri" w:hAnsiTheme="majorBidi" w:cstheme="majorBidi"/>
                <w:sz w:val="18"/>
                <w:szCs w:val="18"/>
              </w:rPr>
            </w:pPr>
            <w:r w:rsidRPr="00A40C29">
              <w:rPr>
                <w:rFonts w:asciiTheme="majorBidi" w:eastAsia="Calibri" w:hAnsiTheme="majorBidi" w:cstheme="majorBidi"/>
                <w:sz w:val="18"/>
                <w:szCs w:val="18"/>
              </w:rPr>
              <w:t>MK/30PS-13NR</w:t>
            </w:r>
          </w:p>
        </w:tc>
        <w:tc>
          <w:tcPr>
            <w:tcW w:w="990" w:type="dxa"/>
            <w:tcBorders>
              <w:top w:val="nil"/>
              <w:left w:val="nil"/>
              <w:bottom w:val="nil"/>
              <w:right w:val="nil"/>
            </w:tcBorders>
          </w:tcPr>
          <w:p w14:paraId="4556F561"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143" w:type="dxa"/>
            <w:tcBorders>
              <w:top w:val="nil"/>
              <w:left w:val="nil"/>
              <w:bottom w:val="nil"/>
              <w:right w:val="nil"/>
            </w:tcBorders>
            <w:shd w:val="clear" w:color="auto" w:fill="FFFFFF" w:themeFill="background1"/>
          </w:tcPr>
          <w:p w14:paraId="3410729D"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4.5</w:t>
            </w:r>
          </w:p>
        </w:tc>
        <w:tc>
          <w:tcPr>
            <w:tcW w:w="597" w:type="dxa"/>
            <w:tcBorders>
              <w:top w:val="nil"/>
              <w:left w:val="nil"/>
              <w:bottom w:val="nil"/>
              <w:right w:val="nil"/>
            </w:tcBorders>
          </w:tcPr>
          <w:p w14:paraId="7609CBD8" w14:textId="77777777" w:rsidR="003D50B3" w:rsidRPr="00A40C29" w:rsidRDefault="003D50B3" w:rsidP="000A65F7">
            <w:pPr>
              <w:jc w:val="center"/>
              <w:rPr>
                <w:rFonts w:asciiTheme="majorBidi" w:hAnsiTheme="majorBidi" w:cstheme="majorBidi"/>
                <w:sz w:val="18"/>
                <w:szCs w:val="18"/>
              </w:rPr>
            </w:pPr>
          </w:p>
        </w:tc>
        <w:tc>
          <w:tcPr>
            <w:tcW w:w="571" w:type="dxa"/>
            <w:tcBorders>
              <w:top w:val="nil"/>
              <w:left w:val="nil"/>
              <w:bottom w:val="nil"/>
              <w:right w:val="nil"/>
            </w:tcBorders>
            <w:vAlign w:val="center"/>
          </w:tcPr>
          <w:p w14:paraId="70DE235D"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70</w:t>
            </w:r>
          </w:p>
        </w:tc>
        <w:tc>
          <w:tcPr>
            <w:tcW w:w="1002" w:type="dxa"/>
            <w:gridSpan w:val="2"/>
            <w:tcBorders>
              <w:top w:val="nil"/>
              <w:left w:val="nil"/>
              <w:bottom w:val="nil"/>
              <w:right w:val="nil"/>
            </w:tcBorders>
            <w:shd w:val="clear" w:color="auto" w:fill="FFFFFF" w:themeFill="background1"/>
          </w:tcPr>
          <w:p w14:paraId="14FF9768"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30</w:t>
            </w:r>
          </w:p>
        </w:tc>
        <w:tc>
          <w:tcPr>
            <w:tcW w:w="709" w:type="dxa"/>
            <w:tcBorders>
              <w:top w:val="nil"/>
              <w:left w:val="nil"/>
              <w:bottom w:val="nil"/>
              <w:right w:val="nil"/>
            </w:tcBorders>
            <w:shd w:val="clear" w:color="auto" w:fill="FFFFFF" w:themeFill="background1"/>
            <w:vAlign w:val="center"/>
          </w:tcPr>
          <w:p w14:paraId="2C60248F"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559" w:type="dxa"/>
            <w:tcBorders>
              <w:top w:val="nil"/>
              <w:left w:val="nil"/>
              <w:bottom w:val="nil"/>
              <w:right w:val="nil"/>
            </w:tcBorders>
            <w:shd w:val="clear" w:color="auto" w:fill="FFFFFF" w:themeFill="background1"/>
            <w:vAlign w:val="center"/>
          </w:tcPr>
          <w:p w14:paraId="7F674921"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0</w:t>
            </w:r>
          </w:p>
        </w:tc>
      </w:tr>
      <w:tr w:rsidR="003D50B3" w:rsidRPr="00985474" w14:paraId="46A538C9" w14:textId="77777777" w:rsidTr="000A65F7">
        <w:trPr>
          <w:trHeight w:val="276"/>
          <w:jc w:val="center"/>
        </w:trPr>
        <w:tc>
          <w:tcPr>
            <w:tcW w:w="2214" w:type="dxa"/>
            <w:vMerge/>
            <w:tcBorders>
              <w:top w:val="nil"/>
              <w:bottom w:val="nil"/>
              <w:right w:val="nil"/>
            </w:tcBorders>
            <w:vAlign w:val="center"/>
          </w:tcPr>
          <w:p w14:paraId="57F8C1C6" w14:textId="77777777" w:rsidR="003D50B3" w:rsidRPr="00A40C29" w:rsidRDefault="003D50B3" w:rsidP="000A65F7">
            <w:pPr>
              <w:rPr>
                <w:rFonts w:asciiTheme="majorBidi" w:eastAsia="Calibri" w:hAnsiTheme="majorBidi" w:cstheme="majorBidi"/>
                <w:sz w:val="18"/>
                <w:szCs w:val="18"/>
              </w:rPr>
            </w:pPr>
          </w:p>
        </w:tc>
        <w:tc>
          <w:tcPr>
            <w:tcW w:w="1705" w:type="dxa"/>
            <w:tcBorders>
              <w:top w:val="nil"/>
              <w:left w:val="nil"/>
              <w:bottom w:val="nil"/>
              <w:right w:val="nil"/>
            </w:tcBorders>
            <w:vAlign w:val="center"/>
          </w:tcPr>
          <w:p w14:paraId="7D2EB3ED" w14:textId="77777777" w:rsidR="003D50B3" w:rsidRPr="00A40C29" w:rsidRDefault="003D50B3" w:rsidP="000A65F7">
            <w:pPr>
              <w:rPr>
                <w:rFonts w:asciiTheme="majorBidi" w:eastAsia="Calibri" w:hAnsiTheme="majorBidi" w:cstheme="majorBidi"/>
                <w:sz w:val="18"/>
                <w:szCs w:val="18"/>
              </w:rPr>
            </w:pPr>
            <w:r w:rsidRPr="00A40C29">
              <w:rPr>
                <w:rFonts w:asciiTheme="majorBidi" w:eastAsia="Calibri" w:hAnsiTheme="majorBidi" w:cstheme="majorBidi"/>
                <w:sz w:val="18"/>
                <w:szCs w:val="18"/>
              </w:rPr>
              <w:t>MK/50PS-13NR</w:t>
            </w:r>
          </w:p>
        </w:tc>
        <w:tc>
          <w:tcPr>
            <w:tcW w:w="990" w:type="dxa"/>
            <w:tcBorders>
              <w:top w:val="nil"/>
              <w:left w:val="nil"/>
              <w:bottom w:val="nil"/>
              <w:right w:val="nil"/>
            </w:tcBorders>
          </w:tcPr>
          <w:p w14:paraId="03B973A0"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143" w:type="dxa"/>
            <w:tcBorders>
              <w:top w:val="nil"/>
              <w:left w:val="nil"/>
              <w:bottom w:val="nil"/>
              <w:right w:val="nil"/>
            </w:tcBorders>
            <w:shd w:val="clear" w:color="auto" w:fill="FFFFFF" w:themeFill="background1"/>
          </w:tcPr>
          <w:p w14:paraId="7C958395"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4.5</w:t>
            </w:r>
          </w:p>
        </w:tc>
        <w:tc>
          <w:tcPr>
            <w:tcW w:w="597" w:type="dxa"/>
            <w:tcBorders>
              <w:top w:val="nil"/>
              <w:left w:val="nil"/>
              <w:bottom w:val="nil"/>
              <w:right w:val="nil"/>
            </w:tcBorders>
          </w:tcPr>
          <w:p w14:paraId="0EE5EFC1" w14:textId="77777777" w:rsidR="003D50B3" w:rsidRPr="00A40C29" w:rsidRDefault="003D50B3" w:rsidP="000A65F7">
            <w:pPr>
              <w:jc w:val="center"/>
              <w:rPr>
                <w:rFonts w:asciiTheme="majorBidi" w:hAnsiTheme="majorBidi" w:cstheme="majorBidi"/>
                <w:sz w:val="18"/>
                <w:szCs w:val="18"/>
              </w:rPr>
            </w:pPr>
          </w:p>
        </w:tc>
        <w:tc>
          <w:tcPr>
            <w:tcW w:w="571" w:type="dxa"/>
            <w:tcBorders>
              <w:top w:val="nil"/>
              <w:left w:val="nil"/>
              <w:bottom w:val="nil"/>
              <w:right w:val="nil"/>
            </w:tcBorders>
            <w:vAlign w:val="center"/>
          </w:tcPr>
          <w:p w14:paraId="262B8613"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50</w:t>
            </w:r>
          </w:p>
        </w:tc>
        <w:tc>
          <w:tcPr>
            <w:tcW w:w="1002" w:type="dxa"/>
            <w:gridSpan w:val="2"/>
            <w:tcBorders>
              <w:top w:val="nil"/>
              <w:left w:val="nil"/>
              <w:bottom w:val="nil"/>
              <w:right w:val="nil"/>
            </w:tcBorders>
            <w:shd w:val="clear" w:color="auto" w:fill="FFFFFF" w:themeFill="background1"/>
          </w:tcPr>
          <w:p w14:paraId="6EC33AE6"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50</w:t>
            </w:r>
          </w:p>
        </w:tc>
        <w:tc>
          <w:tcPr>
            <w:tcW w:w="709" w:type="dxa"/>
            <w:tcBorders>
              <w:top w:val="nil"/>
              <w:left w:val="nil"/>
              <w:bottom w:val="nil"/>
              <w:right w:val="nil"/>
            </w:tcBorders>
            <w:shd w:val="clear" w:color="auto" w:fill="FFFFFF" w:themeFill="background1"/>
            <w:vAlign w:val="center"/>
          </w:tcPr>
          <w:p w14:paraId="52B78C01"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559" w:type="dxa"/>
            <w:tcBorders>
              <w:top w:val="nil"/>
              <w:left w:val="nil"/>
              <w:bottom w:val="nil"/>
              <w:right w:val="nil"/>
            </w:tcBorders>
            <w:shd w:val="clear" w:color="auto" w:fill="FFFFFF" w:themeFill="background1"/>
            <w:vAlign w:val="center"/>
          </w:tcPr>
          <w:p w14:paraId="6682E557"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0</w:t>
            </w:r>
          </w:p>
        </w:tc>
      </w:tr>
      <w:tr w:rsidR="003D50B3" w:rsidRPr="00985474" w14:paraId="56CDCCD8" w14:textId="77777777" w:rsidTr="000A65F7">
        <w:trPr>
          <w:trHeight w:val="276"/>
          <w:jc w:val="center"/>
        </w:trPr>
        <w:tc>
          <w:tcPr>
            <w:tcW w:w="2214" w:type="dxa"/>
            <w:vMerge w:val="restart"/>
            <w:tcBorders>
              <w:top w:val="nil"/>
              <w:bottom w:val="nil"/>
              <w:right w:val="nil"/>
            </w:tcBorders>
          </w:tcPr>
          <w:p w14:paraId="4B804C5D" w14:textId="1439FDB7" w:rsidR="003D50B3" w:rsidRPr="00A40C29" w:rsidRDefault="003D50B3" w:rsidP="000A65F7">
            <w:pPr>
              <w:rPr>
                <w:rFonts w:asciiTheme="majorBidi" w:eastAsia="Calibri" w:hAnsiTheme="majorBidi" w:cstheme="majorBidi"/>
                <w:sz w:val="18"/>
                <w:szCs w:val="18"/>
              </w:rPr>
            </w:pPr>
            <w:r w:rsidRPr="00A40C29">
              <w:rPr>
                <w:rFonts w:asciiTheme="majorBidi" w:hAnsiTheme="majorBidi" w:cstheme="majorBidi"/>
                <w:sz w:val="18"/>
                <w:szCs w:val="18"/>
              </w:rPr>
              <w:t>Use of IER</w:t>
            </w:r>
            <w:r w:rsidR="00054780">
              <w:rPr>
                <w:rFonts w:asciiTheme="majorBidi" w:hAnsiTheme="majorBidi" w:cstheme="majorBidi"/>
                <w:sz w:val="18"/>
                <w:szCs w:val="18"/>
              </w:rPr>
              <w:t xml:space="preserve"> wastes</w:t>
            </w:r>
          </w:p>
        </w:tc>
        <w:tc>
          <w:tcPr>
            <w:tcW w:w="1705" w:type="dxa"/>
            <w:tcBorders>
              <w:top w:val="nil"/>
              <w:left w:val="nil"/>
              <w:bottom w:val="nil"/>
              <w:right w:val="nil"/>
            </w:tcBorders>
            <w:vAlign w:val="center"/>
          </w:tcPr>
          <w:p w14:paraId="13FE615B" w14:textId="77777777" w:rsidR="003D50B3" w:rsidRPr="00A40C29" w:rsidRDefault="003D50B3" w:rsidP="000A65F7">
            <w:pPr>
              <w:rPr>
                <w:rFonts w:asciiTheme="majorBidi" w:eastAsia="Calibri" w:hAnsiTheme="majorBidi" w:cstheme="majorBidi"/>
                <w:sz w:val="18"/>
                <w:szCs w:val="18"/>
              </w:rPr>
            </w:pPr>
            <w:r w:rsidRPr="00A40C29">
              <w:rPr>
                <w:rFonts w:asciiTheme="majorBidi" w:eastAsia="Calibri" w:hAnsiTheme="majorBidi" w:cstheme="majorBidi"/>
                <w:sz w:val="18"/>
                <w:szCs w:val="18"/>
              </w:rPr>
              <w:t>MK/42PS-9NR</w:t>
            </w:r>
          </w:p>
        </w:tc>
        <w:tc>
          <w:tcPr>
            <w:tcW w:w="990" w:type="dxa"/>
            <w:tcBorders>
              <w:top w:val="nil"/>
              <w:left w:val="nil"/>
              <w:bottom w:val="nil"/>
              <w:right w:val="nil"/>
            </w:tcBorders>
          </w:tcPr>
          <w:p w14:paraId="20E9A42C"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143" w:type="dxa"/>
            <w:tcBorders>
              <w:top w:val="nil"/>
              <w:left w:val="nil"/>
              <w:bottom w:val="nil"/>
              <w:right w:val="nil"/>
            </w:tcBorders>
            <w:shd w:val="clear" w:color="auto" w:fill="FFFFFF" w:themeFill="background1"/>
          </w:tcPr>
          <w:p w14:paraId="3E4BE3BB"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4.5</w:t>
            </w:r>
          </w:p>
        </w:tc>
        <w:tc>
          <w:tcPr>
            <w:tcW w:w="597" w:type="dxa"/>
            <w:tcBorders>
              <w:top w:val="nil"/>
              <w:left w:val="nil"/>
              <w:bottom w:val="nil"/>
              <w:right w:val="nil"/>
            </w:tcBorders>
          </w:tcPr>
          <w:p w14:paraId="006C5C2C" w14:textId="77777777" w:rsidR="003D50B3" w:rsidRPr="00A40C29" w:rsidRDefault="003D50B3" w:rsidP="000A65F7">
            <w:pPr>
              <w:jc w:val="center"/>
              <w:rPr>
                <w:rFonts w:asciiTheme="majorBidi" w:hAnsiTheme="majorBidi" w:cstheme="majorBidi"/>
                <w:sz w:val="18"/>
                <w:szCs w:val="18"/>
              </w:rPr>
            </w:pPr>
          </w:p>
        </w:tc>
        <w:tc>
          <w:tcPr>
            <w:tcW w:w="571" w:type="dxa"/>
            <w:tcBorders>
              <w:top w:val="nil"/>
              <w:left w:val="nil"/>
              <w:bottom w:val="nil"/>
              <w:right w:val="nil"/>
            </w:tcBorders>
            <w:vAlign w:val="center"/>
          </w:tcPr>
          <w:p w14:paraId="5818B24A"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58</w:t>
            </w:r>
          </w:p>
        </w:tc>
        <w:tc>
          <w:tcPr>
            <w:tcW w:w="1002" w:type="dxa"/>
            <w:gridSpan w:val="2"/>
            <w:tcBorders>
              <w:top w:val="nil"/>
              <w:left w:val="nil"/>
              <w:bottom w:val="nil"/>
              <w:right w:val="nil"/>
            </w:tcBorders>
            <w:shd w:val="clear" w:color="auto" w:fill="FFFFFF" w:themeFill="background1"/>
          </w:tcPr>
          <w:p w14:paraId="467CA477"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42</w:t>
            </w:r>
          </w:p>
        </w:tc>
        <w:tc>
          <w:tcPr>
            <w:tcW w:w="709" w:type="dxa"/>
            <w:tcBorders>
              <w:top w:val="nil"/>
              <w:left w:val="nil"/>
              <w:bottom w:val="nil"/>
              <w:right w:val="nil"/>
            </w:tcBorders>
            <w:shd w:val="clear" w:color="auto" w:fill="FFFFFF" w:themeFill="background1"/>
            <w:vAlign w:val="center"/>
          </w:tcPr>
          <w:p w14:paraId="36BE3788"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9</w:t>
            </w:r>
          </w:p>
        </w:tc>
        <w:tc>
          <w:tcPr>
            <w:tcW w:w="1559" w:type="dxa"/>
            <w:tcBorders>
              <w:top w:val="nil"/>
              <w:left w:val="nil"/>
              <w:bottom w:val="nil"/>
              <w:right w:val="nil"/>
            </w:tcBorders>
            <w:shd w:val="clear" w:color="auto" w:fill="FFFFFF" w:themeFill="background1"/>
            <w:vAlign w:val="center"/>
          </w:tcPr>
          <w:p w14:paraId="3A652F21"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0</w:t>
            </w:r>
          </w:p>
        </w:tc>
      </w:tr>
      <w:tr w:rsidR="003D50B3" w:rsidRPr="00985474" w14:paraId="7B565A2F" w14:textId="77777777" w:rsidTr="000A65F7">
        <w:trPr>
          <w:trHeight w:val="276"/>
          <w:jc w:val="center"/>
        </w:trPr>
        <w:tc>
          <w:tcPr>
            <w:tcW w:w="2214" w:type="dxa"/>
            <w:vMerge/>
            <w:tcBorders>
              <w:top w:val="nil"/>
              <w:bottom w:val="nil"/>
              <w:right w:val="nil"/>
            </w:tcBorders>
            <w:vAlign w:val="center"/>
          </w:tcPr>
          <w:p w14:paraId="30385BBA" w14:textId="77777777" w:rsidR="003D50B3" w:rsidRPr="00A40C29" w:rsidRDefault="003D50B3" w:rsidP="000A65F7">
            <w:pPr>
              <w:rPr>
                <w:rFonts w:asciiTheme="majorBidi" w:eastAsia="Calibri" w:hAnsiTheme="majorBidi" w:cstheme="majorBidi"/>
                <w:sz w:val="18"/>
                <w:szCs w:val="18"/>
              </w:rPr>
            </w:pPr>
          </w:p>
        </w:tc>
        <w:tc>
          <w:tcPr>
            <w:tcW w:w="1705" w:type="dxa"/>
            <w:tcBorders>
              <w:top w:val="nil"/>
              <w:left w:val="nil"/>
              <w:bottom w:val="nil"/>
              <w:right w:val="nil"/>
            </w:tcBorders>
            <w:vAlign w:val="center"/>
          </w:tcPr>
          <w:p w14:paraId="7D23BF90" w14:textId="77777777" w:rsidR="003D50B3" w:rsidRPr="00A40C29" w:rsidRDefault="003D50B3" w:rsidP="000A65F7">
            <w:pPr>
              <w:rPr>
                <w:rFonts w:asciiTheme="majorBidi" w:eastAsia="Calibri" w:hAnsiTheme="majorBidi" w:cstheme="majorBidi"/>
                <w:sz w:val="18"/>
                <w:szCs w:val="18"/>
              </w:rPr>
            </w:pPr>
            <w:r w:rsidRPr="00A40C29">
              <w:rPr>
                <w:rFonts w:asciiTheme="majorBidi" w:eastAsia="Calibri" w:hAnsiTheme="majorBidi" w:cstheme="majorBidi"/>
                <w:sz w:val="18"/>
                <w:szCs w:val="18"/>
              </w:rPr>
              <w:t>MK/42PS-11NR</w:t>
            </w:r>
          </w:p>
        </w:tc>
        <w:tc>
          <w:tcPr>
            <w:tcW w:w="990" w:type="dxa"/>
            <w:tcBorders>
              <w:top w:val="nil"/>
              <w:left w:val="nil"/>
              <w:bottom w:val="nil"/>
              <w:right w:val="nil"/>
            </w:tcBorders>
          </w:tcPr>
          <w:p w14:paraId="5F790513"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143" w:type="dxa"/>
            <w:tcBorders>
              <w:top w:val="nil"/>
              <w:left w:val="nil"/>
              <w:bottom w:val="nil"/>
              <w:right w:val="nil"/>
            </w:tcBorders>
            <w:shd w:val="clear" w:color="auto" w:fill="FFFFFF" w:themeFill="background1"/>
          </w:tcPr>
          <w:p w14:paraId="40C49D38"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4.5</w:t>
            </w:r>
          </w:p>
        </w:tc>
        <w:tc>
          <w:tcPr>
            <w:tcW w:w="597" w:type="dxa"/>
            <w:tcBorders>
              <w:top w:val="nil"/>
              <w:left w:val="nil"/>
              <w:bottom w:val="nil"/>
              <w:right w:val="nil"/>
            </w:tcBorders>
          </w:tcPr>
          <w:p w14:paraId="51D035B9" w14:textId="77777777" w:rsidR="003D50B3" w:rsidRPr="00A40C29" w:rsidRDefault="003D50B3" w:rsidP="000A65F7">
            <w:pPr>
              <w:jc w:val="center"/>
              <w:rPr>
                <w:rFonts w:asciiTheme="majorBidi" w:hAnsiTheme="majorBidi" w:cstheme="majorBidi"/>
                <w:sz w:val="18"/>
                <w:szCs w:val="18"/>
              </w:rPr>
            </w:pPr>
          </w:p>
        </w:tc>
        <w:tc>
          <w:tcPr>
            <w:tcW w:w="571" w:type="dxa"/>
            <w:tcBorders>
              <w:top w:val="nil"/>
              <w:left w:val="nil"/>
              <w:bottom w:val="nil"/>
              <w:right w:val="nil"/>
            </w:tcBorders>
            <w:vAlign w:val="center"/>
          </w:tcPr>
          <w:p w14:paraId="3BA9E5E1"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58</w:t>
            </w:r>
          </w:p>
        </w:tc>
        <w:tc>
          <w:tcPr>
            <w:tcW w:w="1002" w:type="dxa"/>
            <w:gridSpan w:val="2"/>
            <w:tcBorders>
              <w:top w:val="nil"/>
              <w:left w:val="nil"/>
              <w:bottom w:val="nil"/>
              <w:right w:val="nil"/>
            </w:tcBorders>
            <w:shd w:val="clear" w:color="auto" w:fill="FFFFFF" w:themeFill="background1"/>
          </w:tcPr>
          <w:p w14:paraId="7FE4C340"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42</w:t>
            </w:r>
          </w:p>
        </w:tc>
        <w:tc>
          <w:tcPr>
            <w:tcW w:w="709" w:type="dxa"/>
            <w:tcBorders>
              <w:top w:val="nil"/>
              <w:left w:val="nil"/>
              <w:bottom w:val="nil"/>
              <w:right w:val="nil"/>
            </w:tcBorders>
            <w:shd w:val="clear" w:color="auto" w:fill="FFFFFF" w:themeFill="background1"/>
            <w:vAlign w:val="center"/>
          </w:tcPr>
          <w:p w14:paraId="06235847"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11</w:t>
            </w:r>
          </w:p>
        </w:tc>
        <w:tc>
          <w:tcPr>
            <w:tcW w:w="1559" w:type="dxa"/>
            <w:tcBorders>
              <w:top w:val="nil"/>
              <w:left w:val="nil"/>
              <w:bottom w:val="nil"/>
              <w:right w:val="nil"/>
            </w:tcBorders>
            <w:shd w:val="clear" w:color="auto" w:fill="FFFFFF" w:themeFill="background1"/>
            <w:vAlign w:val="center"/>
          </w:tcPr>
          <w:p w14:paraId="14FE502C"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0</w:t>
            </w:r>
          </w:p>
        </w:tc>
      </w:tr>
      <w:tr w:rsidR="003D50B3" w:rsidRPr="00985474" w14:paraId="11E3CCEE" w14:textId="77777777" w:rsidTr="000A65F7">
        <w:trPr>
          <w:trHeight w:val="276"/>
          <w:jc w:val="center"/>
        </w:trPr>
        <w:tc>
          <w:tcPr>
            <w:tcW w:w="2214" w:type="dxa"/>
            <w:vMerge/>
            <w:tcBorders>
              <w:top w:val="nil"/>
              <w:bottom w:val="nil"/>
              <w:right w:val="nil"/>
            </w:tcBorders>
            <w:vAlign w:val="center"/>
          </w:tcPr>
          <w:p w14:paraId="3ACEB1BD" w14:textId="77777777" w:rsidR="003D50B3" w:rsidRPr="00A40C29" w:rsidRDefault="003D50B3" w:rsidP="000A65F7">
            <w:pPr>
              <w:rPr>
                <w:rFonts w:asciiTheme="majorBidi" w:eastAsia="Calibri" w:hAnsiTheme="majorBidi" w:cstheme="majorBidi"/>
                <w:sz w:val="18"/>
                <w:szCs w:val="18"/>
              </w:rPr>
            </w:pPr>
          </w:p>
        </w:tc>
        <w:tc>
          <w:tcPr>
            <w:tcW w:w="1705" w:type="dxa"/>
            <w:tcBorders>
              <w:top w:val="nil"/>
              <w:left w:val="nil"/>
              <w:bottom w:val="nil"/>
              <w:right w:val="nil"/>
            </w:tcBorders>
            <w:vAlign w:val="center"/>
          </w:tcPr>
          <w:p w14:paraId="26857275" w14:textId="77777777" w:rsidR="003D50B3" w:rsidRPr="00A40C29" w:rsidRDefault="003D50B3" w:rsidP="000A65F7">
            <w:pPr>
              <w:rPr>
                <w:rFonts w:asciiTheme="majorBidi" w:eastAsia="Calibri" w:hAnsiTheme="majorBidi" w:cstheme="majorBidi"/>
                <w:b/>
                <w:bCs/>
                <w:sz w:val="18"/>
                <w:szCs w:val="18"/>
              </w:rPr>
            </w:pPr>
            <w:r w:rsidRPr="00A40C29">
              <w:rPr>
                <w:rFonts w:asciiTheme="majorBidi" w:eastAsia="Calibri" w:hAnsiTheme="majorBidi" w:cstheme="majorBidi"/>
                <w:sz w:val="18"/>
                <w:szCs w:val="18"/>
              </w:rPr>
              <w:t>MK/42PS-15NR</w:t>
            </w:r>
          </w:p>
        </w:tc>
        <w:tc>
          <w:tcPr>
            <w:tcW w:w="990" w:type="dxa"/>
            <w:tcBorders>
              <w:top w:val="nil"/>
              <w:left w:val="nil"/>
              <w:bottom w:val="nil"/>
              <w:right w:val="nil"/>
            </w:tcBorders>
          </w:tcPr>
          <w:p w14:paraId="6884C154"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143" w:type="dxa"/>
            <w:tcBorders>
              <w:top w:val="nil"/>
              <w:left w:val="nil"/>
              <w:bottom w:val="nil"/>
              <w:right w:val="nil"/>
            </w:tcBorders>
            <w:shd w:val="clear" w:color="auto" w:fill="FFFFFF" w:themeFill="background1"/>
          </w:tcPr>
          <w:p w14:paraId="47F990A7"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4.5</w:t>
            </w:r>
          </w:p>
        </w:tc>
        <w:tc>
          <w:tcPr>
            <w:tcW w:w="597" w:type="dxa"/>
            <w:tcBorders>
              <w:top w:val="nil"/>
              <w:left w:val="nil"/>
              <w:bottom w:val="nil"/>
              <w:right w:val="nil"/>
            </w:tcBorders>
          </w:tcPr>
          <w:p w14:paraId="4C2F280A" w14:textId="77777777" w:rsidR="003D50B3" w:rsidRPr="00A40C29" w:rsidRDefault="003D50B3" w:rsidP="000A65F7">
            <w:pPr>
              <w:jc w:val="center"/>
              <w:rPr>
                <w:rFonts w:asciiTheme="majorBidi" w:hAnsiTheme="majorBidi" w:cstheme="majorBidi"/>
                <w:sz w:val="18"/>
                <w:szCs w:val="18"/>
              </w:rPr>
            </w:pPr>
          </w:p>
        </w:tc>
        <w:tc>
          <w:tcPr>
            <w:tcW w:w="571" w:type="dxa"/>
            <w:tcBorders>
              <w:top w:val="nil"/>
              <w:left w:val="nil"/>
              <w:bottom w:val="nil"/>
              <w:right w:val="nil"/>
            </w:tcBorders>
            <w:vAlign w:val="center"/>
          </w:tcPr>
          <w:p w14:paraId="481FEB83"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58</w:t>
            </w:r>
          </w:p>
        </w:tc>
        <w:tc>
          <w:tcPr>
            <w:tcW w:w="1002" w:type="dxa"/>
            <w:gridSpan w:val="2"/>
            <w:tcBorders>
              <w:top w:val="nil"/>
              <w:left w:val="nil"/>
              <w:bottom w:val="nil"/>
              <w:right w:val="nil"/>
            </w:tcBorders>
            <w:shd w:val="clear" w:color="auto" w:fill="FFFFFF" w:themeFill="background1"/>
          </w:tcPr>
          <w:p w14:paraId="0B9ADF4D"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42</w:t>
            </w:r>
          </w:p>
        </w:tc>
        <w:tc>
          <w:tcPr>
            <w:tcW w:w="709" w:type="dxa"/>
            <w:tcBorders>
              <w:top w:val="nil"/>
              <w:left w:val="nil"/>
              <w:bottom w:val="nil"/>
              <w:right w:val="nil"/>
            </w:tcBorders>
            <w:shd w:val="clear" w:color="auto" w:fill="FFFFFF" w:themeFill="background1"/>
            <w:vAlign w:val="center"/>
          </w:tcPr>
          <w:p w14:paraId="4F75573A"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15</w:t>
            </w:r>
          </w:p>
        </w:tc>
        <w:tc>
          <w:tcPr>
            <w:tcW w:w="1559" w:type="dxa"/>
            <w:tcBorders>
              <w:top w:val="nil"/>
              <w:left w:val="nil"/>
              <w:bottom w:val="nil"/>
              <w:right w:val="nil"/>
            </w:tcBorders>
            <w:shd w:val="clear" w:color="auto" w:fill="FFFFFF" w:themeFill="background1"/>
            <w:vAlign w:val="center"/>
          </w:tcPr>
          <w:p w14:paraId="63A02622"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0</w:t>
            </w:r>
          </w:p>
        </w:tc>
      </w:tr>
      <w:tr w:rsidR="003D50B3" w:rsidRPr="00985474" w14:paraId="4CA1900E" w14:textId="77777777" w:rsidTr="000A65F7">
        <w:trPr>
          <w:trHeight w:val="276"/>
          <w:jc w:val="center"/>
        </w:trPr>
        <w:tc>
          <w:tcPr>
            <w:tcW w:w="2214" w:type="dxa"/>
            <w:tcBorders>
              <w:top w:val="nil"/>
              <w:bottom w:val="nil"/>
              <w:right w:val="nil"/>
            </w:tcBorders>
            <w:vAlign w:val="center"/>
          </w:tcPr>
          <w:p w14:paraId="6B39937C" w14:textId="77777777" w:rsidR="003D50B3" w:rsidRPr="00A40C29" w:rsidRDefault="003D50B3" w:rsidP="000A65F7">
            <w:pPr>
              <w:rPr>
                <w:rFonts w:asciiTheme="majorBidi" w:eastAsia="Calibri" w:hAnsiTheme="majorBidi" w:cstheme="majorBidi"/>
                <w:sz w:val="18"/>
                <w:szCs w:val="18"/>
              </w:rPr>
            </w:pPr>
            <w:r w:rsidRPr="00A40C29">
              <w:rPr>
                <w:rFonts w:asciiTheme="majorBidi" w:eastAsia="Calibri" w:hAnsiTheme="majorBidi" w:cstheme="majorBidi"/>
                <w:sz w:val="18"/>
                <w:szCs w:val="18"/>
              </w:rPr>
              <w:t xml:space="preserve">Use </w:t>
            </w:r>
            <w:r w:rsidRPr="00A40C29">
              <w:rPr>
                <w:rFonts w:asciiTheme="majorBidi" w:eastAsia="Calibri" w:hAnsiTheme="majorBidi" w:cstheme="majorBidi"/>
                <w:sz w:val="18"/>
                <w:szCs w:val="18"/>
                <w:vertAlign w:val="superscript"/>
              </w:rPr>
              <w:t>134</w:t>
            </w:r>
            <w:r w:rsidRPr="00A40C29">
              <w:rPr>
                <w:rFonts w:asciiTheme="majorBidi" w:eastAsia="Calibri" w:hAnsiTheme="majorBidi" w:cstheme="majorBidi"/>
                <w:sz w:val="18"/>
                <w:szCs w:val="18"/>
              </w:rPr>
              <w:t>Cs</w:t>
            </w:r>
          </w:p>
        </w:tc>
        <w:tc>
          <w:tcPr>
            <w:tcW w:w="1705" w:type="dxa"/>
            <w:tcBorders>
              <w:top w:val="nil"/>
              <w:left w:val="nil"/>
              <w:bottom w:val="nil"/>
              <w:right w:val="nil"/>
            </w:tcBorders>
            <w:vAlign w:val="center"/>
          </w:tcPr>
          <w:p w14:paraId="1ADBF1C3" w14:textId="77777777" w:rsidR="003D50B3" w:rsidRPr="00A40C29" w:rsidRDefault="003D50B3" w:rsidP="000A65F7">
            <w:pPr>
              <w:rPr>
                <w:rFonts w:asciiTheme="majorBidi" w:eastAsia="Calibri" w:hAnsiTheme="majorBidi" w:cstheme="majorBidi"/>
                <w:sz w:val="18"/>
                <w:szCs w:val="18"/>
              </w:rPr>
            </w:pPr>
            <w:r w:rsidRPr="00A40C29">
              <w:rPr>
                <w:rFonts w:asciiTheme="majorBidi" w:eastAsia="Calibri" w:hAnsiTheme="majorBidi" w:cstheme="majorBidi"/>
                <w:sz w:val="18"/>
                <w:szCs w:val="18"/>
              </w:rPr>
              <w:t>MK/0PS-13RR</w:t>
            </w:r>
          </w:p>
        </w:tc>
        <w:tc>
          <w:tcPr>
            <w:tcW w:w="990" w:type="dxa"/>
            <w:tcBorders>
              <w:top w:val="nil"/>
              <w:left w:val="nil"/>
              <w:bottom w:val="nil"/>
              <w:right w:val="nil"/>
            </w:tcBorders>
          </w:tcPr>
          <w:p w14:paraId="02D6871B"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143" w:type="dxa"/>
            <w:tcBorders>
              <w:top w:val="nil"/>
              <w:left w:val="nil"/>
              <w:bottom w:val="nil"/>
              <w:right w:val="nil"/>
            </w:tcBorders>
            <w:shd w:val="clear" w:color="auto" w:fill="FFFFFF" w:themeFill="background1"/>
          </w:tcPr>
          <w:p w14:paraId="7B09D24C"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4.5</w:t>
            </w:r>
          </w:p>
        </w:tc>
        <w:tc>
          <w:tcPr>
            <w:tcW w:w="597" w:type="dxa"/>
            <w:tcBorders>
              <w:top w:val="nil"/>
              <w:left w:val="nil"/>
              <w:bottom w:val="nil"/>
              <w:right w:val="nil"/>
            </w:tcBorders>
          </w:tcPr>
          <w:p w14:paraId="42D5B65B" w14:textId="77777777" w:rsidR="003D50B3" w:rsidRPr="00A40C29" w:rsidRDefault="003D50B3" w:rsidP="000A65F7">
            <w:pPr>
              <w:jc w:val="center"/>
              <w:rPr>
                <w:rFonts w:asciiTheme="majorBidi" w:hAnsiTheme="majorBidi" w:cstheme="majorBidi"/>
                <w:sz w:val="18"/>
                <w:szCs w:val="18"/>
              </w:rPr>
            </w:pPr>
          </w:p>
        </w:tc>
        <w:tc>
          <w:tcPr>
            <w:tcW w:w="571" w:type="dxa"/>
            <w:tcBorders>
              <w:top w:val="nil"/>
              <w:left w:val="nil"/>
              <w:bottom w:val="nil"/>
              <w:right w:val="nil"/>
            </w:tcBorders>
            <w:vAlign w:val="center"/>
          </w:tcPr>
          <w:p w14:paraId="1BC19E7F"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100</w:t>
            </w:r>
          </w:p>
        </w:tc>
        <w:tc>
          <w:tcPr>
            <w:tcW w:w="1002" w:type="dxa"/>
            <w:gridSpan w:val="2"/>
            <w:tcBorders>
              <w:top w:val="nil"/>
              <w:left w:val="nil"/>
              <w:bottom w:val="nil"/>
              <w:right w:val="nil"/>
            </w:tcBorders>
            <w:shd w:val="clear" w:color="auto" w:fill="FFFFFF" w:themeFill="background1"/>
          </w:tcPr>
          <w:p w14:paraId="6DEA3504"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0</w:t>
            </w:r>
          </w:p>
        </w:tc>
        <w:tc>
          <w:tcPr>
            <w:tcW w:w="709" w:type="dxa"/>
            <w:tcBorders>
              <w:top w:val="nil"/>
              <w:left w:val="nil"/>
              <w:bottom w:val="nil"/>
              <w:right w:val="nil"/>
            </w:tcBorders>
            <w:shd w:val="clear" w:color="auto" w:fill="FFFFFF" w:themeFill="background1"/>
            <w:vAlign w:val="center"/>
          </w:tcPr>
          <w:p w14:paraId="4D00D436"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559" w:type="dxa"/>
            <w:tcBorders>
              <w:top w:val="nil"/>
              <w:left w:val="nil"/>
              <w:bottom w:val="nil"/>
              <w:right w:val="nil"/>
            </w:tcBorders>
            <w:shd w:val="clear" w:color="auto" w:fill="FFFFFF" w:themeFill="background1"/>
            <w:vAlign w:val="center"/>
          </w:tcPr>
          <w:p w14:paraId="33D9FBE7"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257.98</w:t>
            </w:r>
          </w:p>
        </w:tc>
      </w:tr>
      <w:tr w:rsidR="003D50B3" w:rsidRPr="00985474" w14:paraId="1DC3D765" w14:textId="77777777" w:rsidTr="000A65F7">
        <w:trPr>
          <w:trHeight w:val="276"/>
          <w:jc w:val="center"/>
        </w:trPr>
        <w:tc>
          <w:tcPr>
            <w:tcW w:w="2214" w:type="dxa"/>
            <w:tcBorders>
              <w:top w:val="nil"/>
              <w:bottom w:val="single" w:sz="12" w:space="0" w:color="auto"/>
              <w:right w:val="nil"/>
            </w:tcBorders>
            <w:vAlign w:val="center"/>
          </w:tcPr>
          <w:p w14:paraId="6D203955" w14:textId="77777777" w:rsidR="003D50B3" w:rsidRPr="00A40C29" w:rsidRDefault="003D50B3" w:rsidP="000A65F7">
            <w:pPr>
              <w:jc w:val="center"/>
              <w:rPr>
                <w:rFonts w:asciiTheme="majorBidi" w:eastAsia="Calibri" w:hAnsiTheme="majorBidi" w:cstheme="majorBidi"/>
                <w:sz w:val="18"/>
                <w:szCs w:val="18"/>
              </w:rPr>
            </w:pPr>
          </w:p>
        </w:tc>
        <w:tc>
          <w:tcPr>
            <w:tcW w:w="1705" w:type="dxa"/>
            <w:tcBorders>
              <w:top w:val="nil"/>
              <w:left w:val="nil"/>
              <w:bottom w:val="single" w:sz="12" w:space="0" w:color="auto"/>
              <w:right w:val="nil"/>
            </w:tcBorders>
            <w:vAlign w:val="center"/>
          </w:tcPr>
          <w:p w14:paraId="08446054" w14:textId="77777777" w:rsidR="003D50B3" w:rsidRPr="00A40C29" w:rsidRDefault="003D50B3" w:rsidP="000A65F7">
            <w:pPr>
              <w:rPr>
                <w:rFonts w:asciiTheme="majorBidi" w:eastAsia="Calibri" w:hAnsiTheme="majorBidi" w:cstheme="majorBidi"/>
                <w:sz w:val="18"/>
                <w:szCs w:val="18"/>
              </w:rPr>
            </w:pPr>
            <w:r w:rsidRPr="00A40C29">
              <w:rPr>
                <w:rFonts w:asciiTheme="majorBidi" w:eastAsia="Calibri" w:hAnsiTheme="majorBidi" w:cstheme="majorBidi"/>
                <w:sz w:val="18"/>
                <w:szCs w:val="18"/>
              </w:rPr>
              <w:t>MK/42PS-13RR</w:t>
            </w:r>
          </w:p>
        </w:tc>
        <w:tc>
          <w:tcPr>
            <w:tcW w:w="990" w:type="dxa"/>
            <w:tcBorders>
              <w:top w:val="nil"/>
              <w:left w:val="nil"/>
              <w:bottom w:val="single" w:sz="12" w:space="0" w:color="auto"/>
              <w:right w:val="nil"/>
            </w:tcBorders>
          </w:tcPr>
          <w:p w14:paraId="4230201A"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143" w:type="dxa"/>
            <w:tcBorders>
              <w:top w:val="nil"/>
              <w:left w:val="nil"/>
              <w:bottom w:val="single" w:sz="12" w:space="0" w:color="auto"/>
              <w:right w:val="nil"/>
            </w:tcBorders>
            <w:shd w:val="clear" w:color="auto" w:fill="FFFFFF" w:themeFill="background1"/>
          </w:tcPr>
          <w:p w14:paraId="4B4C5804"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4.5</w:t>
            </w:r>
          </w:p>
        </w:tc>
        <w:tc>
          <w:tcPr>
            <w:tcW w:w="597" w:type="dxa"/>
            <w:tcBorders>
              <w:top w:val="nil"/>
              <w:left w:val="nil"/>
              <w:bottom w:val="single" w:sz="12" w:space="0" w:color="auto"/>
              <w:right w:val="nil"/>
            </w:tcBorders>
          </w:tcPr>
          <w:p w14:paraId="4AD971BC" w14:textId="77777777" w:rsidR="003D50B3" w:rsidRPr="00A40C29" w:rsidRDefault="003D50B3" w:rsidP="000A65F7">
            <w:pPr>
              <w:jc w:val="center"/>
              <w:rPr>
                <w:rFonts w:asciiTheme="majorBidi" w:hAnsiTheme="majorBidi" w:cstheme="majorBidi"/>
                <w:sz w:val="18"/>
                <w:szCs w:val="18"/>
              </w:rPr>
            </w:pPr>
          </w:p>
        </w:tc>
        <w:tc>
          <w:tcPr>
            <w:tcW w:w="571" w:type="dxa"/>
            <w:tcBorders>
              <w:top w:val="nil"/>
              <w:left w:val="nil"/>
              <w:bottom w:val="single" w:sz="12" w:space="0" w:color="auto"/>
              <w:right w:val="nil"/>
            </w:tcBorders>
            <w:vAlign w:val="center"/>
          </w:tcPr>
          <w:p w14:paraId="12ED22CD"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58</w:t>
            </w:r>
          </w:p>
        </w:tc>
        <w:tc>
          <w:tcPr>
            <w:tcW w:w="1002" w:type="dxa"/>
            <w:gridSpan w:val="2"/>
            <w:tcBorders>
              <w:top w:val="nil"/>
              <w:left w:val="nil"/>
              <w:bottom w:val="single" w:sz="12" w:space="0" w:color="auto"/>
              <w:right w:val="nil"/>
            </w:tcBorders>
            <w:shd w:val="clear" w:color="auto" w:fill="FFFFFF" w:themeFill="background1"/>
          </w:tcPr>
          <w:p w14:paraId="2E5CBC5C"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42</w:t>
            </w:r>
          </w:p>
        </w:tc>
        <w:tc>
          <w:tcPr>
            <w:tcW w:w="709" w:type="dxa"/>
            <w:tcBorders>
              <w:top w:val="nil"/>
              <w:left w:val="nil"/>
              <w:bottom w:val="single" w:sz="12" w:space="0" w:color="auto"/>
              <w:right w:val="nil"/>
            </w:tcBorders>
            <w:shd w:val="clear" w:color="auto" w:fill="FFFFFF" w:themeFill="background1"/>
            <w:vAlign w:val="center"/>
          </w:tcPr>
          <w:p w14:paraId="36B2DD81"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13</w:t>
            </w:r>
          </w:p>
        </w:tc>
        <w:tc>
          <w:tcPr>
            <w:tcW w:w="1559" w:type="dxa"/>
            <w:tcBorders>
              <w:top w:val="nil"/>
              <w:left w:val="nil"/>
              <w:bottom w:val="single" w:sz="12" w:space="0" w:color="auto"/>
              <w:right w:val="nil"/>
            </w:tcBorders>
            <w:shd w:val="clear" w:color="auto" w:fill="FFFFFF" w:themeFill="background1"/>
            <w:vAlign w:val="center"/>
          </w:tcPr>
          <w:p w14:paraId="06E86DAA" w14:textId="77777777" w:rsidR="003D50B3" w:rsidRPr="00A40C29" w:rsidRDefault="003D50B3" w:rsidP="000A65F7">
            <w:pPr>
              <w:jc w:val="center"/>
              <w:rPr>
                <w:rFonts w:asciiTheme="majorBidi" w:hAnsiTheme="majorBidi" w:cstheme="majorBidi"/>
                <w:sz w:val="18"/>
                <w:szCs w:val="18"/>
              </w:rPr>
            </w:pPr>
            <w:r w:rsidRPr="00A40C29">
              <w:rPr>
                <w:rFonts w:asciiTheme="majorBidi" w:hAnsiTheme="majorBidi" w:cstheme="majorBidi"/>
                <w:sz w:val="18"/>
                <w:szCs w:val="18"/>
              </w:rPr>
              <w:t>257.98</w:t>
            </w:r>
          </w:p>
        </w:tc>
      </w:tr>
    </w:tbl>
    <w:p w14:paraId="381B71E2" w14:textId="692A8EA1" w:rsidR="00A40C29" w:rsidRDefault="00A40C29" w:rsidP="00A40C29">
      <w:pPr>
        <w:pStyle w:val="Htxt"/>
        <w:ind w:left="-142" w:hanging="142"/>
        <w:jc w:val="left"/>
        <w:rPr>
          <w:sz w:val="20"/>
          <w:szCs w:val="20"/>
        </w:rPr>
      </w:pPr>
      <w:r w:rsidRPr="00E97626">
        <w:rPr>
          <w:sz w:val="20"/>
          <w:szCs w:val="20"/>
        </w:rPr>
        <w:t>MK=Metakaolin; UPS=Un-calcined phosphate sludge; NR=Non-radioactive Resins; RR= Radioactive Resins.</w:t>
      </w:r>
    </w:p>
    <w:p w14:paraId="20AEAD67" w14:textId="70E11948" w:rsidR="003B517E" w:rsidRPr="003B517E" w:rsidRDefault="003B517E" w:rsidP="003B517E">
      <w:pPr>
        <w:pStyle w:val="Titre3"/>
        <w:rPr>
          <w:i/>
          <w:iCs/>
        </w:rPr>
      </w:pPr>
      <w:r w:rsidRPr="003B517E">
        <w:t>Characteristics of geopolymer</w:t>
      </w:r>
      <w:r w:rsidR="000A279B">
        <w:t xml:space="preserve"> packages</w:t>
      </w:r>
    </w:p>
    <w:p w14:paraId="05B8505A" w14:textId="390BF964" w:rsidR="00254A77" w:rsidRDefault="00254A77" w:rsidP="000A279B">
      <w:pPr>
        <w:pStyle w:val="Titre4"/>
        <w:ind w:left="0"/>
      </w:pPr>
      <w:r>
        <w:t>Chemical stability</w:t>
      </w:r>
    </w:p>
    <w:p w14:paraId="25BCFE1E" w14:textId="16C9B60F" w:rsidR="00A40C29" w:rsidRDefault="00A40C29" w:rsidP="00554B32">
      <w:pPr>
        <w:spacing w:line="276" w:lineRule="auto"/>
        <w:ind w:firstLine="567"/>
        <w:jc w:val="both"/>
        <w:rPr>
          <w:sz w:val="20"/>
        </w:rPr>
      </w:pPr>
      <w:r w:rsidRPr="00A40C29">
        <w:rPr>
          <w:sz w:val="20"/>
        </w:rPr>
        <w:t>After curing for 28 days, IERs contained geopolymer package were immersed in deionized water (DI) with 1.5 µS/cm electric conductivity in sealed polyethylene bottles in an indoor ambient environment for 60 days. The volume of de-ionized (DI) water was 10 times the surface area of the package. After immersion, the packages were subjected to compressive strength tests.</w:t>
      </w:r>
    </w:p>
    <w:p w14:paraId="655100FC" w14:textId="77777777" w:rsidR="003B517E" w:rsidRPr="000A279B" w:rsidRDefault="003B517E" w:rsidP="000A279B">
      <w:pPr>
        <w:pStyle w:val="Titre4"/>
        <w:ind w:left="0"/>
      </w:pPr>
      <w:r w:rsidRPr="003B517E">
        <w:t>Compressive strength test</w:t>
      </w:r>
    </w:p>
    <w:p w14:paraId="535A0DED" w14:textId="0B7DC2D0" w:rsidR="003B517E" w:rsidRPr="00BA31CF" w:rsidRDefault="003B517E" w:rsidP="00554B32">
      <w:pPr>
        <w:spacing w:line="276" w:lineRule="auto"/>
        <w:ind w:firstLine="567"/>
        <w:jc w:val="both"/>
        <w:rPr>
          <w:sz w:val="20"/>
        </w:rPr>
      </w:pPr>
      <w:r w:rsidRPr="00BA31CF">
        <w:rPr>
          <w:sz w:val="20"/>
        </w:rPr>
        <w:t xml:space="preserve">After </w:t>
      </w:r>
      <w:r w:rsidR="00BA31CF" w:rsidRPr="00BA31CF">
        <w:rPr>
          <w:sz w:val="20"/>
        </w:rPr>
        <w:t>7-</w:t>
      </w:r>
      <w:r w:rsidRPr="00BA31CF">
        <w:rPr>
          <w:sz w:val="20"/>
        </w:rPr>
        <w:t xml:space="preserve">28 days curing, the </w:t>
      </w:r>
      <w:r w:rsidR="00BA31CF" w:rsidRPr="00BA31CF">
        <w:rPr>
          <w:sz w:val="20"/>
        </w:rPr>
        <w:t>package</w:t>
      </w:r>
      <w:r w:rsidRPr="00BA31CF">
        <w:rPr>
          <w:sz w:val="20"/>
        </w:rPr>
        <w:t xml:space="preserve"> compressive strength measurements were </w:t>
      </w:r>
      <w:r w:rsidR="00BA31CF" w:rsidRPr="00BA31CF">
        <w:rPr>
          <w:sz w:val="20"/>
        </w:rPr>
        <w:t xml:space="preserve">recorded using </w:t>
      </w:r>
      <w:r w:rsidRPr="00BA31CF">
        <w:rPr>
          <w:sz w:val="20"/>
        </w:rPr>
        <w:t xml:space="preserve">a compressive machine </w:t>
      </w:r>
      <w:r w:rsidR="00BA31CF" w:rsidRPr="00BA31CF">
        <w:rPr>
          <w:sz w:val="20"/>
        </w:rPr>
        <w:t>(brand press Carver brand model (4350.L), S/N (4350-362).</w:t>
      </w:r>
    </w:p>
    <w:p w14:paraId="53748F58" w14:textId="3022E07C" w:rsidR="00254A77" w:rsidRPr="000A279B" w:rsidRDefault="00254A77" w:rsidP="000A279B">
      <w:pPr>
        <w:pStyle w:val="Titre4"/>
        <w:ind w:left="0"/>
      </w:pPr>
      <w:r w:rsidRPr="000A279B">
        <w:t>Leaching tests</w:t>
      </w:r>
    </w:p>
    <w:p w14:paraId="53E16143" w14:textId="384C9458" w:rsidR="00A40C29" w:rsidRPr="00554B32" w:rsidRDefault="00A40C29" w:rsidP="00FE0F4C">
      <w:pPr>
        <w:tabs>
          <w:tab w:val="left" w:pos="709"/>
        </w:tabs>
        <w:spacing w:line="276" w:lineRule="auto"/>
        <w:ind w:firstLine="567"/>
        <w:jc w:val="both"/>
        <w:rPr>
          <w:rFonts w:asciiTheme="majorBidi" w:hAnsiTheme="majorBidi" w:cstheme="majorBidi"/>
          <w:sz w:val="20"/>
        </w:rPr>
      </w:pPr>
      <w:r w:rsidRPr="00554B32">
        <w:rPr>
          <w:rFonts w:asciiTheme="majorBidi" w:hAnsiTheme="majorBidi" w:cstheme="majorBidi"/>
          <w:sz w:val="20"/>
        </w:rPr>
        <w:t xml:space="preserve">If the elaborated geopolymer of IERs is to be accepted as a stable and suitable package for eventual disposal it is essential to show that it prevents the flow of radionuclide elements into the biosphere. The most frequently used leaching method was the Toxicity Characteristic Leaching Procedure (TCLP), as a standard toxic leaching method, which is used to test dissolution and migratory aptitude of radioactive wastes in waste packages </w:t>
      </w:r>
      <w:r w:rsidRPr="00554B32">
        <w:rPr>
          <w:rFonts w:asciiTheme="majorBidi" w:hAnsiTheme="majorBidi" w:cstheme="majorBidi"/>
          <w:sz w:val="20"/>
        </w:rPr>
        <w:fldChar w:fldCharType="begin"/>
      </w:r>
      <w:r w:rsidR="00FE0F4C">
        <w:rPr>
          <w:rFonts w:asciiTheme="majorBidi" w:hAnsiTheme="majorBidi" w:cstheme="majorBidi"/>
          <w:sz w:val="20"/>
        </w:rPr>
        <w:instrText xml:space="preserve"> ADDIN ZOTERO_ITEM CSL_CITATION {"citationID":"atof8oc8k7","properties":{"formattedCitation":"[14]","plainCitation":"[14]","noteIndex":0},"citationItems":[{"id":493,"uris":["http://zotero.org/users/local/K2uxjuux/items/VJR6J7VP"],"uri":["http://zotero.org/users/local/K2uxjuux/items/VJR6J7VP"],"itemData":{"id":493,"type":"article-journal","container-title":"Journal of Hazardous Materials","DOI":"10.1016/j.jhazmat.2006.11.030","ISSN":"03043894","issue":"3","journalAbbreviation":"Journal of Hazardous Materials","language":"en","page":"372-380","source":"DOI.org (Crossref)","title":"Modeling the long-term leaching behavior of 137Cs, 60Co, and 152,154Eu radionuclides from cement–clay matrices","volume":"145","author":[{"family":"Abdelrahman","given":"R"},{"family":"Zaki","given":"A"},{"family":"Elkamash","given":"A"}],"issued":{"date-parts":[["2007",7,16]]}}}],"schema":"https://github.com/citation-style-language/schema/raw/master/csl-citation.json"} </w:instrText>
      </w:r>
      <w:r w:rsidRPr="00554B32">
        <w:rPr>
          <w:rFonts w:asciiTheme="majorBidi" w:hAnsiTheme="majorBidi" w:cstheme="majorBidi"/>
          <w:sz w:val="20"/>
        </w:rPr>
        <w:fldChar w:fldCharType="separate"/>
      </w:r>
      <w:r w:rsidR="00FE0F4C" w:rsidRPr="00FE0F4C">
        <w:rPr>
          <w:sz w:val="20"/>
        </w:rPr>
        <w:t>[14]</w:t>
      </w:r>
      <w:r w:rsidRPr="00554B32">
        <w:rPr>
          <w:rFonts w:asciiTheme="majorBidi" w:hAnsiTheme="majorBidi" w:cstheme="majorBidi"/>
          <w:sz w:val="20"/>
        </w:rPr>
        <w:fldChar w:fldCharType="end"/>
      </w:r>
      <w:r w:rsidRPr="00554B32">
        <w:rPr>
          <w:rFonts w:asciiTheme="majorBidi" w:hAnsiTheme="majorBidi" w:cstheme="majorBidi"/>
          <w:sz w:val="20"/>
        </w:rPr>
        <w:t>, and it can be used for simulation of extreme environment solutions.</w:t>
      </w:r>
    </w:p>
    <w:p w14:paraId="085D2D9F" w14:textId="5851D0F7" w:rsidR="00A40C29" w:rsidRPr="00554B32" w:rsidRDefault="00A40C29" w:rsidP="00FE0F4C">
      <w:pPr>
        <w:tabs>
          <w:tab w:val="left" w:pos="709"/>
        </w:tabs>
        <w:spacing w:line="276" w:lineRule="auto"/>
        <w:ind w:firstLine="284"/>
        <w:jc w:val="both"/>
        <w:rPr>
          <w:rFonts w:asciiTheme="majorBidi" w:hAnsiTheme="majorBidi" w:cstheme="majorBidi"/>
          <w:sz w:val="20"/>
        </w:rPr>
      </w:pPr>
      <w:r w:rsidRPr="00554B32">
        <w:rPr>
          <w:rFonts w:asciiTheme="majorBidi" w:hAnsiTheme="majorBidi" w:cstheme="majorBidi"/>
          <w:sz w:val="20"/>
        </w:rPr>
        <w:t xml:space="preserve">To demonstrate this purpose, leaching of </w:t>
      </w:r>
      <w:r w:rsidRPr="00554B32">
        <w:rPr>
          <w:rFonts w:asciiTheme="majorBidi" w:hAnsiTheme="majorBidi" w:cstheme="majorBidi"/>
          <w:sz w:val="20"/>
          <w:vertAlign w:val="superscript"/>
        </w:rPr>
        <w:t>134</w:t>
      </w:r>
      <w:r w:rsidRPr="00554B32">
        <w:rPr>
          <w:rFonts w:asciiTheme="majorBidi" w:hAnsiTheme="majorBidi" w:cstheme="majorBidi"/>
          <w:sz w:val="20"/>
        </w:rPr>
        <w:t xml:space="preserve">Cs, from the examined geopolymer packages into water solution, was performed by the IAEA standard static leaching test </w:t>
      </w:r>
      <w:r w:rsidRPr="00554B32">
        <w:rPr>
          <w:rFonts w:asciiTheme="majorBidi" w:hAnsiTheme="majorBidi" w:cstheme="majorBidi"/>
          <w:sz w:val="20"/>
        </w:rPr>
        <w:fldChar w:fldCharType="begin"/>
      </w:r>
      <w:r w:rsidR="00FE0F4C">
        <w:rPr>
          <w:rFonts w:asciiTheme="majorBidi" w:hAnsiTheme="majorBidi" w:cstheme="majorBidi"/>
          <w:sz w:val="20"/>
        </w:rPr>
        <w:instrText xml:space="preserve"> ADDIN ZOTERO_ITEM CSL_CITATION {"citationID":"KDFkz7eh","properties":{"formattedCitation":"[15]","plainCitation":"[15]","noteIndex":0},"citationItems":[{"id":695,"uris":["http://zotero.org/users/local/K2uxjuux/items/7NQ8M234"],"uri":["http://zotero.org/users/local/K2uxjuux/items/7NQ8M234"],"itemData":{"id":695,"type":"article-journal","container-title":"Journal of Nuclear Materials","DOI":"10.1016/j.jnucmat.2004.02.001","ISSN":"00223115","issue":"2-3","journalAbbreviation":"Journal of Nuclear Materials","language":"en","page":"171-174","source":"DOI.org (Crossref)","title":"Leaching behavior of 60Co and 137Cs from spent ion exchange resins in cement–bentonite clay matrix","volume":"327","author":[{"family":"Plecas","given":"Ilija"},{"family":"Pavlovic","given":"Radojko"},{"family":"Pavlovic","given":"Snezana"}],"issued":{"date-parts":[["2004",5]]}}}],"schema":"https://github.com/citation-style-language/schema/raw/master/csl-citation.json"} </w:instrText>
      </w:r>
      <w:r w:rsidRPr="00554B32">
        <w:rPr>
          <w:rFonts w:asciiTheme="majorBidi" w:hAnsiTheme="majorBidi" w:cstheme="majorBidi"/>
          <w:sz w:val="20"/>
        </w:rPr>
        <w:fldChar w:fldCharType="separate"/>
      </w:r>
      <w:r w:rsidR="00FE0F4C" w:rsidRPr="00FE0F4C">
        <w:rPr>
          <w:sz w:val="20"/>
        </w:rPr>
        <w:t>[15]</w:t>
      </w:r>
      <w:r w:rsidRPr="00554B32">
        <w:rPr>
          <w:rFonts w:asciiTheme="majorBidi" w:hAnsiTheme="majorBidi" w:cstheme="majorBidi"/>
          <w:sz w:val="20"/>
        </w:rPr>
        <w:fldChar w:fldCharType="end"/>
      </w:r>
      <w:r w:rsidRPr="00554B32">
        <w:rPr>
          <w:rFonts w:asciiTheme="majorBidi" w:hAnsiTheme="majorBidi" w:cstheme="majorBidi"/>
          <w:sz w:val="20"/>
        </w:rPr>
        <w:t xml:space="preserve">. The cylindrical monolith sample (42Ø×86 mm) was placed into the </w:t>
      </w:r>
      <w:r w:rsidR="001C7794" w:rsidRPr="00554B32">
        <w:rPr>
          <w:rFonts w:asciiTheme="majorBidi" w:hAnsiTheme="majorBidi" w:cstheme="majorBidi"/>
          <w:sz w:val="20"/>
        </w:rPr>
        <w:t>centre</w:t>
      </w:r>
      <w:r w:rsidRPr="00554B32">
        <w:rPr>
          <w:rFonts w:asciiTheme="majorBidi" w:hAnsiTheme="majorBidi" w:cstheme="majorBidi"/>
          <w:sz w:val="20"/>
        </w:rPr>
        <w:t xml:space="preserve"> of a leaching vessel and mixed with DI water to maintain a solid-to-solution ratio of 10 ±1 mL of eluant per cm</w:t>
      </w:r>
      <w:r w:rsidRPr="00554B32">
        <w:rPr>
          <w:rFonts w:asciiTheme="majorBidi" w:hAnsiTheme="majorBidi" w:cstheme="majorBidi"/>
          <w:sz w:val="20"/>
          <w:vertAlign w:val="superscript"/>
        </w:rPr>
        <w:t>2</w:t>
      </w:r>
      <w:r w:rsidRPr="00554B32">
        <w:rPr>
          <w:rFonts w:asciiTheme="majorBidi" w:hAnsiTheme="majorBidi" w:cstheme="majorBidi"/>
          <w:sz w:val="20"/>
        </w:rPr>
        <w:t xml:space="preserve"> of sample. To track the</w:t>
      </w:r>
      <w:r w:rsidRPr="00554B32">
        <w:rPr>
          <w:rFonts w:asciiTheme="majorBidi" w:hAnsiTheme="majorBidi" w:cstheme="majorBidi"/>
          <w:sz w:val="20"/>
          <w:vertAlign w:val="superscript"/>
        </w:rPr>
        <w:t xml:space="preserve"> 134</w:t>
      </w:r>
      <w:r w:rsidRPr="00554B32">
        <w:rPr>
          <w:rFonts w:asciiTheme="majorBidi" w:hAnsiTheme="majorBidi" w:cstheme="majorBidi"/>
          <w:sz w:val="20"/>
        </w:rPr>
        <w:t xml:space="preserve"> C</w:t>
      </w:r>
      <w:r w:rsidRPr="00554B32">
        <w:rPr>
          <w:rFonts w:asciiTheme="majorBidi" w:hAnsiTheme="majorBidi" w:cstheme="majorBidi"/>
          <w:sz w:val="20"/>
          <w:vertAlign w:val="subscript"/>
        </w:rPr>
        <w:t>S</w:t>
      </w:r>
      <w:r w:rsidRPr="00554B32">
        <w:rPr>
          <w:rFonts w:asciiTheme="majorBidi" w:hAnsiTheme="majorBidi" w:cstheme="majorBidi"/>
          <w:sz w:val="20"/>
        </w:rPr>
        <w:t xml:space="preserve"> leaching rate (R</w:t>
      </w:r>
      <w:r w:rsidRPr="00554B32">
        <w:rPr>
          <w:rFonts w:asciiTheme="majorBidi" w:hAnsiTheme="majorBidi" w:cstheme="majorBidi"/>
          <w:sz w:val="20"/>
          <w:vertAlign w:val="subscript"/>
        </w:rPr>
        <w:t>i</w:t>
      </w:r>
      <w:r w:rsidRPr="00554B32">
        <w:rPr>
          <w:rFonts w:asciiTheme="majorBidi" w:hAnsiTheme="majorBidi" w:cstheme="majorBidi"/>
          <w:sz w:val="20"/>
        </w:rPr>
        <w:t xml:space="preserve">), the </w:t>
      </w:r>
      <w:proofErr w:type="spellStart"/>
      <w:r w:rsidRPr="00554B32">
        <w:rPr>
          <w:rFonts w:asciiTheme="majorBidi" w:hAnsiTheme="majorBidi" w:cstheme="majorBidi"/>
          <w:sz w:val="20"/>
        </w:rPr>
        <w:t>leachants</w:t>
      </w:r>
      <w:proofErr w:type="spellEnd"/>
      <w:r w:rsidRPr="00554B32">
        <w:rPr>
          <w:rFonts w:asciiTheme="majorBidi" w:hAnsiTheme="majorBidi" w:cstheme="majorBidi"/>
          <w:sz w:val="20"/>
        </w:rPr>
        <w:t xml:space="preserve"> were replaced and analysed for radioactivity after 1d, 3d, 7d, 14d, 21d, 30d and 50d of immersion at ambient temperature. Leachates were analysed by gamma-ray spectrometry to calculate the leaching rate (Ri) which was calculated according to the following </w:t>
      </w:r>
      <w:r w:rsidRPr="00554B32">
        <w:rPr>
          <w:rFonts w:asciiTheme="majorBidi" w:hAnsiTheme="majorBidi" w:cstheme="majorBidi"/>
          <w:b/>
          <w:bCs/>
          <w:sz w:val="20"/>
        </w:rPr>
        <w:t>Eq. (1)</w:t>
      </w:r>
      <w:r w:rsidRPr="00554B32">
        <w:rPr>
          <w:rFonts w:asciiTheme="majorBidi" w:hAnsiTheme="majorBidi" w:cstheme="majorBidi"/>
          <w:sz w:val="20"/>
        </w:rPr>
        <w:t xml:space="preserve"> </w:t>
      </w:r>
      <w:r w:rsidRPr="00554B32">
        <w:rPr>
          <w:rFonts w:asciiTheme="majorBidi" w:hAnsiTheme="majorBidi" w:cstheme="majorBidi"/>
          <w:sz w:val="20"/>
        </w:rPr>
        <w:fldChar w:fldCharType="begin"/>
      </w:r>
      <w:r w:rsidR="00FE0F4C">
        <w:rPr>
          <w:rFonts w:asciiTheme="majorBidi" w:hAnsiTheme="majorBidi" w:cstheme="majorBidi"/>
          <w:sz w:val="20"/>
        </w:rPr>
        <w:instrText xml:space="preserve"> ADDIN ZOTERO_ITEM CSL_CITATION {"citationID":"9HcORcWo","properties":{"formattedCitation":"[15\\uc0\\u8211{}17]","plainCitation":"[15–17]","noteIndex":0},"citationItems":[{"id":391,"uris":["http://zotero.org/users/local/K2uxjuux/items/SIZD4FM4"],"uri":["http://zotero.org/users/local/K2uxjuux/items/SIZD4FM4"],"itemData":{"id":391,"type":"article-journal","container-title":"International Journal of Environmental Science and Technology","DOI":"10.1007/s13762-016-1203-0","ISSN":"1735-1472, 1735-2630","issue":"5","journalAbbreviation":"Int. J. Environ. Sci. Technol.","language":"en","page":"1019-1026","source":"DOI.org (Crossref)","title":"Leaching study of cesium from spent ion-exchange resins and Portland cement package","volume":"14","author":[{"family":"Faiz","given":"Z."},{"family":"Fakhi","given":"S."},{"family":"Bouih","given":"A."},{"family":"Outayad","given":"R."},{"family":"Benkdad","given":"A."},{"family":"Hannache","given":"H."}],"issued":{"date-parts":[["2017",5]]}}},{"id":685,"uris":["http://zotero.org/users/local/K2uxjuux/items/4HDKK9PG"],"uri":["http://zotero.org/users/local/K2uxjuux/items/4HDKK9PG"],"itemData":{"id":685,"type":"article-journal","container-title":"Progress in Nuclear Energy","DOI":"10.1016/j.pnucene.2006.07.006","ISSN":"01491970","issue":"1","journalAbbreviation":"Progress in Nuclear Energy","language":"en","page":"20-26","source":"DOI.org (Crossref)","title":"Progress in cementation of reactor resins","volume":"49","author":[{"family":"Osmanlioglu","given":"Ahmet Erdal"}],"issued":{"date-parts":[["2007",1]]}}},{"id":695,"uris":["http://zotero.org/users/local/K2uxjuux/items/7NQ8M234"],"uri":["http://zotero.org/users/local/K2uxjuux/items/7NQ8M234"],"itemData":{"id":695,"type":"article-journal","container-title":"Journal of Nuclear Materials","DOI":"10.1016/j.jnucmat.2004.02.001","ISSN":"00223115","issue":"2-3","journalAbbreviation":"Journal of Nuclear Materials","language":"en","page":"171-174","source":"DOI.org (Crossref)","title":"Leaching behavior of 60Co and 137Cs from spent ion exchange resins in cement–bentonite clay matrix","volume":"327","author":[{"family":"Plecas","given":"Ilija"},{"family":"Pavlovic","given":"Radojko"},{"family":"Pavlovic","given":"Snezana"}],"issued":{"date-parts":[["2004",5]]}}}],"schema":"https://github.com/citation-style-language/schema/raw/master/csl-citation.json"} </w:instrText>
      </w:r>
      <w:r w:rsidRPr="00554B32">
        <w:rPr>
          <w:rFonts w:asciiTheme="majorBidi" w:hAnsiTheme="majorBidi" w:cstheme="majorBidi"/>
          <w:sz w:val="20"/>
        </w:rPr>
        <w:fldChar w:fldCharType="separate"/>
      </w:r>
      <w:r w:rsidR="00FE0F4C" w:rsidRPr="00FE0F4C">
        <w:rPr>
          <w:sz w:val="20"/>
          <w:szCs w:val="24"/>
        </w:rPr>
        <w:t>[15–17]</w:t>
      </w:r>
      <w:r w:rsidRPr="00554B32">
        <w:rPr>
          <w:rFonts w:asciiTheme="majorBidi" w:hAnsiTheme="majorBidi" w:cstheme="majorBidi"/>
          <w:sz w:val="20"/>
        </w:rPr>
        <w:fldChar w:fldCharType="end"/>
      </w:r>
      <w:r w:rsidRPr="00554B32">
        <w:rPr>
          <w:rFonts w:asciiTheme="majorBidi" w:hAnsiTheme="majorBidi" w:cstheme="majorBidi"/>
          <w:sz w:val="20"/>
        </w:rPr>
        <w:t>:</w:t>
      </w:r>
    </w:p>
    <w:p w14:paraId="71723EDB" w14:textId="5C7FF4F2" w:rsidR="00162C1B" w:rsidRPr="00554B32" w:rsidRDefault="0029074C" w:rsidP="00264415">
      <w:pPr>
        <w:tabs>
          <w:tab w:val="left" w:pos="709"/>
        </w:tabs>
        <w:spacing w:line="360" w:lineRule="auto"/>
        <w:jc w:val="center"/>
        <w:rPr>
          <w:rFonts w:asciiTheme="majorBidi" w:hAnsiTheme="majorBidi" w:cstheme="majorBidi"/>
          <w:iCs/>
          <w:sz w:val="20"/>
        </w:rPr>
      </w:pPr>
      <m:oMath>
        <m:sSub>
          <m:sSubPr>
            <m:ctrlPr>
              <w:rPr>
                <w:rFonts w:ascii="Cambria Math" w:hAnsi="Cambria Math" w:cstheme="majorBidi"/>
                <w:iCs/>
                <w:sz w:val="20"/>
                <w:lang w:val="fr-FR"/>
              </w:rPr>
            </m:ctrlPr>
          </m:sSubPr>
          <m:e>
            <m:r>
              <m:rPr>
                <m:sty m:val="p"/>
              </m:rPr>
              <w:rPr>
                <w:rFonts w:ascii="Cambria Math" w:hAnsi="Cambria Math" w:cstheme="majorBidi"/>
                <w:sz w:val="20"/>
              </w:rPr>
              <m:t>R</m:t>
            </m:r>
          </m:e>
          <m:sub>
            <m:r>
              <m:rPr>
                <m:sty m:val="p"/>
              </m:rPr>
              <w:rPr>
                <w:rFonts w:ascii="Cambria Math" w:hAnsi="Cambria Math" w:cstheme="majorBidi"/>
                <w:sz w:val="20"/>
              </w:rPr>
              <m:t>i</m:t>
            </m:r>
          </m:sub>
        </m:sSub>
        <m:r>
          <m:rPr>
            <m:sty m:val="p"/>
          </m:rPr>
          <w:rPr>
            <w:rFonts w:ascii="Cambria Math" w:hAnsi="Cambria Math" w:cstheme="majorBidi"/>
            <w:sz w:val="20"/>
          </w:rPr>
          <m:t xml:space="preserve">=  </m:t>
        </m:r>
        <m:f>
          <m:fPr>
            <m:ctrlPr>
              <w:rPr>
                <w:rFonts w:ascii="Cambria Math" w:hAnsi="Cambria Math" w:cstheme="majorBidi"/>
                <w:iCs/>
                <w:sz w:val="20"/>
              </w:rPr>
            </m:ctrlPr>
          </m:fPr>
          <m:num>
            <m:nary>
              <m:naryPr>
                <m:chr m:val="∑"/>
                <m:limLoc m:val="undOvr"/>
                <m:subHide m:val="1"/>
                <m:supHide m:val="1"/>
                <m:ctrlPr>
                  <w:rPr>
                    <w:rFonts w:ascii="Cambria Math" w:hAnsi="Cambria Math" w:cstheme="majorBidi"/>
                    <w:iCs/>
                    <w:sz w:val="20"/>
                  </w:rPr>
                </m:ctrlPr>
              </m:naryPr>
              <m:sub/>
              <m:sup/>
              <m:e>
                <m:sSub>
                  <m:sSubPr>
                    <m:ctrlPr>
                      <w:rPr>
                        <w:rFonts w:ascii="Cambria Math" w:hAnsi="Cambria Math" w:cstheme="majorBidi"/>
                        <w:iCs/>
                        <w:sz w:val="20"/>
                      </w:rPr>
                    </m:ctrlPr>
                  </m:sSubPr>
                  <m:e>
                    <m:r>
                      <m:rPr>
                        <m:sty m:val="p"/>
                      </m:rPr>
                      <w:rPr>
                        <w:rFonts w:ascii="Cambria Math" w:hAnsi="Cambria Math" w:cstheme="majorBidi"/>
                        <w:sz w:val="20"/>
                      </w:rPr>
                      <m:t>A</m:t>
                    </m:r>
                  </m:e>
                  <m:sub>
                    <m:r>
                      <m:rPr>
                        <m:sty m:val="p"/>
                      </m:rPr>
                      <w:rPr>
                        <w:rFonts w:ascii="Cambria Math" w:hAnsi="Cambria Math" w:cstheme="majorBidi"/>
                        <w:sz w:val="20"/>
                      </w:rPr>
                      <m:t>des</m:t>
                    </m:r>
                  </m:sub>
                </m:sSub>
                <m:r>
                  <m:rPr>
                    <m:sty m:val="p"/>
                  </m:rPr>
                  <w:rPr>
                    <w:rFonts w:ascii="Cambria Math" w:hAnsi="Cambria Math" w:cstheme="majorBidi"/>
                    <w:sz w:val="20"/>
                  </w:rPr>
                  <m:t>×V</m:t>
                </m:r>
              </m:e>
            </m:nary>
          </m:num>
          <m:den>
            <m:sSub>
              <m:sSubPr>
                <m:ctrlPr>
                  <w:rPr>
                    <w:rFonts w:ascii="Cambria Math" w:hAnsi="Cambria Math" w:cstheme="majorBidi"/>
                    <w:iCs/>
                    <w:sz w:val="20"/>
                  </w:rPr>
                </m:ctrlPr>
              </m:sSubPr>
              <m:e>
                <m:r>
                  <m:rPr>
                    <m:sty m:val="p"/>
                  </m:rPr>
                  <w:rPr>
                    <w:rFonts w:ascii="Cambria Math" w:hAnsi="Cambria Math" w:cstheme="majorBidi"/>
                    <w:sz w:val="20"/>
                  </w:rPr>
                  <m:t>A</m:t>
                </m:r>
              </m:e>
              <m:sub>
                <m:r>
                  <m:rPr>
                    <m:sty m:val="p"/>
                  </m:rPr>
                  <w:rPr>
                    <w:rFonts w:ascii="Cambria Math" w:hAnsi="Cambria Math" w:cstheme="majorBidi"/>
                    <w:sz w:val="20"/>
                  </w:rPr>
                  <m:t>0</m:t>
                </m:r>
              </m:sub>
            </m:sSub>
            <m:r>
              <m:rPr>
                <m:sty m:val="p"/>
              </m:rPr>
              <w:rPr>
                <w:rFonts w:ascii="Cambria Math" w:hAnsi="Cambria Math" w:cstheme="majorBidi"/>
                <w:sz w:val="20"/>
              </w:rPr>
              <m:t>×S×</m:t>
            </m:r>
            <m:nary>
              <m:naryPr>
                <m:chr m:val="∑"/>
                <m:limLoc m:val="undOvr"/>
                <m:subHide m:val="1"/>
                <m:supHide m:val="1"/>
                <m:ctrlPr>
                  <w:rPr>
                    <w:rFonts w:ascii="Cambria Math" w:hAnsi="Cambria Math" w:cstheme="majorBidi"/>
                    <w:iCs/>
                    <w:sz w:val="20"/>
                  </w:rPr>
                </m:ctrlPr>
              </m:naryPr>
              <m:sub/>
              <m:sup/>
              <m:e>
                <m:r>
                  <m:rPr>
                    <m:sty m:val="p"/>
                  </m:rPr>
                  <w:rPr>
                    <w:rFonts w:ascii="Cambria Math" w:hAnsi="Cambria Math" w:cstheme="majorBidi"/>
                    <w:sz w:val="20"/>
                  </w:rPr>
                  <m:t>t</m:t>
                </m:r>
              </m:e>
            </m:nary>
          </m:den>
        </m:f>
      </m:oMath>
      <w:r w:rsidR="00162C1B" w:rsidRPr="00554B32">
        <w:rPr>
          <w:rFonts w:asciiTheme="majorBidi" w:eastAsiaTheme="minorEastAsia" w:hAnsiTheme="majorBidi" w:cstheme="majorBidi"/>
          <w:iCs/>
          <w:sz w:val="20"/>
        </w:rPr>
        <w:t xml:space="preserve">                             (</w:t>
      </w:r>
      <w:r w:rsidR="00505727" w:rsidRPr="00554B32">
        <w:rPr>
          <w:rFonts w:asciiTheme="majorBidi" w:eastAsiaTheme="minorEastAsia" w:hAnsiTheme="majorBidi" w:cstheme="majorBidi"/>
          <w:iCs/>
          <w:sz w:val="20"/>
        </w:rPr>
        <w:t>1</w:t>
      </w:r>
      <w:r w:rsidR="00162C1B" w:rsidRPr="00554B32">
        <w:rPr>
          <w:rFonts w:asciiTheme="majorBidi" w:eastAsiaTheme="minorEastAsia" w:hAnsiTheme="majorBidi" w:cstheme="majorBidi"/>
          <w:iCs/>
          <w:sz w:val="20"/>
        </w:rPr>
        <w:t>)</w:t>
      </w:r>
    </w:p>
    <w:p w14:paraId="79ABDDE9" w14:textId="5D528DBA" w:rsidR="00A40C29" w:rsidRPr="00554B32" w:rsidRDefault="00A40C29" w:rsidP="00A40C29">
      <w:pPr>
        <w:tabs>
          <w:tab w:val="left" w:pos="709"/>
        </w:tabs>
        <w:spacing w:line="360" w:lineRule="auto"/>
        <w:rPr>
          <w:rFonts w:asciiTheme="majorBidi" w:hAnsiTheme="majorBidi" w:cstheme="majorBidi"/>
          <w:iCs/>
          <w:sz w:val="20"/>
        </w:rPr>
      </w:pPr>
      <w:r w:rsidRPr="00554B32">
        <w:rPr>
          <w:rFonts w:asciiTheme="majorBidi" w:eastAsiaTheme="minorEastAsia" w:hAnsiTheme="majorBidi" w:cstheme="majorBidi"/>
          <w:iCs/>
          <w:sz w:val="20"/>
        </w:rPr>
        <w:t xml:space="preserve">                      </w:t>
      </w:r>
    </w:p>
    <w:p w14:paraId="516D39D7" w14:textId="179A0807" w:rsidR="00A40C29" w:rsidRPr="00554B32" w:rsidRDefault="00A40C29" w:rsidP="00554B32">
      <w:pPr>
        <w:tabs>
          <w:tab w:val="left" w:pos="709"/>
        </w:tabs>
        <w:spacing w:line="276" w:lineRule="auto"/>
        <w:jc w:val="both"/>
        <w:rPr>
          <w:rFonts w:asciiTheme="majorBidi" w:hAnsiTheme="majorBidi" w:cstheme="majorBidi"/>
          <w:b/>
          <w:bCs/>
          <w:sz w:val="20"/>
        </w:rPr>
      </w:pPr>
      <w:r w:rsidRPr="00554B32">
        <w:rPr>
          <w:rFonts w:asciiTheme="majorBidi" w:hAnsiTheme="majorBidi" w:cstheme="majorBidi"/>
          <w:sz w:val="20"/>
        </w:rPr>
        <w:t>where R</w:t>
      </w:r>
      <w:r w:rsidRPr="00554B32">
        <w:rPr>
          <w:rFonts w:asciiTheme="majorBidi" w:hAnsiTheme="majorBidi" w:cstheme="majorBidi"/>
          <w:sz w:val="20"/>
          <w:vertAlign w:val="subscript"/>
        </w:rPr>
        <w:t>i</w:t>
      </w:r>
      <w:r w:rsidRPr="00554B32">
        <w:rPr>
          <w:rFonts w:asciiTheme="majorBidi" w:hAnsiTheme="majorBidi" w:cstheme="majorBidi"/>
          <w:sz w:val="20"/>
        </w:rPr>
        <w:t xml:space="preserve"> is the incremental leaching rate (cm/s), A</w:t>
      </w:r>
      <w:r w:rsidRPr="00554B32">
        <w:rPr>
          <w:rFonts w:asciiTheme="majorBidi" w:hAnsiTheme="majorBidi" w:cstheme="majorBidi"/>
          <w:sz w:val="20"/>
          <w:vertAlign w:val="subscript"/>
        </w:rPr>
        <w:t>des</w:t>
      </w:r>
      <w:r w:rsidRPr="00554B32">
        <w:rPr>
          <w:rFonts w:asciiTheme="majorBidi" w:hAnsiTheme="majorBidi" w:cstheme="majorBidi"/>
          <w:sz w:val="20"/>
        </w:rPr>
        <w:t xml:space="preserve"> is the </w:t>
      </w:r>
      <w:r w:rsidRPr="00554B32">
        <w:rPr>
          <w:rFonts w:asciiTheme="majorBidi" w:hAnsiTheme="majorBidi" w:cstheme="majorBidi"/>
          <w:sz w:val="20"/>
          <w:vertAlign w:val="superscript"/>
        </w:rPr>
        <w:t>134</w:t>
      </w:r>
      <w:r w:rsidRPr="00554B32">
        <w:rPr>
          <w:rFonts w:asciiTheme="majorBidi" w:hAnsiTheme="majorBidi" w:cstheme="majorBidi"/>
          <w:sz w:val="20"/>
        </w:rPr>
        <w:t>Cs cumulative activities leached during each leaching interval (</w:t>
      </w:r>
      <w:proofErr w:type="spellStart"/>
      <w:r w:rsidRPr="00554B32">
        <w:rPr>
          <w:rFonts w:asciiTheme="majorBidi" w:hAnsiTheme="majorBidi" w:cstheme="majorBidi"/>
          <w:sz w:val="20"/>
        </w:rPr>
        <w:t>Bq</w:t>
      </w:r>
      <w:proofErr w:type="spellEnd"/>
      <w:r w:rsidRPr="00554B32">
        <w:rPr>
          <w:rFonts w:asciiTheme="majorBidi" w:hAnsiTheme="majorBidi" w:cstheme="majorBidi"/>
          <w:sz w:val="20"/>
        </w:rPr>
        <w:t>/Kg), determined from the net peak areas of gamma spectrometer rays (</w:t>
      </w:r>
      <w:r w:rsidRPr="00554B32">
        <w:rPr>
          <w:rFonts w:asciiTheme="majorBidi" w:hAnsiTheme="majorBidi" w:cstheme="majorBidi"/>
          <w:color w:val="000000"/>
          <w:sz w:val="20"/>
        </w:rPr>
        <w:t>604,7 KeV)</w:t>
      </w:r>
      <w:r w:rsidRPr="00554B32">
        <w:rPr>
          <w:rFonts w:asciiTheme="majorBidi" w:hAnsiTheme="majorBidi" w:cstheme="majorBidi"/>
          <w:sz w:val="20"/>
        </w:rPr>
        <w:t xml:space="preserve"> through the leachates in 175</w:t>
      </w:r>
      <w:r w:rsidR="00285ACD" w:rsidRPr="00554B32">
        <w:rPr>
          <w:rFonts w:asciiTheme="majorBidi" w:hAnsiTheme="majorBidi" w:cstheme="majorBidi"/>
          <w:sz w:val="20"/>
        </w:rPr>
        <w:t xml:space="preserve"> </w:t>
      </w:r>
      <w:r w:rsidRPr="00554B32">
        <w:rPr>
          <w:rFonts w:asciiTheme="majorBidi" w:hAnsiTheme="majorBidi" w:cstheme="majorBidi"/>
          <w:sz w:val="20"/>
        </w:rPr>
        <w:t>ml plastic container, V is the geometric volume of the geopolymer package (cm</w:t>
      </w:r>
      <w:r w:rsidRPr="00554B32">
        <w:rPr>
          <w:rFonts w:asciiTheme="majorBidi" w:hAnsiTheme="majorBidi" w:cstheme="majorBidi"/>
          <w:sz w:val="20"/>
          <w:vertAlign w:val="superscript"/>
        </w:rPr>
        <w:t>3</w:t>
      </w:r>
      <w:r w:rsidRPr="00554B32">
        <w:rPr>
          <w:rFonts w:asciiTheme="majorBidi" w:hAnsiTheme="majorBidi" w:cstheme="majorBidi"/>
          <w:sz w:val="20"/>
        </w:rPr>
        <w:t>), A</w:t>
      </w:r>
      <w:r w:rsidRPr="00554B32">
        <w:rPr>
          <w:rFonts w:asciiTheme="majorBidi" w:hAnsiTheme="majorBidi" w:cstheme="majorBidi"/>
          <w:sz w:val="20"/>
          <w:vertAlign w:val="subscript"/>
        </w:rPr>
        <w:t xml:space="preserve">0 </w:t>
      </w:r>
      <w:r w:rsidRPr="00554B32">
        <w:rPr>
          <w:rFonts w:asciiTheme="majorBidi" w:hAnsiTheme="majorBidi" w:cstheme="majorBidi"/>
          <w:sz w:val="20"/>
        </w:rPr>
        <w:t xml:space="preserve">is </w:t>
      </w:r>
      <w:r w:rsidRPr="00554B32">
        <w:rPr>
          <w:rFonts w:asciiTheme="majorBidi" w:hAnsiTheme="majorBidi" w:cstheme="majorBidi"/>
          <w:sz w:val="20"/>
          <w:vertAlign w:val="superscript"/>
        </w:rPr>
        <w:t>134</w:t>
      </w:r>
      <w:r w:rsidRPr="00554B32">
        <w:rPr>
          <w:rFonts w:asciiTheme="majorBidi" w:hAnsiTheme="majorBidi" w:cstheme="majorBidi"/>
          <w:sz w:val="20"/>
        </w:rPr>
        <w:t>Cs activities incorporated initially in the package (</w:t>
      </w:r>
      <w:proofErr w:type="spellStart"/>
      <w:r w:rsidRPr="00554B32">
        <w:rPr>
          <w:rFonts w:asciiTheme="majorBidi" w:hAnsiTheme="majorBidi" w:cstheme="majorBidi"/>
          <w:sz w:val="20"/>
        </w:rPr>
        <w:t>Bq</w:t>
      </w:r>
      <w:proofErr w:type="spellEnd"/>
      <w:r w:rsidRPr="00554B32">
        <w:rPr>
          <w:rFonts w:asciiTheme="majorBidi" w:hAnsiTheme="majorBidi" w:cstheme="majorBidi"/>
          <w:sz w:val="20"/>
        </w:rPr>
        <w:t>/Kg), S is the geometric surface area of the package (157.44 cm</w:t>
      </w:r>
      <w:r w:rsidRPr="00554B32">
        <w:rPr>
          <w:rFonts w:asciiTheme="majorBidi" w:hAnsiTheme="majorBidi" w:cstheme="majorBidi"/>
          <w:sz w:val="20"/>
          <w:vertAlign w:val="superscript"/>
        </w:rPr>
        <w:t>2</w:t>
      </w:r>
      <w:r w:rsidRPr="00554B32">
        <w:rPr>
          <w:rFonts w:asciiTheme="majorBidi" w:hAnsiTheme="majorBidi" w:cstheme="majorBidi"/>
          <w:sz w:val="20"/>
        </w:rPr>
        <w:t>), t is the leaching time (s).</w:t>
      </w:r>
    </w:p>
    <w:p w14:paraId="433FE053" w14:textId="6B142491" w:rsidR="00EE0041" w:rsidRDefault="00E77806" w:rsidP="006F47EE">
      <w:pPr>
        <w:pStyle w:val="Titre2"/>
        <w:numPr>
          <w:ilvl w:val="1"/>
          <w:numId w:val="5"/>
        </w:numPr>
      </w:pPr>
      <w:r w:rsidRPr="00E77806">
        <w:t>Results and discussion</w:t>
      </w:r>
    </w:p>
    <w:p w14:paraId="1069EB8E" w14:textId="0CA7E27D" w:rsidR="000A279B" w:rsidRPr="000A279B" w:rsidRDefault="000A279B" w:rsidP="006F47EE">
      <w:pPr>
        <w:pStyle w:val="Titre3"/>
        <w:numPr>
          <w:ilvl w:val="1"/>
          <w:numId w:val="12"/>
        </w:numPr>
        <w:rPr>
          <w:bCs/>
          <w:lang w:val="en-CA"/>
        </w:rPr>
      </w:pPr>
      <w:bookmarkStart w:id="4" w:name="_Toc75361694"/>
      <w:r w:rsidRPr="000A279B">
        <w:t>Characterization of IERs wastes</w:t>
      </w:r>
      <w:bookmarkEnd w:id="4"/>
    </w:p>
    <w:p w14:paraId="00968A34" w14:textId="1FA7658A" w:rsidR="000A279B" w:rsidRDefault="000A279B" w:rsidP="00554B32">
      <w:pPr>
        <w:tabs>
          <w:tab w:val="left" w:pos="426"/>
          <w:tab w:val="left" w:pos="567"/>
        </w:tabs>
        <w:spacing w:line="276" w:lineRule="auto"/>
        <w:ind w:firstLine="567"/>
        <w:jc w:val="both"/>
        <w:rPr>
          <w:rFonts w:asciiTheme="majorBidi" w:hAnsiTheme="majorBidi" w:cstheme="majorBidi"/>
          <w:color w:val="000000" w:themeColor="text1"/>
          <w:sz w:val="20"/>
        </w:rPr>
      </w:pPr>
      <w:r w:rsidRPr="000A279B">
        <w:rPr>
          <w:rFonts w:asciiTheme="majorBidi" w:hAnsiTheme="majorBidi" w:cstheme="majorBidi"/>
          <w:color w:val="000000" w:themeColor="text1"/>
          <w:sz w:val="20"/>
        </w:rPr>
        <w:t xml:space="preserve">The grain structure characterization of the air-dried resin is performed using an optical microscope (DSX10-SXLOB Olympus Corporation, Tokyo, Japan). They are an equivalent mix of gel cation and a porous </w:t>
      </w:r>
      <w:r w:rsidRPr="000A279B">
        <w:rPr>
          <w:rFonts w:asciiTheme="majorBidi" w:hAnsiTheme="majorBidi" w:cstheme="majorBidi"/>
          <w:color w:val="000000" w:themeColor="text1"/>
          <w:sz w:val="20"/>
        </w:rPr>
        <w:lastRenderedPageBreak/>
        <w:t xml:space="preserve">gel anion resins called </w:t>
      </w:r>
      <w:proofErr w:type="spellStart"/>
      <w:r w:rsidRPr="000A279B">
        <w:rPr>
          <w:rFonts w:asciiTheme="majorBidi" w:hAnsiTheme="majorBidi" w:cstheme="majorBidi"/>
          <w:color w:val="000000" w:themeColor="text1"/>
          <w:sz w:val="20"/>
        </w:rPr>
        <w:t>Purolite</w:t>
      </w:r>
      <w:proofErr w:type="spellEnd"/>
      <w:r w:rsidRPr="000A279B">
        <w:rPr>
          <w:rFonts w:asciiTheme="majorBidi" w:hAnsiTheme="majorBidi" w:cstheme="majorBidi"/>
          <w:color w:val="000000" w:themeColor="text1"/>
          <w:sz w:val="20"/>
        </w:rPr>
        <w:t xml:space="preserve"> NRW-3240, in the form of yellow translucent and clear amber spherical beads with diameters between </w:t>
      </w:r>
      <w:r w:rsidR="00264415">
        <w:rPr>
          <w:rFonts w:asciiTheme="majorBidi" w:hAnsiTheme="majorBidi" w:cstheme="majorBidi"/>
          <w:color w:val="000000" w:themeColor="text1"/>
          <w:sz w:val="20"/>
        </w:rPr>
        <w:t>0.</w:t>
      </w:r>
      <w:r w:rsidRPr="000A279B">
        <w:rPr>
          <w:rFonts w:asciiTheme="majorBidi" w:hAnsiTheme="majorBidi" w:cstheme="majorBidi"/>
          <w:color w:val="000000" w:themeColor="text1"/>
          <w:sz w:val="20"/>
        </w:rPr>
        <w:t xml:space="preserve">465 </w:t>
      </w:r>
      <w:r w:rsidR="00264415">
        <w:rPr>
          <w:rFonts w:asciiTheme="majorBidi" w:hAnsiTheme="majorBidi" w:cstheme="majorBidi"/>
          <w:color w:val="000000" w:themeColor="text1"/>
          <w:sz w:val="20"/>
        </w:rPr>
        <w:t>m</w:t>
      </w:r>
      <w:r w:rsidRPr="000A279B">
        <w:rPr>
          <w:rFonts w:asciiTheme="majorBidi" w:hAnsiTheme="majorBidi" w:cstheme="majorBidi"/>
          <w:color w:val="000000" w:themeColor="text1"/>
          <w:sz w:val="20"/>
        </w:rPr>
        <w:t xml:space="preserve">m and </w:t>
      </w:r>
      <w:r w:rsidR="00264415">
        <w:rPr>
          <w:rFonts w:asciiTheme="majorBidi" w:hAnsiTheme="majorBidi" w:cstheme="majorBidi"/>
          <w:color w:val="000000" w:themeColor="text1"/>
          <w:sz w:val="20"/>
        </w:rPr>
        <w:t>0.</w:t>
      </w:r>
      <w:r w:rsidRPr="000A279B">
        <w:rPr>
          <w:rFonts w:asciiTheme="majorBidi" w:hAnsiTheme="majorBidi" w:cstheme="majorBidi"/>
          <w:color w:val="000000" w:themeColor="text1"/>
          <w:sz w:val="20"/>
        </w:rPr>
        <w:t>928</w:t>
      </w:r>
      <w:r w:rsidR="00264415">
        <w:rPr>
          <w:rFonts w:asciiTheme="majorBidi" w:hAnsiTheme="majorBidi" w:cstheme="majorBidi"/>
          <w:color w:val="000000" w:themeColor="text1"/>
          <w:sz w:val="20"/>
        </w:rPr>
        <w:t xml:space="preserve"> m</w:t>
      </w:r>
      <w:r w:rsidRPr="000A279B">
        <w:rPr>
          <w:rFonts w:asciiTheme="majorBidi" w:hAnsiTheme="majorBidi" w:cstheme="majorBidi"/>
          <w:color w:val="000000" w:themeColor="text1"/>
          <w:sz w:val="20"/>
        </w:rPr>
        <w:t>m (</w:t>
      </w:r>
      <w:r w:rsidRPr="000A279B">
        <w:rPr>
          <w:rFonts w:asciiTheme="majorBidi" w:hAnsiTheme="majorBidi" w:cstheme="majorBidi"/>
          <w:b/>
          <w:bCs/>
          <w:color w:val="000000" w:themeColor="text1"/>
          <w:sz w:val="20"/>
        </w:rPr>
        <w:t>Fig.</w:t>
      </w:r>
      <w:r w:rsidR="00FF6772">
        <w:rPr>
          <w:rFonts w:asciiTheme="majorBidi" w:hAnsiTheme="majorBidi" w:cstheme="majorBidi"/>
          <w:b/>
          <w:bCs/>
          <w:color w:val="000000" w:themeColor="text1"/>
          <w:sz w:val="20"/>
        </w:rPr>
        <w:t>1</w:t>
      </w:r>
      <w:r w:rsidRPr="000A279B">
        <w:rPr>
          <w:rFonts w:asciiTheme="majorBidi" w:hAnsiTheme="majorBidi" w:cstheme="majorBidi"/>
          <w:color w:val="000000" w:themeColor="text1"/>
          <w:sz w:val="20"/>
        </w:rPr>
        <w:t>).</w:t>
      </w:r>
    </w:p>
    <w:p w14:paraId="73EF2B55" w14:textId="77777777" w:rsidR="001722EC" w:rsidRDefault="001722EC" w:rsidP="00554B32">
      <w:pPr>
        <w:tabs>
          <w:tab w:val="left" w:pos="426"/>
          <w:tab w:val="left" w:pos="567"/>
        </w:tabs>
        <w:spacing w:line="276" w:lineRule="auto"/>
        <w:ind w:firstLine="567"/>
        <w:jc w:val="both"/>
        <w:rPr>
          <w:rFonts w:asciiTheme="majorBidi" w:hAnsiTheme="majorBidi" w:cstheme="majorBidi"/>
          <w:color w:val="000000" w:themeColor="text1"/>
          <w:sz w:val="20"/>
        </w:rPr>
      </w:pPr>
    </w:p>
    <w:p w14:paraId="7EE69D49" w14:textId="18051F9A" w:rsidR="000A279B" w:rsidRDefault="00AA5854" w:rsidP="006B2096">
      <w:pPr>
        <w:tabs>
          <w:tab w:val="left" w:pos="426"/>
          <w:tab w:val="left" w:pos="567"/>
        </w:tabs>
        <w:spacing w:line="360" w:lineRule="auto"/>
        <w:ind w:firstLine="284"/>
        <w:jc w:val="center"/>
        <w:rPr>
          <w:rFonts w:asciiTheme="majorBidi" w:hAnsiTheme="majorBidi" w:cstheme="majorBidi"/>
          <w:color w:val="000000" w:themeColor="text1"/>
          <w:sz w:val="20"/>
        </w:rPr>
      </w:pPr>
      <w:r>
        <w:rPr>
          <w:rFonts w:asciiTheme="majorBidi" w:hAnsiTheme="majorBidi" w:cstheme="majorBidi"/>
          <w:color w:val="000000" w:themeColor="text1"/>
          <w:sz w:val="20"/>
        </w:rPr>
        <w:pict w14:anchorId="4D338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108pt" o:preferrelative="f">
            <v:imagedata r:id="rId14" o:title="Image10"/>
            <o:lock v:ext="edit" aspectratio="f"/>
          </v:shape>
        </w:pict>
      </w:r>
    </w:p>
    <w:p w14:paraId="17E61294" w14:textId="4CCF7BD8" w:rsidR="006B2096" w:rsidRPr="006B2096" w:rsidRDefault="00FF6772" w:rsidP="006B2096">
      <w:pPr>
        <w:tabs>
          <w:tab w:val="left" w:pos="426"/>
          <w:tab w:val="left" w:pos="567"/>
        </w:tabs>
        <w:spacing w:line="360" w:lineRule="auto"/>
        <w:ind w:firstLine="284"/>
        <w:jc w:val="center"/>
        <w:rPr>
          <w:rFonts w:asciiTheme="majorBidi" w:hAnsiTheme="majorBidi" w:cstheme="majorBidi"/>
          <w:i/>
          <w:iCs/>
          <w:color w:val="000000" w:themeColor="text1"/>
          <w:sz w:val="18"/>
          <w:szCs w:val="18"/>
          <w:lang w:val="en-CA"/>
        </w:rPr>
      </w:pPr>
      <w:bookmarkStart w:id="5" w:name="_Toc75344301"/>
      <w:r w:rsidRPr="00264415">
        <w:rPr>
          <w:rFonts w:asciiTheme="majorBidi" w:hAnsiTheme="majorBidi" w:cstheme="majorBidi"/>
          <w:b/>
          <w:bCs/>
          <w:i/>
          <w:iCs/>
          <w:color w:val="000000" w:themeColor="text1"/>
          <w:sz w:val="18"/>
          <w:szCs w:val="18"/>
          <w:lang w:val="en-CA"/>
        </w:rPr>
        <w:t>FIG.</w:t>
      </w:r>
      <w:r w:rsidR="00BD25CD">
        <w:rPr>
          <w:rFonts w:asciiTheme="majorBidi" w:hAnsiTheme="majorBidi" w:cstheme="majorBidi"/>
          <w:b/>
          <w:bCs/>
          <w:i/>
          <w:iCs/>
          <w:color w:val="000000" w:themeColor="text1"/>
          <w:sz w:val="18"/>
          <w:szCs w:val="18"/>
          <w:lang w:val="en-CA"/>
        </w:rPr>
        <w:t xml:space="preserve"> </w:t>
      </w:r>
      <w:r w:rsidRPr="00264415">
        <w:rPr>
          <w:rFonts w:asciiTheme="majorBidi" w:hAnsiTheme="majorBidi" w:cstheme="majorBidi"/>
          <w:b/>
          <w:bCs/>
          <w:i/>
          <w:iCs/>
          <w:color w:val="000000" w:themeColor="text1"/>
          <w:sz w:val="18"/>
          <w:szCs w:val="18"/>
          <w:lang w:val="en-CA"/>
        </w:rPr>
        <w:t>1</w:t>
      </w:r>
      <w:r w:rsidRPr="00FF6772">
        <w:rPr>
          <w:rFonts w:asciiTheme="majorBidi" w:hAnsiTheme="majorBidi" w:cstheme="majorBidi"/>
          <w:i/>
          <w:iCs/>
          <w:color w:val="000000" w:themeColor="text1"/>
          <w:sz w:val="18"/>
          <w:szCs w:val="18"/>
          <w:lang w:val="en-CA"/>
        </w:rPr>
        <w:t xml:space="preserve">. </w:t>
      </w:r>
      <w:r w:rsidR="006B2096" w:rsidRPr="006B2096">
        <w:rPr>
          <w:rFonts w:asciiTheme="majorBidi" w:hAnsiTheme="majorBidi" w:cstheme="majorBidi"/>
          <w:i/>
          <w:iCs/>
          <w:color w:val="000000" w:themeColor="text1"/>
          <w:sz w:val="18"/>
          <w:szCs w:val="18"/>
          <w:lang w:val="en-CA"/>
        </w:rPr>
        <w:t>Polarizing microscope images of used resin beads.</w:t>
      </w:r>
      <w:bookmarkEnd w:id="5"/>
    </w:p>
    <w:p w14:paraId="478E1F19" w14:textId="5286D2C6" w:rsidR="006B2096" w:rsidRDefault="006B2096" w:rsidP="00554B32">
      <w:pPr>
        <w:tabs>
          <w:tab w:val="left" w:pos="426"/>
          <w:tab w:val="left" w:pos="567"/>
        </w:tabs>
        <w:spacing w:line="276" w:lineRule="auto"/>
        <w:ind w:firstLine="567"/>
        <w:jc w:val="both"/>
        <w:rPr>
          <w:rFonts w:asciiTheme="majorBidi" w:hAnsiTheme="majorBidi" w:cstheme="majorBidi"/>
          <w:color w:val="000000" w:themeColor="text1"/>
          <w:sz w:val="20"/>
        </w:rPr>
      </w:pPr>
      <w:r w:rsidRPr="006B2096">
        <w:rPr>
          <w:rFonts w:asciiTheme="majorBidi" w:hAnsiTheme="majorBidi" w:cstheme="majorBidi"/>
          <w:color w:val="000000" w:themeColor="text1"/>
          <w:sz w:val="20"/>
        </w:rPr>
        <w:t xml:space="preserve">The physical properties of the IER wastes are shown in </w:t>
      </w:r>
      <w:r w:rsidRPr="006B2096">
        <w:rPr>
          <w:rFonts w:asciiTheme="majorBidi" w:hAnsiTheme="majorBidi" w:cstheme="majorBidi"/>
          <w:b/>
          <w:bCs/>
          <w:color w:val="000000" w:themeColor="text1"/>
          <w:sz w:val="20"/>
        </w:rPr>
        <w:t xml:space="preserve">Table </w:t>
      </w:r>
      <w:r w:rsidR="00285ACD">
        <w:rPr>
          <w:rFonts w:asciiTheme="majorBidi" w:hAnsiTheme="majorBidi" w:cstheme="majorBidi"/>
          <w:b/>
          <w:bCs/>
          <w:color w:val="000000" w:themeColor="text1"/>
          <w:sz w:val="20"/>
        </w:rPr>
        <w:t>3</w:t>
      </w:r>
      <w:r w:rsidRPr="006B2096">
        <w:rPr>
          <w:rFonts w:asciiTheme="majorBidi" w:hAnsiTheme="majorBidi" w:cstheme="majorBidi"/>
          <w:color w:val="000000" w:themeColor="text1"/>
          <w:sz w:val="20"/>
        </w:rPr>
        <w:t xml:space="preserve">. It was noticed that the increase in the percentage of IERs wastes resulted in an increase of conductivity due to the total ions leached out. Furthermore, the final pH has stabilized at a value of 4.16 that suitable to optimal immobilization of the resins. These used resin wastes are also characterized by higher water content (63.54 %) suggesting the hydrophilicity of the ionic polymer matrix (IERs). Moreover, IERs exhibited a different grain size distribution with high fine content. </w:t>
      </w:r>
    </w:p>
    <w:p w14:paraId="1950DD42" w14:textId="77777777" w:rsidR="00554B32" w:rsidRDefault="00554B32" w:rsidP="00554B32">
      <w:pPr>
        <w:tabs>
          <w:tab w:val="left" w:pos="426"/>
          <w:tab w:val="left" w:pos="567"/>
        </w:tabs>
        <w:spacing w:line="276" w:lineRule="auto"/>
        <w:ind w:firstLine="567"/>
        <w:jc w:val="both"/>
        <w:rPr>
          <w:rFonts w:asciiTheme="majorBidi" w:hAnsiTheme="majorBidi" w:cstheme="majorBidi"/>
          <w:color w:val="000000" w:themeColor="text1"/>
          <w:sz w:val="20"/>
        </w:rPr>
      </w:pPr>
    </w:p>
    <w:p w14:paraId="2176C592" w14:textId="313F3B2C" w:rsidR="006B2096" w:rsidRPr="00155F13" w:rsidRDefault="006B2096" w:rsidP="006B2096">
      <w:pPr>
        <w:pStyle w:val="HTab"/>
        <w:numPr>
          <w:ilvl w:val="0"/>
          <w:numId w:val="0"/>
        </w:numPr>
        <w:ind w:left="1440"/>
        <w:jc w:val="left"/>
        <w:rPr>
          <w:rFonts w:asciiTheme="majorBidi" w:hAnsiTheme="majorBidi"/>
          <w:b/>
          <w:sz w:val="18"/>
          <w:szCs w:val="18"/>
          <w:u w:val="single"/>
        </w:rPr>
      </w:pPr>
      <w:bookmarkStart w:id="6" w:name="_Toc71486237"/>
      <w:bookmarkStart w:id="7" w:name="_Toc73868931"/>
      <w:bookmarkStart w:id="8" w:name="_Toc75344318"/>
      <w:r w:rsidRPr="00155F13">
        <w:rPr>
          <w:rFonts w:asciiTheme="majorBidi" w:hAnsiTheme="majorBidi"/>
          <w:sz w:val="18"/>
          <w:szCs w:val="18"/>
        </w:rPr>
        <w:t>T</w:t>
      </w:r>
      <w:r w:rsidR="00BD25CD" w:rsidRPr="00155F13">
        <w:rPr>
          <w:rFonts w:asciiTheme="majorBidi" w:hAnsiTheme="majorBidi"/>
          <w:sz w:val="18"/>
          <w:szCs w:val="18"/>
        </w:rPr>
        <w:t>ABLE.</w:t>
      </w:r>
      <w:r w:rsidRPr="00155F13">
        <w:rPr>
          <w:rFonts w:asciiTheme="majorBidi" w:hAnsiTheme="majorBidi"/>
          <w:sz w:val="18"/>
          <w:szCs w:val="18"/>
        </w:rPr>
        <w:t xml:space="preserve"> </w:t>
      </w:r>
      <w:r w:rsidR="00285ACD">
        <w:rPr>
          <w:rFonts w:asciiTheme="majorBidi" w:hAnsiTheme="majorBidi"/>
          <w:sz w:val="18"/>
          <w:szCs w:val="18"/>
        </w:rPr>
        <w:t>3</w:t>
      </w:r>
      <w:r w:rsidRPr="00155F13">
        <w:rPr>
          <w:rFonts w:asciiTheme="majorBidi" w:hAnsiTheme="majorBidi"/>
          <w:sz w:val="18"/>
          <w:szCs w:val="18"/>
        </w:rPr>
        <w:t xml:space="preserve"> The physical properties of IER with some physical characteristics</w:t>
      </w:r>
      <w:bookmarkEnd w:id="6"/>
      <w:bookmarkEnd w:id="7"/>
      <w:bookmarkEnd w:id="8"/>
    </w:p>
    <w:tbl>
      <w:tblPr>
        <w:tblStyle w:val="Grilledutableau"/>
        <w:tblW w:w="9531" w:type="dxa"/>
        <w:tblInd w:w="142" w:type="dxa"/>
        <w:tblLayout w:type="fixed"/>
        <w:tblLook w:val="04A0" w:firstRow="1" w:lastRow="0" w:firstColumn="1" w:lastColumn="0" w:noHBand="0" w:noVBand="1"/>
      </w:tblPr>
      <w:tblGrid>
        <w:gridCol w:w="2444"/>
        <w:gridCol w:w="2126"/>
        <w:gridCol w:w="142"/>
        <w:gridCol w:w="1134"/>
        <w:gridCol w:w="948"/>
        <w:gridCol w:w="469"/>
        <w:gridCol w:w="851"/>
        <w:gridCol w:w="567"/>
        <w:gridCol w:w="850"/>
      </w:tblGrid>
      <w:tr w:rsidR="006B2096" w:rsidRPr="006B2096" w14:paraId="1F252379" w14:textId="77777777" w:rsidTr="000A65F7">
        <w:trPr>
          <w:trHeight w:val="20"/>
        </w:trPr>
        <w:tc>
          <w:tcPr>
            <w:tcW w:w="2444" w:type="dxa"/>
            <w:vMerge w:val="restart"/>
            <w:tcBorders>
              <w:top w:val="single" w:sz="12" w:space="0" w:color="auto"/>
              <w:left w:val="nil"/>
              <w:right w:val="nil"/>
            </w:tcBorders>
          </w:tcPr>
          <w:p w14:paraId="1FD89023" w14:textId="24B1F1D4" w:rsidR="00FF6772" w:rsidRPr="006B2096" w:rsidRDefault="006B2096" w:rsidP="00FF6772">
            <w:pPr>
              <w:tabs>
                <w:tab w:val="left" w:pos="426"/>
                <w:tab w:val="left" w:pos="567"/>
              </w:tabs>
              <w:spacing w:line="360" w:lineRule="auto"/>
              <w:rPr>
                <w:rFonts w:asciiTheme="majorBidi" w:hAnsiTheme="majorBidi" w:cstheme="majorBidi"/>
                <w:b/>
                <w:bCs/>
                <w:sz w:val="20"/>
              </w:rPr>
            </w:pPr>
            <w:r w:rsidRPr="006B2096">
              <w:rPr>
                <w:rFonts w:asciiTheme="majorBidi" w:hAnsiTheme="majorBidi" w:cstheme="majorBidi"/>
                <w:b/>
                <w:bCs/>
                <w:sz w:val="20"/>
              </w:rPr>
              <w:t>Physical properties</w:t>
            </w:r>
            <w:r w:rsidR="00FF6772">
              <w:rPr>
                <w:rFonts w:asciiTheme="majorBidi" w:hAnsiTheme="majorBidi" w:cstheme="majorBidi"/>
                <w:b/>
                <w:bCs/>
                <w:sz w:val="20"/>
              </w:rPr>
              <w:t xml:space="preserve"> of IERs wastes</w:t>
            </w:r>
          </w:p>
          <w:p w14:paraId="74C38E6F" w14:textId="77777777" w:rsidR="006B2096" w:rsidRPr="006B2096" w:rsidRDefault="006B2096" w:rsidP="000A65F7">
            <w:pPr>
              <w:tabs>
                <w:tab w:val="left" w:pos="426"/>
                <w:tab w:val="left" w:pos="567"/>
              </w:tabs>
              <w:spacing w:line="360" w:lineRule="auto"/>
              <w:rPr>
                <w:rFonts w:asciiTheme="majorBidi" w:hAnsiTheme="majorBidi" w:cstheme="majorBidi"/>
                <w:sz w:val="20"/>
              </w:rPr>
            </w:pPr>
          </w:p>
        </w:tc>
        <w:tc>
          <w:tcPr>
            <w:tcW w:w="2268" w:type="dxa"/>
            <w:gridSpan w:val="2"/>
            <w:tcBorders>
              <w:top w:val="single" w:sz="12" w:space="0" w:color="auto"/>
              <w:left w:val="nil"/>
              <w:bottom w:val="nil"/>
              <w:right w:val="nil"/>
            </w:tcBorders>
          </w:tcPr>
          <w:p w14:paraId="0D3C1B75" w14:textId="77777777" w:rsidR="006B2096" w:rsidRPr="006B2096" w:rsidRDefault="006B2096" w:rsidP="000A65F7">
            <w:pPr>
              <w:rPr>
                <w:rFonts w:asciiTheme="majorBidi" w:hAnsiTheme="majorBidi" w:cstheme="majorBidi"/>
                <w:color w:val="000000"/>
                <w:sz w:val="20"/>
              </w:rPr>
            </w:pPr>
            <w:r w:rsidRPr="006B2096">
              <w:rPr>
                <w:rFonts w:asciiTheme="majorBidi" w:hAnsiTheme="majorBidi" w:cstheme="majorBidi"/>
                <w:sz w:val="20"/>
              </w:rPr>
              <w:t>Conductivity (µs/cm)</w:t>
            </w:r>
          </w:p>
        </w:tc>
        <w:tc>
          <w:tcPr>
            <w:tcW w:w="1134" w:type="dxa"/>
            <w:tcBorders>
              <w:top w:val="single" w:sz="12" w:space="0" w:color="auto"/>
              <w:left w:val="nil"/>
              <w:bottom w:val="nil"/>
              <w:right w:val="nil"/>
            </w:tcBorders>
          </w:tcPr>
          <w:p w14:paraId="55F616F8" w14:textId="77777777" w:rsidR="006B2096" w:rsidRPr="006B2096" w:rsidRDefault="006B2096" w:rsidP="000A65F7">
            <w:pPr>
              <w:jc w:val="center"/>
              <w:rPr>
                <w:rFonts w:asciiTheme="majorBidi" w:hAnsiTheme="majorBidi" w:cstheme="majorBidi"/>
                <w:color w:val="000000"/>
                <w:sz w:val="20"/>
              </w:rPr>
            </w:pPr>
            <w:r w:rsidRPr="006B2096">
              <w:rPr>
                <w:rFonts w:asciiTheme="majorBidi" w:hAnsiTheme="majorBidi" w:cstheme="majorBidi"/>
                <w:sz w:val="20"/>
              </w:rPr>
              <w:t>~ 2.8</w:t>
            </w:r>
          </w:p>
        </w:tc>
        <w:tc>
          <w:tcPr>
            <w:tcW w:w="948" w:type="dxa"/>
            <w:tcBorders>
              <w:top w:val="single" w:sz="12" w:space="0" w:color="auto"/>
              <w:left w:val="nil"/>
              <w:bottom w:val="nil"/>
              <w:right w:val="nil"/>
            </w:tcBorders>
            <w:shd w:val="clear" w:color="auto" w:fill="auto"/>
          </w:tcPr>
          <w:p w14:paraId="5CDBFC29"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r w:rsidRPr="006B2096">
              <w:rPr>
                <w:rFonts w:asciiTheme="majorBidi" w:hAnsiTheme="majorBidi" w:cstheme="majorBidi"/>
                <w:sz w:val="20"/>
              </w:rPr>
              <w:t>~ 21.3</w:t>
            </w:r>
          </w:p>
        </w:tc>
        <w:tc>
          <w:tcPr>
            <w:tcW w:w="469" w:type="dxa"/>
            <w:tcBorders>
              <w:top w:val="single" w:sz="12" w:space="0" w:color="auto"/>
              <w:left w:val="nil"/>
              <w:bottom w:val="nil"/>
              <w:right w:val="nil"/>
            </w:tcBorders>
            <w:shd w:val="clear" w:color="auto" w:fill="auto"/>
          </w:tcPr>
          <w:p w14:paraId="7E65A973" w14:textId="77777777" w:rsidR="006B2096" w:rsidRPr="006B2096" w:rsidRDefault="006B2096" w:rsidP="000A65F7">
            <w:pPr>
              <w:tabs>
                <w:tab w:val="left" w:pos="426"/>
                <w:tab w:val="left" w:pos="567"/>
              </w:tabs>
              <w:spacing w:line="360" w:lineRule="auto"/>
              <w:jc w:val="center"/>
              <w:rPr>
                <w:rFonts w:asciiTheme="majorBidi" w:hAnsiTheme="majorBidi" w:cstheme="majorBidi"/>
                <w:sz w:val="20"/>
              </w:rPr>
            </w:pPr>
          </w:p>
        </w:tc>
        <w:tc>
          <w:tcPr>
            <w:tcW w:w="851" w:type="dxa"/>
            <w:tcBorders>
              <w:top w:val="single" w:sz="12" w:space="0" w:color="auto"/>
              <w:left w:val="nil"/>
              <w:bottom w:val="nil"/>
              <w:right w:val="nil"/>
            </w:tcBorders>
            <w:shd w:val="clear" w:color="auto" w:fill="auto"/>
            <w:vAlign w:val="center"/>
          </w:tcPr>
          <w:p w14:paraId="1D22AAF3"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r w:rsidRPr="006B2096">
              <w:rPr>
                <w:rFonts w:asciiTheme="majorBidi" w:hAnsiTheme="majorBidi" w:cstheme="majorBidi"/>
                <w:sz w:val="20"/>
              </w:rPr>
              <w:t>~ 33.2</w:t>
            </w:r>
          </w:p>
        </w:tc>
        <w:tc>
          <w:tcPr>
            <w:tcW w:w="567" w:type="dxa"/>
            <w:tcBorders>
              <w:top w:val="single" w:sz="12" w:space="0" w:color="auto"/>
              <w:left w:val="nil"/>
              <w:bottom w:val="nil"/>
              <w:right w:val="nil"/>
            </w:tcBorders>
            <w:shd w:val="clear" w:color="auto" w:fill="auto"/>
            <w:vAlign w:val="center"/>
          </w:tcPr>
          <w:p w14:paraId="5604DDA7" w14:textId="77777777" w:rsidR="006B2096" w:rsidRPr="006B2096" w:rsidRDefault="006B2096" w:rsidP="000A65F7">
            <w:pPr>
              <w:tabs>
                <w:tab w:val="left" w:pos="426"/>
                <w:tab w:val="left" w:pos="567"/>
              </w:tabs>
              <w:spacing w:line="360" w:lineRule="auto"/>
              <w:jc w:val="center"/>
              <w:rPr>
                <w:rFonts w:asciiTheme="majorBidi" w:hAnsiTheme="majorBidi" w:cstheme="majorBidi"/>
                <w:sz w:val="20"/>
              </w:rPr>
            </w:pPr>
          </w:p>
        </w:tc>
        <w:tc>
          <w:tcPr>
            <w:tcW w:w="850" w:type="dxa"/>
            <w:tcBorders>
              <w:top w:val="single" w:sz="12" w:space="0" w:color="auto"/>
              <w:left w:val="nil"/>
              <w:bottom w:val="nil"/>
              <w:right w:val="nil"/>
            </w:tcBorders>
            <w:shd w:val="clear" w:color="auto" w:fill="auto"/>
            <w:vAlign w:val="center"/>
          </w:tcPr>
          <w:p w14:paraId="13B84469"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r w:rsidRPr="006B2096">
              <w:rPr>
                <w:rFonts w:asciiTheme="majorBidi" w:hAnsiTheme="majorBidi" w:cstheme="majorBidi"/>
                <w:sz w:val="20"/>
              </w:rPr>
              <w:t>~ 53.3</w:t>
            </w:r>
          </w:p>
        </w:tc>
      </w:tr>
      <w:tr w:rsidR="006B2096" w:rsidRPr="006B2096" w14:paraId="49D94884" w14:textId="77777777" w:rsidTr="000A65F7">
        <w:trPr>
          <w:trHeight w:val="20"/>
        </w:trPr>
        <w:tc>
          <w:tcPr>
            <w:tcW w:w="2444" w:type="dxa"/>
            <w:vMerge/>
            <w:tcBorders>
              <w:left w:val="nil"/>
              <w:right w:val="nil"/>
            </w:tcBorders>
            <w:vAlign w:val="center"/>
          </w:tcPr>
          <w:p w14:paraId="6ECE9CB1" w14:textId="77777777" w:rsidR="006B2096" w:rsidRPr="006B2096" w:rsidRDefault="006B2096" w:rsidP="000A65F7">
            <w:pPr>
              <w:tabs>
                <w:tab w:val="left" w:pos="426"/>
                <w:tab w:val="left" w:pos="567"/>
              </w:tabs>
              <w:spacing w:line="360" w:lineRule="auto"/>
              <w:rPr>
                <w:rFonts w:asciiTheme="majorBidi" w:hAnsiTheme="majorBidi" w:cstheme="majorBidi"/>
                <w:sz w:val="20"/>
              </w:rPr>
            </w:pPr>
          </w:p>
        </w:tc>
        <w:tc>
          <w:tcPr>
            <w:tcW w:w="2268" w:type="dxa"/>
            <w:gridSpan w:val="2"/>
            <w:tcBorders>
              <w:top w:val="nil"/>
              <w:left w:val="nil"/>
              <w:bottom w:val="nil"/>
              <w:right w:val="nil"/>
            </w:tcBorders>
          </w:tcPr>
          <w:p w14:paraId="075E13F0" w14:textId="77777777" w:rsidR="006B2096" w:rsidRPr="006B2096" w:rsidRDefault="006B2096" w:rsidP="000A65F7">
            <w:pPr>
              <w:rPr>
                <w:rFonts w:asciiTheme="majorBidi" w:hAnsiTheme="majorBidi" w:cstheme="majorBidi"/>
                <w:color w:val="000000"/>
                <w:sz w:val="20"/>
              </w:rPr>
            </w:pPr>
            <w:r w:rsidRPr="006B2096">
              <w:rPr>
                <w:rFonts w:asciiTheme="majorBidi" w:hAnsiTheme="majorBidi" w:cstheme="majorBidi"/>
                <w:sz w:val="20"/>
              </w:rPr>
              <w:t>pH</w:t>
            </w:r>
          </w:p>
        </w:tc>
        <w:tc>
          <w:tcPr>
            <w:tcW w:w="1134" w:type="dxa"/>
            <w:tcBorders>
              <w:top w:val="nil"/>
              <w:left w:val="nil"/>
              <w:bottom w:val="nil"/>
              <w:right w:val="nil"/>
            </w:tcBorders>
          </w:tcPr>
          <w:p w14:paraId="3F2F8560" w14:textId="77777777" w:rsidR="006B2096" w:rsidRPr="006B2096" w:rsidRDefault="006B2096" w:rsidP="000A65F7">
            <w:pPr>
              <w:jc w:val="center"/>
              <w:rPr>
                <w:rFonts w:asciiTheme="majorBidi" w:hAnsiTheme="majorBidi" w:cstheme="majorBidi"/>
                <w:color w:val="000000"/>
                <w:sz w:val="20"/>
              </w:rPr>
            </w:pPr>
            <w:r w:rsidRPr="006B2096">
              <w:rPr>
                <w:rFonts w:asciiTheme="majorBidi" w:hAnsiTheme="majorBidi" w:cstheme="majorBidi"/>
                <w:sz w:val="20"/>
              </w:rPr>
              <w:t>~ 5.74</w:t>
            </w:r>
          </w:p>
        </w:tc>
        <w:tc>
          <w:tcPr>
            <w:tcW w:w="948" w:type="dxa"/>
            <w:tcBorders>
              <w:top w:val="nil"/>
              <w:left w:val="nil"/>
              <w:bottom w:val="nil"/>
              <w:right w:val="nil"/>
            </w:tcBorders>
            <w:shd w:val="clear" w:color="auto" w:fill="auto"/>
          </w:tcPr>
          <w:p w14:paraId="1D1C8DA4"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r w:rsidRPr="006B2096">
              <w:rPr>
                <w:rFonts w:asciiTheme="majorBidi" w:hAnsiTheme="majorBidi" w:cstheme="majorBidi"/>
                <w:sz w:val="20"/>
              </w:rPr>
              <w:t>~ 5.37</w:t>
            </w:r>
          </w:p>
        </w:tc>
        <w:tc>
          <w:tcPr>
            <w:tcW w:w="469" w:type="dxa"/>
            <w:tcBorders>
              <w:top w:val="nil"/>
              <w:left w:val="nil"/>
              <w:bottom w:val="nil"/>
              <w:right w:val="nil"/>
            </w:tcBorders>
            <w:shd w:val="clear" w:color="auto" w:fill="auto"/>
          </w:tcPr>
          <w:p w14:paraId="6B729748" w14:textId="77777777" w:rsidR="006B2096" w:rsidRPr="006B2096" w:rsidRDefault="006B2096" w:rsidP="000A65F7">
            <w:pPr>
              <w:tabs>
                <w:tab w:val="left" w:pos="426"/>
                <w:tab w:val="left" w:pos="567"/>
              </w:tabs>
              <w:spacing w:line="360" w:lineRule="auto"/>
              <w:jc w:val="center"/>
              <w:rPr>
                <w:rFonts w:asciiTheme="majorBidi" w:hAnsiTheme="majorBidi" w:cstheme="majorBidi"/>
                <w:sz w:val="20"/>
              </w:rPr>
            </w:pPr>
          </w:p>
        </w:tc>
        <w:tc>
          <w:tcPr>
            <w:tcW w:w="851" w:type="dxa"/>
            <w:tcBorders>
              <w:top w:val="nil"/>
              <w:left w:val="nil"/>
              <w:bottom w:val="nil"/>
              <w:right w:val="nil"/>
            </w:tcBorders>
            <w:shd w:val="clear" w:color="auto" w:fill="auto"/>
            <w:vAlign w:val="center"/>
          </w:tcPr>
          <w:p w14:paraId="262282AB"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r w:rsidRPr="006B2096">
              <w:rPr>
                <w:rFonts w:asciiTheme="majorBidi" w:hAnsiTheme="majorBidi" w:cstheme="majorBidi"/>
                <w:sz w:val="20"/>
              </w:rPr>
              <w:t>~ 4.97</w:t>
            </w:r>
          </w:p>
        </w:tc>
        <w:tc>
          <w:tcPr>
            <w:tcW w:w="567" w:type="dxa"/>
            <w:tcBorders>
              <w:top w:val="nil"/>
              <w:left w:val="nil"/>
              <w:bottom w:val="nil"/>
              <w:right w:val="nil"/>
            </w:tcBorders>
            <w:shd w:val="clear" w:color="auto" w:fill="auto"/>
            <w:vAlign w:val="center"/>
          </w:tcPr>
          <w:p w14:paraId="14FBA7F9" w14:textId="77777777" w:rsidR="006B2096" w:rsidRPr="006B2096" w:rsidRDefault="006B2096" w:rsidP="000A65F7">
            <w:pPr>
              <w:tabs>
                <w:tab w:val="left" w:pos="426"/>
                <w:tab w:val="left" w:pos="567"/>
              </w:tabs>
              <w:spacing w:line="360" w:lineRule="auto"/>
              <w:jc w:val="center"/>
              <w:rPr>
                <w:rFonts w:asciiTheme="majorBidi" w:hAnsiTheme="majorBidi" w:cstheme="majorBidi"/>
                <w:sz w:val="20"/>
              </w:rPr>
            </w:pPr>
          </w:p>
        </w:tc>
        <w:tc>
          <w:tcPr>
            <w:tcW w:w="850" w:type="dxa"/>
            <w:tcBorders>
              <w:top w:val="nil"/>
              <w:left w:val="nil"/>
              <w:bottom w:val="nil"/>
              <w:right w:val="nil"/>
            </w:tcBorders>
            <w:shd w:val="clear" w:color="auto" w:fill="auto"/>
            <w:vAlign w:val="center"/>
          </w:tcPr>
          <w:p w14:paraId="1567CABC"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r w:rsidRPr="006B2096">
              <w:rPr>
                <w:rFonts w:asciiTheme="majorBidi" w:hAnsiTheme="majorBidi" w:cstheme="majorBidi"/>
                <w:sz w:val="20"/>
              </w:rPr>
              <w:t>~ 4.16</w:t>
            </w:r>
          </w:p>
        </w:tc>
      </w:tr>
      <w:tr w:rsidR="006B2096" w:rsidRPr="006B2096" w14:paraId="26556B08" w14:textId="77777777" w:rsidTr="000A65F7">
        <w:trPr>
          <w:trHeight w:val="184"/>
        </w:trPr>
        <w:tc>
          <w:tcPr>
            <w:tcW w:w="2444" w:type="dxa"/>
            <w:vMerge/>
            <w:tcBorders>
              <w:left w:val="nil"/>
              <w:right w:val="nil"/>
            </w:tcBorders>
            <w:vAlign w:val="center"/>
          </w:tcPr>
          <w:p w14:paraId="2FBFCEF7" w14:textId="77777777" w:rsidR="006B2096" w:rsidRPr="006B2096" w:rsidRDefault="006B2096" w:rsidP="000A65F7">
            <w:pPr>
              <w:tabs>
                <w:tab w:val="left" w:pos="426"/>
                <w:tab w:val="left" w:pos="567"/>
              </w:tabs>
              <w:spacing w:line="360" w:lineRule="auto"/>
              <w:rPr>
                <w:rFonts w:asciiTheme="majorBidi" w:hAnsiTheme="majorBidi" w:cstheme="majorBidi"/>
                <w:sz w:val="20"/>
              </w:rPr>
            </w:pPr>
          </w:p>
        </w:tc>
        <w:tc>
          <w:tcPr>
            <w:tcW w:w="2268" w:type="dxa"/>
            <w:gridSpan w:val="2"/>
            <w:tcBorders>
              <w:top w:val="nil"/>
              <w:left w:val="nil"/>
              <w:bottom w:val="single" w:sz="8" w:space="0" w:color="auto"/>
              <w:right w:val="nil"/>
            </w:tcBorders>
          </w:tcPr>
          <w:p w14:paraId="6C73997E" w14:textId="77777777" w:rsidR="006B2096" w:rsidRPr="006B2096" w:rsidRDefault="006B2096" w:rsidP="000A65F7">
            <w:pPr>
              <w:rPr>
                <w:rFonts w:asciiTheme="majorBidi" w:hAnsiTheme="majorBidi" w:cstheme="majorBidi"/>
                <w:color w:val="000000"/>
                <w:sz w:val="20"/>
              </w:rPr>
            </w:pPr>
            <w:r w:rsidRPr="006B2096">
              <w:rPr>
                <w:rFonts w:asciiTheme="majorBidi" w:hAnsiTheme="majorBidi" w:cstheme="majorBidi"/>
                <w:sz w:val="20"/>
              </w:rPr>
              <w:t>Moisture (wt.%)</w:t>
            </w:r>
          </w:p>
        </w:tc>
        <w:tc>
          <w:tcPr>
            <w:tcW w:w="1134" w:type="dxa"/>
            <w:tcBorders>
              <w:top w:val="nil"/>
              <w:left w:val="nil"/>
              <w:bottom w:val="single" w:sz="8" w:space="0" w:color="auto"/>
              <w:right w:val="nil"/>
            </w:tcBorders>
          </w:tcPr>
          <w:p w14:paraId="29D466B8" w14:textId="77777777" w:rsidR="006B2096" w:rsidRPr="006B2096" w:rsidRDefault="006B2096" w:rsidP="000A65F7">
            <w:pPr>
              <w:jc w:val="center"/>
              <w:rPr>
                <w:rFonts w:asciiTheme="majorBidi" w:hAnsiTheme="majorBidi" w:cstheme="majorBidi"/>
                <w:color w:val="000000"/>
                <w:sz w:val="20"/>
              </w:rPr>
            </w:pPr>
            <w:r w:rsidRPr="006B2096">
              <w:rPr>
                <w:rFonts w:asciiTheme="majorBidi" w:hAnsiTheme="majorBidi" w:cstheme="majorBidi"/>
                <w:sz w:val="20"/>
              </w:rPr>
              <w:t>~ 63.54</w:t>
            </w:r>
          </w:p>
        </w:tc>
        <w:tc>
          <w:tcPr>
            <w:tcW w:w="948" w:type="dxa"/>
            <w:tcBorders>
              <w:top w:val="nil"/>
              <w:left w:val="nil"/>
              <w:bottom w:val="single" w:sz="8" w:space="0" w:color="auto"/>
              <w:right w:val="nil"/>
            </w:tcBorders>
            <w:shd w:val="clear" w:color="auto" w:fill="auto"/>
          </w:tcPr>
          <w:p w14:paraId="547562B4"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p>
        </w:tc>
        <w:tc>
          <w:tcPr>
            <w:tcW w:w="469" w:type="dxa"/>
            <w:tcBorders>
              <w:top w:val="nil"/>
              <w:left w:val="nil"/>
              <w:bottom w:val="nil"/>
              <w:right w:val="nil"/>
            </w:tcBorders>
            <w:shd w:val="clear" w:color="auto" w:fill="auto"/>
            <w:vAlign w:val="center"/>
          </w:tcPr>
          <w:p w14:paraId="365886A2" w14:textId="77777777" w:rsidR="006B2096" w:rsidRPr="006B2096" w:rsidRDefault="006B2096" w:rsidP="000A65F7">
            <w:pPr>
              <w:tabs>
                <w:tab w:val="left" w:pos="426"/>
                <w:tab w:val="left" w:pos="567"/>
              </w:tabs>
              <w:spacing w:line="360" w:lineRule="auto"/>
              <w:jc w:val="center"/>
              <w:rPr>
                <w:rFonts w:asciiTheme="majorBidi" w:hAnsiTheme="majorBidi" w:cstheme="majorBidi"/>
                <w:sz w:val="20"/>
              </w:rPr>
            </w:pPr>
          </w:p>
        </w:tc>
        <w:tc>
          <w:tcPr>
            <w:tcW w:w="851" w:type="dxa"/>
            <w:tcBorders>
              <w:top w:val="nil"/>
              <w:left w:val="nil"/>
              <w:bottom w:val="nil"/>
              <w:right w:val="nil"/>
            </w:tcBorders>
            <w:shd w:val="clear" w:color="auto" w:fill="auto"/>
            <w:vAlign w:val="center"/>
          </w:tcPr>
          <w:p w14:paraId="7D31B643"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p>
        </w:tc>
        <w:tc>
          <w:tcPr>
            <w:tcW w:w="567" w:type="dxa"/>
            <w:tcBorders>
              <w:top w:val="nil"/>
              <w:left w:val="nil"/>
              <w:bottom w:val="nil"/>
              <w:right w:val="nil"/>
            </w:tcBorders>
            <w:shd w:val="clear" w:color="auto" w:fill="auto"/>
            <w:vAlign w:val="center"/>
          </w:tcPr>
          <w:p w14:paraId="772A1821" w14:textId="77777777" w:rsidR="006B2096" w:rsidRPr="006B2096" w:rsidRDefault="006B2096" w:rsidP="000A65F7">
            <w:pPr>
              <w:tabs>
                <w:tab w:val="left" w:pos="426"/>
                <w:tab w:val="left" w:pos="567"/>
              </w:tabs>
              <w:spacing w:line="360" w:lineRule="auto"/>
              <w:jc w:val="center"/>
              <w:rPr>
                <w:rFonts w:asciiTheme="majorBidi" w:hAnsiTheme="majorBidi" w:cstheme="majorBidi"/>
                <w:sz w:val="20"/>
              </w:rPr>
            </w:pPr>
          </w:p>
        </w:tc>
        <w:tc>
          <w:tcPr>
            <w:tcW w:w="850" w:type="dxa"/>
            <w:tcBorders>
              <w:top w:val="nil"/>
              <w:left w:val="nil"/>
              <w:bottom w:val="nil"/>
              <w:right w:val="nil"/>
            </w:tcBorders>
            <w:shd w:val="clear" w:color="auto" w:fill="auto"/>
            <w:vAlign w:val="center"/>
          </w:tcPr>
          <w:p w14:paraId="24ECAA7E"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p>
        </w:tc>
      </w:tr>
      <w:tr w:rsidR="006B2096" w:rsidRPr="006B2096" w14:paraId="3D60E3F3" w14:textId="77777777" w:rsidTr="000A65F7">
        <w:trPr>
          <w:trHeight w:val="20"/>
        </w:trPr>
        <w:tc>
          <w:tcPr>
            <w:tcW w:w="2444" w:type="dxa"/>
            <w:vMerge/>
            <w:tcBorders>
              <w:left w:val="nil"/>
              <w:right w:val="nil"/>
            </w:tcBorders>
            <w:vAlign w:val="center"/>
          </w:tcPr>
          <w:p w14:paraId="35F7E1C8" w14:textId="77777777" w:rsidR="006B2096" w:rsidRPr="006B2096" w:rsidRDefault="006B2096" w:rsidP="000A65F7">
            <w:pPr>
              <w:tabs>
                <w:tab w:val="left" w:pos="426"/>
                <w:tab w:val="left" w:pos="567"/>
              </w:tabs>
              <w:spacing w:line="360" w:lineRule="auto"/>
              <w:rPr>
                <w:rFonts w:asciiTheme="majorBidi" w:hAnsiTheme="majorBidi" w:cstheme="majorBidi"/>
                <w:sz w:val="20"/>
              </w:rPr>
            </w:pPr>
          </w:p>
        </w:tc>
        <w:tc>
          <w:tcPr>
            <w:tcW w:w="2126" w:type="dxa"/>
            <w:vMerge w:val="restart"/>
            <w:tcBorders>
              <w:top w:val="single" w:sz="8" w:space="0" w:color="auto"/>
              <w:left w:val="nil"/>
              <w:right w:val="nil"/>
            </w:tcBorders>
          </w:tcPr>
          <w:p w14:paraId="019D8143" w14:textId="77777777" w:rsidR="006B2096" w:rsidRPr="006B2096" w:rsidRDefault="006B2096" w:rsidP="000A65F7">
            <w:pPr>
              <w:rPr>
                <w:rFonts w:asciiTheme="majorBidi" w:hAnsiTheme="majorBidi" w:cstheme="majorBidi"/>
                <w:sz w:val="20"/>
              </w:rPr>
            </w:pPr>
          </w:p>
          <w:p w14:paraId="1274A562" w14:textId="77777777" w:rsidR="006B2096" w:rsidRPr="006B2096" w:rsidRDefault="006B2096" w:rsidP="000A65F7">
            <w:pPr>
              <w:rPr>
                <w:rFonts w:asciiTheme="majorBidi" w:hAnsiTheme="majorBidi" w:cstheme="majorBidi"/>
                <w:color w:val="000000"/>
                <w:sz w:val="20"/>
              </w:rPr>
            </w:pPr>
            <w:r w:rsidRPr="006B2096">
              <w:rPr>
                <w:rFonts w:asciiTheme="majorBidi" w:hAnsiTheme="majorBidi" w:cstheme="majorBidi"/>
                <w:sz w:val="20"/>
              </w:rPr>
              <w:t>Grain size (mm)</w:t>
            </w:r>
          </w:p>
        </w:tc>
        <w:tc>
          <w:tcPr>
            <w:tcW w:w="1276" w:type="dxa"/>
            <w:gridSpan w:val="2"/>
            <w:tcBorders>
              <w:top w:val="single" w:sz="8" w:space="0" w:color="auto"/>
              <w:left w:val="nil"/>
              <w:bottom w:val="nil"/>
              <w:right w:val="nil"/>
            </w:tcBorders>
          </w:tcPr>
          <w:p w14:paraId="1FF9635E" w14:textId="77777777" w:rsidR="006B2096" w:rsidRPr="006B2096" w:rsidRDefault="006B2096" w:rsidP="000A65F7">
            <w:pPr>
              <w:jc w:val="center"/>
              <w:rPr>
                <w:rFonts w:asciiTheme="majorBidi" w:hAnsiTheme="majorBidi" w:cstheme="majorBidi"/>
                <w:color w:val="000000"/>
                <w:sz w:val="20"/>
              </w:rPr>
            </w:pPr>
            <w:r w:rsidRPr="006B2096">
              <w:rPr>
                <w:rFonts w:asciiTheme="majorBidi" w:hAnsiTheme="majorBidi" w:cstheme="majorBidi"/>
                <w:sz w:val="20"/>
              </w:rPr>
              <w:t>D</w:t>
            </w:r>
            <w:r w:rsidRPr="006B2096">
              <w:rPr>
                <w:rFonts w:asciiTheme="majorBidi" w:hAnsiTheme="majorBidi" w:cstheme="majorBidi"/>
                <w:sz w:val="20"/>
                <w:vertAlign w:val="subscript"/>
              </w:rPr>
              <w:t>0.3</w:t>
            </w:r>
          </w:p>
        </w:tc>
        <w:tc>
          <w:tcPr>
            <w:tcW w:w="948" w:type="dxa"/>
            <w:tcBorders>
              <w:top w:val="single" w:sz="8" w:space="0" w:color="auto"/>
              <w:left w:val="nil"/>
              <w:bottom w:val="nil"/>
              <w:right w:val="nil"/>
            </w:tcBorders>
            <w:shd w:val="clear" w:color="auto" w:fill="auto"/>
          </w:tcPr>
          <w:p w14:paraId="3D65C60F"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r w:rsidRPr="006B2096">
              <w:rPr>
                <w:rFonts w:asciiTheme="majorBidi" w:hAnsiTheme="majorBidi" w:cstheme="majorBidi"/>
                <w:sz w:val="20"/>
              </w:rPr>
              <w:t xml:space="preserve">  0.4</w:t>
            </w:r>
          </w:p>
        </w:tc>
        <w:tc>
          <w:tcPr>
            <w:tcW w:w="469" w:type="dxa"/>
            <w:tcBorders>
              <w:top w:val="nil"/>
              <w:left w:val="nil"/>
              <w:bottom w:val="nil"/>
              <w:right w:val="nil"/>
            </w:tcBorders>
            <w:shd w:val="clear" w:color="auto" w:fill="auto"/>
            <w:vAlign w:val="center"/>
          </w:tcPr>
          <w:p w14:paraId="046BF26D" w14:textId="77777777" w:rsidR="006B2096" w:rsidRPr="006B2096" w:rsidRDefault="006B2096" w:rsidP="000A65F7">
            <w:pPr>
              <w:tabs>
                <w:tab w:val="left" w:pos="426"/>
                <w:tab w:val="left" w:pos="567"/>
              </w:tabs>
              <w:spacing w:line="360" w:lineRule="auto"/>
              <w:jc w:val="center"/>
              <w:rPr>
                <w:rFonts w:asciiTheme="majorBidi" w:hAnsiTheme="majorBidi" w:cstheme="majorBidi"/>
                <w:sz w:val="20"/>
              </w:rPr>
            </w:pPr>
          </w:p>
        </w:tc>
        <w:tc>
          <w:tcPr>
            <w:tcW w:w="851" w:type="dxa"/>
            <w:tcBorders>
              <w:top w:val="nil"/>
              <w:left w:val="nil"/>
              <w:bottom w:val="nil"/>
              <w:right w:val="nil"/>
            </w:tcBorders>
            <w:shd w:val="clear" w:color="auto" w:fill="auto"/>
            <w:vAlign w:val="center"/>
          </w:tcPr>
          <w:p w14:paraId="3C3FE79C"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p>
        </w:tc>
        <w:tc>
          <w:tcPr>
            <w:tcW w:w="567" w:type="dxa"/>
            <w:tcBorders>
              <w:top w:val="nil"/>
              <w:left w:val="nil"/>
              <w:bottom w:val="nil"/>
              <w:right w:val="nil"/>
            </w:tcBorders>
            <w:shd w:val="clear" w:color="auto" w:fill="auto"/>
            <w:vAlign w:val="center"/>
          </w:tcPr>
          <w:p w14:paraId="7AA5255C" w14:textId="77777777" w:rsidR="006B2096" w:rsidRPr="006B2096" w:rsidRDefault="006B2096" w:rsidP="000A65F7">
            <w:pPr>
              <w:tabs>
                <w:tab w:val="left" w:pos="426"/>
                <w:tab w:val="left" w:pos="567"/>
              </w:tabs>
              <w:spacing w:line="360" w:lineRule="auto"/>
              <w:jc w:val="center"/>
              <w:rPr>
                <w:rFonts w:asciiTheme="majorBidi" w:hAnsiTheme="majorBidi" w:cstheme="majorBidi"/>
                <w:sz w:val="20"/>
              </w:rPr>
            </w:pPr>
          </w:p>
        </w:tc>
        <w:tc>
          <w:tcPr>
            <w:tcW w:w="850" w:type="dxa"/>
            <w:tcBorders>
              <w:top w:val="nil"/>
              <w:left w:val="nil"/>
              <w:bottom w:val="nil"/>
              <w:right w:val="nil"/>
            </w:tcBorders>
            <w:shd w:val="clear" w:color="auto" w:fill="auto"/>
            <w:vAlign w:val="center"/>
          </w:tcPr>
          <w:p w14:paraId="2C972486"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p>
        </w:tc>
      </w:tr>
      <w:tr w:rsidR="006B2096" w:rsidRPr="006B2096" w14:paraId="3624A5A7" w14:textId="77777777" w:rsidTr="000A65F7">
        <w:trPr>
          <w:trHeight w:val="20"/>
        </w:trPr>
        <w:tc>
          <w:tcPr>
            <w:tcW w:w="2444" w:type="dxa"/>
            <w:vMerge/>
            <w:tcBorders>
              <w:left w:val="nil"/>
              <w:right w:val="nil"/>
            </w:tcBorders>
            <w:vAlign w:val="center"/>
          </w:tcPr>
          <w:p w14:paraId="4915AEC1" w14:textId="77777777" w:rsidR="006B2096" w:rsidRPr="006B2096" w:rsidRDefault="006B2096" w:rsidP="000A65F7">
            <w:pPr>
              <w:tabs>
                <w:tab w:val="left" w:pos="426"/>
                <w:tab w:val="left" w:pos="567"/>
              </w:tabs>
              <w:spacing w:line="360" w:lineRule="auto"/>
              <w:rPr>
                <w:rFonts w:asciiTheme="majorBidi" w:hAnsiTheme="majorBidi" w:cstheme="majorBidi"/>
                <w:sz w:val="20"/>
              </w:rPr>
            </w:pPr>
          </w:p>
        </w:tc>
        <w:tc>
          <w:tcPr>
            <w:tcW w:w="2126" w:type="dxa"/>
            <w:vMerge/>
            <w:tcBorders>
              <w:left w:val="nil"/>
              <w:right w:val="nil"/>
            </w:tcBorders>
          </w:tcPr>
          <w:p w14:paraId="5FDDF4E8" w14:textId="77777777" w:rsidR="006B2096" w:rsidRPr="006B2096" w:rsidRDefault="006B2096" w:rsidP="000A65F7">
            <w:pPr>
              <w:rPr>
                <w:rFonts w:asciiTheme="majorBidi" w:hAnsiTheme="majorBidi" w:cstheme="majorBidi"/>
                <w:color w:val="000000"/>
                <w:sz w:val="20"/>
              </w:rPr>
            </w:pPr>
          </w:p>
        </w:tc>
        <w:tc>
          <w:tcPr>
            <w:tcW w:w="1276" w:type="dxa"/>
            <w:gridSpan w:val="2"/>
            <w:tcBorders>
              <w:top w:val="nil"/>
              <w:left w:val="nil"/>
              <w:bottom w:val="nil"/>
              <w:right w:val="nil"/>
            </w:tcBorders>
          </w:tcPr>
          <w:p w14:paraId="61095D78" w14:textId="77777777" w:rsidR="006B2096" w:rsidRPr="006B2096" w:rsidRDefault="006B2096" w:rsidP="000A65F7">
            <w:pPr>
              <w:jc w:val="center"/>
              <w:rPr>
                <w:rFonts w:asciiTheme="majorBidi" w:hAnsiTheme="majorBidi" w:cstheme="majorBidi"/>
                <w:color w:val="000000"/>
                <w:sz w:val="20"/>
              </w:rPr>
            </w:pPr>
            <w:r w:rsidRPr="006B2096">
              <w:rPr>
                <w:rFonts w:asciiTheme="majorBidi" w:hAnsiTheme="majorBidi" w:cstheme="majorBidi"/>
                <w:sz w:val="20"/>
              </w:rPr>
              <w:t xml:space="preserve">   D</w:t>
            </w:r>
            <w:r w:rsidRPr="006B2096">
              <w:rPr>
                <w:rFonts w:asciiTheme="majorBidi" w:hAnsiTheme="majorBidi" w:cstheme="majorBidi"/>
                <w:sz w:val="20"/>
                <w:vertAlign w:val="subscript"/>
              </w:rPr>
              <w:t>0.4-1</w:t>
            </w:r>
          </w:p>
        </w:tc>
        <w:tc>
          <w:tcPr>
            <w:tcW w:w="948" w:type="dxa"/>
            <w:tcBorders>
              <w:top w:val="nil"/>
              <w:left w:val="nil"/>
              <w:bottom w:val="nil"/>
              <w:right w:val="nil"/>
            </w:tcBorders>
            <w:shd w:val="clear" w:color="auto" w:fill="auto"/>
          </w:tcPr>
          <w:p w14:paraId="3F53A1BB"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r w:rsidRPr="006B2096">
              <w:rPr>
                <w:rFonts w:asciiTheme="majorBidi" w:hAnsiTheme="majorBidi" w:cstheme="majorBidi"/>
                <w:sz w:val="20"/>
              </w:rPr>
              <w:t>82</w:t>
            </w:r>
          </w:p>
        </w:tc>
        <w:tc>
          <w:tcPr>
            <w:tcW w:w="469" w:type="dxa"/>
            <w:tcBorders>
              <w:top w:val="nil"/>
              <w:left w:val="nil"/>
              <w:bottom w:val="nil"/>
              <w:right w:val="nil"/>
            </w:tcBorders>
            <w:shd w:val="clear" w:color="auto" w:fill="auto"/>
            <w:vAlign w:val="center"/>
          </w:tcPr>
          <w:p w14:paraId="0670544F" w14:textId="77777777" w:rsidR="006B2096" w:rsidRPr="006B2096" w:rsidRDefault="006B2096" w:rsidP="000A65F7">
            <w:pPr>
              <w:tabs>
                <w:tab w:val="left" w:pos="426"/>
                <w:tab w:val="left" w:pos="567"/>
              </w:tabs>
              <w:spacing w:line="360" w:lineRule="auto"/>
              <w:jc w:val="center"/>
              <w:rPr>
                <w:rFonts w:asciiTheme="majorBidi" w:hAnsiTheme="majorBidi" w:cstheme="majorBidi"/>
                <w:sz w:val="20"/>
              </w:rPr>
            </w:pPr>
          </w:p>
        </w:tc>
        <w:tc>
          <w:tcPr>
            <w:tcW w:w="851" w:type="dxa"/>
            <w:tcBorders>
              <w:top w:val="nil"/>
              <w:left w:val="nil"/>
              <w:bottom w:val="nil"/>
              <w:right w:val="nil"/>
            </w:tcBorders>
            <w:shd w:val="clear" w:color="auto" w:fill="auto"/>
            <w:vAlign w:val="center"/>
          </w:tcPr>
          <w:p w14:paraId="1E5F1838"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p>
        </w:tc>
        <w:tc>
          <w:tcPr>
            <w:tcW w:w="567" w:type="dxa"/>
            <w:tcBorders>
              <w:top w:val="nil"/>
              <w:left w:val="nil"/>
              <w:bottom w:val="nil"/>
              <w:right w:val="nil"/>
            </w:tcBorders>
            <w:shd w:val="clear" w:color="auto" w:fill="auto"/>
            <w:vAlign w:val="center"/>
          </w:tcPr>
          <w:p w14:paraId="4130D4B1" w14:textId="77777777" w:rsidR="006B2096" w:rsidRPr="006B2096" w:rsidRDefault="006B2096" w:rsidP="000A65F7">
            <w:pPr>
              <w:tabs>
                <w:tab w:val="left" w:pos="426"/>
                <w:tab w:val="left" w:pos="567"/>
              </w:tabs>
              <w:spacing w:line="360" w:lineRule="auto"/>
              <w:jc w:val="center"/>
              <w:rPr>
                <w:rFonts w:asciiTheme="majorBidi" w:hAnsiTheme="majorBidi" w:cstheme="majorBidi"/>
                <w:sz w:val="20"/>
              </w:rPr>
            </w:pPr>
          </w:p>
        </w:tc>
        <w:tc>
          <w:tcPr>
            <w:tcW w:w="850" w:type="dxa"/>
            <w:tcBorders>
              <w:top w:val="nil"/>
              <w:left w:val="nil"/>
              <w:bottom w:val="nil"/>
              <w:right w:val="nil"/>
            </w:tcBorders>
            <w:shd w:val="clear" w:color="auto" w:fill="auto"/>
            <w:vAlign w:val="center"/>
          </w:tcPr>
          <w:p w14:paraId="095C548F"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p>
        </w:tc>
      </w:tr>
      <w:tr w:rsidR="006B2096" w:rsidRPr="006B2096" w14:paraId="3E411832" w14:textId="77777777" w:rsidTr="000A65F7">
        <w:trPr>
          <w:trHeight w:val="144"/>
        </w:trPr>
        <w:tc>
          <w:tcPr>
            <w:tcW w:w="2444" w:type="dxa"/>
            <w:vMerge/>
            <w:tcBorders>
              <w:left w:val="nil"/>
              <w:bottom w:val="single" w:sz="12" w:space="0" w:color="000000"/>
              <w:right w:val="nil"/>
            </w:tcBorders>
            <w:vAlign w:val="center"/>
          </w:tcPr>
          <w:p w14:paraId="36F3B7E2" w14:textId="77777777" w:rsidR="006B2096" w:rsidRPr="006B2096" w:rsidRDefault="006B2096" w:rsidP="000A65F7">
            <w:pPr>
              <w:tabs>
                <w:tab w:val="left" w:pos="426"/>
                <w:tab w:val="left" w:pos="567"/>
              </w:tabs>
              <w:spacing w:line="360" w:lineRule="auto"/>
              <w:rPr>
                <w:rFonts w:asciiTheme="majorBidi" w:hAnsiTheme="majorBidi" w:cstheme="majorBidi"/>
                <w:sz w:val="20"/>
              </w:rPr>
            </w:pPr>
          </w:p>
        </w:tc>
        <w:tc>
          <w:tcPr>
            <w:tcW w:w="2126" w:type="dxa"/>
            <w:vMerge/>
            <w:tcBorders>
              <w:left w:val="nil"/>
              <w:bottom w:val="single" w:sz="12" w:space="0" w:color="000000"/>
              <w:right w:val="nil"/>
            </w:tcBorders>
          </w:tcPr>
          <w:p w14:paraId="3EE22621" w14:textId="77777777" w:rsidR="006B2096" w:rsidRPr="006B2096" w:rsidRDefault="006B2096" w:rsidP="000A65F7">
            <w:pPr>
              <w:rPr>
                <w:rFonts w:asciiTheme="majorBidi" w:hAnsiTheme="majorBidi" w:cstheme="majorBidi"/>
                <w:color w:val="000000"/>
                <w:sz w:val="20"/>
              </w:rPr>
            </w:pPr>
          </w:p>
        </w:tc>
        <w:tc>
          <w:tcPr>
            <w:tcW w:w="1276" w:type="dxa"/>
            <w:gridSpan w:val="2"/>
            <w:tcBorders>
              <w:top w:val="nil"/>
              <w:left w:val="nil"/>
              <w:bottom w:val="single" w:sz="12" w:space="0" w:color="000000"/>
              <w:right w:val="nil"/>
            </w:tcBorders>
          </w:tcPr>
          <w:p w14:paraId="04DD8F57" w14:textId="77777777" w:rsidR="006B2096" w:rsidRPr="006B2096" w:rsidRDefault="006B2096" w:rsidP="000A65F7">
            <w:pPr>
              <w:jc w:val="center"/>
              <w:rPr>
                <w:rFonts w:asciiTheme="majorBidi" w:hAnsiTheme="majorBidi" w:cstheme="majorBidi"/>
                <w:color w:val="000000"/>
                <w:sz w:val="20"/>
              </w:rPr>
            </w:pPr>
            <w:r w:rsidRPr="006B2096">
              <w:rPr>
                <w:rFonts w:asciiTheme="majorBidi" w:hAnsiTheme="majorBidi" w:cstheme="majorBidi"/>
                <w:sz w:val="20"/>
              </w:rPr>
              <w:t xml:space="preserve">  D</w:t>
            </w:r>
            <w:r w:rsidRPr="006B2096">
              <w:rPr>
                <w:rFonts w:asciiTheme="majorBidi" w:hAnsiTheme="majorBidi" w:cstheme="majorBidi"/>
                <w:sz w:val="20"/>
                <w:vertAlign w:val="subscript"/>
              </w:rPr>
              <w:t>1.25</w:t>
            </w:r>
          </w:p>
        </w:tc>
        <w:tc>
          <w:tcPr>
            <w:tcW w:w="948" w:type="dxa"/>
            <w:tcBorders>
              <w:top w:val="nil"/>
              <w:left w:val="nil"/>
              <w:bottom w:val="single" w:sz="12" w:space="0" w:color="000000"/>
              <w:right w:val="nil"/>
            </w:tcBorders>
            <w:shd w:val="clear" w:color="auto" w:fill="auto"/>
          </w:tcPr>
          <w:p w14:paraId="42D0BDCB"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r w:rsidRPr="006B2096">
              <w:rPr>
                <w:rFonts w:asciiTheme="majorBidi" w:hAnsiTheme="majorBidi" w:cstheme="majorBidi"/>
                <w:sz w:val="20"/>
              </w:rPr>
              <w:t xml:space="preserve"> 5</w:t>
            </w:r>
          </w:p>
        </w:tc>
        <w:tc>
          <w:tcPr>
            <w:tcW w:w="469" w:type="dxa"/>
            <w:tcBorders>
              <w:top w:val="nil"/>
              <w:left w:val="nil"/>
              <w:bottom w:val="single" w:sz="12" w:space="0" w:color="000000"/>
              <w:right w:val="nil"/>
            </w:tcBorders>
            <w:shd w:val="clear" w:color="auto" w:fill="auto"/>
            <w:vAlign w:val="center"/>
          </w:tcPr>
          <w:p w14:paraId="5D0DEFA2" w14:textId="77777777" w:rsidR="006B2096" w:rsidRPr="006B2096" w:rsidRDefault="006B2096" w:rsidP="000A65F7">
            <w:pPr>
              <w:tabs>
                <w:tab w:val="left" w:pos="426"/>
                <w:tab w:val="left" w:pos="567"/>
              </w:tabs>
              <w:spacing w:line="360" w:lineRule="auto"/>
              <w:jc w:val="center"/>
              <w:rPr>
                <w:rFonts w:asciiTheme="majorBidi" w:hAnsiTheme="majorBidi" w:cstheme="majorBidi"/>
                <w:sz w:val="20"/>
              </w:rPr>
            </w:pPr>
          </w:p>
        </w:tc>
        <w:tc>
          <w:tcPr>
            <w:tcW w:w="851" w:type="dxa"/>
            <w:tcBorders>
              <w:top w:val="nil"/>
              <w:left w:val="nil"/>
              <w:bottom w:val="single" w:sz="12" w:space="0" w:color="000000"/>
              <w:right w:val="nil"/>
            </w:tcBorders>
            <w:shd w:val="clear" w:color="auto" w:fill="auto"/>
            <w:vAlign w:val="center"/>
          </w:tcPr>
          <w:p w14:paraId="7AAF005A"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p>
        </w:tc>
        <w:tc>
          <w:tcPr>
            <w:tcW w:w="567" w:type="dxa"/>
            <w:tcBorders>
              <w:top w:val="nil"/>
              <w:left w:val="nil"/>
              <w:bottom w:val="single" w:sz="12" w:space="0" w:color="000000"/>
              <w:right w:val="nil"/>
            </w:tcBorders>
            <w:shd w:val="clear" w:color="auto" w:fill="auto"/>
            <w:vAlign w:val="center"/>
          </w:tcPr>
          <w:p w14:paraId="26AD691E" w14:textId="77777777" w:rsidR="006B2096" w:rsidRPr="006B2096" w:rsidRDefault="006B2096" w:rsidP="000A65F7">
            <w:pPr>
              <w:tabs>
                <w:tab w:val="left" w:pos="426"/>
                <w:tab w:val="left" w:pos="567"/>
              </w:tabs>
              <w:spacing w:line="360" w:lineRule="auto"/>
              <w:jc w:val="center"/>
              <w:rPr>
                <w:rFonts w:asciiTheme="majorBidi" w:hAnsiTheme="majorBidi" w:cstheme="majorBidi"/>
                <w:sz w:val="20"/>
              </w:rPr>
            </w:pPr>
          </w:p>
        </w:tc>
        <w:tc>
          <w:tcPr>
            <w:tcW w:w="850" w:type="dxa"/>
            <w:tcBorders>
              <w:top w:val="nil"/>
              <w:left w:val="nil"/>
              <w:bottom w:val="single" w:sz="12" w:space="0" w:color="000000"/>
              <w:right w:val="nil"/>
            </w:tcBorders>
            <w:shd w:val="clear" w:color="auto" w:fill="auto"/>
            <w:vAlign w:val="center"/>
          </w:tcPr>
          <w:p w14:paraId="65A67771" w14:textId="77777777" w:rsidR="006B2096" w:rsidRPr="006B2096" w:rsidRDefault="006B2096" w:rsidP="000A65F7">
            <w:pPr>
              <w:tabs>
                <w:tab w:val="left" w:pos="426"/>
                <w:tab w:val="left" w:pos="567"/>
              </w:tabs>
              <w:spacing w:line="360" w:lineRule="auto"/>
              <w:jc w:val="center"/>
              <w:rPr>
                <w:rFonts w:asciiTheme="majorBidi" w:hAnsiTheme="majorBidi" w:cstheme="majorBidi"/>
                <w:color w:val="000000"/>
                <w:sz w:val="20"/>
              </w:rPr>
            </w:pPr>
          </w:p>
        </w:tc>
      </w:tr>
    </w:tbl>
    <w:p w14:paraId="14F38831" w14:textId="77777777" w:rsidR="006B2096" w:rsidRDefault="006B2096" w:rsidP="006F47EE">
      <w:pPr>
        <w:pStyle w:val="Titre3"/>
        <w:numPr>
          <w:ilvl w:val="1"/>
          <w:numId w:val="12"/>
        </w:numPr>
      </w:pPr>
      <w:bookmarkStart w:id="9" w:name="_Toc75361695"/>
      <w:r>
        <w:t>Chemical stability of the elaborated packages</w:t>
      </w:r>
      <w:bookmarkEnd w:id="9"/>
    </w:p>
    <w:p w14:paraId="1983248D" w14:textId="14BFE0E6" w:rsidR="006B2096" w:rsidRDefault="006B2096" w:rsidP="001722EC">
      <w:pPr>
        <w:spacing w:line="276" w:lineRule="auto"/>
        <w:ind w:firstLine="567"/>
        <w:jc w:val="both"/>
        <w:rPr>
          <w:sz w:val="20"/>
        </w:rPr>
      </w:pPr>
      <w:r w:rsidRPr="006B2096">
        <w:rPr>
          <w:b/>
          <w:bCs/>
          <w:sz w:val="20"/>
        </w:rPr>
        <w:t>Fig.2</w:t>
      </w:r>
      <w:r>
        <w:rPr>
          <w:sz w:val="20"/>
        </w:rPr>
        <w:t xml:space="preserve"> </w:t>
      </w:r>
      <w:r w:rsidRPr="006B2096">
        <w:rPr>
          <w:sz w:val="20"/>
        </w:rPr>
        <w:t>presents the visual appearance of packages immersed under DI water for 3 months. Packages prepared with the un-calcined UPS presented a better performance and desired features of durability after immersion test, in comparison to the packages prepared with MK (</w:t>
      </w:r>
      <w:r w:rsidRPr="006064EB">
        <w:rPr>
          <w:b/>
          <w:bCs/>
          <w:sz w:val="20"/>
        </w:rPr>
        <w:t>Fig.</w:t>
      </w:r>
      <w:r w:rsidR="006064EB" w:rsidRPr="006064EB">
        <w:rPr>
          <w:b/>
          <w:bCs/>
          <w:sz w:val="20"/>
        </w:rPr>
        <w:t>2</w:t>
      </w:r>
      <w:r w:rsidRPr="006064EB">
        <w:rPr>
          <w:b/>
          <w:bCs/>
          <w:sz w:val="20"/>
        </w:rPr>
        <w:t>A</w:t>
      </w:r>
      <w:r w:rsidRPr="006B2096">
        <w:rPr>
          <w:sz w:val="20"/>
        </w:rPr>
        <w:t>); this suggests that the presence of UPS particles were favourable for IERs retention under the</w:t>
      </w:r>
      <w:r w:rsidRPr="006B2096">
        <w:rPr>
          <w:b/>
          <w:caps/>
          <w:sz w:val="20"/>
        </w:rPr>
        <w:t xml:space="preserve"> n</w:t>
      </w:r>
      <w:r w:rsidRPr="006B2096">
        <w:rPr>
          <w:sz w:val="20"/>
        </w:rPr>
        <w:t xml:space="preserve">eutral nature. A possible reason for this could be that the UPS is actively involved in chemical reactions or a lower sensitivity under immersion ID water associated with its coarser particles. However, up to 50 wt.% of the un-calcined UPS, the packages exhibit higher amount of visual appearance heterogeneity contain relatively larger pores on the exterior surface; this was mostly ascribed to their higher </w:t>
      </w:r>
      <w:proofErr w:type="gramStart"/>
      <w:r w:rsidRPr="006B2096">
        <w:rPr>
          <w:sz w:val="20"/>
        </w:rPr>
        <w:t>amount</w:t>
      </w:r>
      <w:proofErr w:type="gramEnd"/>
      <w:r w:rsidRPr="006B2096">
        <w:rPr>
          <w:sz w:val="20"/>
        </w:rPr>
        <w:t xml:space="preserve"> of impurities and unreacted particles of the UPS.</w:t>
      </w:r>
    </w:p>
    <w:p w14:paraId="1248592A" w14:textId="40C5A76B" w:rsidR="00DD12C3" w:rsidRDefault="00DD12C3" w:rsidP="001722EC">
      <w:pPr>
        <w:tabs>
          <w:tab w:val="left" w:pos="1155"/>
        </w:tabs>
        <w:spacing w:line="276" w:lineRule="auto"/>
        <w:ind w:firstLine="284"/>
        <w:jc w:val="both"/>
        <w:rPr>
          <w:sz w:val="20"/>
        </w:rPr>
      </w:pPr>
      <w:r w:rsidRPr="00DD12C3">
        <w:rPr>
          <w:sz w:val="20"/>
        </w:rPr>
        <w:t>Resuming the photograph of the packages with different concentration of the IER wastes, it appears that the addition of the resin beads has to positive influence on the durability indicators, while significant cracks and superficial deterioration were visually severe on the package with 15 wt.% (</w:t>
      </w:r>
      <w:r w:rsidRPr="00DD12C3">
        <w:rPr>
          <w:b/>
          <w:bCs/>
          <w:sz w:val="20"/>
        </w:rPr>
        <w:t>Fig.2B</w:t>
      </w:r>
      <w:r w:rsidRPr="00DD12C3">
        <w:rPr>
          <w:sz w:val="20"/>
        </w:rPr>
        <w:t xml:space="preserve">). As expected by visual examination, the introduction of the resin beads with different particle sizes as an addition to the geopolymer formulation allows reducing the apparent porosity of the elaborated package. </w:t>
      </w:r>
    </w:p>
    <w:p w14:paraId="79B4943A" w14:textId="77777777" w:rsidR="001722EC" w:rsidRPr="00DD12C3" w:rsidRDefault="001722EC" w:rsidP="001722EC">
      <w:pPr>
        <w:tabs>
          <w:tab w:val="left" w:pos="1155"/>
        </w:tabs>
        <w:spacing w:line="276" w:lineRule="auto"/>
        <w:ind w:firstLine="284"/>
        <w:jc w:val="both"/>
        <w:rPr>
          <w:sz w:val="20"/>
        </w:rPr>
      </w:pPr>
    </w:p>
    <w:p w14:paraId="40B2668C" w14:textId="75593C2F" w:rsidR="006064EB" w:rsidRDefault="00DD12C3" w:rsidP="00DD12C3">
      <w:pPr>
        <w:tabs>
          <w:tab w:val="left" w:pos="1155"/>
        </w:tabs>
        <w:spacing w:line="360" w:lineRule="auto"/>
        <w:ind w:left="-142"/>
        <w:jc w:val="center"/>
        <w:rPr>
          <w:rFonts w:asciiTheme="majorBidi" w:hAnsiTheme="majorBidi" w:cstheme="majorBidi"/>
          <w:sz w:val="24"/>
          <w:szCs w:val="24"/>
        </w:rPr>
      </w:pPr>
      <w:r w:rsidRPr="00DD12C3">
        <w:rPr>
          <w:noProof/>
        </w:rPr>
        <w:lastRenderedPageBreak/>
        <w:drawing>
          <wp:inline distT="0" distB="0" distL="0" distR="0" wp14:anchorId="5CB3685E" wp14:editId="086B8CF3">
            <wp:extent cx="4716104" cy="2916000"/>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63" r="2626" b="1890"/>
                    <a:stretch/>
                  </pic:blipFill>
                  <pic:spPr bwMode="auto">
                    <a:xfrm>
                      <a:off x="0" y="0"/>
                      <a:ext cx="4716104" cy="2916000"/>
                    </a:xfrm>
                    <a:prstGeom prst="rect">
                      <a:avLst/>
                    </a:prstGeom>
                    <a:noFill/>
                    <a:ln>
                      <a:noFill/>
                    </a:ln>
                    <a:extLst>
                      <a:ext uri="{53640926-AAD7-44D8-BBD7-CCE9431645EC}">
                        <a14:shadowObscured xmlns:a14="http://schemas.microsoft.com/office/drawing/2010/main"/>
                      </a:ext>
                    </a:extLst>
                  </pic:spPr>
                </pic:pic>
              </a:graphicData>
            </a:graphic>
          </wp:inline>
        </w:drawing>
      </w:r>
    </w:p>
    <w:p w14:paraId="78554D19" w14:textId="5C5BE791" w:rsidR="00DD12C3" w:rsidRPr="005226EA" w:rsidRDefault="005226EA" w:rsidP="001722EC">
      <w:pPr>
        <w:pStyle w:val="H-Fig"/>
        <w:numPr>
          <w:ilvl w:val="0"/>
          <w:numId w:val="0"/>
        </w:numPr>
        <w:spacing w:line="276" w:lineRule="auto"/>
        <w:ind w:left="1288" w:hanging="360"/>
        <w:jc w:val="left"/>
        <w:rPr>
          <w:i/>
          <w:iCs/>
          <w:sz w:val="18"/>
          <w:szCs w:val="18"/>
        </w:rPr>
      </w:pPr>
      <w:bookmarkStart w:id="10" w:name="_Toc75344302"/>
      <w:r w:rsidRPr="005226EA">
        <w:rPr>
          <w:b/>
          <w:bCs/>
          <w:i/>
          <w:iCs/>
          <w:sz w:val="18"/>
          <w:szCs w:val="18"/>
        </w:rPr>
        <w:t>FIG.</w:t>
      </w:r>
      <w:r w:rsidR="00BD25CD">
        <w:rPr>
          <w:b/>
          <w:bCs/>
          <w:i/>
          <w:iCs/>
          <w:sz w:val="18"/>
          <w:szCs w:val="18"/>
        </w:rPr>
        <w:t xml:space="preserve"> </w:t>
      </w:r>
      <w:r w:rsidR="00FF6772">
        <w:rPr>
          <w:b/>
          <w:bCs/>
          <w:i/>
          <w:iCs/>
          <w:sz w:val="18"/>
          <w:szCs w:val="18"/>
        </w:rPr>
        <w:t>2.</w:t>
      </w:r>
      <w:r w:rsidRPr="005226EA">
        <w:rPr>
          <w:i/>
          <w:iCs/>
          <w:sz w:val="18"/>
          <w:szCs w:val="18"/>
        </w:rPr>
        <w:t xml:space="preserve"> </w:t>
      </w:r>
      <w:r w:rsidR="00DD12C3" w:rsidRPr="005226EA">
        <w:rPr>
          <w:i/>
          <w:iCs/>
          <w:sz w:val="18"/>
          <w:szCs w:val="18"/>
        </w:rPr>
        <w:t xml:space="preserve">Geopolymer packages after immersion in DI water for 3 months: </w:t>
      </w:r>
      <w:r w:rsidR="00DD12C3" w:rsidRPr="005226EA">
        <w:rPr>
          <w:b/>
          <w:bCs/>
          <w:i/>
          <w:iCs/>
          <w:sz w:val="18"/>
          <w:szCs w:val="18"/>
        </w:rPr>
        <w:t>A</w:t>
      </w:r>
      <w:r w:rsidR="00DD12C3" w:rsidRPr="005226EA">
        <w:rPr>
          <w:i/>
          <w:iCs/>
          <w:sz w:val="18"/>
          <w:szCs w:val="18"/>
        </w:rPr>
        <w:t xml:space="preserve">. effect of un-calcinated phosphate sludge (UPS), </w:t>
      </w:r>
      <w:r w:rsidR="00DD12C3" w:rsidRPr="005226EA">
        <w:rPr>
          <w:b/>
          <w:bCs/>
          <w:i/>
          <w:iCs/>
          <w:sz w:val="18"/>
          <w:szCs w:val="18"/>
        </w:rPr>
        <w:t>B</w:t>
      </w:r>
      <w:r w:rsidR="00DD12C3" w:rsidRPr="005226EA">
        <w:rPr>
          <w:i/>
          <w:iCs/>
          <w:sz w:val="18"/>
          <w:szCs w:val="18"/>
        </w:rPr>
        <w:t>. effect of Non-radioactive Resins (NR).</w:t>
      </w:r>
      <w:bookmarkEnd w:id="10"/>
    </w:p>
    <w:p w14:paraId="7D4A0C5C" w14:textId="77777777" w:rsidR="008072F5" w:rsidRPr="004F767B" w:rsidRDefault="008072F5" w:rsidP="006F47EE">
      <w:pPr>
        <w:pStyle w:val="Titre3"/>
        <w:numPr>
          <w:ilvl w:val="1"/>
          <w:numId w:val="12"/>
        </w:numPr>
      </w:pPr>
      <w:bookmarkStart w:id="11" w:name="_Toc75361696"/>
      <w:r w:rsidRPr="004F767B">
        <w:t>Compressive strength of solidified geopolymer packages</w:t>
      </w:r>
      <w:bookmarkEnd w:id="11"/>
    </w:p>
    <w:p w14:paraId="2C533595" w14:textId="59DCAC8B" w:rsidR="008072F5" w:rsidRPr="008072F5" w:rsidRDefault="008072F5" w:rsidP="001722EC">
      <w:pPr>
        <w:spacing w:line="276" w:lineRule="auto"/>
        <w:ind w:firstLine="567"/>
        <w:jc w:val="both"/>
        <w:rPr>
          <w:rFonts w:asciiTheme="majorBidi" w:hAnsiTheme="majorBidi" w:cstheme="majorBidi"/>
          <w:sz w:val="20"/>
        </w:rPr>
      </w:pPr>
      <w:r w:rsidRPr="008072F5">
        <w:rPr>
          <w:rFonts w:asciiTheme="majorBidi" w:eastAsia="CharisSIL" w:hAnsiTheme="majorBidi" w:cstheme="majorBidi"/>
          <w:sz w:val="20"/>
        </w:rPr>
        <w:t xml:space="preserve">In order to assess the mechanical integrity of the elaborated packages, </w:t>
      </w:r>
      <w:r w:rsidRPr="008072F5">
        <w:rPr>
          <w:rFonts w:asciiTheme="majorBidi" w:hAnsiTheme="majorBidi" w:cstheme="majorBidi"/>
          <w:sz w:val="20"/>
        </w:rPr>
        <w:t>compressive strength experiments were performed at 7-days, 28-days and after immersion in DI water for 3 months (</w:t>
      </w:r>
      <w:r w:rsidRPr="008072F5">
        <w:rPr>
          <w:rFonts w:asciiTheme="majorBidi" w:hAnsiTheme="majorBidi" w:cstheme="majorBidi"/>
          <w:b/>
          <w:bCs/>
          <w:sz w:val="20"/>
        </w:rPr>
        <w:t xml:space="preserve">Fig. </w:t>
      </w:r>
      <w:r w:rsidR="00D52D6B">
        <w:rPr>
          <w:rFonts w:asciiTheme="majorBidi" w:hAnsiTheme="majorBidi" w:cstheme="majorBidi"/>
          <w:b/>
          <w:bCs/>
          <w:sz w:val="20"/>
        </w:rPr>
        <w:t>3</w:t>
      </w:r>
      <w:r w:rsidRPr="008072F5">
        <w:rPr>
          <w:rFonts w:asciiTheme="majorBidi" w:hAnsiTheme="majorBidi" w:cstheme="majorBidi"/>
          <w:b/>
          <w:bCs/>
          <w:sz w:val="20"/>
        </w:rPr>
        <w:t xml:space="preserve"> &amp; </w:t>
      </w:r>
      <w:r w:rsidR="00D52D6B">
        <w:rPr>
          <w:rFonts w:asciiTheme="majorBidi" w:hAnsiTheme="majorBidi" w:cstheme="majorBidi"/>
          <w:b/>
          <w:bCs/>
          <w:sz w:val="20"/>
        </w:rPr>
        <w:t>4</w:t>
      </w:r>
      <w:r w:rsidRPr="008072F5">
        <w:rPr>
          <w:rFonts w:asciiTheme="majorBidi" w:hAnsiTheme="majorBidi" w:cstheme="majorBidi"/>
          <w:sz w:val="20"/>
        </w:rPr>
        <w:t xml:space="preserve">). </w:t>
      </w:r>
    </w:p>
    <w:p w14:paraId="0F3B5B1E" w14:textId="5A8BFD63" w:rsidR="008072F5" w:rsidRPr="008072F5" w:rsidRDefault="008072F5" w:rsidP="00FE0F4C">
      <w:pPr>
        <w:spacing w:line="276" w:lineRule="auto"/>
        <w:jc w:val="both"/>
        <w:rPr>
          <w:rFonts w:asciiTheme="majorBidi" w:eastAsia="CharisSIL" w:hAnsiTheme="majorBidi" w:cstheme="majorBidi"/>
          <w:sz w:val="20"/>
        </w:rPr>
      </w:pPr>
      <w:r w:rsidRPr="008072F5">
        <w:rPr>
          <w:rFonts w:asciiTheme="majorBidi" w:eastAsia="CharisSIL" w:hAnsiTheme="majorBidi" w:cstheme="majorBidi"/>
          <w:b/>
          <w:bCs/>
          <w:sz w:val="20"/>
        </w:rPr>
        <w:t>Fig.</w:t>
      </w:r>
      <w:r w:rsidR="00D52D6B">
        <w:rPr>
          <w:rFonts w:asciiTheme="majorBidi" w:eastAsia="CharisSIL" w:hAnsiTheme="majorBidi" w:cstheme="majorBidi"/>
          <w:b/>
          <w:bCs/>
          <w:sz w:val="20"/>
        </w:rPr>
        <w:t>3</w:t>
      </w:r>
      <w:r w:rsidRPr="008072F5">
        <w:rPr>
          <w:rFonts w:asciiTheme="majorBidi" w:eastAsia="CharisSIL" w:hAnsiTheme="majorBidi" w:cstheme="majorBidi"/>
          <w:b/>
          <w:bCs/>
          <w:sz w:val="20"/>
        </w:rPr>
        <w:t xml:space="preserve"> </w:t>
      </w:r>
      <w:r w:rsidRPr="008072F5">
        <w:rPr>
          <w:rFonts w:asciiTheme="majorBidi" w:eastAsia="CharisSIL" w:hAnsiTheme="majorBidi" w:cstheme="majorBidi"/>
          <w:sz w:val="20"/>
        </w:rPr>
        <w:t xml:space="preserve">shows the compressive strength results for the individual MK and binary MK-UPS geopolymer packages. </w:t>
      </w:r>
      <w:r w:rsidRPr="008072F5">
        <w:rPr>
          <w:rFonts w:asciiTheme="majorBidi" w:hAnsiTheme="majorBidi" w:cstheme="majorBidi"/>
          <w:sz w:val="20"/>
        </w:rPr>
        <w:t xml:space="preserve">The addition of un-calcined UPS promotes an increase in compressive strength by approximately 51% after 28 days compared to the reference package (MK/0PS-13RR). </w:t>
      </w:r>
      <w:r w:rsidRPr="008072F5">
        <w:rPr>
          <w:rFonts w:asciiTheme="majorBidi" w:eastAsia="CharisSIL" w:hAnsiTheme="majorBidi" w:cstheme="majorBidi"/>
          <w:sz w:val="20"/>
        </w:rPr>
        <w:t xml:space="preserve">The increase of compressive strength is even greater after the immersion in DI water (3 months), (264%), which may be due to dual role of un-dissolved or </w:t>
      </w:r>
      <w:r w:rsidRPr="008072F5">
        <w:rPr>
          <w:rFonts w:asciiTheme="majorBidi" w:hAnsiTheme="majorBidi" w:cstheme="majorBidi"/>
          <w:sz w:val="20"/>
        </w:rPr>
        <w:t>partially</w:t>
      </w:r>
      <w:r w:rsidRPr="008072F5">
        <w:rPr>
          <w:rFonts w:asciiTheme="majorBidi" w:eastAsia="CharisSIL" w:hAnsiTheme="majorBidi" w:cstheme="majorBidi"/>
          <w:sz w:val="20"/>
        </w:rPr>
        <w:t xml:space="preserve"> dissolved UPS particles or </w:t>
      </w:r>
      <w:r w:rsidR="00843F91" w:rsidRPr="00843F91">
        <w:rPr>
          <w:rFonts w:asciiTheme="majorBidi" w:hAnsiTheme="majorBidi" w:cstheme="majorBidi"/>
          <w:sz w:val="20"/>
        </w:rPr>
        <w:t xml:space="preserve">bonding sites </w:t>
      </w:r>
      <w:r w:rsidRPr="008072F5">
        <w:rPr>
          <w:rFonts w:asciiTheme="majorBidi" w:hAnsiTheme="majorBidi" w:cstheme="majorBidi"/>
          <w:sz w:val="20"/>
        </w:rPr>
        <w:t xml:space="preserve">towards the neoformation of new reaction products such as (C,N,K)-A-S-H, C-S-H and C-A-S-H </w:t>
      </w:r>
      <w:r w:rsidRPr="008072F5">
        <w:rPr>
          <w:rFonts w:asciiTheme="majorBidi" w:hAnsiTheme="majorBidi" w:cstheme="majorBidi"/>
          <w:sz w:val="20"/>
        </w:rPr>
        <w:fldChar w:fldCharType="begin"/>
      </w:r>
      <w:r w:rsidR="00FE0F4C">
        <w:rPr>
          <w:rFonts w:asciiTheme="majorBidi" w:hAnsiTheme="majorBidi" w:cstheme="majorBidi"/>
          <w:sz w:val="20"/>
        </w:rPr>
        <w:instrText xml:space="preserve"> ADDIN ZOTERO_ITEM CSL_CITATION {"citationID":"a9t5nojk1s","properties":{"formattedCitation":"[18]","plainCitation":"[18]","noteIndex":0},"citationItems":[{"id":576,"uris":["http://zotero.org/users/local/K2uxjuux/items/QBDS5AVG"],"uri":["http://zotero.org/users/local/K2uxjuux/items/QBDS5AVG"],"itemData":{"id":576,"type":"article-journal","container-title":"Journal of Cleaner Production","DOI":"10.1016/j.jclepro.2020.123118","ISSN":"09596526","journalAbbreviation":"Journal of Cleaner Production","language":"en","page":"123118","source":"DOI.org (Crossref)","title":"Design and optimization of alkaline binders of limestone-metakaolin – A comparison of strength, microstructure and sustainability with portland cement and geopolymers","volume":"273","author":[{"family":"Perez-Cortes","given":"Pedro"},{"family":"Escalante-Garcia","given":"J. Ivan"}],"issued":{"date-parts":[["2020",11]]}}}],"schema":"https://github.com/citation-style-language/schema/raw/master/csl-citation.json"} </w:instrText>
      </w:r>
      <w:r w:rsidRPr="008072F5">
        <w:rPr>
          <w:rFonts w:asciiTheme="majorBidi" w:hAnsiTheme="majorBidi" w:cstheme="majorBidi"/>
          <w:sz w:val="20"/>
        </w:rPr>
        <w:fldChar w:fldCharType="separate"/>
      </w:r>
      <w:r w:rsidR="00FE0F4C" w:rsidRPr="00FE0F4C">
        <w:rPr>
          <w:sz w:val="20"/>
        </w:rPr>
        <w:t>[18]</w:t>
      </w:r>
      <w:r w:rsidRPr="008072F5">
        <w:rPr>
          <w:rFonts w:asciiTheme="majorBidi" w:hAnsiTheme="majorBidi" w:cstheme="majorBidi"/>
          <w:sz w:val="20"/>
        </w:rPr>
        <w:fldChar w:fldCharType="end"/>
      </w:r>
      <w:r w:rsidRPr="008072F5">
        <w:rPr>
          <w:rFonts w:asciiTheme="majorBidi" w:eastAsia="CharisSIL" w:hAnsiTheme="majorBidi" w:cstheme="majorBidi"/>
          <w:sz w:val="20"/>
        </w:rPr>
        <w:t>.</w:t>
      </w:r>
      <w:r w:rsidRPr="008072F5">
        <w:rPr>
          <w:rFonts w:asciiTheme="majorBidi" w:hAnsiTheme="majorBidi" w:cstheme="majorBidi"/>
          <w:sz w:val="20"/>
        </w:rPr>
        <w:t xml:space="preserve"> </w:t>
      </w:r>
      <w:r w:rsidRPr="008072F5">
        <w:rPr>
          <w:rFonts w:asciiTheme="majorBidi" w:eastAsia="CharisSIL" w:hAnsiTheme="majorBidi" w:cstheme="majorBidi"/>
          <w:sz w:val="20"/>
        </w:rPr>
        <w:t xml:space="preserve">However, the excessive addition of UPS (50 wt.%) reduces the rate of chemical reaction (due to lower bending phases) and compressive strength, especially after immersion in DI water. This behaviour suggests that due to the incorporation of high amounts of UPS (lower amorphous phases) the extent of the </w:t>
      </w:r>
      <w:proofErr w:type="spellStart"/>
      <w:r w:rsidRPr="008072F5">
        <w:rPr>
          <w:rFonts w:asciiTheme="majorBidi" w:eastAsia="CharisSIL" w:hAnsiTheme="majorBidi" w:cstheme="majorBidi"/>
          <w:sz w:val="20"/>
        </w:rPr>
        <w:t>geopolymerization</w:t>
      </w:r>
      <w:proofErr w:type="spellEnd"/>
      <w:r w:rsidRPr="008072F5">
        <w:rPr>
          <w:rFonts w:asciiTheme="majorBidi" w:eastAsia="CharisSIL" w:hAnsiTheme="majorBidi" w:cstheme="majorBidi"/>
          <w:sz w:val="20"/>
        </w:rPr>
        <w:t xml:space="preserve"> reaction is lower. This can suggest an excessive </w:t>
      </w:r>
      <w:proofErr w:type="gramStart"/>
      <w:r w:rsidRPr="008072F5">
        <w:rPr>
          <w:rFonts w:asciiTheme="majorBidi" w:eastAsia="CharisSIL" w:hAnsiTheme="majorBidi" w:cstheme="majorBidi"/>
          <w:sz w:val="20"/>
        </w:rPr>
        <w:t>amount</w:t>
      </w:r>
      <w:proofErr w:type="gramEnd"/>
      <w:r w:rsidRPr="008072F5">
        <w:rPr>
          <w:rFonts w:asciiTheme="majorBidi" w:eastAsia="CharisSIL" w:hAnsiTheme="majorBidi" w:cstheme="majorBidi"/>
          <w:sz w:val="20"/>
        </w:rPr>
        <w:t xml:space="preserve"> of UPS leads to </w:t>
      </w:r>
      <w:r w:rsidRPr="008072F5">
        <w:rPr>
          <w:rFonts w:asciiTheme="majorBidi" w:hAnsiTheme="majorBidi" w:cstheme="majorBidi"/>
          <w:sz w:val="20"/>
        </w:rPr>
        <w:t>the formation of weak reaction products</w:t>
      </w:r>
      <w:r w:rsidRPr="008072F5">
        <w:rPr>
          <w:rFonts w:asciiTheme="majorBidi" w:eastAsia="CharisSIL" w:hAnsiTheme="majorBidi" w:cstheme="majorBidi"/>
          <w:sz w:val="20"/>
        </w:rPr>
        <w:t xml:space="preserve"> which can easily be leached out</w:t>
      </w:r>
      <w:r w:rsidRPr="008072F5">
        <w:rPr>
          <w:rFonts w:asciiTheme="majorBidi" w:hAnsiTheme="majorBidi" w:cstheme="majorBidi"/>
          <w:sz w:val="20"/>
        </w:rPr>
        <w:t xml:space="preserve">, damaging </w:t>
      </w:r>
      <w:r w:rsidRPr="008072F5">
        <w:rPr>
          <w:rFonts w:asciiTheme="majorBidi" w:eastAsia="CharisSIL" w:hAnsiTheme="majorBidi" w:cstheme="majorBidi"/>
          <w:sz w:val="20"/>
        </w:rPr>
        <w:t xml:space="preserve">the chemical durability of packages as observed in </w:t>
      </w:r>
      <w:r w:rsidRPr="008072F5">
        <w:rPr>
          <w:rFonts w:asciiTheme="majorBidi" w:eastAsia="CharisSIL" w:hAnsiTheme="majorBidi" w:cstheme="majorBidi"/>
          <w:b/>
          <w:bCs/>
          <w:sz w:val="20"/>
        </w:rPr>
        <w:t xml:space="preserve">Fig. </w:t>
      </w:r>
      <w:r w:rsidR="00B775BB">
        <w:rPr>
          <w:rFonts w:asciiTheme="majorBidi" w:eastAsia="CharisSIL" w:hAnsiTheme="majorBidi" w:cstheme="majorBidi"/>
          <w:b/>
          <w:bCs/>
          <w:sz w:val="20"/>
        </w:rPr>
        <w:t>2</w:t>
      </w:r>
      <w:r w:rsidRPr="008072F5">
        <w:rPr>
          <w:rFonts w:asciiTheme="majorBidi" w:eastAsia="CharisSIL" w:hAnsiTheme="majorBidi" w:cstheme="majorBidi"/>
          <w:b/>
          <w:bCs/>
          <w:sz w:val="20"/>
        </w:rPr>
        <w:t>A</w:t>
      </w:r>
      <w:r w:rsidRPr="008072F5">
        <w:rPr>
          <w:rFonts w:asciiTheme="majorBidi" w:eastAsia="CharisSIL" w:hAnsiTheme="majorBidi" w:cstheme="majorBidi"/>
          <w:sz w:val="20"/>
        </w:rPr>
        <w:t>.</w:t>
      </w:r>
    </w:p>
    <w:p w14:paraId="7B4AB160" w14:textId="413C8921" w:rsidR="00B775BB" w:rsidRPr="00386C79" w:rsidRDefault="00B775BB" w:rsidP="001722EC">
      <w:pPr>
        <w:spacing w:line="276" w:lineRule="auto"/>
        <w:jc w:val="center"/>
        <w:rPr>
          <w:rFonts w:asciiTheme="majorBidi" w:eastAsia="CharisSIL" w:hAnsiTheme="majorBidi" w:cstheme="majorBidi"/>
          <w:color w:val="000000"/>
          <w:sz w:val="18"/>
          <w:szCs w:val="18"/>
        </w:rPr>
      </w:pPr>
      <w:r w:rsidRPr="00B024AC">
        <w:rPr>
          <w:rFonts w:eastAsia="CharisSIL"/>
          <w:noProof/>
          <w:sz w:val="20"/>
        </w:rPr>
        <w:drawing>
          <wp:inline distT="0" distB="0" distL="0" distR="0" wp14:anchorId="5F5EDBD5" wp14:editId="4F0870A5">
            <wp:extent cx="3600000" cy="2520000"/>
            <wp:effectExtent l="0" t="0" r="127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b="6140"/>
                    <a:stretch/>
                  </pic:blipFill>
                  <pic:spPr bwMode="auto">
                    <a:xfrm>
                      <a:off x="0" y="0"/>
                      <a:ext cx="3600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582B9AB5" w14:textId="50475A08" w:rsidR="00B775BB" w:rsidRPr="00B024AC" w:rsidRDefault="00B775BB" w:rsidP="001722EC">
      <w:pPr>
        <w:pStyle w:val="H-Fig"/>
        <w:numPr>
          <w:ilvl w:val="0"/>
          <w:numId w:val="0"/>
        </w:numPr>
        <w:spacing w:line="276" w:lineRule="auto"/>
        <w:ind w:left="1288" w:hanging="360"/>
        <w:jc w:val="left"/>
        <w:rPr>
          <w:i/>
          <w:iCs/>
          <w:sz w:val="18"/>
          <w:szCs w:val="18"/>
        </w:rPr>
      </w:pPr>
      <w:bookmarkStart w:id="12" w:name="_Toc75344304"/>
      <w:r w:rsidRPr="00B024AC">
        <w:rPr>
          <w:b/>
          <w:bCs/>
          <w:i/>
          <w:iCs/>
          <w:sz w:val="18"/>
          <w:szCs w:val="18"/>
        </w:rPr>
        <w:t>F</w:t>
      </w:r>
      <w:r w:rsidR="005226EA">
        <w:rPr>
          <w:b/>
          <w:bCs/>
          <w:i/>
          <w:iCs/>
          <w:sz w:val="18"/>
          <w:szCs w:val="18"/>
        </w:rPr>
        <w:t>IG</w:t>
      </w:r>
      <w:r w:rsidRPr="00B024AC">
        <w:rPr>
          <w:b/>
          <w:bCs/>
          <w:i/>
          <w:iCs/>
          <w:sz w:val="18"/>
          <w:szCs w:val="18"/>
        </w:rPr>
        <w:t>.</w:t>
      </w:r>
      <w:r w:rsidR="00BD25CD">
        <w:rPr>
          <w:b/>
          <w:bCs/>
          <w:i/>
          <w:iCs/>
          <w:sz w:val="18"/>
          <w:szCs w:val="18"/>
        </w:rPr>
        <w:t xml:space="preserve"> </w:t>
      </w:r>
      <w:r w:rsidR="00D52D6B">
        <w:rPr>
          <w:b/>
          <w:bCs/>
          <w:i/>
          <w:iCs/>
          <w:sz w:val="18"/>
          <w:szCs w:val="18"/>
        </w:rPr>
        <w:t>3</w:t>
      </w:r>
      <w:r w:rsidRPr="00B024AC">
        <w:rPr>
          <w:i/>
          <w:iCs/>
          <w:sz w:val="18"/>
          <w:szCs w:val="18"/>
        </w:rPr>
        <w:t xml:space="preserve">. Compressive strength of different individual and binary geopolymer packages. WAC: </w:t>
      </w:r>
      <w:r w:rsidRPr="00B024AC">
        <w:rPr>
          <w:b/>
          <w:bCs/>
          <w:i/>
          <w:iCs/>
          <w:sz w:val="18"/>
          <w:szCs w:val="18"/>
        </w:rPr>
        <w:t>waste acceptance criteria</w:t>
      </w:r>
      <w:r w:rsidRPr="00B024AC">
        <w:rPr>
          <w:i/>
          <w:iCs/>
          <w:sz w:val="18"/>
          <w:szCs w:val="18"/>
        </w:rPr>
        <w:t>.</w:t>
      </w:r>
      <w:bookmarkEnd w:id="12"/>
    </w:p>
    <w:p w14:paraId="506B4C3C" w14:textId="77777777" w:rsidR="00063426" w:rsidRDefault="00063426" w:rsidP="001722EC">
      <w:pPr>
        <w:spacing w:line="276" w:lineRule="auto"/>
        <w:jc w:val="both"/>
        <w:rPr>
          <w:rFonts w:asciiTheme="majorBidi" w:hAnsiTheme="majorBidi" w:cstheme="majorBidi"/>
          <w:sz w:val="20"/>
        </w:rPr>
      </w:pPr>
      <w:r w:rsidRPr="008072F5">
        <w:rPr>
          <w:rFonts w:asciiTheme="majorBidi" w:hAnsiTheme="majorBidi" w:cstheme="majorBidi"/>
          <w:sz w:val="20"/>
        </w:rPr>
        <w:lastRenderedPageBreak/>
        <w:t>Although MK/30PS-13NR recorder higher strength (32.26MPa) than MK/42PS-13NR (31.55MPa),</w:t>
      </w:r>
      <w:r w:rsidRPr="008072F5">
        <w:rPr>
          <w:sz w:val="20"/>
        </w:rPr>
        <w:t xml:space="preserve"> </w:t>
      </w:r>
      <w:r w:rsidRPr="008072F5">
        <w:rPr>
          <w:rFonts w:asciiTheme="majorBidi" w:hAnsiTheme="majorBidi" w:cstheme="majorBidi"/>
          <w:sz w:val="20"/>
        </w:rPr>
        <w:t>the latter was chosen as the optimal binary binder especially as the reduction in strength was limited to 5.60%.</w:t>
      </w:r>
      <w:r w:rsidRPr="008072F5">
        <w:rPr>
          <w:sz w:val="20"/>
        </w:rPr>
        <w:t xml:space="preserve"> </w:t>
      </w:r>
      <w:r w:rsidRPr="008072F5">
        <w:rPr>
          <w:rFonts w:asciiTheme="majorBidi" w:hAnsiTheme="majorBidi" w:cstheme="majorBidi"/>
          <w:sz w:val="20"/>
        </w:rPr>
        <w:t>The appropriate selection was undertaken on the basis of two targets.</w:t>
      </w:r>
      <w:r w:rsidRPr="008072F5">
        <w:rPr>
          <w:sz w:val="20"/>
        </w:rPr>
        <w:t xml:space="preserve"> </w:t>
      </w:r>
      <w:r w:rsidRPr="008072F5">
        <w:rPr>
          <w:rFonts w:asciiTheme="majorBidi" w:hAnsiTheme="majorBidi" w:cstheme="majorBidi"/>
          <w:sz w:val="20"/>
        </w:rPr>
        <w:t>The first is that replacing MK by UPS directly reduces consumption of alkaline activator while providing a suitable chemical environment to promote durability and resistance development.</w:t>
      </w:r>
      <w:r w:rsidRPr="008072F5">
        <w:rPr>
          <w:sz w:val="20"/>
        </w:rPr>
        <w:t xml:space="preserve"> </w:t>
      </w:r>
      <w:r w:rsidRPr="008072F5">
        <w:rPr>
          <w:rFonts w:asciiTheme="majorBidi" w:hAnsiTheme="majorBidi" w:cstheme="majorBidi"/>
          <w:sz w:val="20"/>
        </w:rPr>
        <w:t>While the second target was to obtain higher amounts of reaction products as a result of an expected partial dissolution of calcite and dolomite when adding the UPS.</w:t>
      </w:r>
    </w:p>
    <w:p w14:paraId="72A86766" w14:textId="1E5E1766" w:rsidR="00CC7758" w:rsidRDefault="00CC7758" w:rsidP="00285ACD">
      <w:pPr>
        <w:pStyle w:val="H-Fig"/>
        <w:numPr>
          <w:ilvl w:val="0"/>
          <w:numId w:val="0"/>
        </w:numPr>
        <w:spacing w:line="360" w:lineRule="auto"/>
        <w:ind w:left="1288" w:hanging="360"/>
      </w:pPr>
      <w:r w:rsidRPr="00B024AC">
        <w:rPr>
          <w:noProof/>
          <w:sz w:val="20"/>
          <w:szCs w:val="20"/>
        </w:rPr>
        <w:drawing>
          <wp:inline distT="0" distB="0" distL="0" distR="0" wp14:anchorId="7BD39E6F" wp14:editId="045B3B49">
            <wp:extent cx="3600000" cy="2520000"/>
            <wp:effectExtent l="0" t="0" r="635"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rotWithShape="1">
                    <a:blip r:embed="rId17" cstate="print">
                      <a:extLst>
                        <a:ext uri="{28A0092B-C50C-407E-A947-70E740481C1C}">
                          <a14:useLocalDpi xmlns:a14="http://schemas.microsoft.com/office/drawing/2010/main" val="0"/>
                        </a:ext>
                      </a:extLst>
                    </a:blip>
                    <a:srcRect b="6140"/>
                    <a:stretch/>
                  </pic:blipFill>
                  <pic:spPr bwMode="auto">
                    <a:xfrm>
                      <a:off x="0" y="0"/>
                      <a:ext cx="3600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7B95B52C" w14:textId="474ADA0C" w:rsidR="00CC7758" w:rsidRDefault="00CC7758" w:rsidP="001722EC">
      <w:pPr>
        <w:pStyle w:val="H-Fig"/>
        <w:numPr>
          <w:ilvl w:val="0"/>
          <w:numId w:val="0"/>
        </w:numPr>
        <w:spacing w:line="276" w:lineRule="auto"/>
        <w:ind w:left="1288" w:hanging="360"/>
        <w:jc w:val="left"/>
        <w:rPr>
          <w:i/>
          <w:iCs/>
          <w:sz w:val="18"/>
          <w:szCs w:val="18"/>
        </w:rPr>
      </w:pPr>
      <w:bookmarkStart w:id="13" w:name="_Toc75344305"/>
      <w:r w:rsidRPr="00386C79">
        <w:rPr>
          <w:b/>
          <w:bCs/>
          <w:i/>
          <w:iCs/>
          <w:sz w:val="18"/>
          <w:szCs w:val="18"/>
        </w:rPr>
        <w:t>F</w:t>
      </w:r>
      <w:r w:rsidR="005226EA">
        <w:rPr>
          <w:b/>
          <w:bCs/>
          <w:i/>
          <w:iCs/>
          <w:sz w:val="18"/>
          <w:szCs w:val="18"/>
        </w:rPr>
        <w:t>IG</w:t>
      </w:r>
      <w:r w:rsidRPr="00386C79">
        <w:rPr>
          <w:b/>
          <w:bCs/>
          <w:i/>
          <w:iCs/>
          <w:sz w:val="18"/>
          <w:szCs w:val="18"/>
        </w:rPr>
        <w:t>.</w:t>
      </w:r>
      <w:r w:rsidR="00BD25CD">
        <w:rPr>
          <w:b/>
          <w:bCs/>
          <w:i/>
          <w:iCs/>
          <w:sz w:val="18"/>
          <w:szCs w:val="18"/>
        </w:rPr>
        <w:t xml:space="preserve"> </w:t>
      </w:r>
      <w:r w:rsidR="00D52D6B">
        <w:rPr>
          <w:b/>
          <w:bCs/>
          <w:i/>
          <w:iCs/>
          <w:sz w:val="18"/>
          <w:szCs w:val="18"/>
        </w:rPr>
        <w:t>4</w:t>
      </w:r>
      <w:r w:rsidRPr="00386C79">
        <w:rPr>
          <w:i/>
          <w:iCs/>
          <w:sz w:val="18"/>
          <w:szCs w:val="18"/>
        </w:rPr>
        <w:t xml:space="preserve">. Effect of non-radioactive resins addition (%) on compressive strength of binary geopolymer packages. </w:t>
      </w:r>
      <w:r w:rsidRPr="00386C79">
        <w:rPr>
          <w:b/>
          <w:bCs/>
          <w:i/>
          <w:iCs/>
          <w:sz w:val="18"/>
          <w:szCs w:val="18"/>
        </w:rPr>
        <w:t>WAC</w:t>
      </w:r>
      <w:r w:rsidRPr="00386C79">
        <w:rPr>
          <w:i/>
          <w:iCs/>
          <w:sz w:val="18"/>
          <w:szCs w:val="18"/>
        </w:rPr>
        <w:t xml:space="preserve">: </w:t>
      </w:r>
      <w:r w:rsidRPr="00386C79">
        <w:rPr>
          <w:b/>
          <w:bCs/>
          <w:i/>
          <w:iCs/>
          <w:sz w:val="18"/>
          <w:szCs w:val="18"/>
        </w:rPr>
        <w:t>waste acceptance criteria</w:t>
      </w:r>
      <w:r w:rsidRPr="00386C79">
        <w:rPr>
          <w:i/>
          <w:iCs/>
          <w:sz w:val="18"/>
          <w:szCs w:val="18"/>
        </w:rPr>
        <w:t>.</w:t>
      </w:r>
      <w:bookmarkEnd w:id="13"/>
    </w:p>
    <w:p w14:paraId="7D12C198" w14:textId="35EE6009" w:rsidR="00D52D6B" w:rsidRPr="00B775BB" w:rsidRDefault="00D52D6B" w:rsidP="00FE0F4C">
      <w:pPr>
        <w:pStyle w:val="Htxt"/>
        <w:spacing w:line="276" w:lineRule="auto"/>
        <w:rPr>
          <w:rFonts w:eastAsia="CharisSIL"/>
          <w:sz w:val="20"/>
          <w:szCs w:val="20"/>
        </w:rPr>
      </w:pPr>
      <w:r w:rsidRPr="00CC7758">
        <w:rPr>
          <w:rFonts w:eastAsia="CharisSIL"/>
          <w:b/>
          <w:bCs/>
          <w:sz w:val="20"/>
          <w:szCs w:val="20"/>
        </w:rPr>
        <w:t xml:space="preserve">Fig. </w:t>
      </w:r>
      <w:r>
        <w:rPr>
          <w:rFonts w:eastAsia="CharisSIL"/>
          <w:b/>
          <w:bCs/>
          <w:sz w:val="20"/>
          <w:szCs w:val="20"/>
        </w:rPr>
        <w:t>4</w:t>
      </w:r>
      <w:r w:rsidRPr="00B775BB">
        <w:rPr>
          <w:rFonts w:eastAsia="CharisSIL"/>
          <w:sz w:val="20"/>
          <w:szCs w:val="20"/>
        </w:rPr>
        <w:t xml:space="preserve"> </w:t>
      </w:r>
      <w:r w:rsidRPr="00CC7758">
        <w:rPr>
          <w:rFonts w:eastAsia="CharisSIL"/>
          <w:sz w:val="20"/>
          <w:szCs w:val="20"/>
        </w:rPr>
        <w:t>s</w:t>
      </w:r>
      <w:r w:rsidRPr="00B775BB">
        <w:rPr>
          <w:rFonts w:eastAsia="CharisSIL"/>
          <w:sz w:val="20"/>
          <w:szCs w:val="20"/>
        </w:rPr>
        <w:t xml:space="preserve">hows the compressive strengths of the geopolymer packages with different loading ratio of IER wastes after 7, 28 days and after immersion ID water test. The package in the absence of solidified resin beads </w:t>
      </w:r>
      <w:r w:rsidRPr="00CC7758">
        <w:rPr>
          <w:rFonts w:eastAsia="CharisSIL"/>
          <w:sz w:val="20"/>
          <w:szCs w:val="20"/>
        </w:rPr>
        <w:t>(Mk/42PS-0NR) was</w:t>
      </w:r>
      <w:r w:rsidRPr="00B775BB">
        <w:rPr>
          <w:rFonts w:eastAsia="CharisSIL"/>
          <w:sz w:val="20"/>
          <w:szCs w:val="20"/>
        </w:rPr>
        <w:t xml:space="preserve"> set as reference in this test</w:t>
      </w:r>
      <w:r w:rsidRPr="00CC7758">
        <w:rPr>
          <w:rFonts w:eastAsia="CharisSIL"/>
          <w:sz w:val="20"/>
          <w:szCs w:val="20"/>
        </w:rPr>
        <w:t xml:space="preserve"> (</w:t>
      </w:r>
      <w:r w:rsidRPr="00CC7758">
        <w:rPr>
          <w:rFonts w:eastAsia="CharisSIL"/>
          <w:b/>
          <w:bCs/>
          <w:sz w:val="20"/>
          <w:szCs w:val="20"/>
        </w:rPr>
        <w:t xml:space="preserve">Fig. </w:t>
      </w:r>
      <w:r>
        <w:rPr>
          <w:rFonts w:eastAsia="CharisSIL"/>
          <w:b/>
          <w:bCs/>
          <w:sz w:val="20"/>
          <w:szCs w:val="20"/>
        </w:rPr>
        <w:t>3</w:t>
      </w:r>
      <w:r w:rsidRPr="00CC7758">
        <w:rPr>
          <w:rFonts w:eastAsia="CharisSIL"/>
          <w:sz w:val="20"/>
          <w:szCs w:val="20"/>
        </w:rPr>
        <w:t>)</w:t>
      </w:r>
      <w:r w:rsidRPr="00B775BB">
        <w:rPr>
          <w:rFonts w:eastAsia="CharisSIL"/>
          <w:sz w:val="20"/>
          <w:szCs w:val="20"/>
        </w:rPr>
        <w:t xml:space="preserve">. </w:t>
      </w:r>
      <w:r w:rsidRPr="00CC7758">
        <w:rPr>
          <w:rFonts w:eastAsia="CharisSIL"/>
          <w:sz w:val="20"/>
          <w:szCs w:val="20"/>
        </w:rPr>
        <w:t>Generally, t</w:t>
      </w:r>
      <w:r w:rsidRPr="00B775BB">
        <w:rPr>
          <w:rFonts w:eastAsia="CharisSIL"/>
          <w:sz w:val="20"/>
          <w:szCs w:val="20"/>
        </w:rPr>
        <w:t xml:space="preserve">he illustrated data revealed that the compressive strengths of package recorded a downward trend at different extents when the resin wastes loading were </w:t>
      </w:r>
      <w:r w:rsidRPr="00B775BB">
        <w:rPr>
          <w:sz w:val="20"/>
          <w:szCs w:val="20"/>
        </w:rPr>
        <w:t>increased, with exception of the of the loading ratio of 15 wt.% of IERs. The</w:t>
      </w:r>
      <w:r w:rsidRPr="00B775BB">
        <w:rPr>
          <w:rFonts w:eastAsia="CharisSIL"/>
          <w:sz w:val="20"/>
          <w:szCs w:val="20"/>
        </w:rPr>
        <w:t xml:space="preserve"> highest strength values which met the waste acceptance criteria (WAC, </w:t>
      </w:r>
      <w:r w:rsidRPr="00B775BB">
        <w:rPr>
          <w:rFonts w:eastAsia="CharisSIL"/>
          <w:sz w:val="20"/>
          <w:szCs w:val="20"/>
        </w:rPr>
        <w:fldChar w:fldCharType="begin"/>
      </w:r>
      <w:r w:rsidR="00FE0F4C">
        <w:rPr>
          <w:rFonts w:eastAsia="CharisSIL"/>
          <w:sz w:val="20"/>
          <w:szCs w:val="20"/>
        </w:rPr>
        <w:instrText xml:space="preserve"> ADDIN ZOTERO_ITEM CSL_CITATION {"citationID":"acoebebnem","properties":{"formattedCitation":"[19]","plainCitation":"[19]","noteIndex":0},"citationItems":[{"id":725,"uris":["http://zotero.org/users/local/K2uxjuux/items/7MJJ5GQX"],"uri":["http://zotero.org/users/local/K2uxjuux/items/7MJJ5GQX"],"itemData":{"id":725,"type":"book","collection-number":"408","collection-title":"Technical reports series / International Atomic Energy Agency","event-place":"Vienna","ISBN":"978-92-0-112002-1","language":"en","note":"OCLC: 248759788","number-of-pages":"115","publisher":"International Atomic Energy Agency","publisher-place":"Vienna","source":"Gemeinsamer Bibliotheksverbund ISBN","title":"Application of ion exchange processes for the treatment of radioactive waste and management of spent ion exchangers","editor":[{"family":"Internationale Atomenergie-Organisation","given":""}],"issued":{"date-parts":[["2002"]]}}}],"schema":"https://github.com/citation-style-language/schema/raw/master/csl-citation.json"} </w:instrText>
      </w:r>
      <w:r w:rsidRPr="00B775BB">
        <w:rPr>
          <w:rFonts w:eastAsia="CharisSIL"/>
          <w:sz w:val="20"/>
          <w:szCs w:val="20"/>
        </w:rPr>
        <w:fldChar w:fldCharType="separate"/>
      </w:r>
      <w:r w:rsidR="00FE0F4C" w:rsidRPr="00FE0F4C">
        <w:rPr>
          <w:rFonts w:ascii="Times New Roman" w:hAnsi="Times New Roman" w:cs="Times New Roman"/>
          <w:sz w:val="20"/>
        </w:rPr>
        <w:t>[19]</w:t>
      </w:r>
      <w:r w:rsidRPr="00B775BB">
        <w:rPr>
          <w:rFonts w:eastAsia="CharisSIL"/>
          <w:sz w:val="20"/>
          <w:szCs w:val="20"/>
        </w:rPr>
        <w:fldChar w:fldCharType="end"/>
      </w:r>
      <w:r w:rsidRPr="00B775BB">
        <w:rPr>
          <w:rFonts w:eastAsia="CharisSIL"/>
          <w:sz w:val="20"/>
          <w:szCs w:val="20"/>
        </w:rPr>
        <w:t>) were 36.14, 32.71 and 31.55</w:t>
      </w:r>
      <w:r w:rsidRPr="00B775BB">
        <w:rPr>
          <w:sz w:val="20"/>
          <w:szCs w:val="20"/>
        </w:rPr>
        <w:t xml:space="preserve"> MPa and belonged to loading by 9, 11 and 13 wt.% resin beads</w:t>
      </w:r>
      <w:r w:rsidRPr="00B775BB">
        <w:rPr>
          <w:rFonts w:eastAsia="CharisSIL"/>
          <w:sz w:val="20"/>
          <w:szCs w:val="20"/>
        </w:rPr>
        <w:t>.</w:t>
      </w:r>
      <w:r w:rsidRPr="00B775BB">
        <w:rPr>
          <w:sz w:val="20"/>
          <w:szCs w:val="20"/>
        </w:rPr>
        <w:t xml:space="preserve"> </w:t>
      </w:r>
      <w:r w:rsidRPr="00B775BB">
        <w:rPr>
          <w:rFonts w:eastAsia="CharisSIL"/>
          <w:sz w:val="20"/>
          <w:szCs w:val="20"/>
        </w:rPr>
        <w:t xml:space="preserve">Therefore, </w:t>
      </w:r>
      <w:r w:rsidRPr="00B775BB">
        <w:rPr>
          <w:sz w:val="20"/>
          <w:szCs w:val="20"/>
        </w:rPr>
        <w:t xml:space="preserve">13 wt.% resin beads </w:t>
      </w:r>
      <w:r w:rsidRPr="00B775BB">
        <w:rPr>
          <w:rFonts w:eastAsia="CharisSIL"/>
          <w:sz w:val="20"/>
          <w:szCs w:val="20"/>
        </w:rPr>
        <w:t xml:space="preserve">loading ratio of both </w:t>
      </w:r>
      <w:r w:rsidRPr="00B775BB">
        <w:rPr>
          <w:sz w:val="20"/>
          <w:szCs w:val="20"/>
        </w:rPr>
        <w:t xml:space="preserve">MK/0PS-13RR and MK/42PS-13RR </w:t>
      </w:r>
      <w:r w:rsidRPr="00B775BB">
        <w:rPr>
          <w:rFonts w:eastAsia="CharisSIL"/>
          <w:sz w:val="20"/>
          <w:szCs w:val="20"/>
        </w:rPr>
        <w:t xml:space="preserve">geopolymer packages was selected for </w:t>
      </w:r>
      <w:r w:rsidRPr="00B775BB">
        <w:rPr>
          <w:sz w:val="20"/>
          <w:szCs w:val="20"/>
        </w:rPr>
        <w:t>leaching</w:t>
      </w:r>
      <w:r w:rsidRPr="00B775BB">
        <w:rPr>
          <w:rFonts w:eastAsia="CharisSIL"/>
          <w:sz w:val="20"/>
          <w:szCs w:val="20"/>
        </w:rPr>
        <w:t xml:space="preserve"> </w:t>
      </w:r>
      <w:r w:rsidRPr="00B775BB">
        <w:rPr>
          <w:sz w:val="20"/>
          <w:szCs w:val="20"/>
        </w:rPr>
        <w:t>experiments.</w:t>
      </w:r>
    </w:p>
    <w:p w14:paraId="70DDD9E0" w14:textId="77777777" w:rsidR="00386C79" w:rsidRPr="004F2E32" w:rsidRDefault="00386C79" w:rsidP="006F47EE">
      <w:pPr>
        <w:pStyle w:val="Titre3"/>
        <w:numPr>
          <w:ilvl w:val="1"/>
          <w:numId w:val="12"/>
        </w:numPr>
      </w:pPr>
      <w:bookmarkStart w:id="14" w:name="_Toc75361697"/>
      <w:r w:rsidRPr="004F2E32">
        <w:t xml:space="preserve">Leaching </w:t>
      </w:r>
      <w:r w:rsidRPr="00BB015D">
        <w:t>characteristics</w:t>
      </w:r>
      <w:bookmarkEnd w:id="14"/>
      <w:r w:rsidRPr="00BB015D">
        <w:t> </w:t>
      </w:r>
    </w:p>
    <w:p w14:paraId="40E46099" w14:textId="3229FDF5" w:rsidR="00386C79" w:rsidRPr="00386C79" w:rsidRDefault="00386C79" w:rsidP="001722EC">
      <w:pPr>
        <w:spacing w:line="276" w:lineRule="auto"/>
        <w:ind w:firstLine="567"/>
        <w:jc w:val="both"/>
        <w:rPr>
          <w:rFonts w:asciiTheme="majorBidi" w:eastAsia="CharisSIL" w:hAnsiTheme="majorBidi" w:cstheme="majorBidi"/>
          <w:sz w:val="20"/>
        </w:rPr>
      </w:pPr>
      <w:r w:rsidRPr="00386C79">
        <w:rPr>
          <w:rFonts w:asciiTheme="majorBidi" w:eastAsia="CharisSIL" w:hAnsiTheme="majorBidi" w:cstheme="majorBidi"/>
          <w:sz w:val="20"/>
        </w:rPr>
        <w:t xml:space="preserve">The leaching performance of solidification packages is essential factor to characterize whether the packages effectively prevent the leaching of nuclide ions into the biosphere. As shown in </w:t>
      </w:r>
      <w:r w:rsidRPr="00386C79">
        <w:rPr>
          <w:rFonts w:asciiTheme="majorBidi" w:eastAsia="CharisSIL" w:hAnsiTheme="majorBidi" w:cstheme="majorBidi"/>
          <w:b/>
          <w:bCs/>
          <w:sz w:val="20"/>
        </w:rPr>
        <w:t>Fig.</w:t>
      </w:r>
      <w:r w:rsidR="00D52D6B">
        <w:rPr>
          <w:rFonts w:asciiTheme="majorBidi" w:eastAsia="CharisSIL" w:hAnsiTheme="majorBidi" w:cstheme="majorBidi"/>
          <w:b/>
          <w:bCs/>
          <w:sz w:val="20"/>
        </w:rPr>
        <w:t>5</w:t>
      </w:r>
      <w:r w:rsidRPr="00386C79">
        <w:rPr>
          <w:rFonts w:asciiTheme="majorBidi" w:eastAsia="CharisSIL" w:hAnsiTheme="majorBidi" w:cstheme="majorBidi"/>
          <w:b/>
          <w:bCs/>
          <w:sz w:val="20"/>
        </w:rPr>
        <w:t>a</w:t>
      </w:r>
      <w:r w:rsidRPr="00386C79">
        <w:rPr>
          <w:rFonts w:asciiTheme="majorBidi" w:eastAsia="CharisSIL" w:hAnsiTheme="majorBidi" w:cstheme="majorBidi"/>
          <w:sz w:val="20"/>
        </w:rPr>
        <w:t xml:space="preserve">, the leaching of </w:t>
      </w:r>
      <w:r w:rsidRPr="00386C79">
        <w:rPr>
          <w:rFonts w:asciiTheme="majorBidi" w:eastAsia="CharisSIL" w:hAnsiTheme="majorBidi" w:cstheme="majorBidi"/>
          <w:sz w:val="20"/>
          <w:vertAlign w:val="superscript"/>
        </w:rPr>
        <w:t>134</w:t>
      </w:r>
      <w:r w:rsidRPr="00386C79">
        <w:rPr>
          <w:rFonts w:asciiTheme="majorBidi" w:eastAsia="CharisSIL" w:hAnsiTheme="majorBidi" w:cstheme="majorBidi"/>
          <w:sz w:val="20"/>
        </w:rPr>
        <w:t xml:space="preserve">Cs mostly occurred over the three days, with the leaching rate decreasing quickly over time. However, a small concentration of </w:t>
      </w:r>
      <w:r w:rsidRPr="00386C79">
        <w:rPr>
          <w:rFonts w:asciiTheme="majorBidi" w:eastAsia="CharisSIL" w:hAnsiTheme="majorBidi" w:cstheme="majorBidi"/>
          <w:sz w:val="20"/>
          <w:vertAlign w:val="superscript"/>
        </w:rPr>
        <w:t>134</w:t>
      </w:r>
      <w:r w:rsidRPr="00386C79">
        <w:rPr>
          <w:rFonts w:asciiTheme="majorBidi" w:eastAsia="CharisSIL" w:hAnsiTheme="majorBidi" w:cstheme="majorBidi"/>
          <w:sz w:val="20"/>
        </w:rPr>
        <w:t xml:space="preserve">Cs also leached beyond day 7 in MK/0PS-13RR </w:t>
      </w:r>
      <w:r w:rsidRPr="00386C79">
        <w:rPr>
          <w:rFonts w:asciiTheme="majorBidi" w:hAnsiTheme="majorBidi" w:cstheme="majorBidi"/>
          <w:sz w:val="20"/>
        </w:rPr>
        <w:t xml:space="preserve">package </w:t>
      </w:r>
      <w:r w:rsidRPr="00386C79">
        <w:rPr>
          <w:rFonts w:asciiTheme="majorBidi" w:eastAsia="CharisSIL" w:hAnsiTheme="majorBidi" w:cstheme="majorBidi"/>
          <w:sz w:val="20"/>
        </w:rPr>
        <w:t>without adding UPS. In contrast, very low amount Cs leaching was detected after 7days in MK/42PS-13RR</w:t>
      </w:r>
      <w:r w:rsidRPr="00386C79">
        <w:rPr>
          <w:rFonts w:asciiTheme="majorBidi" w:hAnsiTheme="majorBidi" w:cstheme="majorBidi"/>
          <w:sz w:val="20"/>
        </w:rPr>
        <w:t xml:space="preserve"> package</w:t>
      </w:r>
      <w:r w:rsidRPr="00386C79">
        <w:rPr>
          <w:rFonts w:asciiTheme="majorBidi" w:eastAsia="CharisSIL" w:hAnsiTheme="majorBidi" w:cstheme="majorBidi"/>
          <w:sz w:val="20"/>
        </w:rPr>
        <w:t xml:space="preserve">; moreover, the leaching rate values were maintained at very low concentrations in any timing of test during the entire leaching experiments. </w:t>
      </w:r>
    </w:p>
    <w:p w14:paraId="145AB091" w14:textId="40D27775" w:rsidR="00386C79" w:rsidRDefault="00386C79" w:rsidP="001722EC">
      <w:pPr>
        <w:spacing w:line="276" w:lineRule="auto"/>
        <w:ind w:firstLine="567"/>
        <w:jc w:val="both"/>
        <w:rPr>
          <w:rFonts w:asciiTheme="majorBidi" w:eastAsia="CharisSIL" w:hAnsiTheme="majorBidi" w:cstheme="majorBidi"/>
          <w:sz w:val="20"/>
        </w:rPr>
      </w:pPr>
      <w:r w:rsidRPr="00386C79">
        <w:rPr>
          <w:rFonts w:asciiTheme="majorBidi" w:hAnsiTheme="majorBidi" w:cstheme="majorBidi"/>
          <w:sz w:val="20"/>
        </w:rPr>
        <w:t>Although</w:t>
      </w:r>
      <w:r w:rsidRPr="00386C79">
        <w:rPr>
          <w:rFonts w:asciiTheme="majorBidi" w:eastAsia="CharisSIL" w:hAnsiTheme="majorBidi" w:cstheme="majorBidi"/>
          <w:sz w:val="20"/>
        </w:rPr>
        <w:t xml:space="preserve"> Cs desorption was detected from </w:t>
      </w:r>
      <w:r w:rsidRPr="00386C79">
        <w:rPr>
          <w:rFonts w:asciiTheme="majorBidi" w:hAnsiTheme="majorBidi" w:cstheme="majorBidi"/>
          <w:sz w:val="20"/>
        </w:rPr>
        <w:t xml:space="preserve">days </w:t>
      </w:r>
      <w:r w:rsidRPr="00386C79">
        <w:rPr>
          <w:rFonts w:asciiTheme="majorBidi" w:eastAsia="CharisSIL" w:hAnsiTheme="majorBidi" w:cstheme="majorBidi"/>
          <w:sz w:val="20"/>
        </w:rPr>
        <w:t xml:space="preserve">3-7, but the total amount of leaching rate remained extremely low. This result indicates that the UPS-based geopolymer package has a good effect on immobilizing Cs which can satisfy the requirements for industrial applications. Further measurements under various conditions and analysis </w:t>
      </w:r>
      <w:r w:rsidRPr="00386C79">
        <w:rPr>
          <w:rFonts w:asciiTheme="majorBidi" w:hAnsiTheme="majorBidi" w:cstheme="majorBidi"/>
          <w:sz w:val="20"/>
        </w:rPr>
        <w:t xml:space="preserve">should be carried out to </w:t>
      </w:r>
      <w:r w:rsidRPr="00386C79">
        <w:rPr>
          <w:rFonts w:asciiTheme="majorBidi" w:eastAsia="CharisSIL" w:hAnsiTheme="majorBidi" w:cstheme="majorBidi"/>
          <w:sz w:val="20"/>
        </w:rPr>
        <w:t xml:space="preserve">elucidate the </w:t>
      </w:r>
      <w:hyperlink r:id="rId18" w:tooltip="Learn more about encapsulation from ScienceDirect's AI-generated Topic Pages" w:history="1">
        <w:r w:rsidRPr="00386C79">
          <w:rPr>
            <w:rFonts w:asciiTheme="majorBidi" w:eastAsia="CharisSIL" w:hAnsiTheme="majorBidi" w:cstheme="majorBidi"/>
            <w:sz w:val="20"/>
          </w:rPr>
          <w:t>encapsulation</w:t>
        </w:r>
      </w:hyperlink>
      <w:r w:rsidRPr="00386C79">
        <w:rPr>
          <w:rFonts w:asciiTheme="majorBidi" w:eastAsia="CharisSIL" w:hAnsiTheme="majorBidi" w:cstheme="majorBidi"/>
          <w:sz w:val="20"/>
        </w:rPr>
        <w:t> mechanisms of Cs.</w:t>
      </w:r>
    </w:p>
    <w:p w14:paraId="653D9A58" w14:textId="77777777" w:rsidR="001722EC" w:rsidRDefault="001722EC" w:rsidP="001722EC">
      <w:pPr>
        <w:spacing w:line="276" w:lineRule="auto"/>
        <w:ind w:firstLine="567"/>
        <w:jc w:val="both"/>
        <w:rPr>
          <w:rFonts w:asciiTheme="majorBidi" w:eastAsia="CharisSIL" w:hAnsiTheme="majorBidi" w:cstheme="majorBidi"/>
          <w:sz w:val="20"/>
        </w:rPr>
      </w:pPr>
    </w:p>
    <w:p w14:paraId="626A232F" w14:textId="03AAF3C7" w:rsidR="00B024AC" w:rsidRPr="00293B1D" w:rsidRDefault="00293B1D" w:rsidP="00293B1D">
      <w:pPr>
        <w:spacing w:line="360" w:lineRule="auto"/>
        <w:ind w:hanging="142"/>
        <w:jc w:val="center"/>
        <w:rPr>
          <w:i/>
          <w:iCs/>
          <w:sz w:val="18"/>
          <w:szCs w:val="18"/>
        </w:rPr>
      </w:pPr>
      <w:r w:rsidRPr="00293B1D">
        <w:rPr>
          <w:rFonts w:eastAsia="CharisSIL"/>
          <w:i/>
          <w:iCs/>
          <w:noProof/>
          <w:sz w:val="18"/>
          <w:szCs w:val="18"/>
        </w:rPr>
        <w:lastRenderedPageBreak/>
        <w:drawing>
          <wp:inline distT="0" distB="0" distL="0" distR="0" wp14:anchorId="63AC1FA5" wp14:editId="46DF021E">
            <wp:extent cx="5760000" cy="21960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spect="1" noChangeArrowheads="1"/>
                    </pic:cNvPicPr>
                  </pic:nvPicPr>
                  <pic:blipFill rotWithShape="1">
                    <a:blip r:embed="rId19" cstate="print">
                      <a:extLst>
                        <a:ext uri="{28A0092B-C50C-407E-A947-70E740481C1C}">
                          <a14:useLocalDpi xmlns:a14="http://schemas.microsoft.com/office/drawing/2010/main" val="0"/>
                        </a:ext>
                      </a:extLst>
                    </a:blip>
                    <a:srcRect l="6480" r="27219" b="5589"/>
                    <a:stretch/>
                  </pic:blipFill>
                  <pic:spPr bwMode="auto">
                    <a:xfrm>
                      <a:off x="0" y="0"/>
                      <a:ext cx="5760000"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45C62397" w14:textId="3BFD65ED" w:rsidR="00B024AC" w:rsidRPr="00293B1D" w:rsidRDefault="00B024AC" w:rsidP="001722EC">
      <w:pPr>
        <w:pStyle w:val="H-Fig"/>
        <w:numPr>
          <w:ilvl w:val="0"/>
          <w:numId w:val="0"/>
        </w:numPr>
        <w:tabs>
          <w:tab w:val="left" w:pos="1134"/>
        </w:tabs>
        <w:spacing w:line="276" w:lineRule="auto"/>
        <w:ind w:left="1288" w:hanging="360"/>
        <w:jc w:val="left"/>
        <w:rPr>
          <w:rFonts w:eastAsia="CharisSIL"/>
          <w:i/>
          <w:iCs/>
          <w:sz w:val="18"/>
          <w:szCs w:val="18"/>
        </w:rPr>
      </w:pPr>
      <w:bookmarkStart w:id="15" w:name="_Toc75344306"/>
      <w:r w:rsidRPr="00293B1D">
        <w:rPr>
          <w:b/>
          <w:bCs/>
          <w:i/>
          <w:iCs/>
          <w:sz w:val="18"/>
          <w:szCs w:val="18"/>
        </w:rPr>
        <w:t>F</w:t>
      </w:r>
      <w:r w:rsidR="005226EA">
        <w:rPr>
          <w:b/>
          <w:bCs/>
          <w:i/>
          <w:iCs/>
          <w:sz w:val="18"/>
          <w:szCs w:val="18"/>
        </w:rPr>
        <w:t>IG</w:t>
      </w:r>
      <w:r w:rsidRPr="00293B1D">
        <w:rPr>
          <w:b/>
          <w:bCs/>
          <w:i/>
          <w:iCs/>
          <w:sz w:val="18"/>
          <w:szCs w:val="18"/>
        </w:rPr>
        <w:t>.</w:t>
      </w:r>
      <w:r w:rsidR="00BD25CD">
        <w:rPr>
          <w:b/>
          <w:bCs/>
          <w:i/>
          <w:iCs/>
          <w:sz w:val="18"/>
          <w:szCs w:val="18"/>
        </w:rPr>
        <w:t xml:space="preserve"> </w:t>
      </w:r>
      <w:r w:rsidR="00D52D6B">
        <w:rPr>
          <w:b/>
          <w:bCs/>
          <w:i/>
          <w:iCs/>
          <w:sz w:val="18"/>
          <w:szCs w:val="18"/>
        </w:rPr>
        <w:t>5</w:t>
      </w:r>
      <w:r w:rsidRPr="00293B1D">
        <w:rPr>
          <w:i/>
          <w:iCs/>
          <w:sz w:val="18"/>
          <w:szCs w:val="18"/>
        </w:rPr>
        <w:t xml:space="preserve">. Effect of binder type on the leaching rate of </w:t>
      </w:r>
      <w:r w:rsidRPr="00293B1D">
        <w:rPr>
          <w:i/>
          <w:iCs/>
          <w:sz w:val="18"/>
          <w:szCs w:val="18"/>
          <w:vertAlign w:val="superscript"/>
        </w:rPr>
        <w:t>134</w:t>
      </w:r>
      <w:r w:rsidRPr="00293B1D">
        <w:rPr>
          <w:i/>
          <w:iCs/>
          <w:sz w:val="18"/>
          <w:szCs w:val="18"/>
        </w:rPr>
        <w:t>Cs leached from solidified resin beads. (a) individual metakaolin (</w:t>
      </w:r>
      <w:r w:rsidRPr="00293B1D">
        <w:rPr>
          <w:b/>
          <w:bCs/>
          <w:i/>
          <w:iCs/>
          <w:sz w:val="18"/>
          <w:szCs w:val="18"/>
        </w:rPr>
        <w:t>MK/0PS-13RR</w:t>
      </w:r>
      <w:r w:rsidRPr="00293B1D">
        <w:rPr>
          <w:i/>
          <w:iCs/>
          <w:sz w:val="18"/>
          <w:szCs w:val="18"/>
        </w:rPr>
        <w:t>) and binary (</w:t>
      </w:r>
      <w:r w:rsidRPr="00293B1D">
        <w:rPr>
          <w:b/>
          <w:bCs/>
          <w:i/>
          <w:iCs/>
          <w:sz w:val="18"/>
          <w:szCs w:val="18"/>
        </w:rPr>
        <w:t>MK/42PS-13RR</w:t>
      </w:r>
      <w:r w:rsidRPr="00293B1D">
        <w:rPr>
          <w:i/>
          <w:iCs/>
          <w:sz w:val="18"/>
          <w:szCs w:val="18"/>
        </w:rPr>
        <w:t>) geopolymer packages and (b) Portland cement binder (</w:t>
      </w:r>
      <w:r w:rsidRPr="00293B1D">
        <w:rPr>
          <w:b/>
          <w:bCs/>
          <w:i/>
          <w:iCs/>
          <w:sz w:val="18"/>
          <w:szCs w:val="18"/>
        </w:rPr>
        <w:t>PCB-12RR</w:t>
      </w:r>
      <w:r w:rsidRPr="00293B1D">
        <w:rPr>
          <w:i/>
          <w:iCs/>
          <w:sz w:val="18"/>
          <w:szCs w:val="18"/>
        </w:rPr>
        <w:t>).</w:t>
      </w:r>
      <w:bookmarkEnd w:id="15"/>
    </w:p>
    <w:p w14:paraId="75B73D96" w14:textId="798C066D" w:rsidR="005226EA" w:rsidRPr="005226EA" w:rsidRDefault="005226EA" w:rsidP="00FE0F4C">
      <w:pPr>
        <w:spacing w:line="276" w:lineRule="auto"/>
        <w:ind w:firstLine="284"/>
        <w:jc w:val="both"/>
        <w:rPr>
          <w:rFonts w:ascii="Georgia" w:hAnsi="Georgia"/>
          <w:color w:val="2E2E2E"/>
          <w:sz w:val="20"/>
        </w:rPr>
      </w:pPr>
      <w:r w:rsidRPr="005226EA">
        <w:rPr>
          <w:rFonts w:asciiTheme="majorBidi" w:hAnsiTheme="majorBidi" w:cstheme="majorBidi"/>
          <w:sz w:val="20"/>
        </w:rPr>
        <w:t xml:space="preserve">Previous work from our laboratory have found that the Portland cement binder (PCB) can potentially use to treat radioactive resins loaded with </w:t>
      </w:r>
      <w:r w:rsidRPr="005226EA">
        <w:rPr>
          <w:rFonts w:asciiTheme="majorBidi" w:hAnsiTheme="majorBidi" w:cstheme="majorBidi"/>
          <w:sz w:val="20"/>
          <w:vertAlign w:val="superscript"/>
        </w:rPr>
        <w:t>134</w:t>
      </w:r>
      <w:r w:rsidRPr="005226EA">
        <w:rPr>
          <w:rFonts w:asciiTheme="majorBidi" w:hAnsiTheme="majorBidi" w:cstheme="majorBidi"/>
          <w:sz w:val="20"/>
        </w:rPr>
        <w:t xml:space="preserve">Cs </w:t>
      </w:r>
      <w:r w:rsidRPr="005226EA">
        <w:rPr>
          <w:rFonts w:asciiTheme="majorBidi" w:hAnsiTheme="majorBidi" w:cstheme="majorBidi"/>
          <w:sz w:val="20"/>
        </w:rPr>
        <w:fldChar w:fldCharType="begin"/>
      </w:r>
      <w:r w:rsidR="00FE0F4C">
        <w:rPr>
          <w:rFonts w:asciiTheme="majorBidi" w:hAnsiTheme="majorBidi" w:cstheme="majorBidi"/>
          <w:sz w:val="20"/>
        </w:rPr>
        <w:instrText xml:space="preserve"> ADDIN ZOTERO_ITEM CSL_CITATION {"citationID":"a11t0u7f3h6","properties":{"formattedCitation":"[16]","plainCitation":"[16]","noteIndex":0},"citationItems":[{"id":391,"uris":["http://zotero.org/users/local/K2uxjuux/items/SIZD4FM4"],"uri":["http://zotero.org/users/local/K2uxjuux/items/SIZD4FM4"],"itemData":{"id":391,"type":"article-journal","container-title":"International Journal of Environmental Science and Technology","DOI":"10.1007/s13762-016-1203-0","ISSN":"1735-1472, 1735-2630","issue":"5","journalAbbreviation":"Int. J. Environ. Sci. Technol.","language":"en","page":"1019-1026","source":"DOI.org (Crossref)","title":"Leaching study of cesium from spent ion-exchange resins and Portland cement package","volume":"14","author":[{"family":"Faiz","given":"Z."},{"family":"Fakhi","given":"S."},{"family":"Bouih","given":"A."},{"family":"Outayad","given":"R."},{"family":"Benkdad","given":"A."},{"family":"Hannache","given":"H."}],"issued":{"date-parts":[["2017",5]]}}}],"schema":"https://github.com/citation-style-language/schema/raw/master/csl-citation.json"} </w:instrText>
      </w:r>
      <w:r w:rsidRPr="005226EA">
        <w:rPr>
          <w:rFonts w:asciiTheme="majorBidi" w:hAnsiTheme="majorBidi" w:cstheme="majorBidi"/>
          <w:sz w:val="20"/>
        </w:rPr>
        <w:fldChar w:fldCharType="separate"/>
      </w:r>
      <w:r w:rsidR="00FE0F4C" w:rsidRPr="00FE0F4C">
        <w:rPr>
          <w:sz w:val="20"/>
        </w:rPr>
        <w:t>[16]</w:t>
      </w:r>
      <w:r w:rsidRPr="005226EA">
        <w:rPr>
          <w:rFonts w:asciiTheme="majorBidi" w:hAnsiTheme="majorBidi" w:cstheme="majorBidi"/>
          <w:sz w:val="20"/>
        </w:rPr>
        <w:fldChar w:fldCharType="end"/>
      </w:r>
      <w:r w:rsidRPr="005226EA">
        <w:rPr>
          <w:rFonts w:asciiTheme="majorBidi" w:hAnsiTheme="majorBidi" w:cstheme="majorBidi"/>
          <w:sz w:val="20"/>
        </w:rPr>
        <w:t>. In the current work, the prepared package had a strength of 8.61MPa and was effective in encapsulating 12 wt.% of the spent resin</w:t>
      </w:r>
      <w:r w:rsidRPr="005226EA">
        <w:rPr>
          <w:sz w:val="20"/>
        </w:rPr>
        <w:t xml:space="preserve"> </w:t>
      </w:r>
      <w:r w:rsidRPr="005226EA">
        <w:rPr>
          <w:rFonts w:asciiTheme="majorBidi" w:hAnsiTheme="majorBidi" w:cstheme="majorBidi"/>
          <w:sz w:val="20"/>
        </w:rPr>
        <w:t xml:space="preserve">over a wide range of </w:t>
      </w:r>
      <w:proofErr w:type="spellStart"/>
      <w:r w:rsidRPr="005226EA">
        <w:rPr>
          <w:rFonts w:asciiTheme="majorBidi" w:hAnsiTheme="majorBidi" w:cstheme="majorBidi"/>
          <w:sz w:val="20"/>
        </w:rPr>
        <w:t>cesium</w:t>
      </w:r>
      <w:proofErr w:type="spellEnd"/>
      <w:r w:rsidRPr="005226EA">
        <w:rPr>
          <w:rFonts w:asciiTheme="majorBidi" w:hAnsiTheme="majorBidi" w:cstheme="majorBidi"/>
          <w:sz w:val="20"/>
        </w:rPr>
        <w:t xml:space="preserve"> concentrations (with initial activity 107.93 </w:t>
      </w:r>
      <w:proofErr w:type="spellStart"/>
      <w:r w:rsidRPr="005226EA">
        <w:rPr>
          <w:rFonts w:asciiTheme="majorBidi" w:hAnsiTheme="majorBidi" w:cstheme="majorBidi"/>
          <w:sz w:val="20"/>
        </w:rPr>
        <w:t>Bq</w:t>
      </w:r>
      <w:proofErr w:type="spellEnd"/>
      <w:r w:rsidRPr="005226EA">
        <w:rPr>
          <w:rFonts w:asciiTheme="majorBidi" w:hAnsiTheme="majorBidi" w:cstheme="majorBidi"/>
          <w:sz w:val="20"/>
        </w:rPr>
        <w:t xml:space="preserve">/Kg). As shown in </w:t>
      </w:r>
      <w:r w:rsidRPr="005226EA">
        <w:rPr>
          <w:rFonts w:asciiTheme="majorBidi" w:hAnsiTheme="majorBidi" w:cstheme="majorBidi"/>
          <w:b/>
          <w:bCs/>
          <w:sz w:val="20"/>
        </w:rPr>
        <w:t>Fig.</w:t>
      </w:r>
      <w:r w:rsidR="00D52D6B">
        <w:rPr>
          <w:rFonts w:asciiTheme="majorBidi" w:hAnsiTheme="majorBidi" w:cstheme="majorBidi"/>
          <w:b/>
          <w:bCs/>
          <w:sz w:val="20"/>
        </w:rPr>
        <w:t>5</w:t>
      </w:r>
      <w:r w:rsidRPr="005226EA">
        <w:rPr>
          <w:rFonts w:asciiTheme="majorBidi" w:hAnsiTheme="majorBidi" w:cstheme="majorBidi"/>
          <w:b/>
          <w:bCs/>
          <w:sz w:val="20"/>
        </w:rPr>
        <w:t>b</w:t>
      </w:r>
      <w:r w:rsidRPr="005226EA">
        <w:rPr>
          <w:rFonts w:asciiTheme="majorBidi" w:hAnsiTheme="majorBidi" w:cstheme="majorBidi"/>
          <w:sz w:val="20"/>
        </w:rPr>
        <w:t xml:space="preserve">, the highest leaching rate of </w:t>
      </w:r>
      <w:r w:rsidRPr="005226EA">
        <w:rPr>
          <w:rFonts w:asciiTheme="majorBidi" w:hAnsiTheme="majorBidi" w:cstheme="majorBidi"/>
          <w:sz w:val="20"/>
          <w:vertAlign w:val="superscript"/>
        </w:rPr>
        <w:t>134</w:t>
      </w:r>
      <w:r w:rsidRPr="005226EA">
        <w:rPr>
          <w:rFonts w:asciiTheme="majorBidi" w:hAnsiTheme="majorBidi" w:cstheme="majorBidi"/>
          <w:sz w:val="20"/>
        </w:rPr>
        <w:t>Cs from PC-based packages occur on the 7 days of leaching. The leaching rates of Cs</w:t>
      </w:r>
      <w:r w:rsidRPr="005226EA">
        <w:rPr>
          <w:rFonts w:asciiTheme="majorBidi" w:hAnsiTheme="majorBidi" w:cstheme="majorBidi"/>
          <w:sz w:val="20"/>
          <w:vertAlign w:val="superscript"/>
        </w:rPr>
        <w:t>+</w:t>
      </w:r>
      <w:r w:rsidRPr="005226EA">
        <w:rPr>
          <w:rFonts w:asciiTheme="majorBidi" w:hAnsiTheme="majorBidi" w:cstheme="majorBidi"/>
          <w:sz w:val="20"/>
        </w:rPr>
        <w:t> in the PCB decreased over time and dropped significantly before day 65. The leaching rate of Cs</w:t>
      </w:r>
      <w:r w:rsidRPr="005226EA">
        <w:rPr>
          <w:rFonts w:asciiTheme="majorBidi" w:hAnsiTheme="majorBidi" w:cstheme="majorBidi"/>
          <w:sz w:val="20"/>
          <w:vertAlign w:val="superscript"/>
        </w:rPr>
        <w:t xml:space="preserve">+ </w:t>
      </w:r>
      <w:r w:rsidRPr="005226EA">
        <w:rPr>
          <w:rFonts w:asciiTheme="majorBidi" w:hAnsiTheme="majorBidi" w:cstheme="majorBidi"/>
          <w:sz w:val="20"/>
        </w:rPr>
        <w:t>across 14 days reaches 2.66×10</w:t>
      </w:r>
      <w:r w:rsidRPr="005226EA">
        <w:rPr>
          <w:rFonts w:asciiTheme="majorBidi" w:hAnsiTheme="majorBidi" w:cstheme="majorBidi"/>
          <w:sz w:val="20"/>
          <w:vertAlign w:val="superscript"/>
        </w:rPr>
        <w:t>-8</w:t>
      </w:r>
      <w:r w:rsidRPr="005226EA">
        <w:rPr>
          <w:rFonts w:asciiTheme="majorBidi" w:hAnsiTheme="majorBidi" w:cstheme="majorBidi"/>
          <w:sz w:val="20"/>
        </w:rPr>
        <w:t xml:space="preserve"> cm/s for PC packages, and 1.58×10</w:t>
      </w:r>
      <w:r w:rsidRPr="005226EA">
        <w:rPr>
          <w:rFonts w:asciiTheme="majorBidi" w:hAnsiTheme="majorBidi" w:cstheme="majorBidi"/>
          <w:sz w:val="20"/>
          <w:vertAlign w:val="superscript"/>
        </w:rPr>
        <w:t xml:space="preserve">-09 </w:t>
      </w:r>
      <w:r w:rsidRPr="005226EA">
        <w:rPr>
          <w:rFonts w:asciiTheme="majorBidi" w:hAnsiTheme="majorBidi" w:cstheme="majorBidi"/>
          <w:sz w:val="20"/>
        </w:rPr>
        <w:t>cm/s for UPS-based geopolymer packages, respectively. This result showed that the immobilization ability of Cs</w:t>
      </w:r>
      <w:r w:rsidRPr="005226EA">
        <w:rPr>
          <w:rFonts w:asciiTheme="majorBidi" w:hAnsiTheme="majorBidi" w:cstheme="majorBidi"/>
          <w:sz w:val="20"/>
          <w:vertAlign w:val="superscript"/>
        </w:rPr>
        <w:t>+</w:t>
      </w:r>
      <w:r w:rsidRPr="005226EA">
        <w:rPr>
          <w:rFonts w:asciiTheme="majorBidi" w:hAnsiTheme="majorBidi" w:cstheme="majorBidi"/>
          <w:sz w:val="20"/>
        </w:rPr>
        <w:t xml:space="preserve"> in UPS-based geopolymer packages, with initial activity 257.98 </w:t>
      </w:r>
      <w:proofErr w:type="spellStart"/>
      <w:r w:rsidRPr="005226EA">
        <w:rPr>
          <w:rFonts w:asciiTheme="majorBidi" w:hAnsiTheme="majorBidi" w:cstheme="majorBidi"/>
          <w:sz w:val="20"/>
        </w:rPr>
        <w:t>Bq</w:t>
      </w:r>
      <w:proofErr w:type="spellEnd"/>
      <w:r w:rsidRPr="005226EA">
        <w:rPr>
          <w:rFonts w:asciiTheme="majorBidi" w:hAnsiTheme="majorBidi" w:cstheme="majorBidi"/>
          <w:sz w:val="20"/>
        </w:rPr>
        <w:t xml:space="preserve">/Kg), is more outstanding than that of PCB packages. Therefore, UPS-based geopolymer package has clearly demonstrated its ability to improve the encapsulation performance of nuclear resins loaded with </w:t>
      </w:r>
      <w:r w:rsidRPr="005226EA">
        <w:rPr>
          <w:rFonts w:asciiTheme="majorBidi" w:hAnsiTheme="majorBidi" w:cstheme="majorBidi"/>
          <w:sz w:val="20"/>
          <w:vertAlign w:val="superscript"/>
        </w:rPr>
        <w:t>134</w:t>
      </w:r>
      <w:r w:rsidRPr="005226EA">
        <w:rPr>
          <w:rFonts w:asciiTheme="majorBidi" w:hAnsiTheme="majorBidi" w:cstheme="majorBidi"/>
          <w:sz w:val="20"/>
        </w:rPr>
        <w:t>Cs as compared with individually MK-based geopolymer package and PC package.</w:t>
      </w:r>
    </w:p>
    <w:p w14:paraId="39B6B4FD" w14:textId="77777777" w:rsidR="005226EA" w:rsidRPr="00093BC5" w:rsidRDefault="005226EA" w:rsidP="006F47EE">
      <w:pPr>
        <w:pStyle w:val="Titre3"/>
        <w:numPr>
          <w:ilvl w:val="1"/>
          <w:numId w:val="12"/>
        </w:numPr>
      </w:pPr>
      <w:bookmarkStart w:id="16" w:name="_Toc75361698"/>
      <w:r w:rsidRPr="00093BC5">
        <w:t>Environmental implications</w:t>
      </w:r>
      <w:bookmarkEnd w:id="16"/>
    </w:p>
    <w:p w14:paraId="7315917F" w14:textId="5D1440AA" w:rsidR="005226EA" w:rsidRPr="005226EA" w:rsidRDefault="005226EA" w:rsidP="001722EC">
      <w:pPr>
        <w:spacing w:line="276" w:lineRule="auto"/>
        <w:ind w:firstLine="567"/>
        <w:jc w:val="both"/>
        <w:rPr>
          <w:rFonts w:asciiTheme="majorBidi" w:hAnsiTheme="majorBidi" w:cstheme="majorBidi"/>
          <w:sz w:val="20"/>
        </w:rPr>
      </w:pPr>
      <w:r w:rsidRPr="005226EA">
        <w:rPr>
          <w:rFonts w:asciiTheme="majorBidi" w:hAnsiTheme="majorBidi" w:cstheme="majorBidi"/>
          <w:sz w:val="20"/>
        </w:rPr>
        <w:t xml:space="preserve">The safe and rational use of greener nuclear energy substantially reduces fossil fuel consumption, reducing energy consumption and ensuring a long-term energy supply for human society. However, the safe elimination of nuclear wastes is an environmental and energy issue that the world must face and resolve. One way of solving this problem is to synthesis green materials by using industrial solid waste/mining wastes; these materials are then used to solidify nuclear waste. From a circular economy perspective, this approach enables the cost-effective and safe disposal of nuclear waste, while resolving the problem of high value for the use of solid waste. The developed UPS-based geopolymer package in this study demonstrated excellent solidification effects of radioactive grade resins toward large-scale utilization of phosphate </w:t>
      </w:r>
      <w:r w:rsidR="001C7794">
        <w:rPr>
          <w:rFonts w:asciiTheme="majorBidi" w:hAnsiTheme="majorBidi" w:cstheme="majorBidi"/>
          <w:sz w:val="20"/>
        </w:rPr>
        <w:t>industry</w:t>
      </w:r>
      <w:r w:rsidRPr="005226EA">
        <w:rPr>
          <w:rFonts w:asciiTheme="majorBidi" w:hAnsiTheme="majorBidi" w:cstheme="majorBidi"/>
          <w:sz w:val="20"/>
        </w:rPr>
        <w:t xml:space="preserve"> by-products. Collectively, this paradigm provides an alternative pathway to achieve solidification of nuclear wastes and to treat industrial phosphate solid by-products in moving towards a circular economy model.</w:t>
      </w:r>
    </w:p>
    <w:p w14:paraId="341E78C0" w14:textId="77777777" w:rsidR="005226EA" w:rsidRDefault="005226EA" w:rsidP="006F47EE">
      <w:pPr>
        <w:pStyle w:val="Titre2"/>
        <w:numPr>
          <w:ilvl w:val="1"/>
          <w:numId w:val="5"/>
        </w:numPr>
      </w:pPr>
      <w:bookmarkStart w:id="17" w:name="_Toc75361699"/>
      <w:r w:rsidRPr="004F2E32">
        <w:t>Conclusions</w:t>
      </w:r>
      <w:bookmarkEnd w:id="17"/>
    </w:p>
    <w:p w14:paraId="5D1C4A63" w14:textId="77777777" w:rsidR="005226EA" w:rsidRPr="005226EA" w:rsidRDefault="005226EA" w:rsidP="001722EC">
      <w:pPr>
        <w:spacing w:line="276" w:lineRule="auto"/>
        <w:ind w:firstLine="284"/>
        <w:jc w:val="lowKashida"/>
        <w:rPr>
          <w:rFonts w:asciiTheme="majorBidi" w:hAnsiTheme="majorBidi" w:cstheme="majorBidi"/>
          <w:sz w:val="20"/>
        </w:rPr>
      </w:pPr>
      <w:r w:rsidRPr="005226EA">
        <w:rPr>
          <w:rFonts w:asciiTheme="majorBidi" w:hAnsiTheme="majorBidi" w:cstheme="majorBidi"/>
          <w:sz w:val="20"/>
        </w:rPr>
        <w:t xml:space="preserve">The phosphate tailings-derived geopolymer package exhibited very effective encapsulation performance for radioactive grade resins loaded with </w:t>
      </w:r>
      <w:proofErr w:type="spellStart"/>
      <w:r w:rsidRPr="005226EA">
        <w:rPr>
          <w:rFonts w:asciiTheme="majorBidi" w:hAnsiTheme="majorBidi" w:cstheme="majorBidi"/>
          <w:sz w:val="20"/>
        </w:rPr>
        <w:t>cesium</w:t>
      </w:r>
      <w:proofErr w:type="spellEnd"/>
      <w:r w:rsidRPr="005226EA">
        <w:rPr>
          <w:rFonts w:asciiTheme="majorBidi" w:hAnsiTheme="majorBidi" w:cstheme="majorBidi"/>
          <w:sz w:val="20"/>
        </w:rPr>
        <w:t xml:space="preserve"> radionuclide. Non-radioactive resin beads could be solidified into MK/42PS geopolymer package by 9, 11 and 13 wt.% yielding 28-days compressive strength values (</w:t>
      </w:r>
      <w:r w:rsidRPr="005226EA">
        <w:rPr>
          <w:rFonts w:asciiTheme="majorBidi" w:eastAsia="CharisSIL" w:hAnsiTheme="majorBidi" w:cstheme="majorBidi"/>
          <w:sz w:val="20"/>
        </w:rPr>
        <w:t>36.14, 32.71 and 31.55</w:t>
      </w:r>
      <w:r w:rsidRPr="005226EA">
        <w:rPr>
          <w:rFonts w:asciiTheme="majorBidi" w:hAnsiTheme="majorBidi" w:cstheme="majorBidi"/>
          <w:sz w:val="20"/>
        </w:rPr>
        <w:t xml:space="preserve"> MPa, respectively) greater than the waste acceptance criteria. The leaching rate values of </w:t>
      </w:r>
      <w:proofErr w:type="spellStart"/>
      <w:r w:rsidRPr="005226EA">
        <w:rPr>
          <w:rFonts w:asciiTheme="majorBidi" w:hAnsiTheme="majorBidi" w:cstheme="majorBidi"/>
          <w:sz w:val="20"/>
        </w:rPr>
        <w:t>cesium</w:t>
      </w:r>
      <w:proofErr w:type="spellEnd"/>
      <w:r w:rsidRPr="005226EA">
        <w:rPr>
          <w:rFonts w:asciiTheme="majorBidi" w:hAnsiTheme="majorBidi" w:cstheme="majorBidi"/>
          <w:sz w:val="20"/>
        </w:rPr>
        <w:t xml:space="preserve"> were two orders of magnitude lower than individual MK-based geopolymer package and the conventional PC package, indicating the better retention performance of the phosphate tailings-derived geopolymer package of radionuclide elements towards the biosphere.</w:t>
      </w:r>
    </w:p>
    <w:p w14:paraId="215EA3A4" w14:textId="01F85A36" w:rsidR="005226EA" w:rsidRPr="005226EA" w:rsidRDefault="005226EA" w:rsidP="001722EC">
      <w:pPr>
        <w:spacing w:line="276" w:lineRule="auto"/>
        <w:ind w:firstLine="284"/>
        <w:jc w:val="lowKashida"/>
        <w:rPr>
          <w:rFonts w:asciiTheme="majorBidi" w:hAnsiTheme="majorBidi" w:cstheme="majorBidi"/>
          <w:sz w:val="20"/>
        </w:rPr>
      </w:pPr>
      <w:r w:rsidRPr="005226EA">
        <w:rPr>
          <w:rFonts w:asciiTheme="majorBidi" w:hAnsiTheme="majorBidi" w:cstheme="majorBidi"/>
          <w:sz w:val="20"/>
        </w:rPr>
        <w:t xml:space="preserve">The production of phosphate tailings-derived geopolymer package could achieve environmentally friendly character and large-scale resource use of phosphate </w:t>
      </w:r>
      <w:r w:rsidR="001C7794">
        <w:rPr>
          <w:rFonts w:asciiTheme="majorBidi" w:hAnsiTheme="majorBidi" w:cstheme="majorBidi"/>
          <w:sz w:val="20"/>
        </w:rPr>
        <w:t>industry</w:t>
      </w:r>
      <w:r w:rsidRPr="005226EA">
        <w:rPr>
          <w:rFonts w:asciiTheme="majorBidi" w:hAnsiTheme="majorBidi" w:cstheme="majorBidi"/>
          <w:sz w:val="20"/>
        </w:rPr>
        <w:t xml:space="preserve"> by-products.</w:t>
      </w:r>
      <w:r w:rsidRPr="005226EA">
        <w:rPr>
          <w:sz w:val="20"/>
        </w:rPr>
        <w:t xml:space="preserve"> </w:t>
      </w:r>
      <w:r w:rsidRPr="005226EA">
        <w:rPr>
          <w:rFonts w:asciiTheme="majorBidi" w:hAnsiTheme="majorBidi" w:cstheme="majorBidi"/>
          <w:sz w:val="20"/>
        </w:rPr>
        <w:t xml:space="preserve">This approach of handling nuclear waste </w:t>
      </w:r>
      <w:r w:rsidRPr="005226EA">
        <w:rPr>
          <w:rFonts w:asciiTheme="majorBidi" w:hAnsiTheme="majorBidi" w:cstheme="majorBidi"/>
          <w:sz w:val="20"/>
        </w:rPr>
        <w:lastRenderedPageBreak/>
        <w:t>with phosphate tailings allows for the cost-effective and safe disposal of nuclear wastes, while also promoting the high-value utilization of industrial solid wastes.</w:t>
      </w:r>
    </w:p>
    <w:p w14:paraId="433FE095" w14:textId="77777777" w:rsidR="00285755" w:rsidRDefault="00285755" w:rsidP="00537496">
      <w:pPr>
        <w:pStyle w:val="Otherunnumberedheadings"/>
      </w:pPr>
      <w:r w:rsidRPr="00285755">
        <w:t>ACKNOWLEDGEMENTS</w:t>
      </w:r>
    </w:p>
    <w:p w14:paraId="433FE096" w14:textId="2799EE47" w:rsidR="00D26ADA" w:rsidRDefault="00505727" w:rsidP="009E2860">
      <w:pPr>
        <w:pStyle w:val="Corpsdetexte"/>
        <w:spacing w:line="276" w:lineRule="auto"/>
      </w:pPr>
      <w:r w:rsidRPr="00505727">
        <w:t>Th</w:t>
      </w:r>
      <w:r>
        <w:t>e</w:t>
      </w:r>
      <w:r w:rsidRPr="00505727">
        <w:t xml:space="preserve"> work was supported by a project (APPHOS) around phosphates sponsored by Office </w:t>
      </w:r>
      <w:proofErr w:type="spellStart"/>
      <w:r w:rsidRPr="00505727">
        <w:t>Cherifien</w:t>
      </w:r>
      <w:proofErr w:type="spellEnd"/>
      <w:r w:rsidRPr="00505727">
        <w:t xml:space="preserve"> des Phosphates (OCP group), (OCP Foundation, R&amp;D OCP, Mohammed VI Polytechnic University</w:t>
      </w:r>
      <w:r w:rsidR="009E7203">
        <w:t xml:space="preserve"> (UM6P)</w:t>
      </w:r>
      <w:r w:rsidRPr="00505727">
        <w:t xml:space="preserve">, CNRST and MESRSFC-Morocco), project ID: MATMOS01/2017. </w:t>
      </w:r>
      <w:r w:rsidR="009E7203" w:rsidRPr="009E7203">
        <w:t>The author</w:t>
      </w:r>
      <w:r w:rsidR="0078741D">
        <w:t>s</w:t>
      </w:r>
      <w:r w:rsidR="009E7203" w:rsidRPr="009E7203">
        <w:t xml:space="preserve"> </w:t>
      </w:r>
      <w:r w:rsidR="0078741D" w:rsidRPr="009E7203">
        <w:t>wish</w:t>
      </w:r>
      <w:r w:rsidR="009E7203" w:rsidRPr="009E7203">
        <w:t xml:space="preserve"> to thank </w:t>
      </w:r>
      <w:proofErr w:type="spellStart"/>
      <w:r w:rsidR="009E7203">
        <w:t>Pr</w:t>
      </w:r>
      <w:proofErr w:type="spellEnd"/>
      <w:r w:rsidR="009E7203" w:rsidRPr="009E7203">
        <w:t xml:space="preserve"> H. SI MHAMDI</w:t>
      </w:r>
      <w:r w:rsidR="009E7203">
        <w:t xml:space="preserve"> </w:t>
      </w:r>
      <w:r w:rsidR="009E7203" w:rsidRPr="009E7203">
        <w:t xml:space="preserve">from </w:t>
      </w:r>
      <w:r w:rsidR="009E7203" w:rsidRPr="00670246">
        <w:t xml:space="preserve">Department of Geosciences, </w:t>
      </w:r>
      <w:r w:rsidR="009E7203">
        <w:t>FST-</w:t>
      </w:r>
      <w:proofErr w:type="spellStart"/>
      <w:r w:rsidR="009E7203" w:rsidRPr="00670246">
        <w:t>Errachidia</w:t>
      </w:r>
      <w:proofErr w:type="spellEnd"/>
      <w:r w:rsidR="001D54B0">
        <w:t>-Morocco</w:t>
      </w:r>
      <w:r w:rsidR="005E7C46">
        <w:t xml:space="preserve"> </w:t>
      </w:r>
      <w:r w:rsidR="009E7203" w:rsidRPr="009E7203">
        <w:t xml:space="preserve">for support and </w:t>
      </w:r>
      <w:r w:rsidR="005774A9" w:rsidRPr="005774A9">
        <w:t>useful discussion</w:t>
      </w:r>
      <w:r w:rsidR="009E7203" w:rsidRPr="009E7203">
        <w:t>.</w:t>
      </w:r>
      <w:r w:rsidR="005E7C46" w:rsidRPr="005E7C46">
        <w:t xml:space="preserve"> </w:t>
      </w:r>
      <w:r w:rsidR="005774A9" w:rsidRPr="00505727">
        <w:t xml:space="preserve">The authors gratefully acknowledge </w:t>
      </w:r>
      <w:r w:rsidR="005774A9" w:rsidRPr="005774A9">
        <w:t>the generous help from</w:t>
      </w:r>
      <w:r w:rsidR="005774A9">
        <w:t xml:space="preserve"> </w:t>
      </w:r>
      <w:proofErr w:type="spellStart"/>
      <w:r w:rsidR="005E7C46">
        <w:t>Pr</w:t>
      </w:r>
      <w:proofErr w:type="spellEnd"/>
      <w:r w:rsidR="005E7C46">
        <w:t xml:space="preserve"> </w:t>
      </w:r>
      <w:r w:rsidR="005E7C46" w:rsidRPr="0078741D">
        <w:t>J. ALAMI</w:t>
      </w:r>
      <w:r w:rsidR="0074352E">
        <w:t xml:space="preserve"> and</w:t>
      </w:r>
      <w:r w:rsidR="009E2860" w:rsidRPr="009E2860">
        <w:t xml:space="preserve"> </w:t>
      </w:r>
      <w:r w:rsidR="009E2860">
        <w:t xml:space="preserve">Dr </w:t>
      </w:r>
      <w:r w:rsidR="009E2860" w:rsidRPr="0078741D">
        <w:t>S. MANSOURI</w:t>
      </w:r>
      <w:r w:rsidR="009E2860">
        <w:t xml:space="preserve"> </w:t>
      </w:r>
      <w:r w:rsidR="005E7C46" w:rsidRPr="009E7203">
        <w:t>from</w:t>
      </w:r>
      <w:r w:rsidR="005E7C46" w:rsidRPr="0078741D">
        <w:t xml:space="preserve"> </w:t>
      </w:r>
      <w:r w:rsidR="005E7C46">
        <w:t>Materials Science and Nano-engineering</w:t>
      </w:r>
      <w:r w:rsidR="00AA5854">
        <w:t xml:space="preserve"> </w:t>
      </w:r>
      <w:r w:rsidR="005E7C46">
        <w:t>Department-UM6P</w:t>
      </w:r>
      <w:r w:rsidR="001D54B0">
        <w:t>-Benguerir-Morocco</w:t>
      </w:r>
      <w:r w:rsidR="005774A9">
        <w:t xml:space="preserve"> </w:t>
      </w:r>
      <w:r w:rsidR="005774A9" w:rsidRPr="00505727">
        <w:t xml:space="preserve">for supplying </w:t>
      </w:r>
      <w:r w:rsidR="005774A9">
        <w:t xml:space="preserve">the </w:t>
      </w:r>
      <w:r w:rsidR="005774A9" w:rsidRPr="00505727">
        <w:t>raw materials and some testing instruments.</w:t>
      </w:r>
      <w:r w:rsidR="009E2860">
        <w:t xml:space="preserve"> </w:t>
      </w:r>
      <w:r w:rsidRPr="00505727">
        <w:t>A part of th</w:t>
      </w:r>
      <w:r>
        <w:t>e</w:t>
      </w:r>
      <w:r w:rsidRPr="00505727">
        <w:t xml:space="preserve"> work was supported through the internship agreement in the Mixed Research Unity (UMR) in collaboration with the National </w:t>
      </w:r>
      <w:proofErr w:type="spellStart"/>
      <w:r w:rsidRPr="00505727">
        <w:t>Center</w:t>
      </w:r>
      <w:proofErr w:type="spellEnd"/>
      <w:r w:rsidRPr="00505727">
        <w:t xml:space="preserve"> of Science, Technology and Nuclear Energy (CNESTEN) and Hassan II </w:t>
      </w:r>
      <w:r w:rsidR="009E2860" w:rsidRPr="00505727">
        <w:t xml:space="preserve">University </w:t>
      </w:r>
      <w:r w:rsidRPr="00505727">
        <w:t>of Casablanca (UHIIC).</w:t>
      </w:r>
    </w:p>
    <w:p w14:paraId="433FE097" w14:textId="77777777" w:rsidR="00D26ADA" w:rsidRPr="00285755" w:rsidRDefault="00D26ADA" w:rsidP="00537496">
      <w:pPr>
        <w:pStyle w:val="Otherunnumberedheadings"/>
      </w:pPr>
      <w:r>
        <w:t>References</w:t>
      </w:r>
    </w:p>
    <w:p w14:paraId="1E9F8390" w14:textId="77777777" w:rsidR="00FE0F4C" w:rsidRPr="00FE0F4C" w:rsidRDefault="00953487" w:rsidP="00FE0F4C">
      <w:pPr>
        <w:pStyle w:val="Bibliographie"/>
        <w:rPr>
          <w:sz w:val="18"/>
        </w:rPr>
      </w:pPr>
      <w:r w:rsidRPr="00155F13">
        <w:rPr>
          <w:sz w:val="18"/>
          <w:szCs w:val="18"/>
        </w:rPr>
        <w:fldChar w:fldCharType="begin"/>
      </w:r>
      <w:r w:rsidR="00FE0F4C">
        <w:rPr>
          <w:sz w:val="18"/>
          <w:szCs w:val="18"/>
        </w:rPr>
        <w:instrText xml:space="preserve"> ADDIN ZOTERO_BIBL {"uncited":[],"omitted":[],"custom":[]} CSL_BIBLIOGRAPHY </w:instrText>
      </w:r>
      <w:r w:rsidRPr="00155F13">
        <w:rPr>
          <w:sz w:val="18"/>
          <w:szCs w:val="18"/>
        </w:rPr>
        <w:fldChar w:fldCharType="separate"/>
      </w:r>
      <w:r w:rsidR="00FE0F4C" w:rsidRPr="00FE0F4C">
        <w:rPr>
          <w:sz w:val="18"/>
        </w:rPr>
        <w:t>[1]</w:t>
      </w:r>
      <w:r w:rsidR="00FE0F4C" w:rsidRPr="00FE0F4C">
        <w:rPr>
          <w:sz w:val="18"/>
        </w:rPr>
        <w:tab/>
        <w:t xml:space="preserve">OJOVAN, M.I., VARLACKOVA, G.A., GOLUBEVA, Z.I., BURLAKA, O.N., Long-term field and laboratory leaching tests of cemented radioactive wastes, Journal of Hazardous Materials </w:t>
      </w:r>
      <w:r w:rsidR="00FE0F4C" w:rsidRPr="00FE0F4C">
        <w:rPr>
          <w:b/>
          <w:bCs/>
          <w:sz w:val="18"/>
        </w:rPr>
        <w:t>187</w:t>
      </w:r>
      <w:r w:rsidR="00FE0F4C" w:rsidRPr="00FE0F4C">
        <w:rPr>
          <w:sz w:val="18"/>
        </w:rPr>
        <w:t xml:space="preserve"> 1–3 (2011) 296.</w:t>
      </w:r>
    </w:p>
    <w:p w14:paraId="6886DC9D" w14:textId="77777777" w:rsidR="00FE0F4C" w:rsidRPr="00FE0F4C" w:rsidRDefault="00FE0F4C" w:rsidP="00FE0F4C">
      <w:pPr>
        <w:pStyle w:val="Bibliographie"/>
        <w:rPr>
          <w:sz w:val="18"/>
        </w:rPr>
      </w:pPr>
      <w:r w:rsidRPr="00FE0F4C">
        <w:rPr>
          <w:sz w:val="18"/>
        </w:rPr>
        <w:t>[2]</w:t>
      </w:r>
      <w:r w:rsidRPr="00FE0F4C">
        <w:rPr>
          <w:sz w:val="18"/>
        </w:rPr>
        <w:tab/>
        <w:t xml:space="preserve">WANG, J., WAN, Z., Treatment and disposal of spent radioactive ion-exchange resins produced in the nuclear industry, Progress in Nuclear Energy </w:t>
      </w:r>
      <w:r w:rsidRPr="00FE0F4C">
        <w:rPr>
          <w:b/>
          <w:bCs/>
          <w:sz w:val="18"/>
        </w:rPr>
        <w:t>78</w:t>
      </w:r>
      <w:r w:rsidRPr="00FE0F4C">
        <w:rPr>
          <w:sz w:val="18"/>
        </w:rPr>
        <w:t xml:space="preserve"> (2015) 47.</w:t>
      </w:r>
    </w:p>
    <w:p w14:paraId="18CA60CF" w14:textId="77777777" w:rsidR="00FE0F4C" w:rsidRPr="00FE0F4C" w:rsidRDefault="00FE0F4C" w:rsidP="00FE0F4C">
      <w:pPr>
        <w:pStyle w:val="Bibliographie"/>
        <w:rPr>
          <w:sz w:val="18"/>
        </w:rPr>
      </w:pPr>
      <w:r w:rsidRPr="00FE0F4C">
        <w:rPr>
          <w:sz w:val="18"/>
        </w:rPr>
        <w:t>[3]</w:t>
      </w:r>
      <w:r w:rsidRPr="00FE0F4C">
        <w:rPr>
          <w:sz w:val="18"/>
        </w:rPr>
        <w:tab/>
        <w:t xml:space="preserve">EL-NAGGAR, M.R., EL-MASRY, E.H., EL-SADEK, A.A., Assessment of individual and mixed alkali activated binders for solidification of a nuclear grade organic resin loaded with 134Cs, 60Co and 152+154Eu radionuclides, Journal of Hazardous Materials </w:t>
      </w:r>
      <w:r w:rsidRPr="00FE0F4C">
        <w:rPr>
          <w:b/>
          <w:bCs/>
          <w:sz w:val="18"/>
        </w:rPr>
        <w:t>375</w:t>
      </w:r>
      <w:r w:rsidRPr="00FE0F4C">
        <w:rPr>
          <w:sz w:val="18"/>
        </w:rPr>
        <w:t xml:space="preserve"> (2019) 149.</w:t>
      </w:r>
    </w:p>
    <w:p w14:paraId="26F09CA6" w14:textId="77777777" w:rsidR="00FE0F4C" w:rsidRPr="00FE0F4C" w:rsidRDefault="00FE0F4C" w:rsidP="00FE0F4C">
      <w:pPr>
        <w:pStyle w:val="Bibliographie"/>
        <w:rPr>
          <w:sz w:val="18"/>
        </w:rPr>
      </w:pPr>
      <w:r w:rsidRPr="00FE0F4C">
        <w:rPr>
          <w:sz w:val="18"/>
        </w:rPr>
        <w:t>[4]</w:t>
      </w:r>
      <w:r w:rsidRPr="00FE0F4C">
        <w:rPr>
          <w:sz w:val="18"/>
        </w:rPr>
        <w:tab/>
        <w:t>BOUHI, A., MOUSSAIF, B., EL MAATI MOULDOURA, T.L., EL GHAILASSAI, T., FISCHER, R., Development of a Comprehensive Radioactive Waste Managment Program in the Kingdom of Morocco-9266, WM2009 Conference, March 1-5,, Phoenix, AZ, (2009).</w:t>
      </w:r>
    </w:p>
    <w:p w14:paraId="77B64FAA" w14:textId="77777777" w:rsidR="00FE0F4C" w:rsidRPr="00FE0F4C" w:rsidRDefault="00FE0F4C" w:rsidP="00FE0F4C">
      <w:pPr>
        <w:pStyle w:val="Bibliographie"/>
        <w:rPr>
          <w:sz w:val="18"/>
        </w:rPr>
      </w:pPr>
      <w:r w:rsidRPr="00FE0F4C">
        <w:rPr>
          <w:sz w:val="18"/>
        </w:rPr>
        <w:t>[5]</w:t>
      </w:r>
      <w:r w:rsidRPr="00FE0F4C">
        <w:rPr>
          <w:sz w:val="18"/>
        </w:rPr>
        <w:tab/>
        <w:t>INTERNATIONALE ATOMENERGIE-ORGANISATION (Ed), Handling and Processing of Radioactive Waste from Nuclear Applications, Technical reports series / International Atomic Energy Agency 402, International Atomic Energy Agency, Vienna (2001) 143 pp.</w:t>
      </w:r>
    </w:p>
    <w:p w14:paraId="281B11EA" w14:textId="77777777" w:rsidR="00FE0F4C" w:rsidRPr="00FE0F4C" w:rsidRDefault="00FE0F4C" w:rsidP="00FE0F4C">
      <w:pPr>
        <w:pStyle w:val="Bibliographie"/>
        <w:rPr>
          <w:sz w:val="18"/>
        </w:rPr>
      </w:pPr>
      <w:r w:rsidRPr="00FE0F4C">
        <w:rPr>
          <w:sz w:val="18"/>
        </w:rPr>
        <w:t>[6]</w:t>
      </w:r>
      <w:r w:rsidRPr="00FE0F4C">
        <w:rPr>
          <w:sz w:val="18"/>
        </w:rPr>
        <w:tab/>
        <w:t xml:space="preserve">LEE, W.-H. et al., Geopolymer technology for the solidification of simulated ion exchange resins with radionuclides, Journal of Environmental Management </w:t>
      </w:r>
      <w:r w:rsidRPr="00FE0F4C">
        <w:rPr>
          <w:b/>
          <w:bCs/>
          <w:sz w:val="18"/>
        </w:rPr>
        <w:t>235</w:t>
      </w:r>
      <w:r w:rsidRPr="00FE0F4C">
        <w:rPr>
          <w:sz w:val="18"/>
        </w:rPr>
        <w:t xml:space="preserve"> (2019) 19.</w:t>
      </w:r>
    </w:p>
    <w:p w14:paraId="318AF9E0" w14:textId="77777777" w:rsidR="00FE0F4C" w:rsidRPr="00FE0F4C" w:rsidRDefault="00FE0F4C" w:rsidP="00FE0F4C">
      <w:pPr>
        <w:pStyle w:val="Bibliographie"/>
        <w:rPr>
          <w:sz w:val="18"/>
        </w:rPr>
      </w:pPr>
      <w:r w:rsidRPr="00FE0F4C">
        <w:rPr>
          <w:sz w:val="18"/>
        </w:rPr>
        <w:t>[7]</w:t>
      </w:r>
      <w:r w:rsidRPr="00FE0F4C">
        <w:rPr>
          <w:sz w:val="18"/>
        </w:rPr>
        <w:tab/>
        <w:t xml:space="preserve">LIN, W., CHEN, H., HUANG, C., Performance study of ion exchange resins solidification using metakaolin-based geopolymer binder, Progress in Nuclear Energy </w:t>
      </w:r>
      <w:r w:rsidRPr="00FE0F4C">
        <w:rPr>
          <w:b/>
          <w:bCs/>
          <w:sz w:val="18"/>
        </w:rPr>
        <w:t>129</w:t>
      </w:r>
      <w:r w:rsidRPr="00FE0F4C">
        <w:rPr>
          <w:sz w:val="18"/>
        </w:rPr>
        <w:t xml:space="preserve"> (2020) 103508.</w:t>
      </w:r>
    </w:p>
    <w:p w14:paraId="3BA0E53C" w14:textId="77777777" w:rsidR="00FE0F4C" w:rsidRPr="00FE0F4C" w:rsidRDefault="00FE0F4C" w:rsidP="00FE0F4C">
      <w:pPr>
        <w:pStyle w:val="Bibliographie"/>
        <w:rPr>
          <w:sz w:val="18"/>
        </w:rPr>
      </w:pPr>
      <w:r w:rsidRPr="00FE0F4C">
        <w:rPr>
          <w:sz w:val="18"/>
        </w:rPr>
        <w:t>[8]</w:t>
      </w:r>
      <w:r w:rsidRPr="00FE0F4C">
        <w:rPr>
          <w:sz w:val="18"/>
        </w:rPr>
        <w:tab/>
        <w:t xml:space="preserve">EL-NAGGAR, M.R., EL-MASRY, E.H., EL-SADEK, A.A., Assessment of individual and mixed alkali activated binders for solidification of a nuclear grade organic resin loaded with 134Cs, 60Co and 152+154Eu radionuclides, Journal of Hazardous Materials </w:t>
      </w:r>
      <w:r w:rsidRPr="00FE0F4C">
        <w:rPr>
          <w:b/>
          <w:bCs/>
          <w:sz w:val="18"/>
        </w:rPr>
        <w:t>375</w:t>
      </w:r>
      <w:r w:rsidRPr="00FE0F4C">
        <w:rPr>
          <w:sz w:val="18"/>
        </w:rPr>
        <w:t xml:space="preserve"> (2019) 149.</w:t>
      </w:r>
    </w:p>
    <w:p w14:paraId="268706FD" w14:textId="77777777" w:rsidR="00FE0F4C" w:rsidRPr="00FE0F4C" w:rsidRDefault="00FE0F4C" w:rsidP="00FE0F4C">
      <w:pPr>
        <w:pStyle w:val="Bibliographie"/>
        <w:rPr>
          <w:sz w:val="18"/>
        </w:rPr>
      </w:pPr>
      <w:r w:rsidRPr="00FE0F4C">
        <w:rPr>
          <w:sz w:val="18"/>
        </w:rPr>
        <w:t>[9]</w:t>
      </w:r>
      <w:r w:rsidRPr="00FE0F4C">
        <w:rPr>
          <w:sz w:val="18"/>
        </w:rPr>
        <w:tab/>
        <w:t xml:space="preserve">PROVIS, J.L., LUKEY, G.C., VAN DEVENTER, J.S.J., Do Geopolymers Actually Contain Nanocrystalline Zeolites? A Reexamination of Existing Results, Chem. Mater. </w:t>
      </w:r>
      <w:r w:rsidRPr="00FE0F4C">
        <w:rPr>
          <w:b/>
          <w:bCs/>
          <w:sz w:val="18"/>
        </w:rPr>
        <w:t>17</w:t>
      </w:r>
      <w:r w:rsidRPr="00FE0F4C">
        <w:rPr>
          <w:sz w:val="18"/>
        </w:rPr>
        <w:t xml:space="preserve"> 12 (2005) 3075.</w:t>
      </w:r>
    </w:p>
    <w:p w14:paraId="2523E9BC" w14:textId="77777777" w:rsidR="00FE0F4C" w:rsidRPr="00FE0F4C" w:rsidRDefault="00FE0F4C" w:rsidP="00FE0F4C">
      <w:pPr>
        <w:pStyle w:val="Bibliographie"/>
        <w:rPr>
          <w:sz w:val="18"/>
        </w:rPr>
      </w:pPr>
      <w:r w:rsidRPr="00FE0F4C">
        <w:rPr>
          <w:sz w:val="18"/>
        </w:rPr>
        <w:t>[10]</w:t>
      </w:r>
      <w:r w:rsidRPr="00FE0F4C">
        <w:rPr>
          <w:sz w:val="18"/>
        </w:rPr>
        <w:tab/>
        <w:t xml:space="preserve">LOUTOU, M., HAJJAJI, M., MANSORI, M., FAVOTTO, C., HAKKOU, R., Phosphate sludge: Thermal transformation and use as lightweight aggregate material, Journal of Environmental Management </w:t>
      </w:r>
      <w:r w:rsidRPr="00FE0F4C">
        <w:rPr>
          <w:b/>
          <w:bCs/>
          <w:sz w:val="18"/>
        </w:rPr>
        <w:t>130</w:t>
      </w:r>
      <w:r w:rsidRPr="00FE0F4C">
        <w:rPr>
          <w:sz w:val="18"/>
        </w:rPr>
        <w:t xml:space="preserve"> (2013) 354.</w:t>
      </w:r>
    </w:p>
    <w:p w14:paraId="6DCA9242" w14:textId="77777777" w:rsidR="00FE0F4C" w:rsidRPr="00FE0F4C" w:rsidRDefault="00FE0F4C" w:rsidP="00FE0F4C">
      <w:pPr>
        <w:pStyle w:val="Bibliographie"/>
        <w:rPr>
          <w:sz w:val="18"/>
        </w:rPr>
      </w:pPr>
      <w:r w:rsidRPr="00FE0F4C">
        <w:rPr>
          <w:sz w:val="18"/>
        </w:rPr>
        <w:t>[11]</w:t>
      </w:r>
      <w:r w:rsidRPr="00FE0F4C">
        <w:rPr>
          <w:sz w:val="18"/>
        </w:rPr>
        <w:tab/>
        <w:t>HAMDANE, H. et al., Effect of alkali-mixed content and thermally untreated phosphate sludge dosages on some properties of metakaolin based geopolymer material, Materials Chemistry and Physics (2020) 122938.</w:t>
      </w:r>
    </w:p>
    <w:p w14:paraId="0F59DA54" w14:textId="77777777" w:rsidR="00FE0F4C" w:rsidRPr="00FE0F4C" w:rsidRDefault="00FE0F4C" w:rsidP="00FE0F4C">
      <w:pPr>
        <w:pStyle w:val="Bibliographie"/>
        <w:rPr>
          <w:sz w:val="18"/>
        </w:rPr>
      </w:pPr>
      <w:r w:rsidRPr="00FE0F4C">
        <w:rPr>
          <w:sz w:val="18"/>
        </w:rPr>
        <w:t>[12]</w:t>
      </w:r>
      <w:r w:rsidRPr="00FE0F4C">
        <w:rPr>
          <w:sz w:val="18"/>
        </w:rPr>
        <w:tab/>
        <w:t xml:space="preserve">HAMDANE, H. et al., Statistical modeling of geopolymers from dual-alkali activation of un-calcined phosphate sludge and their potential applications as sustainable coating materials, Journal of Cleaner Production </w:t>
      </w:r>
      <w:r w:rsidRPr="00FE0F4C">
        <w:rPr>
          <w:b/>
          <w:bCs/>
          <w:sz w:val="18"/>
        </w:rPr>
        <w:t>283</w:t>
      </w:r>
      <w:r w:rsidRPr="00FE0F4C">
        <w:rPr>
          <w:sz w:val="18"/>
        </w:rPr>
        <w:t xml:space="preserve"> (2021) 125421.</w:t>
      </w:r>
    </w:p>
    <w:p w14:paraId="05196ECF" w14:textId="77777777" w:rsidR="00FE0F4C" w:rsidRPr="00FE0F4C" w:rsidRDefault="00FE0F4C" w:rsidP="00FE0F4C">
      <w:pPr>
        <w:pStyle w:val="Bibliographie"/>
        <w:rPr>
          <w:sz w:val="18"/>
        </w:rPr>
      </w:pPr>
      <w:r w:rsidRPr="00FE0F4C">
        <w:rPr>
          <w:sz w:val="18"/>
        </w:rPr>
        <w:t>[13]</w:t>
      </w:r>
      <w:r w:rsidRPr="00FE0F4C">
        <w:rPr>
          <w:sz w:val="18"/>
        </w:rPr>
        <w:tab/>
        <w:t>PIERCE, E.M. et al., Secondary Waste Form Screening Test Results?Cast Stone and Alkali Alumino-Silicate Geopolymer, PNNL-19505, 989447, (2010) p. PNNL-19505, 989447.</w:t>
      </w:r>
    </w:p>
    <w:p w14:paraId="3BBCA7B5" w14:textId="77777777" w:rsidR="00FE0F4C" w:rsidRPr="00FE0F4C" w:rsidRDefault="00FE0F4C" w:rsidP="00FE0F4C">
      <w:pPr>
        <w:pStyle w:val="Bibliographie"/>
        <w:rPr>
          <w:sz w:val="18"/>
        </w:rPr>
      </w:pPr>
      <w:r w:rsidRPr="00FE0F4C">
        <w:rPr>
          <w:sz w:val="18"/>
        </w:rPr>
        <w:t>[14]</w:t>
      </w:r>
      <w:r w:rsidRPr="00FE0F4C">
        <w:rPr>
          <w:sz w:val="18"/>
        </w:rPr>
        <w:tab/>
        <w:t xml:space="preserve">ABDELRAHMAN, R., ZAKI, A., ELKAMASH, A., Modeling the long-term leaching behavior of 137Cs, 60Co, and 152,154Eu radionuclides from cement–clay matrices, Journal of Hazardous Materials </w:t>
      </w:r>
      <w:r w:rsidRPr="00FE0F4C">
        <w:rPr>
          <w:b/>
          <w:bCs/>
          <w:sz w:val="18"/>
        </w:rPr>
        <w:t>145</w:t>
      </w:r>
      <w:r w:rsidRPr="00FE0F4C">
        <w:rPr>
          <w:sz w:val="18"/>
        </w:rPr>
        <w:t xml:space="preserve"> 3 (2007) 372.</w:t>
      </w:r>
    </w:p>
    <w:p w14:paraId="4F7AA08C" w14:textId="77777777" w:rsidR="00FE0F4C" w:rsidRPr="00FE0F4C" w:rsidRDefault="00FE0F4C" w:rsidP="00FE0F4C">
      <w:pPr>
        <w:pStyle w:val="Bibliographie"/>
        <w:rPr>
          <w:sz w:val="18"/>
        </w:rPr>
      </w:pPr>
      <w:r w:rsidRPr="00FE0F4C">
        <w:rPr>
          <w:sz w:val="18"/>
        </w:rPr>
        <w:t>[15]</w:t>
      </w:r>
      <w:r w:rsidRPr="00FE0F4C">
        <w:rPr>
          <w:sz w:val="18"/>
        </w:rPr>
        <w:tab/>
        <w:t xml:space="preserve">PLECAS, I., PAVLOVIC, R., PAVLOVIC, S., Leaching behavior of 60Co and 137Cs from spent ion exchange resins in cement–bentonite clay matrix, Journal of Nuclear Materials </w:t>
      </w:r>
      <w:r w:rsidRPr="00FE0F4C">
        <w:rPr>
          <w:b/>
          <w:bCs/>
          <w:sz w:val="18"/>
        </w:rPr>
        <w:t>327</w:t>
      </w:r>
      <w:r w:rsidRPr="00FE0F4C">
        <w:rPr>
          <w:sz w:val="18"/>
        </w:rPr>
        <w:t xml:space="preserve"> 2–3 (2004) 171.</w:t>
      </w:r>
    </w:p>
    <w:p w14:paraId="2E6DF3E0" w14:textId="77777777" w:rsidR="00FE0F4C" w:rsidRPr="00FE0F4C" w:rsidRDefault="00FE0F4C" w:rsidP="00FE0F4C">
      <w:pPr>
        <w:pStyle w:val="Bibliographie"/>
        <w:rPr>
          <w:sz w:val="18"/>
        </w:rPr>
      </w:pPr>
      <w:r w:rsidRPr="00FE0F4C">
        <w:rPr>
          <w:sz w:val="18"/>
        </w:rPr>
        <w:t>[16]</w:t>
      </w:r>
      <w:r w:rsidRPr="00FE0F4C">
        <w:rPr>
          <w:sz w:val="18"/>
        </w:rPr>
        <w:tab/>
        <w:t xml:space="preserve">FAIZ, Z. et al., Leaching study of cesium from spent ion-exchange resins and Portland cement package, Int. J. Environ. Sci. Technol. </w:t>
      </w:r>
      <w:r w:rsidRPr="00FE0F4C">
        <w:rPr>
          <w:b/>
          <w:bCs/>
          <w:sz w:val="18"/>
        </w:rPr>
        <w:t>14</w:t>
      </w:r>
      <w:r w:rsidRPr="00FE0F4C">
        <w:rPr>
          <w:sz w:val="18"/>
        </w:rPr>
        <w:t xml:space="preserve"> 5 (2017) 1019.</w:t>
      </w:r>
    </w:p>
    <w:p w14:paraId="4B31AA1F" w14:textId="77777777" w:rsidR="00FE0F4C" w:rsidRPr="00FE0F4C" w:rsidRDefault="00FE0F4C" w:rsidP="00FE0F4C">
      <w:pPr>
        <w:pStyle w:val="Bibliographie"/>
        <w:rPr>
          <w:sz w:val="18"/>
        </w:rPr>
      </w:pPr>
      <w:r w:rsidRPr="00FE0F4C">
        <w:rPr>
          <w:sz w:val="18"/>
        </w:rPr>
        <w:t>[17]</w:t>
      </w:r>
      <w:r w:rsidRPr="00FE0F4C">
        <w:rPr>
          <w:sz w:val="18"/>
        </w:rPr>
        <w:tab/>
        <w:t xml:space="preserve">OSMANLIOGLU, A.E., Progress in cementation of reactor resins, Progress in Nuclear Energy </w:t>
      </w:r>
      <w:r w:rsidRPr="00FE0F4C">
        <w:rPr>
          <w:b/>
          <w:bCs/>
          <w:sz w:val="18"/>
        </w:rPr>
        <w:t>49</w:t>
      </w:r>
      <w:r w:rsidRPr="00FE0F4C">
        <w:rPr>
          <w:sz w:val="18"/>
        </w:rPr>
        <w:t xml:space="preserve"> 1 (2007) 20.</w:t>
      </w:r>
    </w:p>
    <w:p w14:paraId="4B58479E" w14:textId="77777777" w:rsidR="00FE0F4C" w:rsidRPr="00FE0F4C" w:rsidRDefault="00FE0F4C" w:rsidP="00FE0F4C">
      <w:pPr>
        <w:pStyle w:val="Bibliographie"/>
        <w:rPr>
          <w:sz w:val="18"/>
        </w:rPr>
      </w:pPr>
      <w:r w:rsidRPr="00FE0F4C">
        <w:rPr>
          <w:sz w:val="18"/>
        </w:rPr>
        <w:t>[18]</w:t>
      </w:r>
      <w:r w:rsidRPr="00FE0F4C">
        <w:rPr>
          <w:sz w:val="18"/>
        </w:rPr>
        <w:tab/>
        <w:t xml:space="preserve">PEREZ-CORTES, P., ESCALANTE-GARCIA, J.I., Design and optimization of alkaline binders of limestone-metakaolin – A comparison of strength, microstructure and sustainability with portland cement and geopolymers, Journal of Cleaner Production </w:t>
      </w:r>
      <w:r w:rsidRPr="00FE0F4C">
        <w:rPr>
          <w:b/>
          <w:bCs/>
          <w:sz w:val="18"/>
        </w:rPr>
        <w:t>273</w:t>
      </w:r>
      <w:r w:rsidRPr="00FE0F4C">
        <w:rPr>
          <w:sz w:val="18"/>
        </w:rPr>
        <w:t xml:space="preserve"> (2020) 123118.</w:t>
      </w:r>
    </w:p>
    <w:p w14:paraId="14C068DE" w14:textId="77777777" w:rsidR="00FE0F4C" w:rsidRPr="00FE0F4C" w:rsidRDefault="00FE0F4C" w:rsidP="00FE0F4C">
      <w:pPr>
        <w:pStyle w:val="Bibliographie"/>
        <w:rPr>
          <w:sz w:val="18"/>
        </w:rPr>
      </w:pPr>
      <w:r w:rsidRPr="00FE0F4C">
        <w:rPr>
          <w:sz w:val="18"/>
        </w:rPr>
        <w:t>[19]</w:t>
      </w:r>
      <w:r w:rsidRPr="00FE0F4C">
        <w:rPr>
          <w:sz w:val="18"/>
        </w:rPr>
        <w:tab/>
        <w:t>INTERNATIONALE ATOMENERGIE-ORGANISATION (Ed), Application of Ion Exchange Processes for the Treatment of Radioactive Waste and Management of Spent Ion Exchangers, Technical reports series / International Atomic Energy Agency 408, International Atomic Energy Agency, Vienna (2002) 115 pp.</w:t>
      </w:r>
    </w:p>
    <w:p w14:paraId="433FE0B6" w14:textId="067C1C08" w:rsidR="00F45EEE" w:rsidRPr="00662532" w:rsidRDefault="00953487" w:rsidP="001722EC">
      <w:pPr>
        <w:pStyle w:val="Referencelist"/>
        <w:numPr>
          <w:ilvl w:val="0"/>
          <w:numId w:val="0"/>
        </w:numPr>
        <w:ind w:left="720" w:hanging="360"/>
      </w:pPr>
      <w:r w:rsidRPr="00155F13">
        <w:fldChar w:fldCharType="end"/>
      </w:r>
    </w:p>
    <w:sectPr w:rsidR="00F45EEE" w:rsidRPr="00662532" w:rsidSect="0026525A">
      <w:headerReference w:type="even" r:id="rId20"/>
      <w:headerReference w:type="default" r:id="rId21"/>
      <w:footerReference w:type="even" r:id="rId22"/>
      <w:footerReference w:type="default" r:id="rId23"/>
      <w:headerReference w:type="first" r:id="rId24"/>
      <w:footerReference w:type="first" r:id="rId2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9A8F5" w14:textId="77777777" w:rsidR="0029074C" w:rsidRDefault="0029074C">
      <w:r>
        <w:separator/>
      </w:r>
    </w:p>
  </w:endnote>
  <w:endnote w:type="continuationSeparator" w:id="0">
    <w:p w14:paraId="7F749F16" w14:textId="77777777" w:rsidR="0029074C" w:rsidRDefault="00290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SIL-Italic">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TeX_CM_Maths_Symbols">
    <w:altName w:val="Cambria"/>
    <w:panose1 w:val="00000000000000000000"/>
    <w:charset w:val="00"/>
    <w:family w:val="roman"/>
    <w:notTrueType/>
    <w:pitch w:val="default"/>
  </w:font>
  <w:font w:name="CharisSIL">
    <w:altName w:val="Malgun Gothic"/>
    <w:panose1 w:val="00000000000000000000"/>
    <w:charset w:val="81"/>
    <w:family w:val="swiss"/>
    <w:notTrueType/>
    <w:pitch w:val="default"/>
    <w:sig w:usb0="00000001" w:usb1="09070000" w:usb2="00000010" w:usb3="00000000" w:csb0="000A0000"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9"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9"/>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0"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2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075C0" w14:textId="77777777" w:rsidR="0029074C" w:rsidRDefault="0029074C">
      <w:r>
        <w:t>___________________________________________________________________________</w:t>
      </w:r>
    </w:p>
  </w:footnote>
  <w:footnote w:type="continuationSeparator" w:id="0">
    <w:p w14:paraId="428C4F92" w14:textId="77777777" w:rsidR="0029074C" w:rsidRDefault="0029074C">
      <w:r>
        <w:t>___________________________________________________________________________</w:t>
      </w:r>
    </w:p>
  </w:footnote>
  <w:footnote w:type="continuationNotice" w:id="1">
    <w:p w14:paraId="641EF6D7" w14:textId="77777777" w:rsidR="0029074C" w:rsidRDefault="002907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435FC829" w:rsidR="00CF7AF3" w:rsidRDefault="00CF7AF3" w:rsidP="00451C2A">
    <w:pPr>
      <w:pStyle w:val="Runninghead"/>
    </w:pPr>
    <w:r>
      <w:t>IAEA-CN-</w:t>
    </w:r>
    <w:r w:rsidR="00451C2A">
      <w:t>113</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4" w14:textId="3BDCDAFA" w:rsidR="00E20E70" w:rsidRDefault="00D221FC" w:rsidP="00A33C4F">
    <w:pPr>
      <w:pStyle w:val="Runninghead"/>
    </w:pPr>
    <w:r>
      <w:t>HASNA HAMDANE</w:t>
    </w:r>
    <w:r w:rsidR="00AC5A3A">
      <w:t xml:space="preserve"> </w:t>
    </w:r>
    <w:r>
      <w:t>et</w:t>
    </w:r>
    <w:r w:rsidR="004037F1">
      <w:t xml:space="preserve"> al</w:t>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8"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8"/>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Titre9"/>
            <w:spacing w:before="0" w:after="10"/>
          </w:pPr>
        </w:p>
      </w:tc>
      <w:tc>
        <w:tcPr>
          <w:tcW w:w="5702" w:type="dxa"/>
          <w:vMerge/>
          <w:vAlign w:val="bottom"/>
        </w:tcPr>
        <w:p w14:paraId="433FE0D1" w14:textId="77777777" w:rsidR="00E20E70" w:rsidRDefault="00E20E70">
          <w:pPr>
            <w:pStyle w:val="Titre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A82036"/>
    <w:multiLevelType w:val="multilevel"/>
    <w:tmpl w:val="BF6897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9710498"/>
    <w:multiLevelType w:val="multilevel"/>
    <w:tmpl w:val="F3E892B4"/>
    <w:lvl w:ilvl="0">
      <w:start w:val="1"/>
      <w:numFmt w:val="upperRoman"/>
      <w:pStyle w:val="HTI"/>
      <w:suff w:val="space"/>
      <w:lvlText w:val="%1."/>
      <w:lvlJc w:val="left"/>
      <w:pPr>
        <w:ind w:left="360" w:hanging="360"/>
      </w:pPr>
      <w:rPr>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TI1"/>
      <w:suff w:val="space"/>
      <w:lvlText w:val="%1.%2."/>
      <w:lvlJc w:val="left"/>
      <w:pPr>
        <w:ind w:left="792" w:hanging="432"/>
      </w:pPr>
      <w:rPr>
        <w:rFonts w:hint="default"/>
      </w:rPr>
    </w:lvl>
    <w:lvl w:ilvl="2">
      <w:start w:val="1"/>
      <w:numFmt w:val="decimal"/>
      <w:pStyle w:val="HTI11"/>
      <w:suff w:val="space"/>
      <w:lvlText w:val="%1.%2.%3."/>
      <w:lvlJc w:val="left"/>
      <w:pPr>
        <w:ind w:left="1224" w:hanging="504"/>
      </w:pPr>
      <w:rPr>
        <w:rFonts w:hint="default"/>
      </w:rPr>
    </w:lvl>
    <w:lvl w:ilvl="3">
      <w:start w:val="1"/>
      <w:numFmt w:val="decimal"/>
      <w:pStyle w:val="HTI111"/>
      <w:suff w:val="space"/>
      <w:lvlText w:val="%1.%2.%3.%4."/>
      <w:lvlJc w:val="left"/>
      <w:pPr>
        <w:ind w:left="1728" w:hanging="648"/>
      </w:pPr>
      <w:rPr>
        <w:rFonts w:hint="default"/>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BFF6E0E"/>
    <w:multiLevelType w:val="hybridMultilevel"/>
    <w:tmpl w:val="29AADAE8"/>
    <w:lvl w:ilvl="0" w:tplc="CFAA4108">
      <w:start w:val="1"/>
      <w:numFmt w:val="decimal"/>
      <w:pStyle w:val="HTab"/>
      <w:lvlText w:val="Table %1:"/>
      <w:lvlJc w:val="left"/>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D8E686D"/>
    <w:multiLevelType w:val="hybridMultilevel"/>
    <w:tmpl w:val="7998293E"/>
    <w:lvl w:ilvl="0" w:tplc="28943876">
      <w:start w:val="1"/>
      <w:numFmt w:val="decimal"/>
      <w:pStyle w:val="H-Fig"/>
      <w:lvlText w:val="Fig. %1."/>
      <w:lvlJc w:val="left"/>
      <w:pPr>
        <w:ind w:left="1288" w:hanging="360"/>
      </w:pPr>
      <w:rPr>
        <w:rFonts w:hint="default"/>
        <w:b/>
        <w:bCs/>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re2"/>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9"/>
  </w:num>
  <w:num w:numId="2">
    <w:abstractNumId w:val="3"/>
  </w:num>
  <w:num w:numId="3">
    <w:abstractNumId w:val="6"/>
  </w:num>
  <w:num w:numId="4">
    <w:abstractNumId w:val="0"/>
  </w:num>
  <w:num w:numId="5">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11"/>
  </w:num>
  <w:num w:numId="7">
    <w:abstractNumId w:val="1"/>
  </w:num>
  <w:num w:numId="8">
    <w:abstractNumId w:val="2"/>
  </w:num>
  <w:num w:numId="9">
    <w:abstractNumId w:val="8"/>
  </w:num>
  <w:num w:numId="10">
    <w:abstractNumId w:val="7"/>
  </w:num>
  <w:num w:numId="11">
    <w:abstractNumId w:val="5"/>
  </w:num>
  <w:num w:numId="12">
    <w:abstractNumId w:val="4"/>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CA"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52D52"/>
    <w:rsid w:val="00054780"/>
    <w:rsid w:val="00063426"/>
    <w:rsid w:val="00090ABE"/>
    <w:rsid w:val="000A0299"/>
    <w:rsid w:val="000A279B"/>
    <w:rsid w:val="000A2990"/>
    <w:rsid w:val="000A59C6"/>
    <w:rsid w:val="000D6502"/>
    <w:rsid w:val="000E7A73"/>
    <w:rsid w:val="000F7E94"/>
    <w:rsid w:val="00100C12"/>
    <w:rsid w:val="001119D6"/>
    <w:rsid w:val="00117F09"/>
    <w:rsid w:val="001308F2"/>
    <w:rsid w:val="001313E8"/>
    <w:rsid w:val="00155F13"/>
    <w:rsid w:val="00162C1B"/>
    <w:rsid w:val="001722EC"/>
    <w:rsid w:val="00183BC4"/>
    <w:rsid w:val="00185A51"/>
    <w:rsid w:val="00197A62"/>
    <w:rsid w:val="001C58F5"/>
    <w:rsid w:val="001C7794"/>
    <w:rsid w:val="001D54B0"/>
    <w:rsid w:val="001D5CEE"/>
    <w:rsid w:val="002071D9"/>
    <w:rsid w:val="002144C5"/>
    <w:rsid w:val="00235BDD"/>
    <w:rsid w:val="00254A77"/>
    <w:rsid w:val="00256822"/>
    <w:rsid w:val="00264415"/>
    <w:rsid w:val="0026525A"/>
    <w:rsid w:val="002662BD"/>
    <w:rsid w:val="00274790"/>
    <w:rsid w:val="002766B9"/>
    <w:rsid w:val="00285755"/>
    <w:rsid w:val="00285ACD"/>
    <w:rsid w:val="002860F1"/>
    <w:rsid w:val="0029074C"/>
    <w:rsid w:val="00293B1D"/>
    <w:rsid w:val="00293BF3"/>
    <w:rsid w:val="00297839"/>
    <w:rsid w:val="002A1F9C"/>
    <w:rsid w:val="002A2AD9"/>
    <w:rsid w:val="002A5BA2"/>
    <w:rsid w:val="002B29C2"/>
    <w:rsid w:val="002C4208"/>
    <w:rsid w:val="002E1B5A"/>
    <w:rsid w:val="002F74E7"/>
    <w:rsid w:val="00315077"/>
    <w:rsid w:val="00352DE1"/>
    <w:rsid w:val="003728E6"/>
    <w:rsid w:val="00376920"/>
    <w:rsid w:val="00386C79"/>
    <w:rsid w:val="00397351"/>
    <w:rsid w:val="003A7D28"/>
    <w:rsid w:val="003B517E"/>
    <w:rsid w:val="003B5E0E"/>
    <w:rsid w:val="003D2385"/>
    <w:rsid w:val="003D255A"/>
    <w:rsid w:val="003D50B3"/>
    <w:rsid w:val="003F3825"/>
    <w:rsid w:val="004037F1"/>
    <w:rsid w:val="00411321"/>
    <w:rsid w:val="00416949"/>
    <w:rsid w:val="00417928"/>
    <w:rsid w:val="004370D8"/>
    <w:rsid w:val="00451C2A"/>
    <w:rsid w:val="00452A47"/>
    <w:rsid w:val="004710B8"/>
    <w:rsid w:val="00472C43"/>
    <w:rsid w:val="004831E6"/>
    <w:rsid w:val="00494C4F"/>
    <w:rsid w:val="004C3412"/>
    <w:rsid w:val="00505727"/>
    <w:rsid w:val="00513953"/>
    <w:rsid w:val="00515A9C"/>
    <w:rsid w:val="005226EA"/>
    <w:rsid w:val="0052720C"/>
    <w:rsid w:val="00532A35"/>
    <w:rsid w:val="00537496"/>
    <w:rsid w:val="00544ED3"/>
    <w:rsid w:val="00554B32"/>
    <w:rsid w:val="00555162"/>
    <w:rsid w:val="005617C7"/>
    <w:rsid w:val="005774A9"/>
    <w:rsid w:val="0058477B"/>
    <w:rsid w:val="0058654F"/>
    <w:rsid w:val="00594D34"/>
    <w:rsid w:val="00596ACA"/>
    <w:rsid w:val="005D587A"/>
    <w:rsid w:val="005E39BC"/>
    <w:rsid w:val="005E7C46"/>
    <w:rsid w:val="005F00A0"/>
    <w:rsid w:val="00602E90"/>
    <w:rsid w:val="00604843"/>
    <w:rsid w:val="006064EB"/>
    <w:rsid w:val="006219BF"/>
    <w:rsid w:val="00632A34"/>
    <w:rsid w:val="006374DD"/>
    <w:rsid w:val="00647F33"/>
    <w:rsid w:val="00662532"/>
    <w:rsid w:val="00670246"/>
    <w:rsid w:val="006B2096"/>
    <w:rsid w:val="006B2274"/>
    <w:rsid w:val="006B2BED"/>
    <w:rsid w:val="006C6066"/>
    <w:rsid w:val="006D1025"/>
    <w:rsid w:val="006D57D1"/>
    <w:rsid w:val="006D777A"/>
    <w:rsid w:val="006E7159"/>
    <w:rsid w:val="006F47EE"/>
    <w:rsid w:val="00700582"/>
    <w:rsid w:val="00717C6F"/>
    <w:rsid w:val="0074352E"/>
    <w:rsid w:val="007445DA"/>
    <w:rsid w:val="0078741D"/>
    <w:rsid w:val="007B0F12"/>
    <w:rsid w:val="007B4FD1"/>
    <w:rsid w:val="00802381"/>
    <w:rsid w:val="008072F5"/>
    <w:rsid w:val="00843F91"/>
    <w:rsid w:val="00850A68"/>
    <w:rsid w:val="00883848"/>
    <w:rsid w:val="0089684D"/>
    <w:rsid w:val="00897ED5"/>
    <w:rsid w:val="008A5768"/>
    <w:rsid w:val="008B6BB9"/>
    <w:rsid w:val="008B702A"/>
    <w:rsid w:val="008D507F"/>
    <w:rsid w:val="008E02C8"/>
    <w:rsid w:val="00911543"/>
    <w:rsid w:val="00914D8A"/>
    <w:rsid w:val="00951347"/>
    <w:rsid w:val="009519C9"/>
    <w:rsid w:val="00953487"/>
    <w:rsid w:val="00974C9B"/>
    <w:rsid w:val="00987E91"/>
    <w:rsid w:val="009D0B86"/>
    <w:rsid w:val="009E0D5B"/>
    <w:rsid w:val="009E1558"/>
    <w:rsid w:val="009E2860"/>
    <w:rsid w:val="009E7203"/>
    <w:rsid w:val="00A33C4F"/>
    <w:rsid w:val="00A40C29"/>
    <w:rsid w:val="00A426F9"/>
    <w:rsid w:val="00A42898"/>
    <w:rsid w:val="00A44261"/>
    <w:rsid w:val="00A66DCD"/>
    <w:rsid w:val="00AA5854"/>
    <w:rsid w:val="00AB0F00"/>
    <w:rsid w:val="00AB4479"/>
    <w:rsid w:val="00AB49EE"/>
    <w:rsid w:val="00AB6ACE"/>
    <w:rsid w:val="00AC5A3A"/>
    <w:rsid w:val="00B024AC"/>
    <w:rsid w:val="00B40F33"/>
    <w:rsid w:val="00B71949"/>
    <w:rsid w:val="00B775BB"/>
    <w:rsid w:val="00B82FA5"/>
    <w:rsid w:val="00B85811"/>
    <w:rsid w:val="00BA002F"/>
    <w:rsid w:val="00BA31CF"/>
    <w:rsid w:val="00BC3556"/>
    <w:rsid w:val="00BD0A03"/>
    <w:rsid w:val="00BD1400"/>
    <w:rsid w:val="00BD25CD"/>
    <w:rsid w:val="00BD42D8"/>
    <w:rsid w:val="00BD605C"/>
    <w:rsid w:val="00BD794B"/>
    <w:rsid w:val="00BE2A76"/>
    <w:rsid w:val="00BE7551"/>
    <w:rsid w:val="00BF0684"/>
    <w:rsid w:val="00BF5011"/>
    <w:rsid w:val="00C07222"/>
    <w:rsid w:val="00C252D1"/>
    <w:rsid w:val="00C62713"/>
    <w:rsid w:val="00C65E60"/>
    <w:rsid w:val="00C709C1"/>
    <w:rsid w:val="00C95FBB"/>
    <w:rsid w:val="00CC7758"/>
    <w:rsid w:val="00CE5A52"/>
    <w:rsid w:val="00CF7AF3"/>
    <w:rsid w:val="00D16EBA"/>
    <w:rsid w:val="00D221FC"/>
    <w:rsid w:val="00D26ADA"/>
    <w:rsid w:val="00D35A78"/>
    <w:rsid w:val="00D37A5E"/>
    <w:rsid w:val="00D42E7D"/>
    <w:rsid w:val="00D4710A"/>
    <w:rsid w:val="00D52D6B"/>
    <w:rsid w:val="00D555A1"/>
    <w:rsid w:val="00D60DD0"/>
    <w:rsid w:val="00D64DC2"/>
    <w:rsid w:val="00D824C7"/>
    <w:rsid w:val="00D872FF"/>
    <w:rsid w:val="00DA46CA"/>
    <w:rsid w:val="00DA6AC9"/>
    <w:rsid w:val="00DD12C3"/>
    <w:rsid w:val="00DD2A33"/>
    <w:rsid w:val="00DF004A"/>
    <w:rsid w:val="00DF21EB"/>
    <w:rsid w:val="00E20E70"/>
    <w:rsid w:val="00E25B68"/>
    <w:rsid w:val="00E3031A"/>
    <w:rsid w:val="00E77806"/>
    <w:rsid w:val="00E84003"/>
    <w:rsid w:val="00EC10FC"/>
    <w:rsid w:val="00EC7159"/>
    <w:rsid w:val="00ED0A99"/>
    <w:rsid w:val="00ED1AF5"/>
    <w:rsid w:val="00EE0041"/>
    <w:rsid w:val="00EE29B9"/>
    <w:rsid w:val="00F004EE"/>
    <w:rsid w:val="00F07EFD"/>
    <w:rsid w:val="00F42E23"/>
    <w:rsid w:val="00F45EEE"/>
    <w:rsid w:val="00F50D56"/>
    <w:rsid w:val="00F51E9C"/>
    <w:rsid w:val="00F523CA"/>
    <w:rsid w:val="00F74A9D"/>
    <w:rsid w:val="00F81271"/>
    <w:rsid w:val="00FC372C"/>
    <w:rsid w:val="00FC3DF3"/>
    <w:rsid w:val="00FD210F"/>
    <w:rsid w:val="00FE0F4C"/>
    <w:rsid w:val="00FF386F"/>
    <w:rsid w:val="00FF6772"/>
    <w:rsid w:val="00FF6A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link w:val="Titre1Car"/>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6"/>
      </w:numPr>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49"/>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7"/>
      </w:numPr>
      <w:ind w:left="709"/>
    </w:pPr>
  </w:style>
  <w:style w:type="paragraph" w:customStyle="1" w:styleId="ListNumbered">
    <w:name w:val="List Numbered"/>
    <w:basedOn w:val="Corpsdetexte"/>
    <w:uiPriority w:val="5"/>
    <w:qFormat/>
    <w:locked/>
    <w:rsid w:val="00717C6F"/>
    <w:pPr>
      <w:numPr>
        <w:numId w:val="8"/>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paragraph" w:styleId="Bibliographie">
    <w:name w:val="Bibliography"/>
    <w:basedOn w:val="Normal"/>
    <w:next w:val="Normal"/>
    <w:uiPriority w:val="37"/>
    <w:unhideWhenUsed/>
    <w:locked/>
    <w:rsid w:val="00953487"/>
    <w:pPr>
      <w:tabs>
        <w:tab w:val="left" w:pos="504"/>
      </w:tabs>
      <w:ind w:left="504" w:hanging="504"/>
    </w:pPr>
  </w:style>
  <w:style w:type="character" w:customStyle="1" w:styleId="fontstyle01">
    <w:name w:val="fontstyle01"/>
    <w:basedOn w:val="Policepardfaut"/>
    <w:rsid w:val="006D57D1"/>
    <w:rPr>
      <w:rFonts w:ascii="CharisSIL-Italic" w:hAnsi="CharisSIL-Italic" w:hint="default"/>
      <w:b w:val="0"/>
      <w:bCs w:val="0"/>
      <w:i/>
      <w:iCs/>
      <w:color w:val="000000"/>
      <w:sz w:val="16"/>
      <w:szCs w:val="16"/>
    </w:rPr>
  </w:style>
  <w:style w:type="character" w:styleId="Lienhypertexte">
    <w:name w:val="Hyperlink"/>
    <w:basedOn w:val="Policepardfaut"/>
    <w:uiPriority w:val="99"/>
    <w:unhideWhenUsed/>
    <w:locked/>
    <w:rsid w:val="00D42E7D"/>
    <w:rPr>
      <w:color w:val="0000FF"/>
      <w:u w:val="single"/>
    </w:rPr>
  </w:style>
  <w:style w:type="character" w:customStyle="1" w:styleId="Titre1Car">
    <w:name w:val="Titre 1 Car"/>
    <w:aliases w:val="Paper title Car"/>
    <w:basedOn w:val="Policepardfaut"/>
    <w:link w:val="Titre1"/>
    <w:uiPriority w:val="9"/>
    <w:rsid w:val="003D50B3"/>
    <w:rPr>
      <w:rFonts w:ascii="Times New Roman Bold" w:hAnsi="Times New Roman Bold"/>
      <w:b/>
      <w:caps/>
      <w:sz w:val="24"/>
      <w:lang w:val="en-US" w:eastAsia="en-US"/>
    </w:rPr>
  </w:style>
  <w:style w:type="paragraph" w:customStyle="1" w:styleId="Htxt">
    <w:name w:val="H_txt"/>
    <w:qFormat/>
    <w:rsid w:val="003D50B3"/>
    <w:pPr>
      <w:spacing w:after="160" w:line="360" w:lineRule="auto"/>
      <w:ind w:firstLine="284"/>
      <w:jc w:val="both"/>
    </w:pPr>
    <w:rPr>
      <w:rFonts w:asciiTheme="majorBidi" w:eastAsiaTheme="minorHAnsi" w:hAnsiTheme="majorBidi" w:cstheme="majorBidi"/>
      <w:sz w:val="24"/>
      <w:szCs w:val="24"/>
      <w:lang w:val="en-CA" w:eastAsia="en-US"/>
    </w:rPr>
  </w:style>
  <w:style w:type="paragraph" w:customStyle="1" w:styleId="HTab">
    <w:name w:val="H_Tab"/>
    <w:basedOn w:val="Normal"/>
    <w:qFormat/>
    <w:rsid w:val="003D50B3"/>
    <w:pPr>
      <w:numPr>
        <w:numId w:val="10"/>
      </w:numPr>
      <w:overflowPunct/>
      <w:autoSpaceDE/>
      <w:autoSpaceDN/>
      <w:adjustRightInd/>
      <w:spacing w:after="160" w:line="259" w:lineRule="auto"/>
      <w:jc w:val="center"/>
      <w:textAlignment w:val="auto"/>
    </w:pPr>
    <w:rPr>
      <w:rFonts w:ascii="Times-Roman" w:eastAsiaTheme="minorHAnsi" w:hAnsi="Times-Roman" w:cstheme="majorBidi"/>
      <w:bCs/>
      <w:sz w:val="24"/>
      <w:szCs w:val="24"/>
      <w:lang w:val="en-CA"/>
    </w:rPr>
  </w:style>
  <w:style w:type="paragraph" w:customStyle="1" w:styleId="HTI">
    <w:name w:val="H_T(I)"/>
    <w:qFormat/>
    <w:rsid w:val="006B2096"/>
    <w:pPr>
      <w:numPr>
        <w:numId w:val="11"/>
      </w:numPr>
      <w:spacing w:after="160" w:line="360" w:lineRule="auto"/>
    </w:pPr>
    <w:rPr>
      <w:rFonts w:asciiTheme="majorBidi" w:eastAsiaTheme="minorHAnsi" w:hAnsiTheme="majorBidi" w:cstheme="majorBidi"/>
      <w:b/>
      <w:sz w:val="24"/>
      <w:szCs w:val="24"/>
      <w:lang w:val="en-CA" w:eastAsia="en-US"/>
    </w:rPr>
  </w:style>
  <w:style w:type="paragraph" w:customStyle="1" w:styleId="HTI1">
    <w:name w:val="H_T(I.1)"/>
    <w:qFormat/>
    <w:rsid w:val="006B2096"/>
    <w:pPr>
      <w:numPr>
        <w:ilvl w:val="1"/>
        <w:numId w:val="11"/>
      </w:numPr>
      <w:spacing w:after="160" w:line="259" w:lineRule="auto"/>
    </w:pPr>
    <w:rPr>
      <w:rFonts w:asciiTheme="majorBidi" w:eastAsiaTheme="minorHAnsi" w:hAnsiTheme="majorBidi" w:cstheme="majorBidi"/>
      <w:b/>
      <w:bCs/>
      <w:sz w:val="24"/>
      <w:szCs w:val="24"/>
      <w:lang w:val="en-CA" w:eastAsia="en-US"/>
    </w:rPr>
  </w:style>
  <w:style w:type="paragraph" w:customStyle="1" w:styleId="HTI11">
    <w:name w:val="H_T(I.1.1)"/>
    <w:basedOn w:val="Paragraphedeliste"/>
    <w:qFormat/>
    <w:rsid w:val="006B2096"/>
    <w:pPr>
      <w:numPr>
        <w:ilvl w:val="2"/>
        <w:numId w:val="11"/>
      </w:numPr>
      <w:tabs>
        <w:tab w:val="left" w:pos="851"/>
      </w:tabs>
      <w:overflowPunct/>
      <w:autoSpaceDE/>
      <w:autoSpaceDN/>
      <w:adjustRightInd/>
      <w:spacing w:after="160" w:line="360" w:lineRule="auto"/>
      <w:ind w:left="0" w:firstLine="0"/>
      <w:jc w:val="both"/>
      <w:textAlignment w:val="auto"/>
    </w:pPr>
    <w:rPr>
      <w:rFonts w:asciiTheme="majorBidi" w:eastAsiaTheme="minorHAnsi" w:hAnsiTheme="majorBidi" w:cstheme="majorBidi"/>
      <w:b/>
      <w:bCs/>
      <w:sz w:val="24"/>
      <w:szCs w:val="24"/>
      <w:lang w:val="en-CA"/>
    </w:rPr>
  </w:style>
  <w:style w:type="paragraph" w:customStyle="1" w:styleId="HTI111">
    <w:name w:val="H_T(I.1.1.1)"/>
    <w:qFormat/>
    <w:rsid w:val="006B2096"/>
    <w:pPr>
      <w:numPr>
        <w:ilvl w:val="3"/>
        <w:numId w:val="11"/>
      </w:numPr>
      <w:spacing w:after="160" w:line="259" w:lineRule="auto"/>
    </w:pPr>
    <w:rPr>
      <w:rFonts w:asciiTheme="majorBidi" w:eastAsiaTheme="minorHAnsi" w:hAnsiTheme="majorBidi" w:cstheme="majorBidi"/>
      <w:b/>
      <w:bCs/>
      <w:sz w:val="24"/>
      <w:szCs w:val="24"/>
      <w:lang w:val="en-CA" w:eastAsia="en-US"/>
    </w:rPr>
  </w:style>
  <w:style w:type="paragraph" w:styleId="Paragraphedeliste">
    <w:name w:val="List Paragraph"/>
    <w:basedOn w:val="Normal"/>
    <w:uiPriority w:val="49"/>
    <w:locked/>
    <w:rsid w:val="006B2096"/>
    <w:pPr>
      <w:ind w:left="720"/>
      <w:contextualSpacing/>
    </w:pPr>
  </w:style>
  <w:style w:type="paragraph" w:customStyle="1" w:styleId="H-Fig">
    <w:name w:val="H-Fig"/>
    <w:qFormat/>
    <w:rsid w:val="00DD12C3"/>
    <w:pPr>
      <w:numPr>
        <w:numId w:val="13"/>
      </w:numPr>
      <w:spacing w:after="160" w:line="259" w:lineRule="auto"/>
      <w:jc w:val="center"/>
    </w:pPr>
    <w:rPr>
      <w:rFonts w:asciiTheme="majorBidi" w:eastAsiaTheme="minorHAnsi" w:hAnsiTheme="majorBidi" w:cstheme="majorBidi"/>
      <w:sz w:val="24"/>
      <w:szCs w:val="28"/>
      <w:lang w:val="en-CA" w:eastAsia="en-US"/>
    </w:rPr>
  </w:style>
  <w:style w:type="paragraph" w:styleId="NormalWeb">
    <w:name w:val="Normal (Web)"/>
    <w:basedOn w:val="Normal"/>
    <w:uiPriority w:val="99"/>
    <w:semiHidden/>
    <w:unhideWhenUsed/>
    <w:locked/>
    <w:rsid w:val="00670246"/>
    <w:pPr>
      <w:overflowPunct/>
      <w:autoSpaceDE/>
      <w:autoSpaceDN/>
      <w:adjustRightInd/>
      <w:spacing w:before="100" w:beforeAutospacing="1" w:after="100" w:afterAutospacing="1"/>
      <w:textAlignment w:val="auto"/>
    </w:pPr>
    <w:rPr>
      <w:sz w:val="24"/>
      <w:szCs w:val="24"/>
      <w:lang w:val="en-CA" w:eastAsia="en-CA"/>
    </w:rPr>
  </w:style>
  <w:style w:type="character" w:customStyle="1" w:styleId="fontstyle21">
    <w:name w:val="fontstyle21"/>
    <w:basedOn w:val="Policepardfaut"/>
    <w:rsid w:val="002766B9"/>
    <w:rPr>
      <w:rFonts w:ascii="TeX_CM_Maths_Symbols" w:hAnsi="TeX_CM_Maths_Symbols" w:hint="default"/>
      <w:b w:val="0"/>
      <w:bCs w:val="0"/>
      <w:i w:val="0"/>
      <w:iCs w:val="0"/>
      <w:color w:val="000000"/>
      <w:sz w:val="12"/>
      <w:szCs w:val="12"/>
    </w:rPr>
  </w:style>
  <w:style w:type="character" w:styleId="Mentionnonrsolue">
    <w:name w:val="Unresolved Mention"/>
    <w:basedOn w:val="Policepardfaut"/>
    <w:uiPriority w:val="99"/>
    <w:semiHidden/>
    <w:unhideWhenUsed/>
    <w:rsid w:val="00C62713"/>
    <w:rPr>
      <w:color w:val="605E5C"/>
      <w:shd w:val="clear" w:color="auto" w:fill="E1DFDD"/>
    </w:rPr>
  </w:style>
  <w:style w:type="character" w:styleId="Accentuation">
    <w:name w:val="Emphasis"/>
    <w:basedOn w:val="Policepardfaut"/>
    <w:uiPriority w:val="20"/>
    <w:qFormat/>
    <w:locked/>
    <w:rsid w:val="00AA58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275720">
      <w:bodyDiv w:val="1"/>
      <w:marLeft w:val="0"/>
      <w:marRight w:val="0"/>
      <w:marTop w:val="0"/>
      <w:marBottom w:val="0"/>
      <w:divBdr>
        <w:top w:val="none" w:sz="0" w:space="0" w:color="auto"/>
        <w:left w:val="none" w:sz="0" w:space="0" w:color="auto"/>
        <w:bottom w:val="none" w:sz="0" w:space="0" w:color="auto"/>
        <w:right w:val="none" w:sz="0" w:space="0" w:color="auto"/>
      </w:divBdr>
    </w:div>
    <w:div w:id="1252280289">
      <w:bodyDiv w:val="1"/>
      <w:marLeft w:val="0"/>
      <w:marRight w:val="0"/>
      <w:marTop w:val="0"/>
      <w:marBottom w:val="0"/>
      <w:divBdr>
        <w:top w:val="none" w:sz="0" w:space="0" w:color="auto"/>
        <w:left w:val="none" w:sz="0" w:space="0" w:color="auto"/>
        <w:bottom w:val="none" w:sz="0" w:space="0" w:color="auto"/>
        <w:right w:val="none" w:sz="0" w:space="0" w:color="auto"/>
      </w:divBdr>
    </w:div>
    <w:div w:id="144646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ciencedirect.com/topics/earth-and-planetary-sciences/caesium" TargetMode="External"/><Relationship Id="rId18" Type="http://schemas.openxmlformats.org/officeDocument/2006/relationships/hyperlink" Target="https://www.sciencedirect.com/topics/earth-and-planetary-sciences/encapsulatio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mailto:hamdanehasna@gmail.com" TargetMode="External"/><Relationship Id="rId17" Type="http://schemas.openxmlformats.org/officeDocument/2006/relationships/image" Target="media/image4.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1108C223-214B-47A8-9BCF-CB1A2D24D0A9}">
  <ds:schemaRefs>
    <ds:schemaRef ds:uri="http://schemas.openxmlformats.org/officeDocument/2006/bibliography"/>
  </ds:schemaRefs>
</ds:datastoreItem>
</file>

<file path=customXml/itemProps3.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4.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IAEA Blank (r01)</Template>
  <TotalTime>9206</TotalTime>
  <Pages>9</Pages>
  <Words>10314</Words>
  <Characters>58792</Characters>
  <Application>Microsoft Office Word</Application>
  <DocSecurity>0</DocSecurity>
  <Lines>489</Lines>
  <Paragraphs>137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68969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aicha fathi</cp:lastModifiedBy>
  <cp:revision>34</cp:revision>
  <cp:lastPrinted>2015-12-01T10:27:00Z</cp:lastPrinted>
  <dcterms:created xsi:type="dcterms:W3CDTF">2021-05-17T15:31:00Z</dcterms:created>
  <dcterms:modified xsi:type="dcterms:W3CDTF">2021-09-13T08:20:00Z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y fmtid="{D5CDD505-2E9C-101B-9397-08002B2CF9AE}" pid="13" name="ZOTERO_PREF_1">
    <vt:lpwstr>&lt;data data-version="3" zotero-version="5.0.96.3"&gt;&lt;session id="s1JyNHY5"/&gt;&lt;style id="http://www.zotero.org/styles/international-atomic-energy-agency" hasBibliography="1" bibliographyStyleHasBeenSet="1"/&gt;&lt;prefs&gt;&lt;pref name="fieldType" value="Field"/&gt;&lt;/prefs&gt;</vt:lpwstr>
  </property>
  <property fmtid="{D5CDD505-2E9C-101B-9397-08002B2CF9AE}" pid="14" name="ZOTERO_PREF_2">
    <vt:lpwstr>&lt;/data&gt;</vt:lpwstr>
  </property>
</Properties>
</file>